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2661B" w14:textId="77777777" w:rsidR="00000000" w:rsidRDefault="00847163">
      <w:pPr>
        <w:divId w:val="880897435"/>
        <w:rPr>
          <w:rFonts w:eastAsia="Times New Roman"/>
          <w:vanish/>
          <w:sz w:val="20"/>
          <w:szCs w:val="20"/>
        </w:rPr>
      </w:pPr>
      <w:r>
        <w:rPr>
          <w:rFonts w:eastAsia="Times New Roman"/>
          <w:vanish/>
          <w:sz w:val="20"/>
          <w:szCs w:val="20"/>
        </w:rPr>
        <w:t xml:space="preserve">0000879101 KIMCO REALTY CORP false --12-31 Q1 2020 2,552,669 2,500,053 1.00 1.00 7,054,000 7,054,000 19,580 19,580 19,580 19,580 489,500 489,500 0.01 0.01 750,000,000 750,000,000 432,525,409 432,525,409 431,814,951 431,814,951 0 771 4,364 3,137 98 </w:t>
      </w:r>
      <w:r>
        <w:rPr>
          <w:rFonts w:eastAsia="Times New Roman"/>
          <w:vanish/>
          <w:sz w:val="20"/>
          <w:szCs w:val="20"/>
        </w:rPr>
        <w:t>21.3 4 1 7 22 1 Includes minimum base rents, expense reimbursements, ancillary income and straight-line rent adjustments. Includes minimum base rents, expense reimbursements, percentage rent, lease termination fee income and ancillary income. Gross leasabl</w:t>
      </w:r>
      <w:r>
        <w:rPr>
          <w:rFonts w:eastAsia="Times New Roman"/>
          <w:vanish/>
          <w:sz w:val="20"/>
          <w:szCs w:val="20"/>
        </w:rPr>
        <w:t>e area ("GLA") Shares were fully redeemed during 2019 The effect of the assumed conversion of certain convertible units had an anti-dilutive effect upon the calculation of Income from continuing operations per share. Accordingly, the impact of such convers</w:t>
      </w:r>
      <w:r>
        <w:rPr>
          <w:rFonts w:eastAsia="Times New Roman"/>
          <w:vanish/>
          <w:sz w:val="20"/>
          <w:szCs w:val="20"/>
        </w:rPr>
        <w:t>ions has not been included in the determination of diluted earnings per share calculations. Additionally, there were 0.5 million, 1.3 million and 3.1 million stock options that were not dilutive as of December 31, 2019, 2018 and 2017, respectively. Include</w:t>
      </w:r>
      <w:r>
        <w:rPr>
          <w:rFonts w:eastAsia="Times New Roman"/>
          <w:vanish/>
          <w:sz w:val="20"/>
          <w:szCs w:val="20"/>
        </w:rPr>
        <w:t>s non-recourse liabilities of consolidated VIEs at March 31, 2020 and December 31, 2019 of $65,544 and $153,436, respectively. See Footnote 10 of the Notes to Condensed Consolidated Financial Statements. The Company determined that the valuation of its Sen</w:t>
      </w:r>
      <w:r>
        <w:rPr>
          <w:rFonts w:eastAsia="Times New Roman"/>
          <w:vanish/>
          <w:sz w:val="20"/>
          <w:szCs w:val="20"/>
        </w:rPr>
        <w:t>ior Unsecured Notes were classified within Level 2 of the fair value hierarchy and its unsecured revolving credit facility was classified within Level 3 of the fair value hierarchy. The estimated fair value amounts classified as Level 2, as of March 31, 20</w:t>
      </w:r>
      <w:r>
        <w:rPr>
          <w:rFonts w:eastAsia="Times New Roman"/>
          <w:vanish/>
          <w:sz w:val="20"/>
          <w:szCs w:val="20"/>
        </w:rPr>
        <w:t>20 and December 31, 2019, were $4.4 billion and $4.8 billion, respectively. The estimated fair value amounts classified as Level 3, as of March 31, 2020 and December 31, 2019, were $625.4 million and $199.9 million, respectively. Representing 98 property i</w:t>
      </w:r>
      <w:r>
        <w:rPr>
          <w:rFonts w:eastAsia="Times New Roman"/>
          <w:vanish/>
          <w:sz w:val="20"/>
          <w:szCs w:val="20"/>
        </w:rPr>
        <w:t>nterests and 21.3 million square feet of GLA, as of both March 31, 2020 and December 31, 2019. Includes restricted assets of consolidated variable interest entities ("VIEs") at March 31, 2020 and December 31, 2019 of $104,243 and $245,489, respectively. Se</w:t>
      </w:r>
      <w:r>
        <w:rPr>
          <w:rFonts w:eastAsia="Times New Roman"/>
          <w:vanish/>
          <w:sz w:val="20"/>
          <w:szCs w:val="20"/>
        </w:rPr>
        <w:t>e Footnote 10 of the Notes to Condensed Consolidated Financial Statements. Includes extension options The Company determined that its valuation of its mortgages and construction loan were classified within Level 3 of the fair value hierarchy. 0000879101202</w:t>
      </w:r>
      <w:r>
        <w:rPr>
          <w:rFonts w:eastAsia="Times New Roman"/>
          <w:vanish/>
          <w:sz w:val="20"/>
          <w:szCs w:val="20"/>
        </w:rPr>
        <w:t>0-01-012020-03-31 0000879101kim:CommonStock1Member2020-01-012020-03-31 0000879101kim:ClassLCumulativeRedeemablePreferredStockMember2020-01-012020-03-31 0000879101kim:ClassMCumulativeRedeemablePreferredStockMember2020-01-012020-03-31 xbrli:shares 0000879101</w:t>
      </w:r>
      <w:r>
        <w:rPr>
          <w:rFonts w:eastAsia="Times New Roman"/>
          <w:vanish/>
          <w:sz w:val="20"/>
          <w:szCs w:val="20"/>
        </w:rPr>
        <w:t>2020-04-14 thunderdome:item iso4217:USD 00008791012020-03-31 00008791012019-12-31 0000879101kim:RealEstateUnderDevelopmentMember2020-03-31 0000879101kim:RealEstateUnderDevelopmentMember2019-12-31 0000879101kim:InvestmentsInAndAdvancesToRealEstateJointVentu</w:t>
      </w:r>
      <w:r>
        <w:rPr>
          <w:rFonts w:eastAsia="Times New Roman"/>
          <w:vanish/>
          <w:sz w:val="20"/>
          <w:szCs w:val="20"/>
        </w:rPr>
        <w:t>resMember2020-03-31 0000879101kim:InvestmentsInAndAdvancesToRealEstateJointVenturesMember2019-12-31 0000879101kim:OtherRealEstateInvestmentsMember2020-03-31 0000879101kim:OtherRealEstateInvestmentsMember2019-12-31 iso4217:USDxbrli:shares 00008791012019-01-</w:t>
      </w:r>
      <w:r>
        <w:rPr>
          <w:rFonts w:eastAsia="Times New Roman"/>
          <w:vanish/>
          <w:sz w:val="20"/>
          <w:szCs w:val="20"/>
        </w:rPr>
        <w:t>012019-03-31 0000879101kim:JointVenturesMember2020-01-012020-03-31 0000879101kim:JointVenturesMember2019-01-012019-03-31 0000879101kim:OtherRealEstateInvestmentsMember2020-01-012020-03-31 0000879101kim:OtherRealEstateInvestmentsMember2019-01-012019-03-31 0</w:t>
      </w:r>
      <w:r>
        <w:rPr>
          <w:rFonts w:eastAsia="Times New Roman"/>
          <w:vanish/>
          <w:sz w:val="20"/>
          <w:szCs w:val="20"/>
        </w:rPr>
        <w:t>000879101us-gaap:RetainedEarningsMember2018-12-31 0000879101us-gaap:PreferredStockMember2018-12-31 0000879101us-gaap:CommonStockMember2018-12-31 0000879101us-gaap:AdditionalPaidInCapitalMember2018-12-31 0000879101us-gaap:ParentMember2018-12-31 0000879101us</w:t>
      </w:r>
      <w:r>
        <w:rPr>
          <w:rFonts w:eastAsia="Times New Roman"/>
          <w:vanish/>
          <w:sz w:val="20"/>
          <w:szCs w:val="20"/>
        </w:rPr>
        <w:t>-gaap:NoncontrollingInterestMember2018-12-31 00008791012018-12-31 0000879101us-gaap:RetainedEarningsMember2019-01-012019-03-31 0000879101us-gaap:PreferredStockMember2019-01-012019-03-31 0000879101us-gaap:CommonStockMember2019-01-012019-03-31 0000879101us-g</w:t>
      </w:r>
      <w:r>
        <w:rPr>
          <w:rFonts w:eastAsia="Times New Roman"/>
          <w:vanish/>
          <w:sz w:val="20"/>
          <w:szCs w:val="20"/>
        </w:rPr>
        <w:t>aap:AdditionalPaidInCapitalMember2019-01-012019-03-31 0000879101us-gaap:ParentMember2019-01-012019-03-31 0000879101us-gaap:NoncontrollingInterestMember2019-01-012019-03-31 0000879101us-gaap:RetainedEarningsMember2019-03-31 0000879101us-gaap:PreferredStockM</w:t>
      </w:r>
      <w:r>
        <w:rPr>
          <w:rFonts w:eastAsia="Times New Roman"/>
          <w:vanish/>
          <w:sz w:val="20"/>
          <w:szCs w:val="20"/>
        </w:rPr>
        <w:t>ember2019-03-31 0000879101us-gaap:CommonStockMember2019-03-31 0000879101us-gaap:AdditionalPaidInCapitalMember2019-03-31 0000879101us-gaap:ParentMember2019-03-31 0000879101us-gaap:NoncontrollingInterestMember2019-03-31 00008791012019-03-31 0000879101us-gaap</w:t>
      </w:r>
      <w:r>
        <w:rPr>
          <w:rFonts w:eastAsia="Times New Roman"/>
          <w:vanish/>
          <w:sz w:val="20"/>
          <w:szCs w:val="20"/>
        </w:rPr>
        <w:t>:RetainedEarningsMember2019-12-31 0000879101us-gaap:PreferredStockMember2019-12-31 0000879101us-gaap:CommonStockMember2019-12-31 0000879101us-gaap:AdditionalPaidInCapitalMember2019-12-31 0000879101us-gaap:ParentMember2019-12-31 0000879101us-gaap:Noncontrol</w:t>
      </w:r>
      <w:r>
        <w:rPr>
          <w:rFonts w:eastAsia="Times New Roman"/>
          <w:vanish/>
          <w:sz w:val="20"/>
          <w:szCs w:val="20"/>
        </w:rPr>
        <w:t>lingInterestMember2019-12-31 0000879101us-gaap:RetainedEarningsMember2020-01-012020-03-31 0000879101us-gaap:PreferredStockMember2020-01-012020-03-31 0000879101us-gaap:CommonStockMember2020-01-012020-03-31 0000879101us-gaap:AdditionalPaidInCapitalMember2020</w:t>
      </w:r>
      <w:r>
        <w:rPr>
          <w:rFonts w:eastAsia="Times New Roman"/>
          <w:vanish/>
          <w:sz w:val="20"/>
          <w:szCs w:val="20"/>
        </w:rPr>
        <w:t>-01-012020-03-31 0000879101us-gaap:ParentMember2020-01-012020-03-31 0000879101us-gaap:NoncontrollingInterestMember2020-01-012020-03-31 0000879101us-gaap:RetainedEarningsMember2020-03-31 0000879101us-gaap:PreferredStockMember2020-03-31 0000879101us-gaap:Com</w:t>
      </w:r>
      <w:r>
        <w:rPr>
          <w:rFonts w:eastAsia="Times New Roman"/>
          <w:vanish/>
          <w:sz w:val="20"/>
          <w:szCs w:val="20"/>
        </w:rPr>
        <w:t>monStockMember2020-03-31 0000879101us-gaap:AdditionalPaidInCapitalMember2020-03-31 0000879101us-gaap:ParentMember2020-03-31 0000879101us-gaap:NoncontrollingInterestMember2020-03-31 0000879101kim:NorthValleyParcelMember2020-01-012020-03-31 utr:sqft 00008791</w:t>
      </w:r>
      <w:r>
        <w:rPr>
          <w:rFonts w:eastAsia="Times New Roman"/>
          <w:vanish/>
          <w:sz w:val="20"/>
          <w:szCs w:val="20"/>
        </w:rPr>
        <w:t>01kim:NorthValleyParcelMember2020-03-31 0000879101us-gaap:LandMember2020-03-31 0000879101us-gaap:BuildingMember2020-03-31 utr:Y 0000879101us-gaap:BuildingMember2020-01-012020-03-31 0000879101us-gaap:BuildingImprovementsMember2020-03-31 0000879101us-gaap:Bu</w:t>
      </w:r>
      <w:r>
        <w:rPr>
          <w:rFonts w:eastAsia="Times New Roman"/>
          <w:vanish/>
          <w:sz w:val="20"/>
          <w:szCs w:val="20"/>
        </w:rPr>
        <w:t>ildingImprovementsMember2020-01-012020-03-31 0000879101kim:TenantImprovementsMember2020-03-31 0000879101kim:TenantImprovementsMember2020-01-012020-03-31 0000879101us-gaap:LeasesAcquiredInPlaceMember2020-03-31 0000879101us-gaap:LeasesAcquiredInPlaceMember20</w:t>
      </w:r>
      <w:r>
        <w:rPr>
          <w:rFonts w:eastAsia="Times New Roman"/>
          <w:vanish/>
          <w:sz w:val="20"/>
          <w:szCs w:val="20"/>
        </w:rPr>
        <w:t>20-01-012020-03-31 00008791012019-01-012019-12-31 0000879101kim:DispositionActivityRelatingToConsolidatedOperatingPropertiesAndParcelsMember2020-03-31 0000879101kim:DispositionActivityRelatingToConsolidatedOperatingPropertiesAndParcelsMember2019-03-31 0000</w:t>
      </w:r>
      <w:r>
        <w:rPr>
          <w:rFonts w:eastAsia="Times New Roman"/>
          <w:vanish/>
          <w:sz w:val="20"/>
          <w:szCs w:val="20"/>
        </w:rPr>
        <w:t>879101kim:DispositionActivityRelatingToConsolidatedOperatingPropertiesAndParcelsMember2020-01-012020-03-31 0000879101kim:DispositionActivityRelatingToConsolidatedOperatingPropertiesAndParcelsMember2019-01-012019-03-31 xbrli:pure 0000879101kim:KimPruandKimP</w:t>
      </w:r>
      <w:r>
        <w:rPr>
          <w:rFonts w:eastAsia="Times New Roman"/>
          <w:vanish/>
          <w:sz w:val="20"/>
          <w:szCs w:val="20"/>
        </w:rPr>
        <w:t>ruIIMember2020-03-31 0000879101kim:KimPruandKimPruIIMember2019-12-31 0000879101kim:KimcoIncomeFundMember2020-03-31 0000879101kim:KimcoIncomeFundMember2019-12-31 0000879101kim:CPPMember2020-03-31 0000879101kim:CPPMember2019-12-31 0000879101kim:OtherJointVen</w:t>
      </w:r>
      <w:r>
        <w:rPr>
          <w:rFonts w:eastAsia="Times New Roman"/>
          <w:vanish/>
          <w:sz w:val="20"/>
          <w:szCs w:val="20"/>
        </w:rPr>
        <w:t>tureProgramsMember2020-03-31 0000879101kim:OtherJointVentureProgramsMember2019-12-31 0000879101kim:AllEquityMethodInvestmentsMember2020-03-31 0000879101kim:AllEquityMethodInvestmentsMember2019-12-31 0000879101kim:PrudentialInvestmentProgramMember2020-01-01</w:t>
      </w:r>
      <w:r>
        <w:rPr>
          <w:rFonts w:eastAsia="Times New Roman"/>
          <w:vanish/>
          <w:sz w:val="20"/>
          <w:szCs w:val="20"/>
        </w:rPr>
        <w:t>2020-03-31 0000879101kim:PrudentialInvestmentProgramMember2019-01-012019-03-31 0000879101kim:KIRMember2020-01-012020-03-31 0000879101kim:KIRMember2019-01-012019-03-31 0000879101kim:CPPMember2020-01-012020-03-31 0000879101kim:CPPMember2019-01-012019-03-31 0</w:t>
      </w:r>
      <w:r>
        <w:rPr>
          <w:rFonts w:eastAsia="Times New Roman"/>
          <w:vanish/>
          <w:sz w:val="20"/>
          <w:szCs w:val="20"/>
        </w:rPr>
        <w:t>000879101kim:OtherJointVentureProgramsMember2020-01-012020-03-31 0000879101kim:OtherJointVentureProgramsMember2019-01-012019-03-31 0000879101kim:OperatingPropertiesMemberkim:RealEstateJointVenturesMember2019-01-012019-03-31 0000879101kim:OperatingPropertie</w:t>
      </w:r>
      <w:r>
        <w:rPr>
          <w:rFonts w:eastAsia="Times New Roman"/>
          <w:vanish/>
          <w:sz w:val="20"/>
          <w:szCs w:val="20"/>
        </w:rPr>
        <w:t>sMemberkim:RealEstateJointVenturesMember2019-03-31 0000879101kim:PrudentialInvestmentProgramMember2020-03-31 0000879101kim:PrudentialInvestmentProgramMember2019-12-31 0000879101kim:PrudentialInvestmentProgramMember2019-01-012019-12-31 0000879101kim:KIRMemb</w:t>
      </w:r>
      <w:r>
        <w:rPr>
          <w:rFonts w:eastAsia="Times New Roman"/>
          <w:vanish/>
          <w:sz w:val="20"/>
          <w:szCs w:val="20"/>
        </w:rPr>
        <w:t>er2020-03-31 utr:M 0000879101kim:KIRMember2019-12-31 0000879101kim:KIRMember2019-01-012019-12-31 0000879101kim:CPPMember2019-01-012019-12-31 0000879101kim:OtherJointVentureProgramsMember2019-01-012019-12-31 0000879101kim:PreferredEquityInvestmentsMember202</w:t>
      </w:r>
      <w:r>
        <w:rPr>
          <w:rFonts w:eastAsia="Times New Roman"/>
          <w:vanish/>
          <w:sz w:val="20"/>
          <w:szCs w:val="20"/>
        </w:rPr>
        <w:t>0-03-31 0000879101kim:LeasedPropertiesMemberkim:PreferredEquityInvestmentsMember2020-03-31 0000879101kim:PreferredEquityInvestmentsMember2020-01-012020-03-31 0000879101kim:PreferredEquityInvestmentsMember2019-01-012019-03-31 0000879101srt:MinimumMember2020</w:t>
      </w:r>
      <w:r>
        <w:rPr>
          <w:rFonts w:eastAsia="Times New Roman"/>
          <w:vanish/>
          <w:sz w:val="20"/>
          <w:szCs w:val="20"/>
        </w:rPr>
        <w:t>-03-31 0000879101srt:MaximumMember2020-03-31 0000879101us-gaap:RevolvingCreditFacilityMember2020-02-29 0000879101us-gaap:RevolvingCreditFacilityMember2019-12-31 0000879101us-gaap:RevolvingCreditFacilityMemberus-gaap:LondonInterbankOfferedRateLIBORMember202</w:t>
      </w:r>
      <w:r>
        <w:rPr>
          <w:rFonts w:eastAsia="Times New Roman"/>
          <w:vanish/>
          <w:sz w:val="20"/>
          <w:szCs w:val="20"/>
        </w:rPr>
        <w:t>0-02-012020-02-29 0000879101us-gaap:LetterOfCreditMember2020-03-31 0000879101kim:TermLoanMemberus-gaap:SubsequentEventMember2020-04-01 0000879101kim:TermLoanMemberus-gaap:SubsequentEventMemberus-gaap:LondonInterbankOfferedRateLIBORMember2020-04-012020-04-0</w:t>
      </w:r>
      <w:r>
        <w:rPr>
          <w:rFonts w:eastAsia="Times New Roman"/>
          <w:vanish/>
          <w:sz w:val="20"/>
          <w:szCs w:val="20"/>
        </w:rPr>
        <w:t>1 0000879101kim:TermLoanMemberus-gaap:SubsequentEventMemberus-gaap:BaseRateMember2020-04-012020-04-01 0000879101kim:TermLoanMemberus-gaap:SubsequentEventMember2020-04-30 0000879101us-gaap:ConstructionLoansMember2018-08-31 0000879101us-gaap:ConstructionLoan</w:t>
      </w:r>
      <w:r>
        <w:rPr>
          <w:rFonts w:eastAsia="Times New Roman"/>
          <w:vanish/>
          <w:sz w:val="20"/>
          <w:szCs w:val="20"/>
        </w:rPr>
        <w:t>sMemberus-gaap:LondonInterbankOfferedRateLIBORMember2018-08-012018-08-31 0000879101kim:MortgageDebtEncumberedOperatingPropertyMember2020-01-012020-03-31 0000879101kim:ConsolidatedOperatingPropertiesMember2019-12-31 0000879101kim:ConsolidatedOperatingProper</w:t>
      </w:r>
      <w:r>
        <w:rPr>
          <w:rFonts w:eastAsia="Times New Roman"/>
          <w:vanish/>
          <w:sz w:val="20"/>
          <w:szCs w:val="20"/>
        </w:rPr>
        <w:t>tiesMember2020-03-31 0000879101us-gaap:VariableInterestEntityPrimaryBeneficiaryMemberkim:ConsolidatedOperatingPropertiesMember2020-03-31 0000879101us-gaap:VariableInterestEntityPrimaryBeneficiaryMemberkim:ConsolidatedOperatingPropertiesMember2019-12-31 000</w:t>
      </w:r>
      <w:r>
        <w:rPr>
          <w:rFonts w:eastAsia="Times New Roman"/>
          <w:vanish/>
          <w:sz w:val="20"/>
          <w:szCs w:val="20"/>
        </w:rPr>
        <w:t>0879101kim:RealEstateUnderDevelopmentMember2019-12-31 0000879101us-gaap:VariableInterestEntityPrimaryBeneficiaryMemberkim:RealEstateUnderDevelopmentMember2019-12-31 0000879101kim:VariableInterestEntityUnencumberedMember2020-03-31 0000879101kim:VariableInte</w:t>
      </w:r>
      <w:r>
        <w:rPr>
          <w:rFonts w:eastAsia="Times New Roman"/>
          <w:vanish/>
          <w:sz w:val="20"/>
          <w:szCs w:val="20"/>
        </w:rPr>
        <w:t>restEntityUnencumberedMember2019-12-31 0000879101kim:VariableInterestEntityEncumberedByThirdPartyNonResourceMortgageDebtMember2020-03-31 0000879101kim:VariableInterestEntityEncumberedByThirdPartyNonResourceMortgageDebtMember2019-12-31 0000879101us-gaap:Var</w:t>
      </w:r>
      <w:r>
        <w:rPr>
          <w:rFonts w:eastAsia="Times New Roman"/>
          <w:vanish/>
          <w:sz w:val="20"/>
          <w:szCs w:val="20"/>
        </w:rPr>
        <w:t>iableInterestEntityPrimaryBeneficiaryMember2020-03-31 0000879101us-gaap:VariableInterestEntityPrimaryBeneficiaryMember2019-12-31 0000879101us-gaap:VariableInterestEntityPrimaryBeneficiaryMemberus-gaap:AssetPledgedAsCollateralMember2020-03-31 0000879101us-g</w:t>
      </w:r>
      <w:r>
        <w:rPr>
          <w:rFonts w:eastAsia="Times New Roman"/>
          <w:vanish/>
          <w:sz w:val="20"/>
          <w:szCs w:val="20"/>
        </w:rPr>
        <w:t>aap:VariableInterestEntityPrimaryBeneficiaryMemberus-gaap:AssetPledgedAsCollateralMember2019-12-31 0000879101us-gaap:VariableInterestEntityPrimaryBeneficiaryMemberus-gaap:NonrecourseMember2020-03-31 0000879101us-gaap:VariableInterestEntityPrimaryBeneficiar</w:t>
      </w:r>
      <w:r>
        <w:rPr>
          <w:rFonts w:eastAsia="Times New Roman"/>
          <w:vanish/>
          <w:sz w:val="20"/>
          <w:szCs w:val="20"/>
        </w:rPr>
        <w:t>yMemberus-gaap:NonrecourseMember2019-12-31 0000879101us-gaap:CarryingReportedAmountFairValueDisclosureMember2020-03-31 0000879101us-gaap:EstimateOfFairValueFairValueDisclosureMember2020-03-31 0000879101us-gaap:CarryingReportedAmountFairValueDisclosureMembe</w:t>
      </w:r>
      <w:r>
        <w:rPr>
          <w:rFonts w:eastAsia="Times New Roman"/>
          <w:vanish/>
          <w:sz w:val="20"/>
          <w:szCs w:val="20"/>
        </w:rPr>
        <w:t>r2019-12-31 0000879101us-gaap:EstimateOfFairValueFairValueDisclosureMember2019-12-31 0000879101us-gaap:CarryingReportedAmountFairValueDisclosureMemberus-gaap:MortgagesMember2020-03-31 0000879101us-gaap:EstimateOfFairValueFairValueDisclosureMemberus-gaap:Mo</w:t>
      </w:r>
      <w:r>
        <w:rPr>
          <w:rFonts w:eastAsia="Times New Roman"/>
          <w:vanish/>
          <w:sz w:val="20"/>
          <w:szCs w:val="20"/>
        </w:rPr>
        <w:t>rtgagesMember2020-03-31 0000879101us-gaap:CarryingReportedAmountFairValueDisclosureMemberus-gaap:MortgagesMember2019-12-31 0000879101us-gaap:EstimateOfFairValueFairValueDisclosureMemberus-gaap:MortgagesMember2019-12-31 0000879101us-gaap:FairValueInputsLeve</w:t>
      </w:r>
      <w:r>
        <w:rPr>
          <w:rFonts w:eastAsia="Times New Roman"/>
          <w:vanish/>
          <w:sz w:val="20"/>
          <w:szCs w:val="20"/>
        </w:rPr>
        <w:t>l2Memberus-gaap:EstimateOfFairValueFairValueDisclosureMember2020-03-31 0000879101us-gaap:FairValueInputsLevel2Memberus-gaap:EstimateOfFairValueFairValueDisclosureMember2019-12-31 0000879101us-gaap:FairValueInputsLevel3Memberus-gaap:EstimateOfFairValueFairV</w:t>
      </w:r>
      <w:r>
        <w:rPr>
          <w:rFonts w:eastAsia="Times New Roman"/>
          <w:vanish/>
          <w:sz w:val="20"/>
          <w:szCs w:val="20"/>
        </w:rPr>
        <w:t>alueDisclosureMember2019-03-31 0000879101us-gaap:FairValueInputsLevel3Memberus-gaap:EstimateOfFairValueFairValueDisclosureMember2019-12-31 0000879101us-gaap:FairValueMeasurementsRecurringMember2020-03-31 0000879101us-gaap:FairValueInputsLevel1Memberus-gaap</w:t>
      </w:r>
      <w:r>
        <w:rPr>
          <w:rFonts w:eastAsia="Times New Roman"/>
          <w:vanish/>
          <w:sz w:val="20"/>
          <w:szCs w:val="20"/>
        </w:rPr>
        <w:t>:FairValueMeasurementsRecurringMember2020-03-31 0000879101us-gaap:FairValueInputsLevel2Memberus-gaap:FairValueMeasurementsRecurringMember2020-03-31 0000879101us-gaap:FairValueMeasurementsRecurringMember2019-12-31 0000879101us-gaap:FairValueInputsLevel1Memb</w:t>
      </w:r>
      <w:r>
        <w:rPr>
          <w:rFonts w:eastAsia="Times New Roman"/>
          <w:vanish/>
          <w:sz w:val="20"/>
          <w:szCs w:val="20"/>
        </w:rPr>
        <w:t>erus-gaap:FairValueMeasurementsRecurringMember2019-12-31 0000879101us-gaap:FairValueInputsLevel3Memberus-gaap:FairValueMeasurementsRecurringMember2019-12-31 0000879101us-gaap:FairValueMeasurementsNonrecurringMember2020-03-31 0000879101us-gaap:FairValueInpu</w:t>
      </w:r>
      <w:r>
        <w:rPr>
          <w:rFonts w:eastAsia="Times New Roman"/>
          <w:vanish/>
          <w:sz w:val="20"/>
          <w:szCs w:val="20"/>
        </w:rPr>
        <w:t>tsLevel1Memberus-gaap:FairValueMeasurementsNonrecurringMember2020-03-31 0000879101us-gaap:FairValueInputsLevel2Memberus-gaap:FairValueMeasurementsNonrecurringMember2020-03-31 0000879101us-gaap:FairValueInputsLevel3Memberus-gaap:FairValueMeasurementsNonrecu</w:t>
      </w:r>
      <w:r>
        <w:rPr>
          <w:rFonts w:eastAsia="Times New Roman"/>
          <w:vanish/>
          <w:sz w:val="20"/>
          <w:szCs w:val="20"/>
        </w:rPr>
        <w:t>rringMember2020-03-31 0000879101us-gaap:FairValueMeasurementsNonrecurringMember2019-12-31 0000879101us-gaap:FairValueInputsLevel1Memberus-gaap:FairValueMeasurementsNonrecurringMember2019-12-31 0000879101us-gaap:FairValueInputsLevel2Memberus-gaap:FairValueM</w:t>
      </w:r>
      <w:r>
        <w:rPr>
          <w:rFonts w:eastAsia="Times New Roman"/>
          <w:vanish/>
          <w:sz w:val="20"/>
          <w:szCs w:val="20"/>
        </w:rPr>
        <w:t>easurementsNonrecurringMember2019-12-31 0000879101us-gaap:FairValueInputsLevel3Memberus-gaap:FairValueMeasurementsNonrecurringMember2019-12-31 0000879101kim:EmployeeMember2020-01-012020-03-31 0000879101kim:EmployeeMember2019-01-012019-03-31 0000879101us-ga</w:t>
      </w:r>
      <w:r>
        <w:rPr>
          <w:rFonts w:eastAsia="Times New Roman"/>
          <w:vanish/>
          <w:sz w:val="20"/>
          <w:szCs w:val="20"/>
        </w:rPr>
        <w:t>ap:EmployeeStockOptionMember2020-01-012020-03-31 0000879101us-gaap:EmployeeStockOptionMember2019-01-012019-03-31 0000879101kim:SeriesLPreferredStockMember2020-03-31 0000879101kim:SeriesLPreferredStockMember2020-01-012020-03-31 0000879101kim:SeriesMPreferre</w:t>
      </w:r>
      <w:r>
        <w:rPr>
          <w:rFonts w:eastAsia="Times New Roman"/>
          <w:vanish/>
          <w:sz w:val="20"/>
          <w:szCs w:val="20"/>
        </w:rPr>
        <w:t>dStockMember2020-03-31 0000879101kim:SeriesMPreferredStockMember2020-01-012020-03-31 0000879101kim:TotalMember2020-03-31 0000879101kim:ShareRepurchaseProgramMember2020-02-28 0000879101kim:ShareRepurchaseProgramMember2020-03-31 0000879101kim:ATMProgramMembe</w:t>
      </w:r>
      <w:r>
        <w:rPr>
          <w:rFonts w:eastAsia="Times New Roman"/>
          <w:vanish/>
          <w:sz w:val="20"/>
          <w:szCs w:val="20"/>
        </w:rPr>
        <w:t>r2019-09-30 0000879101kim:SeriesIPreferredStockMember2020-01-012020-03-31 0000879101kim:SeriesIPreferredStockMember2019-01-012019-03-31 0000879101kim:SeriesJPreferredStockMember2020-01-012020-03-31 0000879101kim:SeriesJPreferredStockMember2019-01-012019-03</w:t>
      </w:r>
      <w:r>
        <w:rPr>
          <w:rFonts w:eastAsia="Times New Roman"/>
          <w:vanish/>
          <w:sz w:val="20"/>
          <w:szCs w:val="20"/>
        </w:rPr>
        <w:t>-31 0000879101kim:SeriesKPreferredStockMember2020-01-012020-03-31 0000879101kim:SeriesKPreferredStockMember2019-01-012019-03-31 0000879101kim:SeriesLPreferredStockMember2019-01-012019-03-31 0000879101kim:SeriesMPreferredStockMember2019-01-012019-03-31 0000</w:t>
      </w:r>
      <w:r>
        <w:rPr>
          <w:rFonts w:eastAsia="Times New Roman"/>
          <w:vanish/>
          <w:sz w:val="20"/>
          <w:szCs w:val="20"/>
        </w:rPr>
        <w:t xml:space="preserve">879101kim:IncomeMember2020-01-012020-03-31 </w:t>
      </w:r>
    </w:p>
    <w:p w14:paraId="37D3D9E0" w14:textId="77777777" w:rsidR="00000000" w:rsidRDefault="00847163">
      <w:pPr>
        <w:divId w:val="1828863060"/>
        <w:rPr>
          <w:rFonts w:eastAsia="Times New Roman"/>
          <w:sz w:val="20"/>
          <w:szCs w:val="20"/>
        </w:rPr>
      </w:pPr>
      <w:r>
        <w:rPr>
          <w:rFonts w:eastAsia="Times New Roman"/>
          <w:sz w:val="20"/>
          <w:szCs w:val="20"/>
        </w:rPr>
        <w:t xml:space="preserve">  </w:t>
      </w:r>
    </w:p>
    <w:p w14:paraId="555A2577" w14:textId="77777777" w:rsidR="00000000" w:rsidRDefault="00847163">
      <w:pPr>
        <w:pStyle w:val="a3"/>
        <w:spacing w:before="0" w:beforeAutospacing="0" w:after="0" w:afterAutospacing="0"/>
        <w:divId w:val="1028602154"/>
        <w:rPr>
          <w:sz w:val="20"/>
          <w:szCs w:val="20"/>
        </w:rPr>
      </w:pPr>
      <w:hyperlink w:anchor="toc" w:history="1">
        <w:r>
          <w:rPr>
            <w:rStyle w:val="a4"/>
            <w:sz w:val="20"/>
            <w:szCs w:val="20"/>
          </w:rPr>
          <w:t>Table of Contents</w:t>
        </w:r>
      </w:hyperlink>
    </w:p>
    <w:p w14:paraId="7E5C1DD1" w14:textId="77777777" w:rsidR="00000000" w:rsidRDefault="00847163">
      <w:pPr>
        <w:spacing w:before="60" w:after="60"/>
        <w:divId w:val="1028602154"/>
        <w:rPr>
          <w:rFonts w:eastAsia="Times New Roman"/>
          <w:sz w:val="20"/>
          <w:szCs w:val="20"/>
        </w:rPr>
      </w:pPr>
      <w:r>
        <w:rPr>
          <w:rFonts w:eastAsia="Times New Roman"/>
          <w:sz w:val="20"/>
          <w:szCs w:val="20"/>
        </w:rPr>
        <w:pict w14:anchorId="4283B8B7">
          <v:rect id="_x0000_i1025" style="width:415.3pt;height:2.25pt" o:hralign="center" o:hrstd="t" o:hrnoshade="t" o:hr="t" fillcolor="black" stroked="f"/>
        </w:pict>
      </w:r>
    </w:p>
    <w:p w14:paraId="2EF0E818" w14:textId="77777777" w:rsidR="00000000" w:rsidRDefault="00847163">
      <w:pPr>
        <w:spacing w:after="60"/>
        <w:divId w:val="1028602154"/>
        <w:rPr>
          <w:rFonts w:eastAsia="Times New Roman"/>
          <w:sz w:val="20"/>
          <w:szCs w:val="20"/>
        </w:rPr>
      </w:pPr>
      <w:r>
        <w:rPr>
          <w:rFonts w:eastAsia="Times New Roman"/>
          <w:sz w:val="20"/>
          <w:szCs w:val="20"/>
        </w:rPr>
        <w:pict w14:anchorId="525226B6">
          <v:rect id="_x0000_i1026" style="width:415.3pt;height:.75pt" o:hralign="center" o:hrstd="t" o:hrnoshade="t" o:hr="t" fillcolor="black" stroked="f"/>
        </w:pict>
      </w:r>
    </w:p>
    <w:p w14:paraId="6B049C49" w14:textId="77777777" w:rsidR="00000000" w:rsidRDefault="00847163">
      <w:pPr>
        <w:pStyle w:val="a3"/>
        <w:spacing w:before="0" w:beforeAutospacing="0" w:after="0" w:afterAutospacing="0"/>
        <w:jc w:val="center"/>
        <w:divId w:val="1028602154"/>
        <w:rPr>
          <w:sz w:val="12"/>
          <w:szCs w:val="12"/>
        </w:rPr>
      </w:pPr>
      <w:r>
        <w:rPr>
          <w:b/>
          <w:bCs/>
          <w:sz w:val="12"/>
          <w:szCs w:val="12"/>
        </w:rPr>
        <w:t> </w:t>
      </w:r>
    </w:p>
    <w:p w14:paraId="2AEC85DF" w14:textId="77777777" w:rsidR="00000000" w:rsidRDefault="00847163">
      <w:pPr>
        <w:pStyle w:val="a3"/>
        <w:spacing w:before="0" w:beforeAutospacing="0" w:after="0" w:afterAutospacing="0"/>
        <w:jc w:val="center"/>
        <w:divId w:val="1028602154"/>
        <w:rPr>
          <w:sz w:val="20"/>
          <w:szCs w:val="20"/>
        </w:rPr>
      </w:pPr>
      <w:r>
        <w:rPr>
          <w:b/>
          <w:bCs/>
          <w:sz w:val="20"/>
          <w:szCs w:val="20"/>
        </w:rPr>
        <w:t>UNITED STATES</w:t>
      </w:r>
    </w:p>
    <w:p w14:paraId="4ED87E79" w14:textId="77777777" w:rsidR="00000000" w:rsidRDefault="00847163">
      <w:pPr>
        <w:pStyle w:val="a3"/>
        <w:spacing w:before="0" w:beforeAutospacing="0" w:after="0" w:afterAutospacing="0"/>
        <w:jc w:val="center"/>
        <w:divId w:val="1028602154"/>
        <w:rPr>
          <w:sz w:val="20"/>
          <w:szCs w:val="20"/>
        </w:rPr>
      </w:pPr>
      <w:r>
        <w:rPr>
          <w:b/>
          <w:bCs/>
          <w:sz w:val="20"/>
          <w:szCs w:val="20"/>
        </w:rPr>
        <w:t>SECURITIES AND EXCHANGE COMMISSION</w:t>
      </w:r>
    </w:p>
    <w:p w14:paraId="6278C637" w14:textId="77777777" w:rsidR="00000000" w:rsidRDefault="00847163">
      <w:pPr>
        <w:pStyle w:val="a3"/>
        <w:spacing w:before="0" w:beforeAutospacing="0" w:after="0" w:afterAutospacing="0"/>
        <w:jc w:val="center"/>
        <w:divId w:val="1028602154"/>
        <w:rPr>
          <w:sz w:val="20"/>
          <w:szCs w:val="20"/>
        </w:rPr>
      </w:pPr>
      <w:r>
        <w:rPr>
          <w:b/>
          <w:bCs/>
          <w:sz w:val="20"/>
          <w:szCs w:val="20"/>
        </w:rPr>
        <w:t>Washington, D.C.  20549</w:t>
      </w:r>
    </w:p>
    <w:p w14:paraId="4E591927" w14:textId="77777777" w:rsidR="00000000" w:rsidRDefault="00847163">
      <w:pPr>
        <w:pStyle w:val="a3"/>
        <w:spacing w:before="0" w:beforeAutospacing="0" w:after="0" w:afterAutospacing="0"/>
        <w:jc w:val="center"/>
        <w:divId w:val="1028602154"/>
        <w:rPr>
          <w:sz w:val="20"/>
          <w:szCs w:val="20"/>
        </w:rPr>
      </w:pPr>
      <w:r>
        <w:rPr>
          <w:b/>
          <w:bCs/>
          <w:sz w:val="20"/>
          <w:szCs w:val="20"/>
        </w:rPr>
        <w:t> </w:t>
      </w:r>
    </w:p>
    <w:p w14:paraId="4B26B998" w14:textId="77777777" w:rsidR="00000000" w:rsidRDefault="00847163">
      <w:pPr>
        <w:pStyle w:val="a3"/>
        <w:spacing w:before="0" w:beforeAutospacing="0" w:after="0" w:afterAutospacing="0"/>
        <w:jc w:val="center"/>
        <w:divId w:val="1028602154"/>
      </w:pPr>
      <w:r>
        <w:rPr>
          <w:b/>
          <w:bCs/>
        </w:rPr>
        <w:t>FORM 10-Q</w:t>
      </w:r>
    </w:p>
    <w:p w14:paraId="27AAE08D" w14:textId="77777777" w:rsidR="00000000" w:rsidRDefault="00847163">
      <w:pPr>
        <w:pStyle w:val="a3"/>
        <w:spacing w:before="0" w:beforeAutospacing="0" w:after="0" w:afterAutospacing="0"/>
        <w:divId w:val="1028602154"/>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7586"/>
      </w:tblGrid>
      <w:tr w:rsidR="00000000" w14:paraId="03D7FE49" w14:textId="77777777">
        <w:trPr>
          <w:divId w:val="1028602154"/>
          <w:tblCellSpacing w:w="0" w:type="dxa"/>
        </w:trPr>
        <w:tc>
          <w:tcPr>
            <w:tcW w:w="720" w:type="dxa"/>
            <w:hideMark/>
          </w:tcPr>
          <w:p w14:paraId="61753D04" w14:textId="77777777" w:rsidR="00000000" w:rsidRDefault="00847163">
            <w:pPr>
              <w:pStyle w:val="a3"/>
              <w:spacing w:before="0" w:beforeAutospacing="0" w:after="0" w:afterAutospacing="0"/>
              <w:rPr>
                <w:sz w:val="20"/>
                <w:szCs w:val="20"/>
              </w:rPr>
            </w:pPr>
            <w:r>
              <w:rPr>
                <w:rFonts w:ascii="Segoe UI Symbol" w:hAnsi="Segoe UI Symbol" w:cs="Segoe UI Symbol"/>
                <w:b/>
                <w:bCs/>
                <w:sz w:val="20"/>
                <w:szCs w:val="20"/>
              </w:rPr>
              <w:t>☒</w:t>
            </w:r>
          </w:p>
        </w:tc>
        <w:tc>
          <w:tcPr>
            <w:tcW w:w="0" w:type="auto"/>
            <w:hideMark/>
          </w:tcPr>
          <w:p w14:paraId="69B29A57" w14:textId="77777777" w:rsidR="00000000" w:rsidRDefault="00847163">
            <w:pPr>
              <w:pStyle w:val="a3"/>
              <w:spacing w:before="0" w:beforeAutospacing="0" w:after="0" w:afterAutospacing="0"/>
              <w:rPr>
                <w:sz w:val="20"/>
                <w:szCs w:val="20"/>
              </w:rPr>
            </w:pPr>
            <w:r>
              <w:rPr>
                <w:sz w:val="20"/>
                <w:szCs w:val="20"/>
              </w:rPr>
              <w:t>QUARTERLY REPORT PURSUANT</w:t>
            </w:r>
            <w:r>
              <w:rPr>
                <w:sz w:val="20"/>
                <w:szCs w:val="20"/>
              </w:rPr>
              <w:t xml:space="preserve"> TO SECTION 13 OR 15(d) OF THE SECURITIES EXCHANGE ACT OF 1934</w:t>
            </w:r>
          </w:p>
        </w:tc>
      </w:tr>
    </w:tbl>
    <w:p w14:paraId="1042E19B" w14:textId="77777777" w:rsidR="00000000" w:rsidRDefault="00847163">
      <w:pPr>
        <w:pStyle w:val="a3"/>
        <w:spacing w:before="0" w:beforeAutospacing="0" w:after="0" w:afterAutospacing="0"/>
        <w:divId w:val="1028602154"/>
        <w:rPr>
          <w:sz w:val="20"/>
          <w:szCs w:val="20"/>
        </w:rPr>
      </w:pPr>
      <w:r>
        <w:rPr>
          <w:sz w:val="20"/>
          <w:szCs w:val="20"/>
        </w:rPr>
        <w:t> </w:t>
      </w:r>
    </w:p>
    <w:p w14:paraId="70D5BBCA" w14:textId="77777777" w:rsidR="00000000" w:rsidRDefault="00847163">
      <w:pPr>
        <w:pStyle w:val="a3"/>
        <w:spacing w:before="0" w:beforeAutospacing="0" w:after="0" w:afterAutospacing="0"/>
        <w:jc w:val="center"/>
        <w:divId w:val="1028602154"/>
        <w:rPr>
          <w:sz w:val="20"/>
          <w:szCs w:val="20"/>
        </w:rPr>
      </w:pPr>
      <w:r>
        <w:rPr>
          <w:b/>
          <w:bCs/>
          <w:sz w:val="20"/>
          <w:szCs w:val="20"/>
        </w:rPr>
        <w:t>For the quarterly period ended March 31, 2020</w:t>
      </w:r>
    </w:p>
    <w:p w14:paraId="52923555" w14:textId="77777777" w:rsidR="00000000" w:rsidRDefault="00847163">
      <w:pPr>
        <w:pStyle w:val="a3"/>
        <w:spacing w:before="0" w:beforeAutospacing="0" w:after="0" w:afterAutospacing="0"/>
        <w:jc w:val="center"/>
        <w:divId w:val="1028602154"/>
        <w:rPr>
          <w:sz w:val="20"/>
          <w:szCs w:val="20"/>
        </w:rPr>
      </w:pPr>
      <w:r>
        <w:rPr>
          <w:sz w:val="20"/>
          <w:szCs w:val="20"/>
        </w:rPr>
        <w:t>or</w:t>
      </w:r>
    </w:p>
    <w:tbl>
      <w:tblPr>
        <w:tblW w:w="5000" w:type="pct"/>
        <w:tblCellSpacing w:w="0" w:type="dxa"/>
        <w:tblCellMar>
          <w:left w:w="0" w:type="dxa"/>
          <w:right w:w="0" w:type="dxa"/>
        </w:tblCellMar>
        <w:tblLook w:val="04A0" w:firstRow="1" w:lastRow="0" w:firstColumn="1" w:lastColumn="0" w:noHBand="0" w:noVBand="1"/>
      </w:tblPr>
      <w:tblGrid>
        <w:gridCol w:w="720"/>
        <w:gridCol w:w="7586"/>
      </w:tblGrid>
      <w:tr w:rsidR="00000000" w14:paraId="1B00FE73" w14:textId="77777777">
        <w:trPr>
          <w:divId w:val="1028602154"/>
          <w:tblCellSpacing w:w="0" w:type="dxa"/>
        </w:trPr>
        <w:tc>
          <w:tcPr>
            <w:tcW w:w="720" w:type="dxa"/>
            <w:hideMark/>
          </w:tcPr>
          <w:p w14:paraId="4E14EEF2" w14:textId="77777777" w:rsidR="00000000" w:rsidRDefault="00847163">
            <w:pPr>
              <w:pStyle w:val="a3"/>
              <w:spacing w:before="0" w:beforeAutospacing="0" w:after="0" w:afterAutospacing="0"/>
              <w:rPr>
                <w:sz w:val="20"/>
                <w:szCs w:val="20"/>
              </w:rPr>
            </w:pPr>
            <w:r>
              <w:rPr>
                <w:rFonts w:ascii="Segoe UI Symbol" w:hAnsi="Segoe UI Symbol" w:cs="Segoe UI Symbol"/>
                <w:sz w:val="20"/>
                <w:szCs w:val="20"/>
              </w:rPr>
              <w:t>☐</w:t>
            </w:r>
          </w:p>
        </w:tc>
        <w:tc>
          <w:tcPr>
            <w:tcW w:w="0" w:type="auto"/>
            <w:hideMark/>
          </w:tcPr>
          <w:p w14:paraId="141F976D" w14:textId="77777777" w:rsidR="00000000" w:rsidRDefault="00847163">
            <w:pPr>
              <w:pStyle w:val="a3"/>
              <w:spacing w:before="0" w:beforeAutospacing="0" w:after="0" w:afterAutospacing="0"/>
              <w:rPr>
                <w:sz w:val="20"/>
                <w:szCs w:val="20"/>
              </w:rPr>
            </w:pPr>
            <w:r>
              <w:rPr>
                <w:sz w:val="20"/>
                <w:szCs w:val="20"/>
              </w:rPr>
              <w:t>TRANSITION REPORT PURSUANT TO SECTION 13 OR 15(d) OF THE SECURITIES EXCHANGE ACT OF 1934</w:t>
            </w:r>
          </w:p>
        </w:tc>
      </w:tr>
    </w:tbl>
    <w:p w14:paraId="102E510E" w14:textId="77777777" w:rsidR="00000000" w:rsidRDefault="00847163">
      <w:pPr>
        <w:pStyle w:val="a3"/>
        <w:spacing w:before="0" w:beforeAutospacing="0" w:after="0" w:afterAutospacing="0"/>
        <w:divId w:val="1028602154"/>
        <w:rPr>
          <w:sz w:val="14"/>
          <w:szCs w:val="14"/>
        </w:rPr>
      </w:pPr>
      <w:r>
        <w:rPr>
          <w:sz w:val="14"/>
          <w:szCs w:val="14"/>
        </w:rPr>
        <w:t> </w:t>
      </w:r>
    </w:p>
    <w:p w14:paraId="5BE8404E" w14:textId="77777777" w:rsidR="00000000" w:rsidRDefault="00847163">
      <w:pPr>
        <w:pStyle w:val="a3"/>
        <w:spacing w:before="0" w:beforeAutospacing="0" w:after="0" w:afterAutospacing="0"/>
        <w:jc w:val="center"/>
        <w:divId w:val="1028602154"/>
        <w:rPr>
          <w:sz w:val="20"/>
          <w:szCs w:val="20"/>
        </w:rPr>
      </w:pPr>
      <w:r>
        <w:rPr>
          <w:sz w:val="20"/>
          <w:szCs w:val="20"/>
        </w:rPr>
        <w:t xml:space="preserve">For the transition period from </w:t>
      </w:r>
      <w:r>
        <w:rPr>
          <w:sz w:val="20"/>
          <w:szCs w:val="20"/>
          <w:u w:val="single"/>
        </w:rPr>
        <w:t>               </w:t>
      </w:r>
      <w:r>
        <w:rPr>
          <w:sz w:val="20"/>
          <w:szCs w:val="20"/>
        </w:rPr>
        <w:t xml:space="preserve"> to </w:t>
      </w:r>
      <w:r>
        <w:rPr>
          <w:sz w:val="20"/>
          <w:szCs w:val="20"/>
          <w:u w:val="single"/>
        </w:rPr>
        <w:t>               </w:t>
      </w:r>
    </w:p>
    <w:p w14:paraId="77F7CF58" w14:textId="77777777" w:rsidR="00000000" w:rsidRDefault="00847163">
      <w:pPr>
        <w:pStyle w:val="a3"/>
        <w:spacing w:before="0" w:beforeAutospacing="0" w:after="0" w:afterAutospacing="0"/>
        <w:divId w:val="1028602154"/>
        <w:rPr>
          <w:sz w:val="14"/>
          <w:szCs w:val="14"/>
        </w:rPr>
      </w:pPr>
      <w:r>
        <w:rPr>
          <w:sz w:val="14"/>
          <w:szCs w:val="14"/>
        </w:rPr>
        <w:t> </w:t>
      </w:r>
    </w:p>
    <w:p w14:paraId="78DA4918" w14:textId="77777777" w:rsidR="00000000" w:rsidRDefault="00847163">
      <w:pPr>
        <w:pStyle w:val="a3"/>
        <w:spacing w:before="0" w:beforeAutospacing="0" w:after="0" w:afterAutospacing="0"/>
        <w:jc w:val="center"/>
        <w:divId w:val="1028602154"/>
        <w:rPr>
          <w:sz w:val="20"/>
          <w:szCs w:val="20"/>
        </w:rPr>
      </w:pPr>
      <w:r>
        <w:rPr>
          <w:sz w:val="20"/>
          <w:szCs w:val="20"/>
        </w:rPr>
        <w:t>Commission File Number:   </w:t>
      </w:r>
      <w:r>
        <w:rPr>
          <w:sz w:val="20"/>
          <w:szCs w:val="20"/>
          <w:u w:val="single"/>
        </w:rPr>
        <w:t>1-10899</w:t>
      </w:r>
    </w:p>
    <w:p w14:paraId="69330DBC" w14:textId="77777777" w:rsidR="00000000" w:rsidRDefault="00847163">
      <w:pPr>
        <w:pStyle w:val="a3"/>
        <w:spacing w:before="0" w:beforeAutospacing="0" w:after="0" w:afterAutospacing="0"/>
        <w:divId w:val="1028602154"/>
        <w:rPr>
          <w:sz w:val="20"/>
          <w:szCs w:val="20"/>
        </w:rPr>
      </w:pPr>
      <w:r>
        <w:rPr>
          <w:sz w:val="20"/>
          <w:szCs w:val="20"/>
        </w:rPr>
        <w:t> </w:t>
      </w:r>
    </w:p>
    <w:p w14:paraId="66A2D46A" w14:textId="77777777" w:rsidR="00000000" w:rsidRDefault="00847163">
      <w:pPr>
        <w:pStyle w:val="a3"/>
        <w:spacing w:before="0" w:beforeAutospacing="0" w:after="0" w:afterAutospacing="0"/>
        <w:jc w:val="center"/>
        <w:divId w:val="1028602154"/>
        <w:rPr>
          <w:sz w:val="36"/>
          <w:szCs w:val="36"/>
        </w:rPr>
      </w:pPr>
      <w:r>
        <w:rPr>
          <w:b/>
          <w:bCs/>
          <w:sz w:val="36"/>
          <w:szCs w:val="36"/>
          <w:u w:val="single"/>
        </w:rPr>
        <w:t>Kimco Realty Corporation</w:t>
      </w:r>
    </w:p>
    <w:p w14:paraId="0FBBCEA9" w14:textId="77777777" w:rsidR="00000000" w:rsidRDefault="00847163">
      <w:pPr>
        <w:pStyle w:val="a3"/>
        <w:spacing w:before="0" w:beforeAutospacing="0" w:after="0" w:afterAutospacing="0"/>
        <w:jc w:val="center"/>
        <w:divId w:val="1028602154"/>
        <w:rPr>
          <w:sz w:val="20"/>
          <w:szCs w:val="20"/>
        </w:rPr>
      </w:pPr>
      <w:r>
        <w:rPr>
          <w:sz w:val="20"/>
          <w:szCs w:val="20"/>
        </w:rPr>
        <w:t>(Exact name of registrant as specified in its charter)</w:t>
      </w:r>
    </w:p>
    <w:tbl>
      <w:tblPr>
        <w:tblW w:w="5000" w:type="pct"/>
        <w:tblCellSpacing w:w="0" w:type="dxa"/>
        <w:tblCellMar>
          <w:left w:w="0" w:type="dxa"/>
          <w:right w:w="0" w:type="dxa"/>
        </w:tblCellMar>
        <w:tblLook w:val="04A0" w:firstRow="1" w:lastRow="0" w:firstColumn="1" w:lastColumn="0" w:noHBand="0" w:noVBand="1"/>
      </w:tblPr>
      <w:tblGrid>
        <w:gridCol w:w="3903"/>
        <w:gridCol w:w="507"/>
        <w:gridCol w:w="3896"/>
      </w:tblGrid>
      <w:tr w:rsidR="00000000" w14:paraId="04A0D5D7" w14:textId="77777777">
        <w:trPr>
          <w:divId w:val="1028602154"/>
          <w:tblCellSpacing w:w="0" w:type="dxa"/>
        </w:trPr>
        <w:tc>
          <w:tcPr>
            <w:tcW w:w="2350" w:type="pct"/>
            <w:tcBorders>
              <w:bottom w:val="single" w:sz="6" w:space="0" w:color="000000"/>
            </w:tcBorders>
            <w:vAlign w:val="bottom"/>
            <w:hideMark/>
          </w:tcPr>
          <w:p w14:paraId="32F3EF4E" w14:textId="77777777" w:rsidR="00000000" w:rsidRDefault="00847163">
            <w:pPr>
              <w:pStyle w:val="a3"/>
              <w:spacing w:before="0" w:beforeAutospacing="0" w:after="0" w:afterAutospacing="0"/>
              <w:jc w:val="center"/>
              <w:rPr>
                <w:sz w:val="20"/>
                <w:szCs w:val="20"/>
              </w:rPr>
            </w:pPr>
            <w:r>
              <w:rPr>
                <w:b/>
                <w:bCs/>
                <w:sz w:val="20"/>
                <w:szCs w:val="20"/>
              </w:rPr>
              <w:t>Maryland</w:t>
            </w:r>
          </w:p>
        </w:tc>
        <w:tc>
          <w:tcPr>
            <w:tcW w:w="305" w:type="pct"/>
            <w:vAlign w:val="bottom"/>
            <w:hideMark/>
          </w:tcPr>
          <w:p w14:paraId="533048DE" w14:textId="77777777" w:rsidR="00000000" w:rsidRDefault="00847163">
            <w:pPr>
              <w:pStyle w:val="a3"/>
              <w:spacing w:before="0" w:beforeAutospacing="0" w:after="0" w:afterAutospacing="0"/>
              <w:rPr>
                <w:sz w:val="20"/>
                <w:szCs w:val="20"/>
              </w:rPr>
            </w:pPr>
            <w:r>
              <w:rPr>
                <w:sz w:val="20"/>
                <w:szCs w:val="20"/>
              </w:rPr>
              <w:t>  </w:t>
            </w:r>
          </w:p>
        </w:tc>
        <w:tc>
          <w:tcPr>
            <w:tcW w:w="2350" w:type="pct"/>
            <w:tcBorders>
              <w:bottom w:val="single" w:sz="6" w:space="0" w:color="000000"/>
            </w:tcBorders>
            <w:vAlign w:val="bottom"/>
            <w:hideMark/>
          </w:tcPr>
          <w:p w14:paraId="7E685C10" w14:textId="77777777" w:rsidR="00000000" w:rsidRDefault="00847163">
            <w:pPr>
              <w:pStyle w:val="a3"/>
              <w:spacing w:before="0" w:beforeAutospacing="0" w:after="0" w:afterAutospacing="0"/>
              <w:jc w:val="center"/>
              <w:rPr>
                <w:sz w:val="20"/>
                <w:szCs w:val="20"/>
              </w:rPr>
            </w:pPr>
            <w:r>
              <w:rPr>
                <w:b/>
                <w:bCs/>
                <w:sz w:val="20"/>
                <w:szCs w:val="20"/>
              </w:rPr>
              <w:t>13-2744380</w:t>
            </w:r>
          </w:p>
        </w:tc>
      </w:tr>
      <w:tr w:rsidR="00000000" w14:paraId="1742E844" w14:textId="77777777">
        <w:trPr>
          <w:divId w:val="1028602154"/>
          <w:tblCellSpacing w:w="0" w:type="dxa"/>
        </w:trPr>
        <w:tc>
          <w:tcPr>
            <w:tcW w:w="2350" w:type="pct"/>
            <w:vAlign w:val="bottom"/>
            <w:hideMark/>
          </w:tcPr>
          <w:p w14:paraId="29384EAE" w14:textId="77777777" w:rsidR="00000000" w:rsidRDefault="00847163">
            <w:pPr>
              <w:pStyle w:val="a3"/>
              <w:spacing w:before="0" w:beforeAutospacing="0" w:after="0" w:afterAutospacing="0"/>
              <w:jc w:val="center"/>
              <w:rPr>
                <w:sz w:val="20"/>
                <w:szCs w:val="20"/>
              </w:rPr>
            </w:pPr>
            <w:r>
              <w:rPr>
                <w:sz w:val="20"/>
                <w:szCs w:val="20"/>
              </w:rPr>
              <w:t>(State or other jurisdiction of incorporation or organization)</w:t>
            </w:r>
          </w:p>
        </w:tc>
        <w:tc>
          <w:tcPr>
            <w:tcW w:w="305" w:type="pct"/>
            <w:vAlign w:val="bottom"/>
            <w:hideMark/>
          </w:tcPr>
          <w:p w14:paraId="702F3E2D" w14:textId="77777777" w:rsidR="00000000" w:rsidRDefault="00847163">
            <w:pPr>
              <w:pStyle w:val="a3"/>
              <w:spacing w:before="0" w:beforeAutospacing="0" w:after="0" w:afterAutospacing="0"/>
              <w:rPr>
                <w:sz w:val="20"/>
                <w:szCs w:val="20"/>
              </w:rPr>
            </w:pPr>
            <w:r>
              <w:rPr>
                <w:sz w:val="20"/>
                <w:szCs w:val="20"/>
              </w:rPr>
              <w:t>  </w:t>
            </w:r>
          </w:p>
        </w:tc>
        <w:tc>
          <w:tcPr>
            <w:tcW w:w="2350" w:type="pct"/>
            <w:vAlign w:val="bottom"/>
            <w:hideMark/>
          </w:tcPr>
          <w:p w14:paraId="5F7143CD" w14:textId="77777777" w:rsidR="00000000" w:rsidRDefault="00847163">
            <w:pPr>
              <w:pStyle w:val="a3"/>
              <w:spacing w:before="0" w:beforeAutospacing="0" w:after="0" w:afterAutospacing="0"/>
              <w:jc w:val="center"/>
              <w:rPr>
                <w:sz w:val="20"/>
                <w:szCs w:val="20"/>
              </w:rPr>
            </w:pPr>
            <w:r>
              <w:rPr>
                <w:sz w:val="20"/>
                <w:szCs w:val="20"/>
              </w:rPr>
              <w:t>(I.R.S. Employer Identification No.)</w:t>
            </w:r>
          </w:p>
        </w:tc>
      </w:tr>
    </w:tbl>
    <w:p w14:paraId="7CD5358B" w14:textId="77777777" w:rsidR="00000000" w:rsidRDefault="00847163">
      <w:pPr>
        <w:pStyle w:val="a3"/>
        <w:spacing w:before="0" w:beforeAutospacing="0" w:after="0" w:afterAutospacing="0"/>
        <w:divId w:val="1028602154"/>
        <w:rPr>
          <w:sz w:val="14"/>
          <w:szCs w:val="14"/>
        </w:rPr>
      </w:pPr>
      <w:r>
        <w:rPr>
          <w:sz w:val="14"/>
          <w:szCs w:val="14"/>
        </w:rPr>
        <w:t> </w:t>
      </w:r>
    </w:p>
    <w:p w14:paraId="1A740238" w14:textId="77777777" w:rsidR="00000000" w:rsidRDefault="00847163">
      <w:pPr>
        <w:pStyle w:val="a3"/>
        <w:spacing w:before="0" w:beforeAutospacing="0" w:after="0" w:afterAutospacing="0"/>
        <w:jc w:val="center"/>
        <w:divId w:val="1028602154"/>
        <w:rPr>
          <w:sz w:val="20"/>
          <w:szCs w:val="20"/>
        </w:rPr>
      </w:pPr>
      <w:r>
        <w:rPr>
          <w:b/>
          <w:bCs/>
          <w:sz w:val="20"/>
          <w:szCs w:val="20"/>
          <w:u w:val="single"/>
        </w:rPr>
        <w:t>500 North Broadway, Suite 201, Jericho, NY 11753</w:t>
      </w:r>
    </w:p>
    <w:p w14:paraId="6F85E765" w14:textId="77777777" w:rsidR="00000000" w:rsidRDefault="00847163">
      <w:pPr>
        <w:pStyle w:val="a3"/>
        <w:spacing w:before="0" w:beforeAutospacing="0" w:after="0" w:afterAutospacing="0"/>
        <w:jc w:val="center"/>
        <w:divId w:val="1028602154"/>
        <w:rPr>
          <w:sz w:val="20"/>
          <w:szCs w:val="20"/>
        </w:rPr>
      </w:pPr>
      <w:r>
        <w:rPr>
          <w:sz w:val="20"/>
          <w:szCs w:val="20"/>
        </w:rPr>
        <w:t>(Address of principal executive offices) (Zip Code)</w:t>
      </w:r>
    </w:p>
    <w:p w14:paraId="7F0B11B6" w14:textId="77777777" w:rsidR="00000000" w:rsidRDefault="00847163">
      <w:pPr>
        <w:pStyle w:val="a3"/>
        <w:spacing w:before="0" w:beforeAutospacing="0" w:after="0" w:afterAutospacing="0"/>
        <w:divId w:val="1028602154"/>
        <w:rPr>
          <w:sz w:val="20"/>
          <w:szCs w:val="20"/>
        </w:rPr>
      </w:pPr>
      <w:r>
        <w:rPr>
          <w:sz w:val="20"/>
          <w:szCs w:val="20"/>
        </w:rPr>
        <w:t> </w:t>
      </w:r>
    </w:p>
    <w:p w14:paraId="66B3756A" w14:textId="77777777" w:rsidR="00000000" w:rsidRDefault="00847163">
      <w:pPr>
        <w:pStyle w:val="a3"/>
        <w:spacing w:before="0" w:beforeAutospacing="0" w:after="0" w:afterAutospacing="0"/>
        <w:jc w:val="center"/>
        <w:divId w:val="1028602154"/>
        <w:rPr>
          <w:sz w:val="20"/>
          <w:szCs w:val="20"/>
        </w:rPr>
      </w:pPr>
      <w:r>
        <w:rPr>
          <w:b/>
          <w:bCs/>
          <w:sz w:val="20"/>
          <w:szCs w:val="20"/>
          <w:u w:val="single"/>
        </w:rPr>
        <w:t>(516) 869-9000</w:t>
      </w:r>
    </w:p>
    <w:p w14:paraId="0DAC5EEB" w14:textId="77777777" w:rsidR="00000000" w:rsidRDefault="00847163">
      <w:pPr>
        <w:pStyle w:val="a3"/>
        <w:spacing w:before="0" w:beforeAutospacing="0" w:after="0" w:afterAutospacing="0"/>
        <w:jc w:val="center"/>
        <w:divId w:val="1028602154"/>
        <w:rPr>
          <w:sz w:val="20"/>
          <w:szCs w:val="20"/>
        </w:rPr>
      </w:pPr>
      <w:r>
        <w:rPr>
          <w:sz w:val="20"/>
          <w:szCs w:val="20"/>
        </w:rPr>
        <w:t>(Registrant’s telephone number, including area code)</w:t>
      </w:r>
    </w:p>
    <w:p w14:paraId="28C21711" w14:textId="77777777" w:rsidR="00000000" w:rsidRDefault="00847163">
      <w:pPr>
        <w:pStyle w:val="a3"/>
        <w:spacing w:before="0" w:beforeAutospacing="0" w:after="0" w:afterAutospacing="0"/>
        <w:jc w:val="center"/>
        <w:divId w:val="1028602154"/>
        <w:rPr>
          <w:sz w:val="20"/>
          <w:szCs w:val="20"/>
        </w:rPr>
      </w:pPr>
      <w:r>
        <w:rPr>
          <w:sz w:val="20"/>
          <w:szCs w:val="20"/>
        </w:rPr>
        <w:t> </w:t>
      </w:r>
      <w:r>
        <w:rPr>
          <w:b/>
          <w:bCs/>
          <w:sz w:val="20"/>
          <w:szCs w:val="20"/>
          <w:u w:val="single"/>
        </w:rPr>
        <w:t>N/A</w:t>
      </w:r>
    </w:p>
    <w:p w14:paraId="38FBBBC5" w14:textId="77777777" w:rsidR="00000000" w:rsidRDefault="00847163">
      <w:pPr>
        <w:pStyle w:val="a3"/>
        <w:spacing w:before="0" w:beforeAutospacing="0" w:after="0" w:afterAutospacing="0"/>
        <w:jc w:val="center"/>
        <w:divId w:val="1028602154"/>
        <w:rPr>
          <w:sz w:val="20"/>
          <w:szCs w:val="20"/>
        </w:rPr>
      </w:pPr>
      <w:r>
        <w:rPr>
          <w:sz w:val="20"/>
          <w:szCs w:val="20"/>
          <w:u w:val="single"/>
        </w:rPr>
        <w:t>(Former name, former address and former fiscal year, if changed since last report)</w:t>
      </w:r>
    </w:p>
    <w:p w14:paraId="2C5F512E" w14:textId="77777777" w:rsidR="00000000" w:rsidRDefault="00847163">
      <w:pPr>
        <w:pStyle w:val="a3"/>
        <w:spacing w:before="0" w:beforeAutospacing="0" w:after="0" w:afterAutospacing="0"/>
        <w:divId w:val="1028602154"/>
        <w:rPr>
          <w:sz w:val="14"/>
          <w:szCs w:val="14"/>
        </w:rPr>
      </w:pPr>
      <w:r>
        <w:rPr>
          <w:sz w:val="14"/>
          <w:szCs w:val="14"/>
        </w:rPr>
        <w:t> </w:t>
      </w:r>
    </w:p>
    <w:p w14:paraId="5FBA18AB" w14:textId="77777777" w:rsidR="00000000" w:rsidRDefault="00847163">
      <w:pPr>
        <w:pStyle w:val="a3"/>
        <w:spacing w:before="0" w:beforeAutospacing="0" w:after="0" w:afterAutospacing="0"/>
        <w:divId w:val="1028602154"/>
        <w:rPr>
          <w:sz w:val="20"/>
          <w:szCs w:val="20"/>
        </w:rPr>
      </w:pPr>
      <w:r>
        <w:rPr>
          <w:sz w:val="20"/>
          <w:szCs w:val="20"/>
        </w:rPr>
        <w:t>Securities registered pursuant to Section 12</w:t>
      </w:r>
      <w:r>
        <w:rPr>
          <w:sz w:val="20"/>
          <w:szCs w:val="20"/>
        </w:rPr>
        <w:t>(b) of the Act:</w:t>
      </w:r>
    </w:p>
    <w:tbl>
      <w:tblPr>
        <w:tblW w:w="4830" w:type="pct"/>
        <w:tblCellSpacing w:w="0" w:type="dxa"/>
        <w:tblInd w:w="1" w:type="dxa"/>
        <w:tblCellMar>
          <w:top w:w="24" w:type="dxa"/>
          <w:left w:w="24" w:type="dxa"/>
          <w:bottom w:w="24" w:type="dxa"/>
          <w:right w:w="24" w:type="dxa"/>
        </w:tblCellMar>
        <w:tblLook w:val="04A0" w:firstRow="1" w:lastRow="0" w:firstColumn="1" w:lastColumn="0" w:noHBand="0" w:noVBand="1"/>
      </w:tblPr>
      <w:tblGrid>
        <w:gridCol w:w="5577"/>
        <w:gridCol w:w="882"/>
        <w:gridCol w:w="1565"/>
      </w:tblGrid>
      <w:tr w:rsidR="00000000" w14:paraId="18A3A254" w14:textId="77777777">
        <w:trPr>
          <w:divId w:val="1028602154"/>
          <w:tblCellSpacing w:w="0" w:type="dxa"/>
        </w:trPr>
        <w:tc>
          <w:tcPr>
            <w:tcW w:w="3500" w:type="pct"/>
            <w:vMerge w:val="restart"/>
            <w:vAlign w:val="center"/>
            <w:hideMark/>
          </w:tcPr>
          <w:p w14:paraId="0151327D" w14:textId="77777777" w:rsidR="00000000" w:rsidRDefault="00847163">
            <w:pPr>
              <w:pStyle w:val="a3"/>
              <w:spacing w:before="0" w:beforeAutospacing="0" w:after="0" w:afterAutospacing="0"/>
              <w:rPr>
                <w:sz w:val="20"/>
                <w:szCs w:val="20"/>
              </w:rPr>
            </w:pPr>
            <w:r>
              <w:rPr>
                <w:sz w:val="20"/>
                <w:szCs w:val="20"/>
                <w:u w:val="single"/>
              </w:rPr>
              <w:t>Title of each class</w:t>
            </w:r>
          </w:p>
        </w:tc>
        <w:tc>
          <w:tcPr>
            <w:tcW w:w="500" w:type="pct"/>
            <w:vAlign w:val="center"/>
            <w:hideMark/>
          </w:tcPr>
          <w:p w14:paraId="230A9B23" w14:textId="77777777" w:rsidR="00000000" w:rsidRDefault="00847163">
            <w:pPr>
              <w:pStyle w:val="a3"/>
              <w:spacing w:before="0" w:beforeAutospacing="0" w:after="0" w:afterAutospacing="0"/>
              <w:jc w:val="center"/>
              <w:rPr>
                <w:sz w:val="20"/>
                <w:szCs w:val="20"/>
              </w:rPr>
            </w:pPr>
            <w:r>
              <w:rPr>
                <w:sz w:val="20"/>
                <w:szCs w:val="20"/>
                <w:u w:val="single"/>
              </w:rPr>
              <w:t xml:space="preserve">Trading </w:t>
            </w:r>
          </w:p>
        </w:tc>
        <w:tc>
          <w:tcPr>
            <w:tcW w:w="1000" w:type="pct"/>
            <w:vAlign w:val="center"/>
            <w:hideMark/>
          </w:tcPr>
          <w:p w14:paraId="68EE4A42" w14:textId="77777777" w:rsidR="00000000" w:rsidRDefault="00847163">
            <w:pPr>
              <w:pStyle w:val="a3"/>
              <w:spacing w:before="0" w:beforeAutospacing="0" w:after="0" w:afterAutospacing="0"/>
              <w:rPr>
                <w:sz w:val="20"/>
                <w:szCs w:val="20"/>
              </w:rPr>
            </w:pPr>
            <w:r>
              <w:rPr>
                <w:sz w:val="20"/>
                <w:szCs w:val="20"/>
                <w:u w:val="single"/>
              </w:rPr>
              <w:t>Name of each exchange on</w:t>
            </w:r>
          </w:p>
        </w:tc>
      </w:tr>
      <w:tr w:rsidR="00000000" w14:paraId="2D89364A" w14:textId="77777777">
        <w:trPr>
          <w:divId w:val="1028602154"/>
          <w:tblCellSpacing w:w="0" w:type="dxa"/>
        </w:trPr>
        <w:tc>
          <w:tcPr>
            <w:tcW w:w="0" w:type="auto"/>
            <w:vMerge/>
            <w:vAlign w:val="center"/>
            <w:hideMark/>
          </w:tcPr>
          <w:p w14:paraId="5897324D" w14:textId="77777777" w:rsidR="00000000" w:rsidRDefault="00847163">
            <w:pPr>
              <w:rPr>
                <w:sz w:val="20"/>
                <w:szCs w:val="20"/>
              </w:rPr>
            </w:pPr>
          </w:p>
        </w:tc>
        <w:tc>
          <w:tcPr>
            <w:tcW w:w="500" w:type="pct"/>
            <w:vAlign w:val="center"/>
            <w:hideMark/>
          </w:tcPr>
          <w:p w14:paraId="3B71A03F" w14:textId="77777777" w:rsidR="00000000" w:rsidRDefault="00847163">
            <w:pPr>
              <w:jc w:val="center"/>
              <w:rPr>
                <w:rFonts w:eastAsia="Times New Roman"/>
                <w:sz w:val="20"/>
                <w:szCs w:val="20"/>
              </w:rPr>
            </w:pPr>
            <w:r>
              <w:rPr>
                <w:rFonts w:eastAsia="Times New Roman"/>
                <w:sz w:val="20"/>
                <w:szCs w:val="20"/>
                <w:u w:val="single"/>
              </w:rPr>
              <w:t>Symbol(s)</w:t>
            </w:r>
          </w:p>
        </w:tc>
        <w:tc>
          <w:tcPr>
            <w:tcW w:w="1000" w:type="pct"/>
            <w:vAlign w:val="center"/>
            <w:hideMark/>
          </w:tcPr>
          <w:p w14:paraId="111D566C" w14:textId="77777777" w:rsidR="00000000" w:rsidRDefault="00847163">
            <w:pPr>
              <w:pStyle w:val="a3"/>
              <w:spacing w:before="0" w:beforeAutospacing="0" w:after="0" w:afterAutospacing="0"/>
              <w:rPr>
                <w:sz w:val="20"/>
                <w:szCs w:val="20"/>
              </w:rPr>
            </w:pPr>
            <w:r>
              <w:rPr>
                <w:sz w:val="20"/>
                <w:szCs w:val="20"/>
                <w:u w:val="single"/>
              </w:rPr>
              <w:t>which registered</w:t>
            </w:r>
          </w:p>
        </w:tc>
      </w:tr>
      <w:tr w:rsidR="00000000" w14:paraId="7023878D" w14:textId="77777777">
        <w:trPr>
          <w:divId w:val="1028602154"/>
          <w:tblCellSpacing w:w="0" w:type="dxa"/>
        </w:trPr>
        <w:tc>
          <w:tcPr>
            <w:tcW w:w="3500" w:type="pct"/>
            <w:shd w:val="clear" w:color="auto" w:fill="CCEEFF"/>
            <w:vAlign w:val="center"/>
            <w:hideMark/>
          </w:tcPr>
          <w:p w14:paraId="03F4928C" w14:textId="77777777" w:rsidR="00000000" w:rsidRDefault="00847163">
            <w:pPr>
              <w:pStyle w:val="a3"/>
              <w:spacing w:before="0" w:beforeAutospacing="0" w:after="0" w:afterAutospacing="0"/>
              <w:rPr>
                <w:sz w:val="20"/>
                <w:szCs w:val="20"/>
              </w:rPr>
            </w:pPr>
            <w:r>
              <w:rPr>
                <w:sz w:val="20"/>
                <w:szCs w:val="20"/>
              </w:rPr>
              <w:t>Common Stock, par value $.01 per share.</w:t>
            </w:r>
          </w:p>
        </w:tc>
        <w:tc>
          <w:tcPr>
            <w:tcW w:w="500" w:type="pct"/>
            <w:shd w:val="clear" w:color="auto" w:fill="CCEEFF"/>
            <w:vAlign w:val="center"/>
            <w:hideMark/>
          </w:tcPr>
          <w:p w14:paraId="58A6BA48" w14:textId="77777777" w:rsidR="00000000" w:rsidRDefault="00847163">
            <w:pPr>
              <w:pStyle w:val="a3"/>
              <w:spacing w:before="0" w:beforeAutospacing="0" w:after="0" w:afterAutospacing="0"/>
              <w:jc w:val="center"/>
              <w:rPr>
                <w:sz w:val="20"/>
                <w:szCs w:val="20"/>
              </w:rPr>
            </w:pPr>
            <w:r>
              <w:rPr>
                <w:sz w:val="20"/>
                <w:szCs w:val="20"/>
              </w:rPr>
              <w:t>KIM</w:t>
            </w:r>
          </w:p>
        </w:tc>
        <w:tc>
          <w:tcPr>
            <w:tcW w:w="1000" w:type="pct"/>
            <w:shd w:val="clear" w:color="auto" w:fill="CCEEFF"/>
            <w:vAlign w:val="center"/>
            <w:hideMark/>
          </w:tcPr>
          <w:p w14:paraId="0F45498E" w14:textId="77777777" w:rsidR="00000000" w:rsidRDefault="00847163">
            <w:pPr>
              <w:pStyle w:val="a3"/>
              <w:spacing w:before="0" w:beforeAutospacing="0" w:after="0" w:afterAutospacing="0"/>
              <w:rPr>
                <w:sz w:val="20"/>
                <w:szCs w:val="20"/>
              </w:rPr>
            </w:pPr>
            <w:r>
              <w:rPr>
                <w:sz w:val="20"/>
                <w:szCs w:val="20"/>
              </w:rPr>
              <w:t>New York Stock Exchange</w:t>
            </w:r>
          </w:p>
        </w:tc>
      </w:tr>
      <w:tr w:rsidR="00000000" w14:paraId="73374070" w14:textId="77777777">
        <w:trPr>
          <w:divId w:val="1028602154"/>
          <w:tblCellSpacing w:w="0" w:type="dxa"/>
        </w:trPr>
        <w:tc>
          <w:tcPr>
            <w:tcW w:w="3500" w:type="pct"/>
            <w:shd w:val="clear" w:color="auto" w:fill="FFFFFF"/>
            <w:vAlign w:val="center"/>
            <w:hideMark/>
          </w:tcPr>
          <w:p w14:paraId="1E142A8E" w14:textId="77777777" w:rsidR="00000000" w:rsidRDefault="00847163">
            <w:pPr>
              <w:pStyle w:val="a3"/>
              <w:spacing w:before="0" w:beforeAutospacing="0" w:after="0" w:afterAutospacing="0"/>
              <w:rPr>
                <w:sz w:val="20"/>
                <w:szCs w:val="20"/>
              </w:rPr>
            </w:pPr>
            <w:r>
              <w:rPr>
                <w:sz w:val="20"/>
                <w:szCs w:val="20"/>
              </w:rPr>
              <w:t>Depositary Shares, each representing one-thousandth of a share of 5.125% Class L Cumulative Redeemable, Preferred Stock, $1.00 par value per share.</w:t>
            </w:r>
          </w:p>
        </w:tc>
        <w:tc>
          <w:tcPr>
            <w:tcW w:w="500" w:type="pct"/>
            <w:shd w:val="clear" w:color="auto" w:fill="FFFFFF"/>
            <w:vAlign w:val="center"/>
            <w:hideMark/>
          </w:tcPr>
          <w:p w14:paraId="06B146A8" w14:textId="77777777" w:rsidR="00000000" w:rsidRDefault="00847163">
            <w:pPr>
              <w:pStyle w:val="a3"/>
              <w:spacing w:before="0" w:beforeAutospacing="0" w:after="0" w:afterAutospacing="0"/>
              <w:jc w:val="center"/>
              <w:rPr>
                <w:sz w:val="20"/>
                <w:szCs w:val="20"/>
              </w:rPr>
            </w:pPr>
            <w:r>
              <w:rPr>
                <w:sz w:val="20"/>
                <w:szCs w:val="20"/>
              </w:rPr>
              <w:t>KIMprL</w:t>
            </w:r>
          </w:p>
        </w:tc>
        <w:tc>
          <w:tcPr>
            <w:tcW w:w="1000" w:type="pct"/>
            <w:shd w:val="clear" w:color="auto" w:fill="FFFFFF"/>
            <w:vAlign w:val="center"/>
            <w:hideMark/>
          </w:tcPr>
          <w:p w14:paraId="59F04FEE" w14:textId="77777777" w:rsidR="00000000" w:rsidRDefault="00847163">
            <w:pPr>
              <w:pStyle w:val="a3"/>
              <w:spacing w:before="0" w:beforeAutospacing="0" w:after="0" w:afterAutospacing="0"/>
              <w:rPr>
                <w:sz w:val="20"/>
                <w:szCs w:val="20"/>
              </w:rPr>
            </w:pPr>
            <w:r>
              <w:rPr>
                <w:sz w:val="20"/>
                <w:szCs w:val="20"/>
              </w:rPr>
              <w:t>New York Stock Exchange</w:t>
            </w:r>
          </w:p>
        </w:tc>
      </w:tr>
      <w:tr w:rsidR="00000000" w14:paraId="586F1294" w14:textId="77777777">
        <w:trPr>
          <w:divId w:val="1028602154"/>
          <w:tblCellSpacing w:w="0" w:type="dxa"/>
        </w:trPr>
        <w:tc>
          <w:tcPr>
            <w:tcW w:w="3500" w:type="pct"/>
            <w:shd w:val="clear" w:color="auto" w:fill="CCEEFF"/>
            <w:vAlign w:val="center"/>
            <w:hideMark/>
          </w:tcPr>
          <w:p w14:paraId="29B006DE" w14:textId="77777777" w:rsidR="00000000" w:rsidRDefault="00847163">
            <w:pPr>
              <w:pStyle w:val="a3"/>
              <w:spacing w:before="0" w:beforeAutospacing="0" w:after="0" w:afterAutospacing="0"/>
              <w:rPr>
                <w:sz w:val="20"/>
                <w:szCs w:val="20"/>
              </w:rPr>
            </w:pPr>
            <w:r>
              <w:rPr>
                <w:sz w:val="20"/>
                <w:szCs w:val="20"/>
              </w:rPr>
              <w:t>Depositary Shares, each representing one-thousandth of a share of 5.250% Cla</w:t>
            </w:r>
            <w:r>
              <w:rPr>
                <w:sz w:val="20"/>
                <w:szCs w:val="20"/>
              </w:rPr>
              <w:t>ss M Cumulative Redeemable, Preferred Stock, $1.00 par value per share.</w:t>
            </w:r>
          </w:p>
        </w:tc>
        <w:tc>
          <w:tcPr>
            <w:tcW w:w="500" w:type="pct"/>
            <w:shd w:val="clear" w:color="auto" w:fill="CCEEFF"/>
            <w:vAlign w:val="center"/>
            <w:hideMark/>
          </w:tcPr>
          <w:p w14:paraId="610447FD" w14:textId="77777777" w:rsidR="00000000" w:rsidRDefault="00847163">
            <w:pPr>
              <w:pStyle w:val="a3"/>
              <w:spacing w:before="0" w:beforeAutospacing="0" w:after="0" w:afterAutospacing="0"/>
              <w:jc w:val="center"/>
              <w:rPr>
                <w:sz w:val="20"/>
                <w:szCs w:val="20"/>
              </w:rPr>
            </w:pPr>
            <w:r>
              <w:rPr>
                <w:sz w:val="20"/>
                <w:szCs w:val="20"/>
              </w:rPr>
              <w:t>KIMprM</w:t>
            </w:r>
          </w:p>
        </w:tc>
        <w:tc>
          <w:tcPr>
            <w:tcW w:w="1000" w:type="pct"/>
            <w:shd w:val="clear" w:color="auto" w:fill="CCEEFF"/>
            <w:vAlign w:val="center"/>
            <w:hideMark/>
          </w:tcPr>
          <w:p w14:paraId="7C4AB0D7" w14:textId="77777777" w:rsidR="00000000" w:rsidRDefault="00847163">
            <w:pPr>
              <w:pStyle w:val="a3"/>
              <w:spacing w:before="0" w:beforeAutospacing="0" w:after="0" w:afterAutospacing="0"/>
              <w:rPr>
                <w:sz w:val="20"/>
                <w:szCs w:val="20"/>
              </w:rPr>
            </w:pPr>
            <w:r>
              <w:rPr>
                <w:sz w:val="20"/>
                <w:szCs w:val="20"/>
              </w:rPr>
              <w:t>New York Stock Exchange</w:t>
            </w:r>
          </w:p>
        </w:tc>
      </w:tr>
    </w:tbl>
    <w:p w14:paraId="382895F4" w14:textId="77777777" w:rsidR="00000000" w:rsidRDefault="00847163">
      <w:pPr>
        <w:pStyle w:val="a3"/>
        <w:spacing w:before="0" w:beforeAutospacing="0" w:after="0" w:afterAutospacing="0"/>
        <w:divId w:val="1028602154"/>
        <w:rPr>
          <w:sz w:val="20"/>
          <w:szCs w:val="20"/>
        </w:rPr>
      </w:pPr>
      <w:r>
        <w:rPr>
          <w:sz w:val="20"/>
          <w:szCs w:val="20"/>
        </w:rPr>
        <w:t> </w:t>
      </w:r>
    </w:p>
    <w:p w14:paraId="080D717C" w14:textId="77777777" w:rsidR="00000000" w:rsidRDefault="00847163">
      <w:pPr>
        <w:pStyle w:val="a3"/>
        <w:spacing w:before="0" w:beforeAutospacing="0" w:after="0" w:afterAutospacing="0"/>
        <w:ind w:firstLine="360"/>
        <w:divId w:val="1028602154"/>
        <w:rPr>
          <w:sz w:val="20"/>
          <w:szCs w:val="20"/>
        </w:rPr>
      </w:pPr>
      <w:r>
        <w:rPr>
          <w:sz w:val="20"/>
          <w:szCs w:val="20"/>
        </w:rPr>
        <w:t xml:space="preserve">Indicate by check mark whether the registrant (1) has filed all reports required to be filed by Section 13 or 15(d) of the Securities Exchange Act of </w:t>
      </w:r>
      <w:r>
        <w:rPr>
          <w:sz w:val="20"/>
          <w:szCs w:val="20"/>
        </w:rPr>
        <w:t xml:space="preserve">1934 during the preceding 12 months (or for such shorter period that the registrant was required to file such reports), and (2) has been subject to such filing requirements for the past 90 days.   Yes </w:t>
      </w:r>
      <w:r>
        <w:rPr>
          <w:rFonts w:ascii="Segoe UI Symbol" w:hAnsi="Segoe UI Symbol" w:cs="Segoe UI Symbol"/>
          <w:b/>
          <w:bCs/>
          <w:sz w:val="20"/>
          <w:szCs w:val="20"/>
        </w:rPr>
        <w:t>☒</w:t>
      </w:r>
      <w:r>
        <w:rPr>
          <w:sz w:val="20"/>
          <w:szCs w:val="20"/>
        </w:rPr>
        <w:t xml:space="preserve">   No </w:t>
      </w:r>
      <w:r>
        <w:rPr>
          <w:rFonts w:ascii="Segoe UI Symbol" w:hAnsi="Segoe UI Symbol" w:cs="Segoe UI Symbol"/>
          <w:b/>
          <w:bCs/>
          <w:sz w:val="20"/>
          <w:szCs w:val="20"/>
        </w:rPr>
        <w:t>☐</w:t>
      </w:r>
    </w:p>
    <w:p w14:paraId="06C74C3C" w14:textId="77777777" w:rsidR="00000000" w:rsidRDefault="00847163">
      <w:pPr>
        <w:pStyle w:val="a3"/>
        <w:spacing w:before="0" w:beforeAutospacing="0" w:after="0" w:afterAutospacing="0"/>
        <w:divId w:val="1028602154"/>
        <w:rPr>
          <w:sz w:val="20"/>
          <w:szCs w:val="20"/>
        </w:rPr>
      </w:pPr>
      <w:r>
        <w:rPr>
          <w:sz w:val="20"/>
          <w:szCs w:val="20"/>
        </w:rPr>
        <w:t> </w:t>
      </w:r>
    </w:p>
    <w:p w14:paraId="26C45764" w14:textId="77777777" w:rsidR="00000000" w:rsidRDefault="00847163">
      <w:pPr>
        <w:pStyle w:val="a3"/>
        <w:spacing w:before="0" w:beforeAutospacing="0" w:after="0" w:afterAutospacing="0"/>
        <w:ind w:firstLine="360"/>
        <w:divId w:val="1028602154"/>
        <w:rPr>
          <w:sz w:val="20"/>
          <w:szCs w:val="20"/>
        </w:rPr>
      </w:pPr>
      <w:r>
        <w:rPr>
          <w:sz w:val="20"/>
          <w:szCs w:val="20"/>
        </w:rPr>
        <w:t>Indicate by check mark whether the registran</w:t>
      </w:r>
      <w:r>
        <w:rPr>
          <w:sz w:val="20"/>
          <w:szCs w:val="20"/>
        </w:rPr>
        <w:t>t has submitted electronically, every Interactive Data File required to be submitted pursuant to Rule 405 of Regulation S-T (§232.405 of this chapter) during the preceding 12 months (or for such shorter period that the registrant was required to submit suc</w:t>
      </w:r>
      <w:r>
        <w:rPr>
          <w:sz w:val="20"/>
          <w:szCs w:val="20"/>
        </w:rPr>
        <w:t xml:space="preserve">h files).    Yes </w:t>
      </w:r>
      <w:r>
        <w:rPr>
          <w:rFonts w:ascii="Segoe UI Symbol" w:hAnsi="Segoe UI Symbol" w:cs="Segoe UI Symbol"/>
          <w:b/>
          <w:bCs/>
          <w:sz w:val="20"/>
          <w:szCs w:val="20"/>
        </w:rPr>
        <w:t>☒</w:t>
      </w:r>
      <w:r>
        <w:rPr>
          <w:sz w:val="20"/>
          <w:szCs w:val="20"/>
        </w:rPr>
        <w:t xml:space="preserve">   No </w:t>
      </w:r>
      <w:r>
        <w:rPr>
          <w:rFonts w:ascii="Segoe UI Symbol" w:hAnsi="Segoe UI Symbol" w:cs="Segoe UI Symbol"/>
          <w:b/>
          <w:bCs/>
          <w:sz w:val="20"/>
          <w:szCs w:val="20"/>
        </w:rPr>
        <w:t>☐</w:t>
      </w:r>
    </w:p>
    <w:p w14:paraId="555956A4" w14:textId="77777777" w:rsidR="00000000" w:rsidRDefault="00847163">
      <w:pPr>
        <w:pStyle w:val="a3"/>
        <w:spacing w:before="0" w:beforeAutospacing="0" w:after="0" w:afterAutospacing="0"/>
        <w:divId w:val="1028602154"/>
        <w:rPr>
          <w:sz w:val="20"/>
          <w:szCs w:val="20"/>
        </w:rPr>
      </w:pPr>
      <w:r>
        <w:rPr>
          <w:sz w:val="20"/>
          <w:szCs w:val="20"/>
        </w:rPr>
        <w:lastRenderedPageBreak/>
        <w:t> </w:t>
      </w:r>
    </w:p>
    <w:p w14:paraId="5F5DBE13" w14:textId="77777777" w:rsidR="00000000" w:rsidRDefault="00847163">
      <w:pPr>
        <w:pStyle w:val="a3"/>
        <w:spacing w:before="0" w:beforeAutospacing="0" w:after="0" w:afterAutospacing="0"/>
        <w:ind w:firstLine="360"/>
        <w:divId w:val="1028602154"/>
        <w:rPr>
          <w:sz w:val="20"/>
          <w:szCs w:val="20"/>
        </w:rPr>
      </w:pPr>
      <w:r>
        <w:rPr>
          <w:sz w:val="20"/>
          <w:szCs w:val="20"/>
        </w:rPr>
        <w:t>Indicate by check mark whether the registrant is a large accelerated filer, an accelerated filer, a non-accelerated filer, a smaller reporting company, or an emerging growth company. See the definitions of “large accelerated fil</w:t>
      </w:r>
      <w:r>
        <w:rPr>
          <w:sz w:val="20"/>
          <w:szCs w:val="20"/>
        </w:rPr>
        <w:t>er,” “accelerated filer,” “smaller reporting company,” and “emerging growth company” in Rule 12-b-2 of the Exchange Act.</w:t>
      </w:r>
    </w:p>
    <w:p w14:paraId="2A51B958" w14:textId="77777777" w:rsidR="00000000" w:rsidRDefault="00847163">
      <w:pPr>
        <w:pStyle w:val="a3"/>
        <w:spacing w:before="0" w:beforeAutospacing="0" w:after="0" w:afterAutospacing="0"/>
        <w:divId w:val="1028602154"/>
        <w:rPr>
          <w:sz w:val="20"/>
          <w:szCs w:val="20"/>
        </w:rPr>
      </w:pPr>
      <w:r>
        <w:rPr>
          <w:sz w:val="20"/>
          <w:szCs w:val="20"/>
        </w:rPr>
        <w:t> </w:t>
      </w:r>
    </w:p>
    <w:tbl>
      <w:tblPr>
        <w:tblW w:w="4835" w:type="pct"/>
        <w:tblCellSpacing w:w="0" w:type="dxa"/>
        <w:tblCellMar>
          <w:left w:w="0" w:type="dxa"/>
          <w:right w:w="0" w:type="dxa"/>
        </w:tblCellMar>
        <w:tblLook w:val="04A0" w:firstRow="1" w:lastRow="0" w:firstColumn="1" w:lastColumn="0" w:noHBand="0" w:noVBand="1"/>
      </w:tblPr>
      <w:tblGrid>
        <w:gridCol w:w="2128"/>
        <w:gridCol w:w="964"/>
        <w:gridCol w:w="2032"/>
        <w:gridCol w:w="209"/>
        <w:gridCol w:w="691"/>
        <w:gridCol w:w="1663"/>
        <w:gridCol w:w="345"/>
      </w:tblGrid>
      <w:tr w:rsidR="00000000" w14:paraId="7E45724C" w14:textId="77777777">
        <w:trPr>
          <w:divId w:val="1028602154"/>
          <w:tblCellSpacing w:w="0" w:type="dxa"/>
        </w:trPr>
        <w:tc>
          <w:tcPr>
            <w:tcW w:w="1325" w:type="pct"/>
            <w:vAlign w:val="bottom"/>
            <w:hideMark/>
          </w:tcPr>
          <w:p w14:paraId="1C4021AA" w14:textId="77777777" w:rsidR="00000000" w:rsidRDefault="00847163">
            <w:pPr>
              <w:pStyle w:val="a3"/>
              <w:spacing w:before="0" w:beforeAutospacing="0" w:after="0" w:afterAutospacing="0"/>
              <w:rPr>
                <w:sz w:val="20"/>
                <w:szCs w:val="20"/>
              </w:rPr>
            </w:pPr>
            <w:r>
              <w:rPr>
                <w:sz w:val="20"/>
                <w:szCs w:val="20"/>
              </w:rPr>
              <w:t>Large accelerated filer</w:t>
            </w:r>
          </w:p>
        </w:tc>
        <w:tc>
          <w:tcPr>
            <w:tcW w:w="600" w:type="pct"/>
            <w:vAlign w:val="bottom"/>
            <w:hideMark/>
          </w:tcPr>
          <w:p w14:paraId="63582F2D" w14:textId="77777777" w:rsidR="00000000" w:rsidRDefault="00847163">
            <w:pPr>
              <w:rPr>
                <w:rFonts w:eastAsia="Times New Roman"/>
                <w:sz w:val="20"/>
                <w:szCs w:val="20"/>
              </w:rPr>
            </w:pPr>
            <w:r>
              <w:rPr>
                <w:rFonts w:ascii="Segoe UI Symbol" w:eastAsia="Times New Roman" w:hAnsi="Segoe UI Symbol" w:cs="Segoe UI Symbol"/>
                <w:b/>
                <w:bCs/>
                <w:sz w:val="20"/>
                <w:szCs w:val="20"/>
              </w:rPr>
              <w:t>☒</w:t>
            </w:r>
          </w:p>
        </w:tc>
        <w:tc>
          <w:tcPr>
            <w:tcW w:w="1260" w:type="pct"/>
            <w:vAlign w:val="bottom"/>
            <w:hideMark/>
          </w:tcPr>
          <w:p w14:paraId="4916C8EF" w14:textId="77777777" w:rsidR="00000000" w:rsidRDefault="00847163">
            <w:pPr>
              <w:pStyle w:val="a3"/>
              <w:spacing w:before="0" w:beforeAutospacing="0" w:after="0" w:afterAutospacing="0"/>
              <w:rPr>
                <w:sz w:val="20"/>
                <w:szCs w:val="20"/>
              </w:rPr>
            </w:pPr>
            <w:r>
              <w:rPr>
                <w:sz w:val="20"/>
                <w:szCs w:val="20"/>
              </w:rPr>
              <w:t>Accelerated filer</w:t>
            </w:r>
          </w:p>
        </w:tc>
        <w:tc>
          <w:tcPr>
            <w:tcW w:w="130" w:type="pct"/>
            <w:vAlign w:val="bottom"/>
            <w:hideMark/>
          </w:tcPr>
          <w:p w14:paraId="0A274EC5" w14:textId="77777777" w:rsidR="00000000" w:rsidRDefault="00847163">
            <w:pPr>
              <w:rPr>
                <w:rFonts w:eastAsia="Times New Roman"/>
                <w:sz w:val="20"/>
                <w:szCs w:val="20"/>
              </w:rPr>
            </w:pPr>
            <w:r>
              <w:rPr>
                <w:rFonts w:ascii="Segoe UI Symbol" w:eastAsia="Times New Roman" w:hAnsi="Segoe UI Symbol" w:cs="Segoe UI Symbol"/>
                <w:b/>
                <w:bCs/>
                <w:sz w:val="20"/>
                <w:szCs w:val="20"/>
              </w:rPr>
              <w:t>☐</w:t>
            </w:r>
          </w:p>
        </w:tc>
        <w:tc>
          <w:tcPr>
            <w:tcW w:w="430" w:type="pct"/>
            <w:hideMark/>
          </w:tcPr>
          <w:p w14:paraId="21059C28" w14:textId="77777777" w:rsidR="00000000" w:rsidRDefault="00847163">
            <w:pPr>
              <w:rPr>
                <w:rFonts w:eastAsia="Times New Roman"/>
                <w:sz w:val="20"/>
                <w:szCs w:val="20"/>
              </w:rPr>
            </w:pPr>
            <w:r>
              <w:rPr>
                <w:rFonts w:eastAsia="Times New Roman"/>
                <w:sz w:val="20"/>
                <w:szCs w:val="20"/>
              </w:rPr>
              <w:t> </w:t>
            </w:r>
          </w:p>
        </w:tc>
        <w:tc>
          <w:tcPr>
            <w:tcW w:w="1035" w:type="pct"/>
            <w:hideMark/>
          </w:tcPr>
          <w:p w14:paraId="6F447409" w14:textId="77777777" w:rsidR="00000000" w:rsidRDefault="00847163">
            <w:pPr>
              <w:pStyle w:val="a3"/>
              <w:spacing w:before="0" w:beforeAutospacing="0" w:after="0" w:afterAutospacing="0"/>
              <w:rPr>
                <w:sz w:val="20"/>
                <w:szCs w:val="20"/>
              </w:rPr>
            </w:pPr>
            <w:r>
              <w:rPr>
                <w:sz w:val="20"/>
                <w:szCs w:val="20"/>
              </w:rPr>
              <w:t>Non-accelerated filer</w:t>
            </w:r>
          </w:p>
        </w:tc>
        <w:tc>
          <w:tcPr>
            <w:tcW w:w="215" w:type="pct"/>
            <w:hideMark/>
          </w:tcPr>
          <w:p w14:paraId="30245E61" w14:textId="77777777" w:rsidR="00000000" w:rsidRDefault="00847163">
            <w:pPr>
              <w:rPr>
                <w:rFonts w:eastAsia="Times New Roman"/>
                <w:sz w:val="20"/>
                <w:szCs w:val="20"/>
              </w:rPr>
            </w:pPr>
            <w:r>
              <w:rPr>
                <w:rFonts w:ascii="Segoe UI Symbol" w:eastAsia="Times New Roman" w:hAnsi="Segoe UI Symbol" w:cs="Segoe UI Symbol"/>
                <w:b/>
                <w:bCs/>
                <w:sz w:val="20"/>
                <w:szCs w:val="20"/>
              </w:rPr>
              <w:t>☐</w:t>
            </w:r>
          </w:p>
        </w:tc>
      </w:tr>
      <w:tr w:rsidR="00000000" w14:paraId="1F3B77C6" w14:textId="77777777">
        <w:trPr>
          <w:divId w:val="1028602154"/>
          <w:tblCellSpacing w:w="0" w:type="dxa"/>
        </w:trPr>
        <w:tc>
          <w:tcPr>
            <w:tcW w:w="1325" w:type="pct"/>
            <w:vAlign w:val="bottom"/>
            <w:hideMark/>
          </w:tcPr>
          <w:p w14:paraId="493EBD41" w14:textId="77777777" w:rsidR="00000000" w:rsidRDefault="00847163">
            <w:pPr>
              <w:pStyle w:val="a3"/>
              <w:spacing w:before="0" w:beforeAutospacing="0" w:after="0" w:afterAutospacing="0"/>
              <w:rPr>
                <w:sz w:val="20"/>
                <w:szCs w:val="20"/>
              </w:rPr>
            </w:pPr>
            <w:r>
              <w:rPr>
                <w:sz w:val="20"/>
                <w:szCs w:val="20"/>
              </w:rPr>
              <w:t>Smaller reporting company</w:t>
            </w:r>
          </w:p>
        </w:tc>
        <w:tc>
          <w:tcPr>
            <w:tcW w:w="600" w:type="pct"/>
            <w:vAlign w:val="bottom"/>
            <w:hideMark/>
          </w:tcPr>
          <w:p w14:paraId="06EF32F8" w14:textId="77777777" w:rsidR="00000000" w:rsidRDefault="00847163">
            <w:pPr>
              <w:pStyle w:val="a3"/>
              <w:spacing w:before="0" w:beforeAutospacing="0" w:after="0" w:afterAutospacing="0"/>
              <w:rPr>
                <w:sz w:val="20"/>
                <w:szCs w:val="20"/>
              </w:rPr>
            </w:pPr>
            <w:r>
              <w:rPr>
                <w:rFonts w:ascii="Segoe UI Symbol" w:hAnsi="Segoe UI Symbol" w:cs="Segoe UI Symbol"/>
                <w:b/>
                <w:bCs/>
                <w:sz w:val="20"/>
                <w:szCs w:val="20"/>
              </w:rPr>
              <w:t>☐</w:t>
            </w:r>
          </w:p>
        </w:tc>
        <w:tc>
          <w:tcPr>
            <w:tcW w:w="1260" w:type="pct"/>
            <w:vAlign w:val="bottom"/>
            <w:hideMark/>
          </w:tcPr>
          <w:p w14:paraId="21830B18" w14:textId="77777777" w:rsidR="00000000" w:rsidRDefault="00847163">
            <w:pPr>
              <w:pStyle w:val="a3"/>
              <w:spacing w:before="0" w:beforeAutospacing="0" w:after="0" w:afterAutospacing="0"/>
              <w:rPr>
                <w:sz w:val="20"/>
                <w:szCs w:val="20"/>
              </w:rPr>
            </w:pPr>
            <w:r>
              <w:rPr>
                <w:sz w:val="20"/>
                <w:szCs w:val="20"/>
              </w:rPr>
              <w:t>Emerging growth company</w:t>
            </w:r>
          </w:p>
        </w:tc>
        <w:tc>
          <w:tcPr>
            <w:tcW w:w="130" w:type="pct"/>
            <w:vAlign w:val="bottom"/>
            <w:hideMark/>
          </w:tcPr>
          <w:p w14:paraId="3B4D57A2" w14:textId="77777777" w:rsidR="00000000" w:rsidRDefault="00847163">
            <w:pPr>
              <w:rPr>
                <w:rFonts w:eastAsia="Times New Roman"/>
                <w:sz w:val="20"/>
                <w:szCs w:val="20"/>
              </w:rPr>
            </w:pPr>
            <w:r>
              <w:rPr>
                <w:rFonts w:ascii="Segoe UI Symbol" w:eastAsia="Times New Roman" w:hAnsi="Segoe UI Symbol" w:cs="Segoe UI Symbol"/>
                <w:b/>
                <w:bCs/>
                <w:sz w:val="20"/>
                <w:szCs w:val="20"/>
              </w:rPr>
              <w:t>☐</w:t>
            </w:r>
          </w:p>
        </w:tc>
        <w:tc>
          <w:tcPr>
            <w:tcW w:w="430" w:type="pct"/>
            <w:hideMark/>
          </w:tcPr>
          <w:p w14:paraId="2127B95F" w14:textId="77777777" w:rsidR="00000000" w:rsidRDefault="00847163">
            <w:pPr>
              <w:rPr>
                <w:rFonts w:eastAsia="Times New Roman"/>
                <w:sz w:val="20"/>
                <w:szCs w:val="20"/>
              </w:rPr>
            </w:pPr>
            <w:r>
              <w:rPr>
                <w:rFonts w:eastAsia="Times New Roman"/>
                <w:sz w:val="20"/>
                <w:szCs w:val="20"/>
              </w:rPr>
              <w:t> </w:t>
            </w:r>
          </w:p>
        </w:tc>
        <w:tc>
          <w:tcPr>
            <w:tcW w:w="1035" w:type="pct"/>
            <w:hideMark/>
          </w:tcPr>
          <w:p w14:paraId="0BFF2AFC" w14:textId="77777777" w:rsidR="00000000" w:rsidRDefault="00847163">
            <w:pPr>
              <w:rPr>
                <w:rFonts w:eastAsia="Times New Roman"/>
                <w:sz w:val="20"/>
                <w:szCs w:val="20"/>
              </w:rPr>
            </w:pPr>
            <w:r>
              <w:rPr>
                <w:rFonts w:eastAsia="Times New Roman"/>
                <w:sz w:val="20"/>
                <w:szCs w:val="20"/>
              </w:rPr>
              <w:t> </w:t>
            </w:r>
          </w:p>
        </w:tc>
        <w:tc>
          <w:tcPr>
            <w:tcW w:w="215" w:type="pct"/>
            <w:hideMark/>
          </w:tcPr>
          <w:p w14:paraId="5720C53C" w14:textId="77777777" w:rsidR="00000000" w:rsidRDefault="00847163">
            <w:pPr>
              <w:rPr>
                <w:rFonts w:eastAsia="Times New Roman"/>
                <w:sz w:val="20"/>
                <w:szCs w:val="20"/>
              </w:rPr>
            </w:pPr>
            <w:r>
              <w:rPr>
                <w:rFonts w:eastAsia="Times New Roman"/>
                <w:sz w:val="20"/>
                <w:szCs w:val="20"/>
              </w:rPr>
              <w:t> </w:t>
            </w:r>
          </w:p>
        </w:tc>
      </w:tr>
      <w:tr w:rsidR="00000000" w14:paraId="3940234C" w14:textId="77777777">
        <w:trPr>
          <w:divId w:val="1028602154"/>
          <w:tblCellSpacing w:w="0" w:type="dxa"/>
        </w:trPr>
        <w:tc>
          <w:tcPr>
            <w:tcW w:w="3190" w:type="pct"/>
            <w:gridSpan w:val="3"/>
            <w:vAlign w:val="bottom"/>
            <w:hideMark/>
          </w:tcPr>
          <w:p w14:paraId="476EACC3" w14:textId="77777777" w:rsidR="00000000" w:rsidRDefault="00847163">
            <w:pPr>
              <w:rPr>
                <w:rFonts w:eastAsia="Times New Roman"/>
                <w:sz w:val="20"/>
                <w:szCs w:val="20"/>
              </w:rPr>
            </w:pPr>
            <w:r>
              <w:rPr>
                <w:rFonts w:eastAsia="Times New Roman"/>
                <w:sz w:val="20"/>
                <w:szCs w:val="20"/>
              </w:rPr>
              <w:t> </w:t>
            </w:r>
          </w:p>
        </w:tc>
        <w:tc>
          <w:tcPr>
            <w:tcW w:w="130" w:type="pct"/>
            <w:hideMark/>
          </w:tcPr>
          <w:p w14:paraId="7BE699C4" w14:textId="77777777" w:rsidR="00000000" w:rsidRDefault="00847163">
            <w:pPr>
              <w:pStyle w:val="a3"/>
              <w:spacing w:before="0" w:beforeAutospacing="0" w:after="0" w:afterAutospacing="0"/>
              <w:rPr>
                <w:sz w:val="20"/>
                <w:szCs w:val="20"/>
              </w:rPr>
            </w:pPr>
            <w:r>
              <w:rPr>
                <w:sz w:val="20"/>
                <w:szCs w:val="20"/>
              </w:rPr>
              <w:t>  </w:t>
            </w:r>
          </w:p>
        </w:tc>
        <w:tc>
          <w:tcPr>
            <w:tcW w:w="430" w:type="pct"/>
            <w:hideMark/>
          </w:tcPr>
          <w:p w14:paraId="58A5E7BE" w14:textId="77777777" w:rsidR="00000000" w:rsidRDefault="00847163">
            <w:pPr>
              <w:rPr>
                <w:rFonts w:eastAsia="Times New Roman"/>
                <w:sz w:val="20"/>
                <w:szCs w:val="20"/>
              </w:rPr>
            </w:pPr>
            <w:r>
              <w:rPr>
                <w:rFonts w:eastAsia="Times New Roman"/>
                <w:sz w:val="20"/>
                <w:szCs w:val="20"/>
              </w:rPr>
              <w:t> </w:t>
            </w:r>
          </w:p>
        </w:tc>
        <w:tc>
          <w:tcPr>
            <w:tcW w:w="1035" w:type="pct"/>
            <w:hideMark/>
          </w:tcPr>
          <w:p w14:paraId="6FB84175" w14:textId="77777777" w:rsidR="00000000" w:rsidRDefault="00847163">
            <w:pPr>
              <w:rPr>
                <w:rFonts w:eastAsia="Times New Roman"/>
                <w:sz w:val="20"/>
                <w:szCs w:val="20"/>
              </w:rPr>
            </w:pPr>
            <w:r>
              <w:rPr>
                <w:rFonts w:eastAsia="Times New Roman"/>
                <w:sz w:val="20"/>
                <w:szCs w:val="20"/>
              </w:rPr>
              <w:t> </w:t>
            </w:r>
          </w:p>
        </w:tc>
        <w:tc>
          <w:tcPr>
            <w:tcW w:w="215" w:type="pct"/>
            <w:hideMark/>
          </w:tcPr>
          <w:p w14:paraId="0AB412C1" w14:textId="77777777" w:rsidR="00000000" w:rsidRDefault="00847163">
            <w:pPr>
              <w:rPr>
                <w:rFonts w:eastAsia="Times New Roman"/>
                <w:sz w:val="20"/>
                <w:szCs w:val="20"/>
              </w:rPr>
            </w:pPr>
            <w:r>
              <w:rPr>
                <w:rFonts w:eastAsia="Times New Roman"/>
                <w:sz w:val="20"/>
                <w:szCs w:val="20"/>
              </w:rPr>
              <w:t> </w:t>
            </w:r>
          </w:p>
        </w:tc>
      </w:tr>
    </w:tbl>
    <w:p w14:paraId="6C96E263" w14:textId="77777777" w:rsidR="00000000" w:rsidRDefault="00847163">
      <w:pPr>
        <w:pStyle w:val="a3"/>
        <w:spacing w:before="0" w:beforeAutospacing="0" w:after="0" w:afterAutospacing="0"/>
        <w:ind w:firstLine="360"/>
        <w:divId w:val="1028602154"/>
        <w:rPr>
          <w:sz w:val="20"/>
          <w:szCs w:val="20"/>
        </w:rPr>
      </w:pPr>
      <w:r>
        <w:rPr>
          <w:sz w:val="20"/>
          <w:szCs w:val="20"/>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cs="Segoe UI Symbol"/>
          <w:b/>
          <w:bCs/>
          <w:sz w:val="20"/>
          <w:szCs w:val="20"/>
        </w:rPr>
        <w:t>☐</w:t>
      </w:r>
    </w:p>
    <w:p w14:paraId="7377F09D" w14:textId="77777777" w:rsidR="00000000" w:rsidRDefault="00847163">
      <w:pPr>
        <w:pStyle w:val="a3"/>
        <w:spacing w:before="0" w:beforeAutospacing="0" w:after="0" w:afterAutospacing="0"/>
        <w:divId w:val="1028602154"/>
        <w:rPr>
          <w:sz w:val="20"/>
          <w:szCs w:val="20"/>
        </w:rPr>
      </w:pPr>
      <w:r>
        <w:rPr>
          <w:sz w:val="20"/>
          <w:szCs w:val="20"/>
        </w:rPr>
        <w:t> </w:t>
      </w:r>
    </w:p>
    <w:p w14:paraId="5B56B297" w14:textId="77777777" w:rsidR="00000000" w:rsidRDefault="00847163">
      <w:pPr>
        <w:pStyle w:val="a3"/>
        <w:spacing w:before="0" w:beforeAutospacing="0" w:after="0" w:afterAutospacing="0"/>
        <w:ind w:firstLine="360"/>
        <w:divId w:val="1028602154"/>
        <w:rPr>
          <w:sz w:val="20"/>
          <w:szCs w:val="20"/>
        </w:rPr>
      </w:pPr>
      <w:r>
        <w:rPr>
          <w:sz w:val="20"/>
          <w:szCs w:val="20"/>
        </w:rPr>
        <w:t>I</w:t>
      </w:r>
      <w:r>
        <w:rPr>
          <w:sz w:val="20"/>
          <w:szCs w:val="20"/>
        </w:rPr>
        <w:t xml:space="preserve">ndicate by check mark whether the registrant is a shell company (as defined in Rule 12b-2 of the Exchange Act). Yes </w:t>
      </w:r>
      <w:r>
        <w:rPr>
          <w:rFonts w:ascii="Segoe UI Symbol" w:hAnsi="Segoe UI Symbol" w:cs="Segoe UI Symbol"/>
          <w:b/>
          <w:bCs/>
          <w:sz w:val="20"/>
          <w:szCs w:val="20"/>
        </w:rPr>
        <w:t>☐</w:t>
      </w:r>
      <w:r>
        <w:rPr>
          <w:sz w:val="20"/>
          <w:szCs w:val="20"/>
        </w:rPr>
        <w:t>   No</w:t>
      </w:r>
      <w:r>
        <w:rPr>
          <w:b/>
          <w:bCs/>
          <w:sz w:val="20"/>
          <w:szCs w:val="20"/>
        </w:rPr>
        <w:t xml:space="preserve"> </w:t>
      </w:r>
      <w:r>
        <w:rPr>
          <w:rFonts w:ascii="Segoe UI Symbol" w:hAnsi="Segoe UI Symbol" w:cs="Segoe UI Symbol"/>
          <w:b/>
          <w:bCs/>
          <w:sz w:val="20"/>
          <w:szCs w:val="20"/>
        </w:rPr>
        <w:t>☒</w:t>
      </w:r>
    </w:p>
    <w:p w14:paraId="280E38ED" w14:textId="77777777" w:rsidR="00000000" w:rsidRDefault="00847163">
      <w:pPr>
        <w:pStyle w:val="a3"/>
        <w:spacing w:before="0" w:beforeAutospacing="0" w:after="0" w:afterAutospacing="0"/>
        <w:ind w:firstLine="360"/>
        <w:divId w:val="1028602154"/>
        <w:rPr>
          <w:sz w:val="20"/>
          <w:szCs w:val="20"/>
        </w:rPr>
      </w:pPr>
      <w:r>
        <w:rPr>
          <w:sz w:val="20"/>
          <w:szCs w:val="20"/>
        </w:rPr>
        <w:t> </w:t>
      </w:r>
    </w:p>
    <w:p w14:paraId="44AAAF6B" w14:textId="77777777" w:rsidR="00000000" w:rsidRDefault="00847163">
      <w:pPr>
        <w:pStyle w:val="a3"/>
        <w:spacing w:before="0" w:beforeAutospacing="0" w:after="0" w:afterAutospacing="0"/>
        <w:ind w:firstLine="360"/>
        <w:jc w:val="center"/>
        <w:divId w:val="1028602154"/>
        <w:rPr>
          <w:sz w:val="20"/>
          <w:szCs w:val="20"/>
        </w:rPr>
      </w:pPr>
      <w:r>
        <w:rPr>
          <w:sz w:val="20"/>
          <w:szCs w:val="20"/>
        </w:rPr>
        <w:t>As of April 14, 2020, the registrant had 432,525,409 shares of common stock outstanding.</w:t>
      </w:r>
    </w:p>
    <w:p w14:paraId="6318751C" w14:textId="77777777" w:rsidR="00000000" w:rsidRDefault="00847163">
      <w:pPr>
        <w:pStyle w:val="a3"/>
        <w:spacing w:before="0" w:beforeAutospacing="0" w:after="0" w:afterAutospacing="0"/>
        <w:ind w:firstLine="360"/>
        <w:jc w:val="center"/>
        <w:divId w:val="1028602154"/>
        <w:rPr>
          <w:sz w:val="20"/>
          <w:szCs w:val="20"/>
        </w:rPr>
      </w:pPr>
      <w:r>
        <w:rPr>
          <w:sz w:val="20"/>
          <w:szCs w:val="20"/>
        </w:rPr>
        <w:t> </w:t>
      </w:r>
    </w:p>
    <w:p w14:paraId="3C5199D3" w14:textId="77777777" w:rsidR="00000000" w:rsidRDefault="00847163">
      <w:pPr>
        <w:spacing w:before="60" w:after="60"/>
        <w:divId w:val="1028602154"/>
        <w:rPr>
          <w:rFonts w:eastAsia="Times New Roman"/>
          <w:sz w:val="20"/>
          <w:szCs w:val="20"/>
        </w:rPr>
      </w:pPr>
      <w:r>
        <w:rPr>
          <w:rFonts w:eastAsia="Times New Roman"/>
          <w:sz w:val="20"/>
          <w:szCs w:val="20"/>
        </w:rPr>
        <w:pict w14:anchorId="34A3F2FA">
          <v:rect id="_x0000_i1027" style="width:415.3pt;height:.75pt" o:hralign="center" o:hrstd="t" o:hrnoshade="t" o:hr="t" fillcolor="black" stroked="f"/>
        </w:pict>
      </w:r>
    </w:p>
    <w:p w14:paraId="218707A6" w14:textId="77777777" w:rsidR="00000000" w:rsidRDefault="00847163">
      <w:pPr>
        <w:spacing w:after="60"/>
        <w:divId w:val="1028602154"/>
        <w:rPr>
          <w:rFonts w:eastAsia="Times New Roman"/>
          <w:sz w:val="20"/>
          <w:szCs w:val="20"/>
        </w:rPr>
      </w:pPr>
      <w:r>
        <w:rPr>
          <w:rFonts w:eastAsia="Times New Roman"/>
          <w:sz w:val="20"/>
          <w:szCs w:val="20"/>
        </w:rPr>
        <w:pict w14:anchorId="10AD3904">
          <v:rect id="_x0000_i1028" style="width:415.3pt;height:2.25pt" o:hralign="center" o:hrstd="t" o:hrnoshade="t" o:hr="t" fillcolor="black" stroked="f"/>
        </w:pict>
      </w:r>
    </w:p>
    <w:p w14:paraId="543D3688" w14:textId="77777777" w:rsidR="00000000" w:rsidRDefault="00847163">
      <w:pPr>
        <w:spacing w:after="60"/>
        <w:jc w:val="center"/>
        <w:divId w:val="263004842"/>
        <w:rPr>
          <w:rFonts w:eastAsia="Times New Roman"/>
          <w:sz w:val="20"/>
          <w:szCs w:val="20"/>
        </w:rPr>
      </w:pPr>
      <w:r>
        <w:rPr>
          <w:rFonts w:eastAsia="Times New Roman"/>
          <w:sz w:val="20"/>
          <w:szCs w:val="20"/>
        </w:rPr>
        <w:t xml:space="preserve">  </w:t>
      </w:r>
    </w:p>
    <w:p w14:paraId="4B61E755" w14:textId="77777777" w:rsidR="00000000" w:rsidRDefault="00847163">
      <w:pPr>
        <w:spacing w:after="60"/>
        <w:divId w:val="1173452009"/>
        <w:rPr>
          <w:rFonts w:eastAsia="Times New Roman"/>
          <w:sz w:val="20"/>
          <w:szCs w:val="20"/>
        </w:rPr>
      </w:pPr>
      <w:r>
        <w:rPr>
          <w:rFonts w:eastAsia="Times New Roman"/>
          <w:sz w:val="20"/>
          <w:szCs w:val="20"/>
        </w:rPr>
        <w:pict w14:anchorId="6070F9E9">
          <v:rect id="_x0000_i1029" style="width:0;height:1.5pt" o:hralign="center" o:hrstd="t" o:hr="t" fillcolor="#a0a0a0" stroked="f"/>
        </w:pict>
      </w:r>
    </w:p>
    <w:p w14:paraId="05F47F40" w14:textId="77777777" w:rsidR="00000000" w:rsidRDefault="00847163">
      <w:pPr>
        <w:spacing w:after="60"/>
        <w:divId w:val="1187980993"/>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0FC265C9" w14:textId="77777777" w:rsidR="00000000" w:rsidRDefault="00847163">
      <w:pPr>
        <w:spacing w:after="60"/>
        <w:divId w:val="1016813347"/>
        <w:rPr>
          <w:rFonts w:eastAsia="Times New Roman"/>
          <w:sz w:val="20"/>
          <w:szCs w:val="20"/>
        </w:rPr>
      </w:pPr>
      <w:r>
        <w:rPr>
          <w:rFonts w:eastAsia="Times New Roman"/>
          <w:sz w:val="20"/>
          <w:szCs w:val="20"/>
        </w:rPr>
        <w:t xml:space="preserve">  </w:t>
      </w:r>
    </w:p>
    <w:p w14:paraId="2FC797F4" w14:textId="77777777" w:rsidR="00000000" w:rsidRDefault="00847163">
      <w:pPr>
        <w:pStyle w:val="a3"/>
        <w:spacing w:before="0" w:beforeAutospacing="0" w:after="0" w:afterAutospacing="0"/>
        <w:rPr>
          <w:sz w:val="20"/>
          <w:szCs w:val="20"/>
        </w:rPr>
      </w:pPr>
      <w:r>
        <w:rPr>
          <w:sz w:val="20"/>
          <w:szCs w:val="20"/>
        </w:rPr>
        <w:t> </w:t>
      </w:r>
    </w:p>
    <w:p w14:paraId="171D2D81" w14:textId="77777777" w:rsidR="00000000" w:rsidRDefault="00847163">
      <w:pPr>
        <w:divId w:val="1975060180"/>
        <w:rPr>
          <w:rFonts w:eastAsia="Times New Roman"/>
          <w:sz w:val="20"/>
          <w:szCs w:val="20"/>
        </w:rPr>
      </w:pPr>
      <w:r>
        <w:rPr>
          <w:rFonts w:eastAsia="Times New Roman"/>
          <w:sz w:val="20"/>
          <w:szCs w:val="20"/>
        </w:rPr>
        <w:t xml:space="preserve">  </w:t>
      </w:r>
    </w:p>
    <w:p w14:paraId="55677ABD" w14:textId="77777777" w:rsidR="00000000" w:rsidRDefault="00847163">
      <w:pPr>
        <w:pStyle w:val="a3"/>
        <w:spacing w:before="0" w:beforeAutospacing="0" w:after="0" w:afterAutospacing="0"/>
        <w:jc w:val="center"/>
        <w:divId w:val="678045080"/>
        <w:rPr>
          <w:sz w:val="20"/>
          <w:szCs w:val="20"/>
        </w:rPr>
      </w:pPr>
      <w:hyperlink w:anchor="bs" w:history="1">
        <w:r>
          <w:rPr>
            <w:rStyle w:val="a4"/>
            <w:sz w:val="20"/>
            <w:szCs w:val="20"/>
          </w:rPr>
          <w:t>PART I - FINANCIAL INFORMATION</w:t>
        </w:r>
      </w:hyperlink>
    </w:p>
    <w:p w14:paraId="7DDC8C6F" w14:textId="77777777" w:rsidR="00000000" w:rsidRDefault="00847163">
      <w:pPr>
        <w:pStyle w:val="a3"/>
        <w:spacing w:before="0" w:beforeAutospacing="0" w:after="0" w:afterAutospacing="0"/>
        <w:divId w:val="67804508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581"/>
        <w:gridCol w:w="725"/>
      </w:tblGrid>
      <w:tr w:rsidR="00000000" w14:paraId="3741F9D1" w14:textId="77777777">
        <w:trPr>
          <w:divId w:val="678045080"/>
          <w:tblCellSpacing w:w="0" w:type="dxa"/>
        </w:trPr>
        <w:tc>
          <w:tcPr>
            <w:tcW w:w="4900" w:type="pct"/>
            <w:hideMark/>
          </w:tcPr>
          <w:p w14:paraId="11046E1F" w14:textId="77777777" w:rsidR="00000000" w:rsidRDefault="00847163">
            <w:pPr>
              <w:pStyle w:val="a3"/>
              <w:spacing w:before="0" w:beforeAutospacing="0" w:after="0" w:afterAutospacing="0"/>
              <w:rPr>
                <w:sz w:val="20"/>
                <w:szCs w:val="20"/>
              </w:rPr>
            </w:pPr>
            <w:hyperlink w:anchor="bs" w:history="1">
              <w:r>
                <w:rPr>
                  <w:rStyle w:val="a4"/>
                  <w:sz w:val="20"/>
                  <w:szCs w:val="20"/>
                </w:rPr>
                <w:t>Item 1. Financial Statements.</w:t>
              </w:r>
            </w:hyperlink>
          </w:p>
        </w:tc>
        <w:tc>
          <w:tcPr>
            <w:tcW w:w="100" w:type="pct"/>
            <w:hideMark/>
          </w:tcPr>
          <w:p w14:paraId="72014F09" w14:textId="77777777" w:rsidR="00000000" w:rsidRDefault="00847163">
            <w:pPr>
              <w:pStyle w:val="a3"/>
              <w:spacing w:before="0" w:beforeAutospacing="0" w:after="0" w:afterAutospacing="0"/>
              <w:rPr>
                <w:sz w:val="20"/>
                <w:szCs w:val="20"/>
              </w:rPr>
            </w:pPr>
            <w:r>
              <w:rPr>
                <w:sz w:val="20"/>
                <w:szCs w:val="20"/>
              </w:rPr>
              <w:t>  </w:t>
            </w:r>
          </w:p>
        </w:tc>
      </w:tr>
      <w:tr w:rsidR="00000000" w14:paraId="1F43D368" w14:textId="77777777">
        <w:trPr>
          <w:divId w:val="678045080"/>
          <w:tblCellSpacing w:w="0" w:type="dxa"/>
        </w:trPr>
        <w:tc>
          <w:tcPr>
            <w:tcW w:w="4900" w:type="pct"/>
            <w:hideMark/>
          </w:tcPr>
          <w:p w14:paraId="79198FFA" w14:textId="77777777" w:rsidR="00000000" w:rsidRDefault="00847163">
            <w:pPr>
              <w:pStyle w:val="a3"/>
              <w:spacing w:before="0" w:beforeAutospacing="0" w:after="0" w:afterAutospacing="0"/>
              <w:rPr>
                <w:sz w:val="20"/>
                <w:szCs w:val="20"/>
              </w:rPr>
            </w:pPr>
            <w:r>
              <w:rPr>
                <w:sz w:val="20"/>
                <w:szCs w:val="20"/>
              </w:rPr>
              <w:t>  </w:t>
            </w:r>
          </w:p>
        </w:tc>
        <w:tc>
          <w:tcPr>
            <w:tcW w:w="100" w:type="pct"/>
            <w:hideMark/>
          </w:tcPr>
          <w:p w14:paraId="64B56DD8" w14:textId="77777777" w:rsidR="00000000" w:rsidRDefault="00847163">
            <w:pPr>
              <w:pStyle w:val="a3"/>
              <w:spacing w:before="0" w:beforeAutospacing="0" w:after="0" w:afterAutospacing="0"/>
              <w:rPr>
                <w:sz w:val="20"/>
                <w:szCs w:val="20"/>
              </w:rPr>
            </w:pPr>
            <w:r>
              <w:rPr>
                <w:sz w:val="20"/>
                <w:szCs w:val="20"/>
              </w:rPr>
              <w:t>  </w:t>
            </w:r>
          </w:p>
        </w:tc>
      </w:tr>
      <w:tr w:rsidR="00000000" w14:paraId="027BCFD3" w14:textId="77777777">
        <w:trPr>
          <w:divId w:val="678045080"/>
          <w:tblCellSpacing w:w="0" w:type="dxa"/>
        </w:trPr>
        <w:tc>
          <w:tcPr>
            <w:tcW w:w="4900" w:type="pct"/>
            <w:hideMark/>
          </w:tcPr>
          <w:p w14:paraId="081211C1" w14:textId="77777777" w:rsidR="00000000" w:rsidRDefault="00847163">
            <w:pPr>
              <w:pStyle w:val="a3"/>
              <w:spacing w:before="0" w:beforeAutospacing="0" w:after="0" w:afterAutospacing="0"/>
              <w:rPr>
                <w:sz w:val="20"/>
                <w:szCs w:val="20"/>
              </w:rPr>
            </w:pPr>
            <w:hyperlink w:anchor="bs" w:history="1">
              <w:r>
                <w:rPr>
                  <w:rStyle w:val="a4"/>
                  <w:sz w:val="20"/>
                  <w:szCs w:val="20"/>
                </w:rPr>
                <w:t>Condensed Consolidated Financial Statements of Kimco Realty Corporation and Subsidiaries (Unaudited) -</w:t>
              </w:r>
            </w:hyperlink>
          </w:p>
        </w:tc>
        <w:tc>
          <w:tcPr>
            <w:tcW w:w="100" w:type="pct"/>
            <w:hideMark/>
          </w:tcPr>
          <w:p w14:paraId="383FCBD7" w14:textId="77777777" w:rsidR="00000000" w:rsidRDefault="00847163">
            <w:pPr>
              <w:pStyle w:val="a3"/>
              <w:spacing w:before="0" w:beforeAutospacing="0" w:after="0" w:afterAutospacing="0"/>
              <w:rPr>
                <w:sz w:val="20"/>
                <w:szCs w:val="20"/>
              </w:rPr>
            </w:pPr>
            <w:r>
              <w:rPr>
                <w:sz w:val="20"/>
                <w:szCs w:val="20"/>
              </w:rPr>
              <w:t>  </w:t>
            </w:r>
          </w:p>
        </w:tc>
      </w:tr>
      <w:tr w:rsidR="00000000" w14:paraId="7BD2C449" w14:textId="77777777">
        <w:trPr>
          <w:divId w:val="678045080"/>
          <w:tblCellSpacing w:w="0" w:type="dxa"/>
        </w:trPr>
        <w:tc>
          <w:tcPr>
            <w:tcW w:w="4900" w:type="pct"/>
            <w:hideMark/>
          </w:tcPr>
          <w:p w14:paraId="62E08786" w14:textId="77777777" w:rsidR="00000000" w:rsidRDefault="00847163">
            <w:pPr>
              <w:pStyle w:val="a3"/>
              <w:spacing w:before="0" w:beforeAutospacing="0" w:after="0" w:afterAutospacing="0"/>
              <w:rPr>
                <w:sz w:val="20"/>
                <w:szCs w:val="20"/>
              </w:rPr>
            </w:pPr>
            <w:r>
              <w:rPr>
                <w:sz w:val="20"/>
                <w:szCs w:val="20"/>
              </w:rPr>
              <w:t>  </w:t>
            </w:r>
          </w:p>
        </w:tc>
        <w:tc>
          <w:tcPr>
            <w:tcW w:w="100" w:type="pct"/>
            <w:hideMark/>
          </w:tcPr>
          <w:p w14:paraId="5ABC1086" w14:textId="77777777" w:rsidR="00000000" w:rsidRDefault="00847163">
            <w:pPr>
              <w:pStyle w:val="a3"/>
              <w:spacing w:before="0" w:beforeAutospacing="0" w:after="0" w:afterAutospacing="0"/>
              <w:rPr>
                <w:sz w:val="20"/>
                <w:szCs w:val="20"/>
              </w:rPr>
            </w:pPr>
            <w:r>
              <w:rPr>
                <w:sz w:val="20"/>
                <w:szCs w:val="20"/>
              </w:rPr>
              <w:t>  </w:t>
            </w:r>
          </w:p>
        </w:tc>
      </w:tr>
      <w:tr w:rsidR="00000000" w14:paraId="27B8DBAF" w14:textId="77777777">
        <w:trPr>
          <w:divId w:val="678045080"/>
          <w:tblCellSpacing w:w="0" w:type="dxa"/>
        </w:trPr>
        <w:tc>
          <w:tcPr>
            <w:tcW w:w="4900" w:type="pct"/>
            <w:hideMark/>
          </w:tcPr>
          <w:p w14:paraId="5FC11C07" w14:textId="77777777" w:rsidR="00000000" w:rsidRDefault="00847163">
            <w:pPr>
              <w:pStyle w:val="a3"/>
              <w:spacing w:before="0" w:beforeAutospacing="0" w:after="0" w:afterAutospacing="0"/>
              <w:ind w:left="720"/>
              <w:rPr>
                <w:sz w:val="20"/>
                <w:szCs w:val="20"/>
              </w:rPr>
            </w:pPr>
            <w:hyperlink w:anchor="bs" w:history="1">
              <w:r>
                <w:rPr>
                  <w:rStyle w:val="a4"/>
                  <w:sz w:val="20"/>
                  <w:szCs w:val="20"/>
                </w:rPr>
                <w:t>Condensed Consolidated Balance Sheets as of March 31, 2020 and December 31, 2019</w:t>
              </w:r>
            </w:hyperlink>
          </w:p>
        </w:tc>
        <w:tc>
          <w:tcPr>
            <w:tcW w:w="100" w:type="pct"/>
            <w:vAlign w:val="bottom"/>
            <w:hideMark/>
          </w:tcPr>
          <w:p w14:paraId="0E5D2DF5" w14:textId="77777777" w:rsidR="00000000" w:rsidRDefault="00847163">
            <w:pPr>
              <w:pStyle w:val="a3"/>
              <w:spacing w:before="0" w:beforeAutospacing="0" w:after="0" w:afterAutospacing="0"/>
              <w:ind w:left="525"/>
              <w:jc w:val="center"/>
              <w:rPr>
                <w:sz w:val="20"/>
                <w:szCs w:val="20"/>
              </w:rPr>
            </w:pPr>
            <w:hyperlink w:anchor="bs" w:history="1">
              <w:r>
                <w:rPr>
                  <w:rStyle w:val="a4"/>
                  <w:sz w:val="20"/>
                  <w:szCs w:val="20"/>
                </w:rPr>
                <w:t>3</w:t>
              </w:r>
            </w:hyperlink>
          </w:p>
        </w:tc>
      </w:tr>
      <w:tr w:rsidR="00000000" w14:paraId="012B5680" w14:textId="77777777">
        <w:trPr>
          <w:divId w:val="678045080"/>
          <w:tblCellSpacing w:w="0" w:type="dxa"/>
        </w:trPr>
        <w:tc>
          <w:tcPr>
            <w:tcW w:w="4900" w:type="pct"/>
            <w:hideMark/>
          </w:tcPr>
          <w:p w14:paraId="79D08D94" w14:textId="77777777" w:rsidR="00000000" w:rsidRDefault="00847163">
            <w:pPr>
              <w:pStyle w:val="a3"/>
              <w:spacing w:before="0" w:beforeAutospacing="0" w:after="0" w:afterAutospacing="0"/>
              <w:rPr>
                <w:sz w:val="20"/>
                <w:szCs w:val="20"/>
              </w:rPr>
            </w:pPr>
            <w:r>
              <w:rPr>
                <w:sz w:val="20"/>
                <w:szCs w:val="20"/>
              </w:rPr>
              <w:t>  </w:t>
            </w:r>
          </w:p>
        </w:tc>
        <w:tc>
          <w:tcPr>
            <w:tcW w:w="100" w:type="pct"/>
            <w:vAlign w:val="bottom"/>
            <w:hideMark/>
          </w:tcPr>
          <w:p w14:paraId="50D47222" w14:textId="77777777" w:rsidR="00000000" w:rsidRDefault="00847163">
            <w:pPr>
              <w:rPr>
                <w:rFonts w:eastAsia="Times New Roman"/>
                <w:sz w:val="20"/>
                <w:szCs w:val="20"/>
              </w:rPr>
            </w:pPr>
            <w:r>
              <w:rPr>
                <w:rFonts w:eastAsia="Times New Roman"/>
                <w:sz w:val="20"/>
                <w:szCs w:val="20"/>
              </w:rPr>
              <w:t> </w:t>
            </w:r>
          </w:p>
        </w:tc>
      </w:tr>
      <w:tr w:rsidR="00000000" w14:paraId="09C78CC4" w14:textId="77777777">
        <w:trPr>
          <w:divId w:val="678045080"/>
          <w:tblCellSpacing w:w="0" w:type="dxa"/>
        </w:trPr>
        <w:tc>
          <w:tcPr>
            <w:tcW w:w="4900" w:type="pct"/>
            <w:hideMark/>
          </w:tcPr>
          <w:p w14:paraId="76A21F4C" w14:textId="77777777" w:rsidR="00000000" w:rsidRDefault="00847163">
            <w:pPr>
              <w:pStyle w:val="a3"/>
              <w:spacing w:before="0" w:beforeAutospacing="0" w:after="0" w:afterAutospacing="0"/>
              <w:ind w:left="720"/>
              <w:rPr>
                <w:sz w:val="20"/>
                <w:szCs w:val="20"/>
              </w:rPr>
            </w:pPr>
            <w:hyperlink w:anchor="income" w:history="1">
              <w:r>
                <w:rPr>
                  <w:rStyle w:val="a4"/>
                  <w:sz w:val="20"/>
                  <w:szCs w:val="20"/>
                </w:rPr>
                <w:t>Condensed Consolidated Statements of Income for the Three Months Ended March 31, 2020 and 2019</w:t>
              </w:r>
            </w:hyperlink>
          </w:p>
        </w:tc>
        <w:tc>
          <w:tcPr>
            <w:tcW w:w="100" w:type="pct"/>
            <w:vAlign w:val="bottom"/>
            <w:hideMark/>
          </w:tcPr>
          <w:p w14:paraId="4497ACA8" w14:textId="77777777" w:rsidR="00000000" w:rsidRDefault="00847163">
            <w:pPr>
              <w:pStyle w:val="a3"/>
              <w:spacing w:before="0" w:beforeAutospacing="0" w:after="0" w:afterAutospacing="0"/>
              <w:ind w:left="525"/>
              <w:jc w:val="center"/>
              <w:rPr>
                <w:sz w:val="20"/>
                <w:szCs w:val="20"/>
              </w:rPr>
            </w:pPr>
            <w:hyperlink w:anchor="income" w:history="1">
              <w:r>
                <w:rPr>
                  <w:rStyle w:val="a4"/>
                  <w:sz w:val="20"/>
                  <w:szCs w:val="20"/>
                </w:rPr>
                <w:t>4</w:t>
              </w:r>
            </w:hyperlink>
          </w:p>
        </w:tc>
      </w:tr>
      <w:tr w:rsidR="00000000" w14:paraId="6A775CB8" w14:textId="77777777">
        <w:trPr>
          <w:divId w:val="678045080"/>
          <w:tblCellSpacing w:w="0" w:type="dxa"/>
        </w:trPr>
        <w:tc>
          <w:tcPr>
            <w:tcW w:w="4900" w:type="pct"/>
            <w:tcMar>
              <w:top w:w="0" w:type="dxa"/>
              <w:left w:w="180" w:type="dxa"/>
              <w:bottom w:w="0" w:type="dxa"/>
              <w:right w:w="0" w:type="dxa"/>
            </w:tcMar>
            <w:hideMark/>
          </w:tcPr>
          <w:p w14:paraId="476FE59D" w14:textId="77777777" w:rsidR="00000000" w:rsidRDefault="00847163">
            <w:pPr>
              <w:rPr>
                <w:rFonts w:eastAsia="Times New Roman"/>
                <w:sz w:val="20"/>
                <w:szCs w:val="20"/>
              </w:rPr>
            </w:pPr>
            <w:r>
              <w:rPr>
                <w:rFonts w:eastAsia="Times New Roman"/>
                <w:sz w:val="20"/>
                <w:szCs w:val="20"/>
              </w:rPr>
              <w:t> </w:t>
            </w:r>
          </w:p>
        </w:tc>
        <w:tc>
          <w:tcPr>
            <w:tcW w:w="100" w:type="pct"/>
            <w:vAlign w:val="bottom"/>
            <w:hideMark/>
          </w:tcPr>
          <w:p w14:paraId="2AC88A88" w14:textId="77777777" w:rsidR="00000000" w:rsidRDefault="00847163">
            <w:pPr>
              <w:rPr>
                <w:rFonts w:eastAsia="Times New Roman"/>
                <w:sz w:val="20"/>
                <w:szCs w:val="20"/>
              </w:rPr>
            </w:pPr>
            <w:r>
              <w:rPr>
                <w:rFonts w:eastAsia="Times New Roman"/>
                <w:sz w:val="20"/>
                <w:szCs w:val="20"/>
              </w:rPr>
              <w:t> </w:t>
            </w:r>
          </w:p>
        </w:tc>
      </w:tr>
      <w:tr w:rsidR="00000000" w14:paraId="63321469" w14:textId="77777777">
        <w:trPr>
          <w:divId w:val="678045080"/>
          <w:tblCellSpacing w:w="0" w:type="dxa"/>
        </w:trPr>
        <w:tc>
          <w:tcPr>
            <w:tcW w:w="4900" w:type="pct"/>
            <w:hideMark/>
          </w:tcPr>
          <w:p w14:paraId="002CEC78" w14:textId="77777777" w:rsidR="00000000" w:rsidRDefault="00847163">
            <w:pPr>
              <w:pStyle w:val="a3"/>
              <w:spacing w:before="0" w:beforeAutospacing="0" w:after="0" w:afterAutospacing="0"/>
              <w:ind w:left="720"/>
              <w:rPr>
                <w:sz w:val="20"/>
                <w:szCs w:val="20"/>
              </w:rPr>
            </w:pPr>
            <w:hyperlink w:anchor="equity" w:history="1">
              <w:r>
                <w:rPr>
                  <w:rStyle w:val="a4"/>
                  <w:sz w:val="20"/>
                  <w:szCs w:val="20"/>
                </w:rPr>
                <w:t>Condensed Consolidated Statements of Changes in Equity for the Three Months Ended March 31, 2020 and 2019</w:t>
              </w:r>
            </w:hyperlink>
          </w:p>
        </w:tc>
        <w:tc>
          <w:tcPr>
            <w:tcW w:w="100" w:type="pct"/>
            <w:vAlign w:val="bottom"/>
            <w:hideMark/>
          </w:tcPr>
          <w:p w14:paraId="5678611A" w14:textId="77777777" w:rsidR="00000000" w:rsidRDefault="00847163">
            <w:pPr>
              <w:pStyle w:val="a3"/>
              <w:spacing w:before="0" w:beforeAutospacing="0" w:after="0" w:afterAutospacing="0"/>
              <w:ind w:left="525"/>
              <w:jc w:val="center"/>
              <w:rPr>
                <w:sz w:val="20"/>
                <w:szCs w:val="20"/>
              </w:rPr>
            </w:pPr>
            <w:hyperlink w:anchor="equity" w:history="1">
              <w:r>
                <w:rPr>
                  <w:rStyle w:val="a4"/>
                  <w:sz w:val="20"/>
                  <w:szCs w:val="20"/>
                </w:rPr>
                <w:t>5</w:t>
              </w:r>
            </w:hyperlink>
          </w:p>
        </w:tc>
      </w:tr>
      <w:tr w:rsidR="00000000" w14:paraId="0A377D54" w14:textId="77777777">
        <w:trPr>
          <w:divId w:val="678045080"/>
          <w:tblCellSpacing w:w="0" w:type="dxa"/>
        </w:trPr>
        <w:tc>
          <w:tcPr>
            <w:tcW w:w="4900" w:type="pct"/>
            <w:hideMark/>
          </w:tcPr>
          <w:p w14:paraId="1345F2F0" w14:textId="77777777" w:rsidR="00000000" w:rsidRDefault="00847163">
            <w:pPr>
              <w:rPr>
                <w:rFonts w:eastAsia="Times New Roman"/>
                <w:sz w:val="20"/>
                <w:szCs w:val="20"/>
              </w:rPr>
            </w:pPr>
            <w:r>
              <w:rPr>
                <w:rFonts w:eastAsia="Times New Roman"/>
                <w:sz w:val="20"/>
                <w:szCs w:val="20"/>
              </w:rPr>
              <w:t> </w:t>
            </w:r>
          </w:p>
        </w:tc>
        <w:tc>
          <w:tcPr>
            <w:tcW w:w="100" w:type="pct"/>
            <w:vAlign w:val="bottom"/>
            <w:hideMark/>
          </w:tcPr>
          <w:p w14:paraId="7D859F26" w14:textId="77777777" w:rsidR="00000000" w:rsidRDefault="00847163">
            <w:pPr>
              <w:rPr>
                <w:rFonts w:eastAsia="Times New Roman"/>
                <w:sz w:val="20"/>
                <w:szCs w:val="20"/>
              </w:rPr>
            </w:pPr>
            <w:r>
              <w:rPr>
                <w:rFonts w:eastAsia="Times New Roman"/>
                <w:sz w:val="20"/>
                <w:szCs w:val="20"/>
              </w:rPr>
              <w:t> </w:t>
            </w:r>
          </w:p>
        </w:tc>
      </w:tr>
      <w:tr w:rsidR="00000000" w14:paraId="2FF5AEEE" w14:textId="77777777">
        <w:trPr>
          <w:divId w:val="678045080"/>
          <w:tblCellSpacing w:w="0" w:type="dxa"/>
        </w:trPr>
        <w:tc>
          <w:tcPr>
            <w:tcW w:w="4900" w:type="pct"/>
            <w:hideMark/>
          </w:tcPr>
          <w:p w14:paraId="0DCFB132" w14:textId="77777777" w:rsidR="00000000" w:rsidRDefault="00847163">
            <w:pPr>
              <w:pStyle w:val="a3"/>
              <w:spacing w:before="0" w:beforeAutospacing="0" w:after="0" w:afterAutospacing="0"/>
              <w:ind w:left="720"/>
              <w:rPr>
                <w:sz w:val="20"/>
                <w:szCs w:val="20"/>
              </w:rPr>
            </w:pPr>
            <w:hyperlink w:anchor="cashflolw" w:history="1">
              <w:r>
                <w:rPr>
                  <w:rStyle w:val="a4"/>
                  <w:sz w:val="20"/>
                  <w:szCs w:val="20"/>
                </w:rPr>
                <w:t>Condensed Consolidated Statements of Cash Flows for the Three Months Ended March 31, 2020 and 2019</w:t>
              </w:r>
            </w:hyperlink>
          </w:p>
        </w:tc>
        <w:tc>
          <w:tcPr>
            <w:tcW w:w="100" w:type="pct"/>
            <w:vAlign w:val="bottom"/>
            <w:hideMark/>
          </w:tcPr>
          <w:p w14:paraId="73CD8F0C" w14:textId="77777777" w:rsidR="00000000" w:rsidRDefault="00847163">
            <w:pPr>
              <w:pStyle w:val="a3"/>
              <w:spacing w:before="0" w:beforeAutospacing="0" w:after="0" w:afterAutospacing="0"/>
              <w:ind w:left="525"/>
              <w:jc w:val="center"/>
              <w:rPr>
                <w:sz w:val="20"/>
                <w:szCs w:val="20"/>
              </w:rPr>
            </w:pPr>
            <w:hyperlink w:anchor="cashflolw" w:history="1">
              <w:r>
                <w:rPr>
                  <w:rStyle w:val="a4"/>
                  <w:sz w:val="20"/>
                  <w:szCs w:val="20"/>
                </w:rPr>
                <w:t>6</w:t>
              </w:r>
            </w:hyperlink>
          </w:p>
        </w:tc>
      </w:tr>
      <w:tr w:rsidR="00000000" w14:paraId="796B5649" w14:textId="77777777">
        <w:trPr>
          <w:divId w:val="678045080"/>
          <w:tblCellSpacing w:w="0" w:type="dxa"/>
        </w:trPr>
        <w:tc>
          <w:tcPr>
            <w:tcW w:w="4900" w:type="pct"/>
            <w:hideMark/>
          </w:tcPr>
          <w:p w14:paraId="7F44A5C4" w14:textId="77777777" w:rsidR="00000000" w:rsidRDefault="00847163">
            <w:pPr>
              <w:rPr>
                <w:rFonts w:eastAsia="Times New Roman"/>
                <w:sz w:val="20"/>
                <w:szCs w:val="20"/>
              </w:rPr>
            </w:pPr>
            <w:r>
              <w:rPr>
                <w:rFonts w:eastAsia="Times New Roman"/>
                <w:sz w:val="20"/>
                <w:szCs w:val="20"/>
              </w:rPr>
              <w:t> </w:t>
            </w:r>
          </w:p>
        </w:tc>
        <w:tc>
          <w:tcPr>
            <w:tcW w:w="100" w:type="pct"/>
            <w:vAlign w:val="bottom"/>
            <w:hideMark/>
          </w:tcPr>
          <w:p w14:paraId="07985115" w14:textId="77777777" w:rsidR="00000000" w:rsidRDefault="00847163">
            <w:pPr>
              <w:rPr>
                <w:rFonts w:eastAsia="Times New Roman"/>
                <w:sz w:val="20"/>
                <w:szCs w:val="20"/>
              </w:rPr>
            </w:pPr>
            <w:r>
              <w:rPr>
                <w:rFonts w:eastAsia="Times New Roman"/>
                <w:sz w:val="20"/>
                <w:szCs w:val="20"/>
              </w:rPr>
              <w:t> </w:t>
            </w:r>
          </w:p>
        </w:tc>
      </w:tr>
      <w:tr w:rsidR="00000000" w14:paraId="58B51DAA" w14:textId="77777777">
        <w:trPr>
          <w:divId w:val="678045080"/>
          <w:tblCellSpacing w:w="0" w:type="dxa"/>
        </w:trPr>
        <w:tc>
          <w:tcPr>
            <w:tcW w:w="4900" w:type="pct"/>
            <w:hideMark/>
          </w:tcPr>
          <w:p w14:paraId="25DA2F8C" w14:textId="77777777" w:rsidR="00000000" w:rsidRDefault="00847163">
            <w:pPr>
              <w:pStyle w:val="a3"/>
              <w:spacing w:before="0" w:beforeAutospacing="0" w:after="0" w:afterAutospacing="0"/>
              <w:rPr>
                <w:sz w:val="20"/>
                <w:szCs w:val="20"/>
              </w:rPr>
            </w:pPr>
            <w:hyperlink w:anchor="notes" w:history="1">
              <w:r>
                <w:rPr>
                  <w:rStyle w:val="a4"/>
                  <w:sz w:val="20"/>
                  <w:szCs w:val="20"/>
                </w:rPr>
                <w:t>Notes to Condensed Consolidated Financial Statements.</w:t>
              </w:r>
            </w:hyperlink>
          </w:p>
        </w:tc>
        <w:tc>
          <w:tcPr>
            <w:tcW w:w="100" w:type="pct"/>
            <w:tcMar>
              <w:top w:w="0" w:type="dxa"/>
              <w:left w:w="525" w:type="dxa"/>
              <w:bottom w:w="0" w:type="dxa"/>
              <w:right w:w="0" w:type="dxa"/>
            </w:tcMar>
            <w:vAlign w:val="bottom"/>
            <w:hideMark/>
          </w:tcPr>
          <w:p w14:paraId="3E5EDF9B" w14:textId="77777777" w:rsidR="00000000" w:rsidRDefault="00847163">
            <w:pPr>
              <w:jc w:val="center"/>
              <w:rPr>
                <w:rFonts w:eastAsia="Times New Roman"/>
                <w:sz w:val="20"/>
                <w:szCs w:val="20"/>
              </w:rPr>
            </w:pPr>
            <w:hyperlink w:anchor="notes" w:history="1">
              <w:r>
                <w:rPr>
                  <w:rStyle w:val="a4"/>
                  <w:rFonts w:eastAsia="Times New Roman"/>
                  <w:sz w:val="20"/>
                  <w:szCs w:val="20"/>
                </w:rPr>
                <w:t>7</w:t>
              </w:r>
            </w:hyperlink>
          </w:p>
        </w:tc>
      </w:tr>
      <w:tr w:rsidR="00000000" w14:paraId="070DA0FD" w14:textId="77777777">
        <w:trPr>
          <w:divId w:val="678045080"/>
          <w:tblCellSpacing w:w="0" w:type="dxa"/>
        </w:trPr>
        <w:tc>
          <w:tcPr>
            <w:tcW w:w="4900" w:type="pct"/>
            <w:hideMark/>
          </w:tcPr>
          <w:p w14:paraId="373FF33A" w14:textId="77777777" w:rsidR="00000000" w:rsidRDefault="00847163">
            <w:pPr>
              <w:rPr>
                <w:rFonts w:eastAsia="Times New Roman"/>
                <w:sz w:val="20"/>
                <w:szCs w:val="20"/>
              </w:rPr>
            </w:pPr>
            <w:r>
              <w:rPr>
                <w:rFonts w:eastAsia="Times New Roman"/>
                <w:sz w:val="20"/>
                <w:szCs w:val="20"/>
              </w:rPr>
              <w:t> </w:t>
            </w:r>
          </w:p>
        </w:tc>
        <w:tc>
          <w:tcPr>
            <w:tcW w:w="100" w:type="pct"/>
            <w:vAlign w:val="bottom"/>
            <w:hideMark/>
          </w:tcPr>
          <w:p w14:paraId="2B62C433" w14:textId="77777777" w:rsidR="00000000" w:rsidRDefault="00847163">
            <w:pPr>
              <w:rPr>
                <w:rFonts w:eastAsia="Times New Roman"/>
                <w:sz w:val="20"/>
                <w:szCs w:val="20"/>
              </w:rPr>
            </w:pPr>
            <w:r>
              <w:rPr>
                <w:rFonts w:eastAsia="Times New Roman"/>
                <w:sz w:val="20"/>
                <w:szCs w:val="20"/>
              </w:rPr>
              <w:t> </w:t>
            </w:r>
          </w:p>
        </w:tc>
      </w:tr>
      <w:tr w:rsidR="00000000" w14:paraId="1B1C7866" w14:textId="77777777">
        <w:trPr>
          <w:divId w:val="678045080"/>
          <w:tblCellSpacing w:w="0" w:type="dxa"/>
        </w:trPr>
        <w:tc>
          <w:tcPr>
            <w:tcW w:w="4900" w:type="pct"/>
            <w:hideMark/>
          </w:tcPr>
          <w:p w14:paraId="30E5AFD3" w14:textId="77777777" w:rsidR="00000000" w:rsidRDefault="00847163">
            <w:pPr>
              <w:rPr>
                <w:rFonts w:eastAsia="Times New Roman"/>
                <w:sz w:val="20"/>
                <w:szCs w:val="20"/>
              </w:rPr>
            </w:pPr>
            <w:hyperlink w:anchor="mda" w:history="1">
              <w:r>
                <w:rPr>
                  <w:rStyle w:val="a4"/>
                  <w:rFonts w:eastAsia="Times New Roman"/>
                  <w:sz w:val="20"/>
                  <w:szCs w:val="20"/>
                </w:rPr>
                <w:t>Item 2.  Management's Discussion and Analysis of Financial Condition and Results of Operations.</w:t>
              </w:r>
            </w:hyperlink>
          </w:p>
        </w:tc>
        <w:tc>
          <w:tcPr>
            <w:tcW w:w="100" w:type="pct"/>
            <w:tcMar>
              <w:top w:w="0" w:type="dxa"/>
              <w:left w:w="525" w:type="dxa"/>
              <w:bottom w:w="0" w:type="dxa"/>
              <w:right w:w="0" w:type="dxa"/>
            </w:tcMar>
            <w:vAlign w:val="bottom"/>
            <w:hideMark/>
          </w:tcPr>
          <w:p w14:paraId="7697080B" w14:textId="77777777" w:rsidR="00000000" w:rsidRDefault="00847163">
            <w:pPr>
              <w:jc w:val="center"/>
              <w:rPr>
                <w:rFonts w:eastAsia="Times New Roman"/>
                <w:sz w:val="20"/>
                <w:szCs w:val="20"/>
              </w:rPr>
            </w:pPr>
            <w:hyperlink w:anchor="mda" w:history="1">
              <w:r>
                <w:rPr>
                  <w:rStyle w:val="a4"/>
                  <w:rFonts w:eastAsia="Times New Roman"/>
                  <w:sz w:val="20"/>
                  <w:szCs w:val="20"/>
                </w:rPr>
                <w:t>19</w:t>
              </w:r>
            </w:hyperlink>
          </w:p>
        </w:tc>
      </w:tr>
      <w:tr w:rsidR="00000000" w14:paraId="051DAF98" w14:textId="77777777">
        <w:trPr>
          <w:divId w:val="678045080"/>
          <w:tblCellSpacing w:w="0" w:type="dxa"/>
        </w:trPr>
        <w:tc>
          <w:tcPr>
            <w:tcW w:w="4900" w:type="pct"/>
            <w:hideMark/>
          </w:tcPr>
          <w:p w14:paraId="2E4391D6" w14:textId="77777777" w:rsidR="00000000" w:rsidRDefault="00847163">
            <w:pPr>
              <w:rPr>
                <w:rFonts w:eastAsia="Times New Roman"/>
                <w:sz w:val="20"/>
                <w:szCs w:val="20"/>
              </w:rPr>
            </w:pPr>
            <w:r>
              <w:rPr>
                <w:rFonts w:eastAsia="Times New Roman"/>
                <w:sz w:val="20"/>
                <w:szCs w:val="20"/>
              </w:rPr>
              <w:t> </w:t>
            </w:r>
          </w:p>
        </w:tc>
        <w:tc>
          <w:tcPr>
            <w:tcW w:w="100" w:type="pct"/>
            <w:vAlign w:val="bottom"/>
            <w:hideMark/>
          </w:tcPr>
          <w:p w14:paraId="713E7BBB" w14:textId="77777777" w:rsidR="00000000" w:rsidRDefault="00847163">
            <w:pPr>
              <w:rPr>
                <w:rFonts w:eastAsia="Times New Roman"/>
                <w:sz w:val="20"/>
                <w:szCs w:val="20"/>
              </w:rPr>
            </w:pPr>
            <w:r>
              <w:rPr>
                <w:rFonts w:eastAsia="Times New Roman"/>
                <w:sz w:val="20"/>
                <w:szCs w:val="20"/>
              </w:rPr>
              <w:t> </w:t>
            </w:r>
          </w:p>
        </w:tc>
      </w:tr>
      <w:tr w:rsidR="00000000" w14:paraId="0F55582C" w14:textId="77777777">
        <w:trPr>
          <w:divId w:val="678045080"/>
          <w:tblCellSpacing w:w="0" w:type="dxa"/>
        </w:trPr>
        <w:tc>
          <w:tcPr>
            <w:tcW w:w="4900" w:type="pct"/>
            <w:hideMark/>
          </w:tcPr>
          <w:p w14:paraId="5EE61B08" w14:textId="77777777" w:rsidR="00000000" w:rsidRDefault="00847163">
            <w:pPr>
              <w:rPr>
                <w:rFonts w:eastAsia="Times New Roman"/>
                <w:sz w:val="20"/>
                <w:szCs w:val="20"/>
              </w:rPr>
            </w:pPr>
            <w:hyperlink w:anchor="i3" w:history="1">
              <w:r>
                <w:rPr>
                  <w:rStyle w:val="a4"/>
                  <w:rFonts w:eastAsia="Times New Roman"/>
                  <w:sz w:val="20"/>
                  <w:szCs w:val="20"/>
                </w:rPr>
                <w:t xml:space="preserve">Item 3.  </w:t>
              </w:r>
              <w:r>
                <w:rPr>
                  <w:rStyle w:val="a4"/>
                  <w:rFonts w:eastAsia="Times New Roman"/>
                  <w:sz w:val="20"/>
                  <w:szCs w:val="20"/>
                </w:rPr>
                <w:t>Quantitative and Qualitative Disclosures About Market Risk.</w:t>
              </w:r>
            </w:hyperlink>
          </w:p>
        </w:tc>
        <w:tc>
          <w:tcPr>
            <w:tcW w:w="100" w:type="pct"/>
            <w:tcMar>
              <w:top w:w="0" w:type="dxa"/>
              <w:left w:w="525" w:type="dxa"/>
              <w:bottom w:w="0" w:type="dxa"/>
              <w:right w:w="0" w:type="dxa"/>
            </w:tcMar>
            <w:vAlign w:val="bottom"/>
            <w:hideMark/>
          </w:tcPr>
          <w:p w14:paraId="3CA7E051" w14:textId="77777777" w:rsidR="00000000" w:rsidRDefault="00847163">
            <w:pPr>
              <w:jc w:val="center"/>
              <w:rPr>
                <w:rFonts w:eastAsia="Times New Roman"/>
                <w:sz w:val="20"/>
                <w:szCs w:val="20"/>
              </w:rPr>
            </w:pPr>
            <w:hyperlink w:anchor="i3" w:history="1">
              <w:r>
                <w:rPr>
                  <w:rStyle w:val="a4"/>
                  <w:rFonts w:eastAsia="Times New Roman"/>
                  <w:sz w:val="20"/>
                  <w:szCs w:val="20"/>
                </w:rPr>
                <w:t>30</w:t>
              </w:r>
            </w:hyperlink>
          </w:p>
        </w:tc>
      </w:tr>
      <w:tr w:rsidR="00000000" w14:paraId="027BE025" w14:textId="77777777">
        <w:trPr>
          <w:divId w:val="678045080"/>
          <w:tblCellSpacing w:w="0" w:type="dxa"/>
        </w:trPr>
        <w:tc>
          <w:tcPr>
            <w:tcW w:w="4900" w:type="pct"/>
            <w:hideMark/>
          </w:tcPr>
          <w:p w14:paraId="5824542B" w14:textId="77777777" w:rsidR="00000000" w:rsidRDefault="00847163">
            <w:pPr>
              <w:rPr>
                <w:rFonts w:eastAsia="Times New Roman"/>
                <w:sz w:val="20"/>
                <w:szCs w:val="20"/>
              </w:rPr>
            </w:pPr>
            <w:r>
              <w:rPr>
                <w:rFonts w:eastAsia="Times New Roman"/>
                <w:sz w:val="20"/>
                <w:szCs w:val="20"/>
              </w:rPr>
              <w:t> </w:t>
            </w:r>
          </w:p>
        </w:tc>
        <w:tc>
          <w:tcPr>
            <w:tcW w:w="100" w:type="pct"/>
            <w:vAlign w:val="bottom"/>
            <w:hideMark/>
          </w:tcPr>
          <w:p w14:paraId="04BDDAB4" w14:textId="77777777" w:rsidR="00000000" w:rsidRDefault="00847163">
            <w:pPr>
              <w:rPr>
                <w:rFonts w:eastAsia="Times New Roman"/>
                <w:sz w:val="20"/>
                <w:szCs w:val="20"/>
              </w:rPr>
            </w:pPr>
            <w:r>
              <w:rPr>
                <w:rFonts w:eastAsia="Times New Roman"/>
                <w:sz w:val="20"/>
                <w:szCs w:val="20"/>
              </w:rPr>
              <w:t> </w:t>
            </w:r>
          </w:p>
        </w:tc>
      </w:tr>
      <w:tr w:rsidR="00000000" w14:paraId="79C17062" w14:textId="77777777">
        <w:trPr>
          <w:divId w:val="678045080"/>
          <w:tblCellSpacing w:w="0" w:type="dxa"/>
        </w:trPr>
        <w:tc>
          <w:tcPr>
            <w:tcW w:w="4900" w:type="pct"/>
            <w:hideMark/>
          </w:tcPr>
          <w:p w14:paraId="65529A1F" w14:textId="77777777" w:rsidR="00000000" w:rsidRDefault="00847163">
            <w:pPr>
              <w:rPr>
                <w:rFonts w:eastAsia="Times New Roman"/>
                <w:sz w:val="20"/>
                <w:szCs w:val="20"/>
              </w:rPr>
            </w:pPr>
            <w:hyperlink w:anchor="i4" w:history="1">
              <w:r>
                <w:rPr>
                  <w:rStyle w:val="a4"/>
                  <w:rFonts w:eastAsia="Times New Roman"/>
                  <w:sz w:val="20"/>
                  <w:szCs w:val="20"/>
                </w:rPr>
                <w:t>Item 4.  Controls and Procedures.</w:t>
              </w:r>
            </w:hyperlink>
          </w:p>
        </w:tc>
        <w:tc>
          <w:tcPr>
            <w:tcW w:w="100" w:type="pct"/>
            <w:tcMar>
              <w:top w:w="0" w:type="dxa"/>
              <w:left w:w="525" w:type="dxa"/>
              <w:bottom w:w="0" w:type="dxa"/>
              <w:right w:w="0" w:type="dxa"/>
            </w:tcMar>
            <w:vAlign w:val="bottom"/>
            <w:hideMark/>
          </w:tcPr>
          <w:p w14:paraId="2CEF7753" w14:textId="77777777" w:rsidR="00000000" w:rsidRDefault="00847163">
            <w:pPr>
              <w:jc w:val="center"/>
              <w:rPr>
                <w:rFonts w:eastAsia="Times New Roman"/>
                <w:sz w:val="20"/>
                <w:szCs w:val="20"/>
              </w:rPr>
            </w:pPr>
            <w:hyperlink w:anchor="i4" w:history="1">
              <w:r>
                <w:rPr>
                  <w:rStyle w:val="a4"/>
                  <w:rFonts w:eastAsia="Times New Roman"/>
                  <w:sz w:val="20"/>
                  <w:szCs w:val="20"/>
                </w:rPr>
                <w:t>30</w:t>
              </w:r>
            </w:hyperlink>
          </w:p>
        </w:tc>
      </w:tr>
      <w:tr w:rsidR="00000000" w14:paraId="613DFCAB" w14:textId="77777777">
        <w:trPr>
          <w:divId w:val="678045080"/>
          <w:tblCellSpacing w:w="0" w:type="dxa"/>
        </w:trPr>
        <w:tc>
          <w:tcPr>
            <w:tcW w:w="4900" w:type="pct"/>
            <w:hideMark/>
          </w:tcPr>
          <w:p w14:paraId="0D015983" w14:textId="77777777" w:rsidR="00000000" w:rsidRDefault="00847163">
            <w:pPr>
              <w:rPr>
                <w:rFonts w:eastAsia="Times New Roman"/>
                <w:sz w:val="20"/>
                <w:szCs w:val="20"/>
              </w:rPr>
            </w:pPr>
            <w:r>
              <w:rPr>
                <w:rFonts w:eastAsia="Times New Roman"/>
                <w:sz w:val="20"/>
                <w:szCs w:val="20"/>
              </w:rPr>
              <w:t> </w:t>
            </w:r>
          </w:p>
        </w:tc>
        <w:tc>
          <w:tcPr>
            <w:tcW w:w="100" w:type="pct"/>
            <w:vAlign w:val="bottom"/>
            <w:hideMark/>
          </w:tcPr>
          <w:p w14:paraId="07D3BE73" w14:textId="77777777" w:rsidR="00000000" w:rsidRDefault="00847163">
            <w:pPr>
              <w:rPr>
                <w:rFonts w:eastAsia="Times New Roman"/>
                <w:sz w:val="20"/>
                <w:szCs w:val="20"/>
              </w:rPr>
            </w:pPr>
            <w:r>
              <w:rPr>
                <w:rFonts w:eastAsia="Times New Roman"/>
                <w:sz w:val="20"/>
                <w:szCs w:val="20"/>
              </w:rPr>
              <w:t> </w:t>
            </w:r>
          </w:p>
        </w:tc>
      </w:tr>
      <w:tr w:rsidR="00000000" w14:paraId="53450D15" w14:textId="77777777">
        <w:trPr>
          <w:divId w:val="678045080"/>
          <w:tblCellSpacing w:w="0" w:type="dxa"/>
        </w:trPr>
        <w:tc>
          <w:tcPr>
            <w:tcW w:w="4900" w:type="pct"/>
            <w:gridSpan w:val="2"/>
            <w:hideMark/>
          </w:tcPr>
          <w:p w14:paraId="2213237C" w14:textId="77777777" w:rsidR="00000000" w:rsidRDefault="00847163">
            <w:pPr>
              <w:jc w:val="center"/>
              <w:rPr>
                <w:rFonts w:eastAsia="Times New Roman"/>
                <w:sz w:val="20"/>
                <w:szCs w:val="20"/>
              </w:rPr>
            </w:pPr>
            <w:hyperlink w:anchor="partii" w:history="1">
              <w:r>
                <w:rPr>
                  <w:rStyle w:val="a4"/>
                  <w:rFonts w:eastAsia="Times New Roman"/>
                  <w:sz w:val="20"/>
                  <w:szCs w:val="20"/>
                </w:rPr>
                <w:t>PART II - OTHER INFORMATION</w:t>
              </w:r>
            </w:hyperlink>
          </w:p>
        </w:tc>
      </w:tr>
      <w:tr w:rsidR="00000000" w14:paraId="168D9DEC" w14:textId="77777777">
        <w:trPr>
          <w:divId w:val="678045080"/>
          <w:tblCellSpacing w:w="0" w:type="dxa"/>
        </w:trPr>
        <w:tc>
          <w:tcPr>
            <w:tcW w:w="4900" w:type="pct"/>
            <w:hideMark/>
          </w:tcPr>
          <w:p w14:paraId="1B13D1F2" w14:textId="77777777" w:rsidR="00000000" w:rsidRDefault="00847163">
            <w:pPr>
              <w:rPr>
                <w:rFonts w:eastAsia="Times New Roman"/>
                <w:sz w:val="20"/>
                <w:szCs w:val="20"/>
              </w:rPr>
            </w:pPr>
            <w:r>
              <w:rPr>
                <w:rFonts w:eastAsia="Times New Roman"/>
                <w:sz w:val="20"/>
                <w:szCs w:val="20"/>
              </w:rPr>
              <w:t> </w:t>
            </w:r>
          </w:p>
        </w:tc>
        <w:tc>
          <w:tcPr>
            <w:tcW w:w="100" w:type="pct"/>
            <w:vAlign w:val="bottom"/>
            <w:hideMark/>
          </w:tcPr>
          <w:p w14:paraId="6269F94B" w14:textId="77777777" w:rsidR="00000000" w:rsidRDefault="00847163">
            <w:pPr>
              <w:rPr>
                <w:rFonts w:eastAsia="Times New Roman"/>
                <w:sz w:val="20"/>
                <w:szCs w:val="20"/>
              </w:rPr>
            </w:pPr>
            <w:r>
              <w:rPr>
                <w:rFonts w:eastAsia="Times New Roman"/>
                <w:sz w:val="20"/>
                <w:szCs w:val="20"/>
              </w:rPr>
              <w:t> </w:t>
            </w:r>
          </w:p>
        </w:tc>
      </w:tr>
      <w:tr w:rsidR="00000000" w14:paraId="6B76B849" w14:textId="77777777">
        <w:trPr>
          <w:divId w:val="678045080"/>
          <w:tblCellSpacing w:w="0" w:type="dxa"/>
        </w:trPr>
        <w:tc>
          <w:tcPr>
            <w:tcW w:w="4900" w:type="pct"/>
            <w:hideMark/>
          </w:tcPr>
          <w:p w14:paraId="51F01AE2" w14:textId="77777777" w:rsidR="00000000" w:rsidRDefault="00847163">
            <w:pPr>
              <w:rPr>
                <w:rFonts w:eastAsia="Times New Roman"/>
                <w:sz w:val="20"/>
                <w:szCs w:val="20"/>
              </w:rPr>
            </w:pPr>
            <w:hyperlink w:anchor="i1" w:history="1">
              <w:r>
                <w:rPr>
                  <w:rStyle w:val="a4"/>
                  <w:rFonts w:eastAsia="Times New Roman"/>
                  <w:sz w:val="20"/>
                  <w:szCs w:val="20"/>
                </w:rPr>
                <w:t>Item 1.  Legal Proceedings.</w:t>
              </w:r>
            </w:hyperlink>
          </w:p>
        </w:tc>
        <w:tc>
          <w:tcPr>
            <w:tcW w:w="100" w:type="pct"/>
            <w:tcMar>
              <w:top w:w="0" w:type="dxa"/>
              <w:left w:w="525" w:type="dxa"/>
              <w:bottom w:w="0" w:type="dxa"/>
              <w:right w:w="0" w:type="dxa"/>
            </w:tcMar>
            <w:vAlign w:val="bottom"/>
            <w:hideMark/>
          </w:tcPr>
          <w:p w14:paraId="03443A21" w14:textId="77777777" w:rsidR="00000000" w:rsidRDefault="00847163">
            <w:pPr>
              <w:jc w:val="center"/>
              <w:rPr>
                <w:rFonts w:eastAsia="Times New Roman"/>
                <w:sz w:val="20"/>
                <w:szCs w:val="20"/>
              </w:rPr>
            </w:pPr>
            <w:hyperlink w:anchor="i1" w:history="1">
              <w:r>
                <w:rPr>
                  <w:rStyle w:val="a4"/>
                  <w:rFonts w:eastAsia="Times New Roman"/>
                  <w:sz w:val="20"/>
                  <w:szCs w:val="20"/>
                </w:rPr>
                <w:t>31</w:t>
              </w:r>
            </w:hyperlink>
          </w:p>
        </w:tc>
      </w:tr>
      <w:tr w:rsidR="00000000" w14:paraId="21A2B374" w14:textId="77777777">
        <w:trPr>
          <w:divId w:val="678045080"/>
          <w:tblCellSpacing w:w="0" w:type="dxa"/>
        </w:trPr>
        <w:tc>
          <w:tcPr>
            <w:tcW w:w="4900" w:type="pct"/>
            <w:hideMark/>
          </w:tcPr>
          <w:p w14:paraId="4488C07B" w14:textId="77777777" w:rsidR="00000000" w:rsidRDefault="00847163">
            <w:pPr>
              <w:rPr>
                <w:rFonts w:eastAsia="Times New Roman"/>
                <w:sz w:val="20"/>
                <w:szCs w:val="20"/>
              </w:rPr>
            </w:pPr>
            <w:r>
              <w:rPr>
                <w:rFonts w:eastAsia="Times New Roman"/>
                <w:sz w:val="20"/>
                <w:szCs w:val="20"/>
              </w:rPr>
              <w:t> </w:t>
            </w:r>
          </w:p>
        </w:tc>
        <w:tc>
          <w:tcPr>
            <w:tcW w:w="100" w:type="pct"/>
            <w:tcMar>
              <w:top w:w="0" w:type="dxa"/>
              <w:left w:w="525" w:type="dxa"/>
              <w:bottom w:w="0" w:type="dxa"/>
              <w:right w:w="0" w:type="dxa"/>
            </w:tcMar>
            <w:vAlign w:val="bottom"/>
            <w:hideMark/>
          </w:tcPr>
          <w:p w14:paraId="4D4D181B" w14:textId="77777777" w:rsidR="00000000" w:rsidRDefault="00847163">
            <w:pPr>
              <w:jc w:val="center"/>
              <w:rPr>
                <w:rFonts w:eastAsia="Times New Roman"/>
                <w:sz w:val="20"/>
                <w:szCs w:val="20"/>
              </w:rPr>
            </w:pPr>
            <w:r>
              <w:rPr>
                <w:rFonts w:eastAsia="Times New Roman"/>
                <w:sz w:val="20"/>
                <w:szCs w:val="20"/>
              </w:rPr>
              <w:t> </w:t>
            </w:r>
          </w:p>
        </w:tc>
      </w:tr>
      <w:tr w:rsidR="00000000" w14:paraId="01152ADA" w14:textId="77777777">
        <w:trPr>
          <w:divId w:val="678045080"/>
          <w:tblCellSpacing w:w="0" w:type="dxa"/>
        </w:trPr>
        <w:tc>
          <w:tcPr>
            <w:tcW w:w="4900" w:type="pct"/>
            <w:hideMark/>
          </w:tcPr>
          <w:p w14:paraId="79CB3557" w14:textId="77777777" w:rsidR="00000000" w:rsidRDefault="00847163">
            <w:pPr>
              <w:rPr>
                <w:rFonts w:eastAsia="Times New Roman"/>
                <w:sz w:val="20"/>
                <w:szCs w:val="20"/>
              </w:rPr>
            </w:pPr>
            <w:hyperlink w:anchor="i1a" w:history="1">
              <w:r>
                <w:rPr>
                  <w:rStyle w:val="a4"/>
                  <w:rFonts w:eastAsia="Times New Roman"/>
                  <w:sz w:val="20"/>
                  <w:szCs w:val="20"/>
                </w:rPr>
                <w:t>Item 1A.  Risk Factors.</w:t>
              </w:r>
            </w:hyperlink>
          </w:p>
        </w:tc>
        <w:tc>
          <w:tcPr>
            <w:tcW w:w="100" w:type="pct"/>
            <w:tcMar>
              <w:top w:w="0" w:type="dxa"/>
              <w:left w:w="525" w:type="dxa"/>
              <w:bottom w:w="0" w:type="dxa"/>
              <w:right w:w="0" w:type="dxa"/>
            </w:tcMar>
            <w:vAlign w:val="bottom"/>
            <w:hideMark/>
          </w:tcPr>
          <w:p w14:paraId="03CA4066" w14:textId="77777777" w:rsidR="00000000" w:rsidRDefault="00847163">
            <w:pPr>
              <w:jc w:val="center"/>
              <w:rPr>
                <w:rFonts w:eastAsia="Times New Roman"/>
                <w:sz w:val="20"/>
                <w:szCs w:val="20"/>
              </w:rPr>
            </w:pPr>
            <w:hyperlink w:anchor="i1a" w:history="1">
              <w:r>
                <w:rPr>
                  <w:rStyle w:val="a4"/>
                  <w:rFonts w:eastAsia="Times New Roman"/>
                  <w:sz w:val="20"/>
                  <w:szCs w:val="20"/>
                </w:rPr>
                <w:t>31</w:t>
              </w:r>
            </w:hyperlink>
          </w:p>
        </w:tc>
      </w:tr>
      <w:tr w:rsidR="00000000" w14:paraId="2C9FC5E8" w14:textId="77777777">
        <w:trPr>
          <w:divId w:val="678045080"/>
          <w:tblCellSpacing w:w="0" w:type="dxa"/>
        </w:trPr>
        <w:tc>
          <w:tcPr>
            <w:tcW w:w="4900" w:type="pct"/>
            <w:hideMark/>
          </w:tcPr>
          <w:p w14:paraId="24199D9A" w14:textId="77777777" w:rsidR="00000000" w:rsidRDefault="00847163">
            <w:pPr>
              <w:rPr>
                <w:rFonts w:eastAsia="Times New Roman"/>
                <w:sz w:val="20"/>
                <w:szCs w:val="20"/>
              </w:rPr>
            </w:pPr>
            <w:r>
              <w:rPr>
                <w:rFonts w:eastAsia="Times New Roman"/>
                <w:sz w:val="20"/>
                <w:szCs w:val="20"/>
              </w:rPr>
              <w:t> </w:t>
            </w:r>
          </w:p>
        </w:tc>
        <w:tc>
          <w:tcPr>
            <w:tcW w:w="100" w:type="pct"/>
            <w:tcMar>
              <w:top w:w="0" w:type="dxa"/>
              <w:left w:w="525" w:type="dxa"/>
              <w:bottom w:w="0" w:type="dxa"/>
              <w:right w:w="0" w:type="dxa"/>
            </w:tcMar>
            <w:vAlign w:val="bottom"/>
            <w:hideMark/>
          </w:tcPr>
          <w:p w14:paraId="05BFDD77" w14:textId="77777777" w:rsidR="00000000" w:rsidRDefault="00847163">
            <w:pPr>
              <w:jc w:val="center"/>
              <w:rPr>
                <w:rFonts w:eastAsia="Times New Roman"/>
                <w:sz w:val="20"/>
                <w:szCs w:val="20"/>
              </w:rPr>
            </w:pPr>
            <w:r>
              <w:rPr>
                <w:rFonts w:eastAsia="Times New Roman"/>
                <w:sz w:val="20"/>
                <w:szCs w:val="20"/>
              </w:rPr>
              <w:t> </w:t>
            </w:r>
          </w:p>
        </w:tc>
      </w:tr>
      <w:tr w:rsidR="00000000" w14:paraId="1DDD6434" w14:textId="77777777">
        <w:trPr>
          <w:divId w:val="678045080"/>
          <w:tblCellSpacing w:w="0" w:type="dxa"/>
        </w:trPr>
        <w:tc>
          <w:tcPr>
            <w:tcW w:w="4900" w:type="pct"/>
            <w:hideMark/>
          </w:tcPr>
          <w:p w14:paraId="087822CC" w14:textId="77777777" w:rsidR="00000000" w:rsidRDefault="00847163">
            <w:pPr>
              <w:rPr>
                <w:rFonts w:eastAsia="Times New Roman"/>
                <w:sz w:val="20"/>
                <w:szCs w:val="20"/>
              </w:rPr>
            </w:pPr>
            <w:hyperlink w:anchor="i2" w:history="1">
              <w:r>
                <w:rPr>
                  <w:rStyle w:val="a4"/>
                  <w:rFonts w:eastAsia="Times New Roman"/>
                  <w:sz w:val="20"/>
                  <w:szCs w:val="20"/>
                </w:rPr>
                <w:t xml:space="preserve">Item 2.  Unregistered Sales of Equity Securities and </w:t>
              </w:r>
              <w:r>
                <w:rPr>
                  <w:rStyle w:val="a4"/>
                  <w:rFonts w:eastAsia="Times New Roman"/>
                  <w:sz w:val="20"/>
                  <w:szCs w:val="20"/>
                </w:rPr>
                <w:t>Use of Proceeds.</w:t>
              </w:r>
            </w:hyperlink>
          </w:p>
        </w:tc>
        <w:tc>
          <w:tcPr>
            <w:tcW w:w="100" w:type="pct"/>
            <w:tcMar>
              <w:top w:w="0" w:type="dxa"/>
              <w:left w:w="525" w:type="dxa"/>
              <w:bottom w:w="0" w:type="dxa"/>
              <w:right w:w="0" w:type="dxa"/>
            </w:tcMar>
            <w:vAlign w:val="bottom"/>
            <w:hideMark/>
          </w:tcPr>
          <w:p w14:paraId="03DBAF36" w14:textId="77777777" w:rsidR="00000000" w:rsidRDefault="00847163">
            <w:pPr>
              <w:jc w:val="center"/>
              <w:rPr>
                <w:rFonts w:eastAsia="Times New Roman"/>
                <w:sz w:val="20"/>
                <w:szCs w:val="20"/>
              </w:rPr>
            </w:pPr>
            <w:hyperlink w:anchor="i2" w:history="1">
              <w:r>
                <w:rPr>
                  <w:rStyle w:val="a4"/>
                  <w:rFonts w:eastAsia="Times New Roman"/>
                  <w:sz w:val="20"/>
                  <w:szCs w:val="20"/>
                </w:rPr>
                <w:t>32</w:t>
              </w:r>
            </w:hyperlink>
          </w:p>
        </w:tc>
      </w:tr>
      <w:tr w:rsidR="00000000" w14:paraId="57965AA1" w14:textId="77777777">
        <w:trPr>
          <w:divId w:val="678045080"/>
          <w:tblCellSpacing w:w="0" w:type="dxa"/>
        </w:trPr>
        <w:tc>
          <w:tcPr>
            <w:tcW w:w="4900" w:type="pct"/>
            <w:hideMark/>
          </w:tcPr>
          <w:p w14:paraId="5159D5DA" w14:textId="77777777" w:rsidR="00000000" w:rsidRDefault="00847163">
            <w:pPr>
              <w:rPr>
                <w:rFonts w:eastAsia="Times New Roman"/>
                <w:sz w:val="20"/>
                <w:szCs w:val="20"/>
              </w:rPr>
            </w:pPr>
            <w:r>
              <w:rPr>
                <w:rFonts w:eastAsia="Times New Roman"/>
                <w:sz w:val="20"/>
                <w:szCs w:val="20"/>
              </w:rPr>
              <w:t> </w:t>
            </w:r>
          </w:p>
        </w:tc>
        <w:tc>
          <w:tcPr>
            <w:tcW w:w="100" w:type="pct"/>
            <w:tcMar>
              <w:top w:w="0" w:type="dxa"/>
              <w:left w:w="525" w:type="dxa"/>
              <w:bottom w:w="0" w:type="dxa"/>
              <w:right w:w="0" w:type="dxa"/>
            </w:tcMar>
            <w:vAlign w:val="bottom"/>
            <w:hideMark/>
          </w:tcPr>
          <w:p w14:paraId="7E6DDBCE" w14:textId="77777777" w:rsidR="00000000" w:rsidRDefault="00847163">
            <w:pPr>
              <w:jc w:val="center"/>
              <w:rPr>
                <w:rFonts w:eastAsia="Times New Roman"/>
                <w:sz w:val="20"/>
                <w:szCs w:val="20"/>
              </w:rPr>
            </w:pPr>
            <w:r>
              <w:rPr>
                <w:rFonts w:eastAsia="Times New Roman"/>
                <w:sz w:val="20"/>
                <w:szCs w:val="20"/>
              </w:rPr>
              <w:t> </w:t>
            </w:r>
          </w:p>
        </w:tc>
      </w:tr>
      <w:tr w:rsidR="00000000" w14:paraId="661E0D47" w14:textId="77777777">
        <w:trPr>
          <w:divId w:val="678045080"/>
          <w:tblCellSpacing w:w="0" w:type="dxa"/>
        </w:trPr>
        <w:tc>
          <w:tcPr>
            <w:tcW w:w="4900" w:type="pct"/>
            <w:hideMark/>
          </w:tcPr>
          <w:p w14:paraId="3E1FC8CD" w14:textId="77777777" w:rsidR="00000000" w:rsidRDefault="00847163">
            <w:pPr>
              <w:rPr>
                <w:rFonts w:eastAsia="Times New Roman"/>
                <w:sz w:val="20"/>
                <w:szCs w:val="20"/>
              </w:rPr>
            </w:pPr>
            <w:hyperlink w:anchor="item3" w:history="1">
              <w:r>
                <w:rPr>
                  <w:rStyle w:val="a4"/>
                  <w:rFonts w:eastAsia="Times New Roman"/>
                  <w:sz w:val="20"/>
                  <w:szCs w:val="20"/>
                </w:rPr>
                <w:t>Item 3.  Defaults Upon Senior Securities.</w:t>
              </w:r>
            </w:hyperlink>
          </w:p>
        </w:tc>
        <w:tc>
          <w:tcPr>
            <w:tcW w:w="100" w:type="pct"/>
            <w:tcMar>
              <w:top w:w="0" w:type="dxa"/>
              <w:left w:w="525" w:type="dxa"/>
              <w:bottom w:w="0" w:type="dxa"/>
              <w:right w:w="0" w:type="dxa"/>
            </w:tcMar>
            <w:vAlign w:val="bottom"/>
            <w:hideMark/>
          </w:tcPr>
          <w:p w14:paraId="6467330B" w14:textId="77777777" w:rsidR="00000000" w:rsidRDefault="00847163">
            <w:pPr>
              <w:jc w:val="center"/>
              <w:rPr>
                <w:rFonts w:eastAsia="Times New Roman"/>
                <w:sz w:val="20"/>
                <w:szCs w:val="20"/>
              </w:rPr>
            </w:pPr>
            <w:hyperlink w:anchor="item3" w:history="1">
              <w:r>
                <w:rPr>
                  <w:rStyle w:val="a4"/>
                  <w:rFonts w:eastAsia="Times New Roman"/>
                  <w:sz w:val="20"/>
                  <w:szCs w:val="20"/>
                </w:rPr>
                <w:t>32</w:t>
              </w:r>
            </w:hyperlink>
          </w:p>
        </w:tc>
      </w:tr>
      <w:tr w:rsidR="00000000" w14:paraId="101F7F39" w14:textId="77777777">
        <w:trPr>
          <w:divId w:val="678045080"/>
          <w:tblCellSpacing w:w="0" w:type="dxa"/>
        </w:trPr>
        <w:tc>
          <w:tcPr>
            <w:tcW w:w="4900" w:type="pct"/>
            <w:hideMark/>
          </w:tcPr>
          <w:p w14:paraId="29F0464B" w14:textId="77777777" w:rsidR="00000000" w:rsidRDefault="00847163">
            <w:pPr>
              <w:rPr>
                <w:rFonts w:eastAsia="Times New Roman"/>
                <w:sz w:val="20"/>
                <w:szCs w:val="20"/>
              </w:rPr>
            </w:pPr>
            <w:r>
              <w:rPr>
                <w:rFonts w:eastAsia="Times New Roman"/>
                <w:sz w:val="20"/>
                <w:szCs w:val="20"/>
              </w:rPr>
              <w:t> </w:t>
            </w:r>
          </w:p>
        </w:tc>
        <w:tc>
          <w:tcPr>
            <w:tcW w:w="100" w:type="pct"/>
            <w:tcMar>
              <w:top w:w="0" w:type="dxa"/>
              <w:left w:w="525" w:type="dxa"/>
              <w:bottom w:w="0" w:type="dxa"/>
              <w:right w:w="0" w:type="dxa"/>
            </w:tcMar>
            <w:vAlign w:val="bottom"/>
            <w:hideMark/>
          </w:tcPr>
          <w:p w14:paraId="01C57B80" w14:textId="77777777" w:rsidR="00000000" w:rsidRDefault="00847163">
            <w:pPr>
              <w:jc w:val="center"/>
              <w:rPr>
                <w:rFonts w:eastAsia="Times New Roman"/>
                <w:sz w:val="20"/>
                <w:szCs w:val="20"/>
              </w:rPr>
            </w:pPr>
            <w:r>
              <w:rPr>
                <w:rFonts w:eastAsia="Times New Roman"/>
                <w:sz w:val="20"/>
                <w:szCs w:val="20"/>
              </w:rPr>
              <w:t> </w:t>
            </w:r>
          </w:p>
        </w:tc>
      </w:tr>
      <w:tr w:rsidR="00000000" w14:paraId="7BE898B9" w14:textId="77777777">
        <w:trPr>
          <w:divId w:val="678045080"/>
          <w:tblCellSpacing w:w="0" w:type="dxa"/>
        </w:trPr>
        <w:tc>
          <w:tcPr>
            <w:tcW w:w="4900" w:type="pct"/>
            <w:hideMark/>
          </w:tcPr>
          <w:p w14:paraId="23605726" w14:textId="77777777" w:rsidR="00000000" w:rsidRDefault="00847163">
            <w:pPr>
              <w:rPr>
                <w:rFonts w:eastAsia="Times New Roman"/>
                <w:sz w:val="20"/>
                <w:szCs w:val="20"/>
              </w:rPr>
            </w:pPr>
            <w:hyperlink w:anchor="item4" w:history="1">
              <w:r>
                <w:rPr>
                  <w:rStyle w:val="a4"/>
                  <w:rFonts w:eastAsia="Times New Roman"/>
                  <w:sz w:val="20"/>
                  <w:szCs w:val="20"/>
                </w:rPr>
                <w:t>Item 4.  Mine Safety Disclosures.</w:t>
              </w:r>
            </w:hyperlink>
          </w:p>
        </w:tc>
        <w:tc>
          <w:tcPr>
            <w:tcW w:w="100" w:type="pct"/>
            <w:tcMar>
              <w:top w:w="0" w:type="dxa"/>
              <w:left w:w="525" w:type="dxa"/>
              <w:bottom w:w="0" w:type="dxa"/>
              <w:right w:w="0" w:type="dxa"/>
            </w:tcMar>
            <w:vAlign w:val="bottom"/>
            <w:hideMark/>
          </w:tcPr>
          <w:p w14:paraId="41FC0214" w14:textId="77777777" w:rsidR="00000000" w:rsidRDefault="00847163">
            <w:pPr>
              <w:jc w:val="center"/>
              <w:rPr>
                <w:rFonts w:eastAsia="Times New Roman"/>
                <w:sz w:val="20"/>
                <w:szCs w:val="20"/>
              </w:rPr>
            </w:pPr>
            <w:hyperlink w:anchor="item4" w:history="1">
              <w:r>
                <w:rPr>
                  <w:rStyle w:val="a4"/>
                  <w:rFonts w:eastAsia="Times New Roman"/>
                  <w:sz w:val="20"/>
                  <w:szCs w:val="20"/>
                </w:rPr>
                <w:t>32</w:t>
              </w:r>
            </w:hyperlink>
          </w:p>
        </w:tc>
      </w:tr>
      <w:tr w:rsidR="00000000" w14:paraId="6F449234" w14:textId="77777777">
        <w:trPr>
          <w:divId w:val="678045080"/>
          <w:tblCellSpacing w:w="0" w:type="dxa"/>
        </w:trPr>
        <w:tc>
          <w:tcPr>
            <w:tcW w:w="4900" w:type="pct"/>
            <w:hideMark/>
          </w:tcPr>
          <w:p w14:paraId="2537DAC8" w14:textId="77777777" w:rsidR="00000000" w:rsidRDefault="00847163">
            <w:pPr>
              <w:rPr>
                <w:rFonts w:eastAsia="Times New Roman"/>
                <w:sz w:val="20"/>
                <w:szCs w:val="20"/>
              </w:rPr>
            </w:pPr>
            <w:r>
              <w:rPr>
                <w:rFonts w:eastAsia="Times New Roman"/>
                <w:sz w:val="20"/>
                <w:szCs w:val="20"/>
              </w:rPr>
              <w:t> </w:t>
            </w:r>
          </w:p>
        </w:tc>
        <w:tc>
          <w:tcPr>
            <w:tcW w:w="100" w:type="pct"/>
            <w:tcMar>
              <w:top w:w="0" w:type="dxa"/>
              <w:left w:w="525" w:type="dxa"/>
              <w:bottom w:w="0" w:type="dxa"/>
              <w:right w:w="0" w:type="dxa"/>
            </w:tcMar>
            <w:vAlign w:val="bottom"/>
            <w:hideMark/>
          </w:tcPr>
          <w:p w14:paraId="6AD101F2" w14:textId="77777777" w:rsidR="00000000" w:rsidRDefault="00847163">
            <w:pPr>
              <w:jc w:val="center"/>
              <w:rPr>
                <w:rFonts w:eastAsia="Times New Roman"/>
                <w:sz w:val="20"/>
                <w:szCs w:val="20"/>
              </w:rPr>
            </w:pPr>
            <w:r>
              <w:rPr>
                <w:rFonts w:eastAsia="Times New Roman"/>
                <w:sz w:val="20"/>
                <w:szCs w:val="20"/>
              </w:rPr>
              <w:t> </w:t>
            </w:r>
          </w:p>
        </w:tc>
      </w:tr>
      <w:tr w:rsidR="00000000" w14:paraId="43CE58B5" w14:textId="77777777">
        <w:trPr>
          <w:divId w:val="678045080"/>
          <w:tblCellSpacing w:w="0" w:type="dxa"/>
        </w:trPr>
        <w:tc>
          <w:tcPr>
            <w:tcW w:w="4900" w:type="pct"/>
            <w:hideMark/>
          </w:tcPr>
          <w:p w14:paraId="34A9C74F" w14:textId="77777777" w:rsidR="00000000" w:rsidRDefault="00847163">
            <w:pPr>
              <w:rPr>
                <w:rFonts w:eastAsia="Times New Roman"/>
                <w:sz w:val="20"/>
                <w:szCs w:val="20"/>
              </w:rPr>
            </w:pPr>
            <w:hyperlink w:anchor="item5" w:history="1">
              <w:r>
                <w:rPr>
                  <w:rStyle w:val="a4"/>
                  <w:rFonts w:eastAsia="Times New Roman"/>
                  <w:sz w:val="20"/>
                  <w:szCs w:val="20"/>
                </w:rPr>
                <w:t>Item 5.  Other Information.</w:t>
              </w:r>
            </w:hyperlink>
          </w:p>
        </w:tc>
        <w:tc>
          <w:tcPr>
            <w:tcW w:w="100" w:type="pct"/>
            <w:tcMar>
              <w:top w:w="0" w:type="dxa"/>
              <w:left w:w="525" w:type="dxa"/>
              <w:bottom w:w="0" w:type="dxa"/>
              <w:right w:w="0" w:type="dxa"/>
            </w:tcMar>
            <w:vAlign w:val="bottom"/>
            <w:hideMark/>
          </w:tcPr>
          <w:p w14:paraId="704FE342" w14:textId="77777777" w:rsidR="00000000" w:rsidRDefault="00847163">
            <w:pPr>
              <w:jc w:val="center"/>
              <w:rPr>
                <w:rFonts w:eastAsia="Times New Roman"/>
                <w:sz w:val="20"/>
                <w:szCs w:val="20"/>
              </w:rPr>
            </w:pPr>
            <w:hyperlink w:anchor="item5" w:history="1">
              <w:r>
                <w:rPr>
                  <w:rStyle w:val="a4"/>
                  <w:rFonts w:eastAsia="Times New Roman"/>
                  <w:sz w:val="20"/>
                  <w:szCs w:val="20"/>
                </w:rPr>
                <w:t>32</w:t>
              </w:r>
            </w:hyperlink>
          </w:p>
        </w:tc>
      </w:tr>
      <w:tr w:rsidR="00000000" w14:paraId="1F117097" w14:textId="77777777">
        <w:trPr>
          <w:divId w:val="678045080"/>
          <w:tblCellSpacing w:w="0" w:type="dxa"/>
        </w:trPr>
        <w:tc>
          <w:tcPr>
            <w:tcW w:w="4900" w:type="pct"/>
            <w:hideMark/>
          </w:tcPr>
          <w:p w14:paraId="5E2DE9CD" w14:textId="77777777" w:rsidR="00000000" w:rsidRDefault="00847163">
            <w:pPr>
              <w:rPr>
                <w:rFonts w:eastAsia="Times New Roman"/>
                <w:sz w:val="20"/>
                <w:szCs w:val="20"/>
              </w:rPr>
            </w:pPr>
            <w:r>
              <w:rPr>
                <w:rFonts w:eastAsia="Times New Roman"/>
                <w:sz w:val="20"/>
                <w:szCs w:val="20"/>
              </w:rPr>
              <w:t> </w:t>
            </w:r>
          </w:p>
        </w:tc>
        <w:tc>
          <w:tcPr>
            <w:tcW w:w="100" w:type="pct"/>
            <w:tcMar>
              <w:top w:w="0" w:type="dxa"/>
              <w:left w:w="525" w:type="dxa"/>
              <w:bottom w:w="0" w:type="dxa"/>
              <w:right w:w="0" w:type="dxa"/>
            </w:tcMar>
            <w:vAlign w:val="bottom"/>
            <w:hideMark/>
          </w:tcPr>
          <w:p w14:paraId="226F3358" w14:textId="77777777" w:rsidR="00000000" w:rsidRDefault="00847163">
            <w:pPr>
              <w:jc w:val="center"/>
              <w:rPr>
                <w:rFonts w:eastAsia="Times New Roman"/>
                <w:sz w:val="20"/>
                <w:szCs w:val="20"/>
              </w:rPr>
            </w:pPr>
            <w:r>
              <w:rPr>
                <w:rFonts w:eastAsia="Times New Roman"/>
                <w:sz w:val="20"/>
                <w:szCs w:val="20"/>
              </w:rPr>
              <w:t> </w:t>
            </w:r>
          </w:p>
        </w:tc>
      </w:tr>
      <w:tr w:rsidR="00000000" w14:paraId="2F151088" w14:textId="77777777">
        <w:trPr>
          <w:divId w:val="678045080"/>
          <w:tblCellSpacing w:w="0" w:type="dxa"/>
        </w:trPr>
        <w:tc>
          <w:tcPr>
            <w:tcW w:w="4900" w:type="pct"/>
            <w:hideMark/>
          </w:tcPr>
          <w:p w14:paraId="7B191E7A" w14:textId="77777777" w:rsidR="00000000" w:rsidRDefault="00847163">
            <w:pPr>
              <w:rPr>
                <w:rFonts w:eastAsia="Times New Roman"/>
                <w:sz w:val="20"/>
                <w:szCs w:val="20"/>
              </w:rPr>
            </w:pPr>
            <w:hyperlink w:anchor="item6" w:history="1">
              <w:r>
                <w:rPr>
                  <w:rStyle w:val="a4"/>
                  <w:rFonts w:eastAsia="Times New Roman"/>
                  <w:sz w:val="20"/>
                  <w:szCs w:val="20"/>
                </w:rPr>
                <w:t>Item 6.  Exhibits.</w:t>
              </w:r>
            </w:hyperlink>
          </w:p>
        </w:tc>
        <w:tc>
          <w:tcPr>
            <w:tcW w:w="100" w:type="pct"/>
            <w:tcMar>
              <w:top w:w="0" w:type="dxa"/>
              <w:left w:w="525" w:type="dxa"/>
              <w:bottom w:w="0" w:type="dxa"/>
              <w:right w:w="0" w:type="dxa"/>
            </w:tcMar>
            <w:vAlign w:val="bottom"/>
            <w:hideMark/>
          </w:tcPr>
          <w:p w14:paraId="0DB3356B" w14:textId="77777777" w:rsidR="00000000" w:rsidRDefault="00847163">
            <w:pPr>
              <w:jc w:val="center"/>
              <w:rPr>
                <w:rFonts w:eastAsia="Times New Roman"/>
                <w:sz w:val="20"/>
                <w:szCs w:val="20"/>
              </w:rPr>
            </w:pPr>
            <w:hyperlink w:anchor="item6" w:history="1">
              <w:r>
                <w:rPr>
                  <w:rStyle w:val="a4"/>
                  <w:rFonts w:eastAsia="Times New Roman"/>
                  <w:sz w:val="20"/>
                  <w:szCs w:val="20"/>
                </w:rPr>
                <w:t>33</w:t>
              </w:r>
            </w:hyperlink>
          </w:p>
        </w:tc>
      </w:tr>
      <w:tr w:rsidR="00000000" w14:paraId="702EEA3E" w14:textId="77777777">
        <w:trPr>
          <w:divId w:val="678045080"/>
          <w:tblCellSpacing w:w="0" w:type="dxa"/>
        </w:trPr>
        <w:tc>
          <w:tcPr>
            <w:tcW w:w="4900" w:type="pct"/>
            <w:hideMark/>
          </w:tcPr>
          <w:p w14:paraId="5627EFE5" w14:textId="77777777" w:rsidR="00000000" w:rsidRDefault="00847163">
            <w:pPr>
              <w:rPr>
                <w:rFonts w:eastAsia="Times New Roman"/>
                <w:sz w:val="20"/>
                <w:szCs w:val="20"/>
              </w:rPr>
            </w:pPr>
            <w:r>
              <w:rPr>
                <w:rFonts w:eastAsia="Times New Roman"/>
                <w:sz w:val="20"/>
                <w:szCs w:val="20"/>
              </w:rPr>
              <w:t> </w:t>
            </w:r>
          </w:p>
        </w:tc>
        <w:tc>
          <w:tcPr>
            <w:tcW w:w="100" w:type="pct"/>
            <w:tcMar>
              <w:top w:w="0" w:type="dxa"/>
              <w:left w:w="525" w:type="dxa"/>
              <w:bottom w:w="0" w:type="dxa"/>
              <w:right w:w="0" w:type="dxa"/>
            </w:tcMar>
            <w:vAlign w:val="bottom"/>
            <w:hideMark/>
          </w:tcPr>
          <w:p w14:paraId="552B10C3" w14:textId="77777777" w:rsidR="00000000" w:rsidRDefault="00847163">
            <w:pPr>
              <w:jc w:val="center"/>
              <w:rPr>
                <w:rFonts w:eastAsia="Times New Roman"/>
                <w:sz w:val="20"/>
                <w:szCs w:val="20"/>
              </w:rPr>
            </w:pPr>
            <w:r>
              <w:rPr>
                <w:rFonts w:eastAsia="Times New Roman"/>
                <w:sz w:val="20"/>
                <w:szCs w:val="20"/>
              </w:rPr>
              <w:t> </w:t>
            </w:r>
          </w:p>
        </w:tc>
      </w:tr>
      <w:tr w:rsidR="00000000" w14:paraId="72B81D59" w14:textId="77777777">
        <w:trPr>
          <w:divId w:val="678045080"/>
          <w:tblCellSpacing w:w="0" w:type="dxa"/>
        </w:trPr>
        <w:tc>
          <w:tcPr>
            <w:tcW w:w="4900" w:type="pct"/>
            <w:hideMark/>
          </w:tcPr>
          <w:p w14:paraId="52DD51D2" w14:textId="77777777" w:rsidR="00000000" w:rsidRDefault="00847163">
            <w:pPr>
              <w:rPr>
                <w:rFonts w:eastAsia="Times New Roman"/>
                <w:sz w:val="20"/>
                <w:szCs w:val="20"/>
              </w:rPr>
            </w:pPr>
            <w:hyperlink w:anchor="sigs" w:history="1">
              <w:r>
                <w:rPr>
                  <w:rStyle w:val="a4"/>
                  <w:rFonts w:eastAsia="Times New Roman"/>
                  <w:sz w:val="20"/>
                  <w:szCs w:val="20"/>
                </w:rPr>
                <w:t>Signatures</w:t>
              </w:r>
            </w:hyperlink>
          </w:p>
        </w:tc>
        <w:tc>
          <w:tcPr>
            <w:tcW w:w="100" w:type="pct"/>
            <w:tcMar>
              <w:top w:w="0" w:type="dxa"/>
              <w:left w:w="525" w:type="dxa"/>
              <w:bottom w:w="0" w:type="dxa"/>
              <w:right w:w="0" w:type="dxa"/>
            </w:tcMar>
            <w:vAlign w:val="bottom"/>
            <w:hideMark/>
          </w:tcPr>
          <w:p w14:paraId="0F98C487" w14:textId="77777777" w:rsidR="00000000" w:rsidRDefault="00847163">
            <w:pPr>
              <w:jc w:val="center"/>
              <w:rPr>
                <w:rFonts w:eastAsia="Times New Roman"/>
                <w:sz w:val="20"/>
                <w:szCs w:val="20"/>
              </w:rPr>
            </w:pPr>
            <w:hyperlink w:anchor="sigs" w:history="1">
              <w:r>
                <w:rPr>
                  <w:rStyle w:val="a4"/>
                  <w:rFonts w:eastAsia="Times New Roman"/>
                  <w:sz w:val="20"/>
                  <w:szCs w:val="20"/>
                </w:rPr>
                <w:t>34</w:t>
              </w:r>
            </w:hyperlink>
          </w:p>
        </w:tc>
      </w:tr>
    </w:tbl>
    <w:p w14:paraId="1C4AC2EA" w14:textId="77777777" w:rsidR="00000000" w:rsidRDefault="00847163">
      <w:pPr>
        <w:divId w:val="678045080"/>
        <w:rPr>
          <w:rFonts w:eastAsia="Times New Roman"/>
          <w:sz w:val="20"/>
          <w:szCs w:val="20"/>
        </w:rPr>
      </w:pPr>
      <w:r>
        <w:rPr>
          <w:rFonts w:eastAsia="Times New Roman"/>
          <w:b/>
          <w:bCs/>
          <w:sz w:val="20"/>
          <w:szCs w:val="20"/>
        </w:rPr>
        <w:t> </w:t>
      </w:r>
      <w:r>
        <w:rPr>
          <w:rFonts w:eastAsia="Times New Roman"/>
          <w:sz w:val="20"/>
          <w:szCs w:val="20"/>
        </w:rPr>
        <w:t xml:space="preserve"> </w:t>
      </w:r>
    </w:p>
    <w:p w14:paraId="7B244DEA" w14:textId="77777777" w:rsidR="00000000" w:rsidRDefault="00847163">
      <w:pPr>
        <w:jc w:val="center"/>
        <w:divId w:val="1324697222"/>
        <w:rPr>
          <w:rFonts w:eastAsia="Times New Roman"/>
          <w:sz w:val="20"/>
          <w:szCs w:val="20"/>
        </w:rPr>
      </w:pPr>
      <w:r>
        <w:rPr>
          <w:rFonts w:eastAsia="Times New Roman"/>
          <w:sz w:val="20"/>
          <w:szCs w:val="20"/>
        </w:rPr>
        <w:t xml:space="preserve">2 </w:t>
      </w:r>
    </w:p>
    <w:p w14:paraId="3ACE1214" w14:textId="77777777" w:rsidR="00000000" w:rsidRDefault="00847163">
      <w:pPr>
        <w:divId w:val="1284770483"/>
        <w:rPr>
          <w:rFonts w:eastAsia="Times New Roman"/>
          <w:sz w:val="20"/>
          <w:szCs w:val="20"/>
        </w:rPr>
      </w:pPr>
      <w:r>
        <w:rPr>
          <w:rFonts w:eastAsia="Times New Roman"/>
          <w:sz w:val="20"/>
          <w:szCs w:val="20"/>
        </w:rPr>
        <w:pict w14:anchorId="693046F8">
          <v:rect id="_x0000_i1030" style="width:0;height:1.5pt" o:hralign="center" o:hrstd="t" o:hr="t" fillcolor="#a0a0a0" stroked="f"/>
        </w:pict>
      </w:r>
    </w:p>
    <w:p w14:paraId="0E985DB7" w14:textId="77777777" w:rsidR="00000000" w:rsidRDefault="00847163">
      <w:pPr>
        <w:divId w:val="332032713"/>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064FDDCC" w14:textId="77777777" w:rsidR="00000000" w:rsidRDefault="00847163">
      <w:pPr>
        <w:divId w:val="2000570366"/>
        <w:rPr>
          <w:rFonts w:eastAsia="Times New Roman"/>
          <w:sz w:val="20"/>
          <w:szCs w:val="20"/>
        </w:rPr>
      </w:pPr>
      <w:r>
        <w:rPr>
          <w:rFonts w:eastAsia="Times New Roman"/>
          <w:sz w:val="20"/>
          <w:szCs w:val="20"/>
        </w:rPr>
        <w:t xml:space="preserve">  </w:t>
      </w:r>
    </w:p>
    <w:p w14:paraId="40FC83F2" w14:textId="77777777" w:rsidR="00000000" w:rsidRDefault="00847163">
      <w:pPr>
        <w:pStyle w:val="a3"/>
        <w:spacing w:before="0" w:beforeAutospacing="0" w:after="0" w:afterAutospacing="0"/>
        <w:rPr>
          <w:sz w:val="20"/>
          <w:szCs w:val="20"/>
        </w:rPr>
      </w:pPr>
      <w:r>
        <w:rPr>
          <w:sz w:val="20"/>
          <w:szCs w:val="20"/>
        </w:rPr>
        <w:t> </w:t>
      </w:r>
    </w:p>
    <w:p w14:paraId="325EB488" w14:textId="77777777" w:rsidR="00000000" w:rsidRDefault="00847163">
      <w:pPr>
        <w:pStyle w:val="a3"/>
        <w:spacing w:before="0" w:beforeAutospacing="0" w:after="0" w:afterAutospacing="0"/>
        <w:jc w:val="center"/>
        <w:rPr>
          <w:sz w:val="20"/>
          <w:szCs w:val="20"/>
        </w:rPr>
      </w:pPr>
      <w:r>
        <w:rPr>
          <w:sz w:val="20"/>
          <w:szCs w:val="20"/>
        </w:rPr>
        <w:t>KIMCO REALTY CORPORATION AND SUBSIDIARIES</w:t>
      </w:r>
    </w:p>
    <w:p w14:paraId="7640822C" w14:textId="77777777" w:rsidR="00000000" w:rsidRDefault="00847163">
      <w:pPr>
        <w:pStyle w:val="a3"/>
        <w:spacing w:before="0" w:beforeAutospacing="0" w:after="0" w:afterAutospacing="0"/>
        <w:jc w:val="center"/>
        <w:rPr>
          <w:sz w:val="20"/>
          <w:szCs w:val="20"/>
        </w:rPr>
      </w:pPr>
      <w:r>
        <w:rPr>
          <w:sz w:val="20"/>
          <w:szCs w:val="20"/>
        </w:rPr>
        <w:t>CONDENSED CONSOLIDATED BALANCE SHEETS</w:t>
      </w:r>
    </w:p>
    <w:p w14:paraId="23CEB7BD" w14:textId="77777777" w:rsidR="00000000" w:rsidRDefault="00847163">
      <w:pPr>
        <w:pStyle w:val="a3"/>
        <w:spacing w:before="0" w:beforeAutospacing="0" w:after="0" w:afterAutospacing="0"/>
        <w:jc w:val="center"/>
        <w:rPr>
          <w:sz w:val="20"/>
          <w:szCs w:val="20"/>
        </w:rPr>
      </w:pPr>
      <w:r>
        <w:rPr>
          <w:sz w:val="20"/>
          <w:szCs w:val="20"/>
        </w:rPr>
        <w:t>(Unaudited)</w:t>
      </w:r>
    </w:p>
    <w:p w14:paraId="4C6B9AE9" w14:textId="77777777" w:rsidR="00000000" w:rsidRDefault="00847163">
      <w:pPr>
        <w:pStyle w:val="a3"/>
        <w:spacing w:before="0" w:beforeAutospacing="0" w:after="0" w:afterAutospacing="0"/>
        <w:jc w:val="center"/>
        <w:rPr>
          <w:sz w:val="20"/>
          <w:szCs w:val="20"/>
        </w:rPr>
      </w:pPr>
      <w:r>
        <w:rPr>
          <w:sz w:val="20"/>
          <w:szCs w:val="20"/>
        </w:rPr>
        <w:t>(in thousands, except share information)</w:t>
      </w:r>
    </w:p>
    <w:p w14:paraId="5722C0E6" w14:textId="77777777" w:rsidR="00000000" w:rsidRDefault="00847163">
      <w:pPr>
        <w:pStyle w:val="a3"/>
        <w:spacing w:before="0" w:beforeAutospacing="0" w:after="0" w:afterAutospacing="0"/>
        <w:jc w:val="center"/>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809"/>
        <w:gridCol w:w="78"/>
        <w:gridCol w:w="100"/>
        <w:gridCol w:w="992"/>
        <w:gridCol w:w="78"/>
        <w:gridCol w:w="78"/>
        <w:gridCol w:w="100"/>
        <w:gridCol w:w="992"/>
        <w:gridCol w:w="79"/>
      </w:tblGrid>
      <w:tr w:rsidR="00000000" w14:paraId="37D7669B" w14:textId="77777777">
        <w:trPr>
          <w:divId w:val="869227351"/>
          <w:tblCellSpacing w:w="0" w:type="dxa"/>
        </w:trPr>
        <w:tc>
          <w:tcPr>
            <w:tcW w:w="0" w:type="auto"/>
            <w:vAlign w:val="bottom"/>
            <w:hideMark/>
          </w:tcPr>
          <w:p w14:paraId="6B4F12BD"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538EDF09" w14:textId="77777777" w:rsidR="00000000" w:rsidRDefault="0084716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2B0F3835" w14:textId="77777777" w:rsidR="00000000" w:rsidRDefault="00847163">
            <w:pPr>
              <w:pStyle w:val="a3"/>
              <w:spacing w:before="0" w:beforeAutospacing="0" w:after="0" w:afterAutospacing="0"/>
              <w:jc w:val="center"/>
              <w:rPr>
                <w:sz w:val="20"/>
                <w:szCs w:val="20"/>
              </w:rPr>
            </w:pPr>
            <w:r>
              <w:rPr>
                <w:b/>
                <w:bCs/>
                <w:sz w:val="20"/>
                <w:szCs w:val="20"/>
              </w:rPr>
              <w:t>March 31, 2020</w:t>
            </w:r>
          </w:p>
        </w:tc>
        <w:tc>
          <w:tcPr>
            <w:tcW w:w="0" w:type="auto"/>
            <w:tcMar>
              <w:top w:w="0" w:type="dxa"/>
              <w:left w:w="0" w:type="dxa"/>
              <w:bottom w:w="15" w:type="dxa"/>
              <w:right w:w="0" w:type="dxa"/>
            </w:tcMar>
            <w:vAlign w:val="bottom"/>
            <w:hideMark/>
          </w:tcPr>
          <w:p w14:paraId="01EC1E3A"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5A5049CC" w14:textId="77777777" w:rsidR="00000000" w:rsidRDefault="0084716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552BEFD3" w14:textId="77777777" w:rsidR="00000000" w:rsidRDefault="00847163">
            <w:pPr>
              <w:pStyle w:val="a3"/>
              <w:spacing w:before="0" w:beforeAutospacing="0" w:after="0" w:afterAutospacing="0"/>
              <w:jc w:val="center"/>
              <w:rPr>
                <w:sz w:val="20"/>
                <w:szCs w:val="20"/>
              </w:rPr>
            </w:pPr>
            <w:r>
              <w:rPr>
                <w:b/>
                <w:bCs/>
                <w:sz w:val="20"/>
                <w:szCs w:val="20"/>
              </w:rPr>
              <w:t>December 31, 2019</w:t>
            </w:r>
          </w:p>
        </w:tc>
        <w:tc>
          <w:tcPr>
            <w:tcW w:w="0" w:type="auto"/>
            <w:tcMar>
              <w:top w:w="0" w:type="dxa"/>
              <w:left w:w="0" w:type="dxa"/>
              <w:bottom w:w="15" w:type="dxa"/>
              <w:right w:w="0" w:type="dxa"/>
            </w:tcMar>
            <w:vAlign w:val="bottom"/>
            <w:hideMark/>
          </w:tcPr>
          <w:p w14:paraId="119C64E5" w14:textId="77777777" w:rsidR="00000000" w:rsidRDefault="00847163">
            <w:pPr>
              <w:rPr>
                <w:rFonts w:eastAsia="Times New Roman"/>
                <w:sz w:val="20"/>
                <w:szCs w:val="20"/>
              </w:rPr>
            </w:pPr>
            <w:r>
              <w:rPr>
                <w:rFonts w:eastAsia="Times New Roman"/>
                <w:sz w:val="20"/>
                <w:szCs w:val="20"/>
              </w:rPr>
              <w:t> </w:t>
            </w:r>
          </w:p>
        </w:tc>
      </w:tr>
      <w:tr w:rsidR="00000000" w14:paraId="0E43F566" w14:textId="77777777">
        <w:trPr>
          <w:divId w:val="869227351"/>
          <w:tblCellSpacing w:w="0" w:type="dxa"/>
        </w:trPr>
        <w:tc>
          <w:tcPr>
            <w:tcW w:w="0" w:type="auto"/>
            <w:shd w:val="clear" w:color="auto" w:fill="CCEEFF"/>
            <w:vAlign w:val="bottom"/>
            <w:hideMark/>
          </w:tcPr>
          <w:p w14:paraId="5D8811BD" w14:textId="77777777" w:rsidR="00000000" w:rsidRDefault="00847163">
            <w:pPr>
              <w:pStyle w:val="a3"/>
              <w:spacing w:before="0" w:beforeAutospacing="0" w:after="0" w:afterAutospacing="0"/>
              <w:rPr>
                <w:sz w:val="20"/>
                <w:szCs w:val="20"/>
              </w:rPr>
            </w:pPr>
            <w:r>
              <w:rPr>
                <w:sz w:val="20"/>
                <w:szCs w:val="20"/>
              </w:rPr>
              <w:t>Assets:</w:t>
            </w:r>
          </w:p>
        </w:tc>
        <w:tc>
          <w:tcPr>
            <w:tcW w:w="0" w:type="auto"/>
            <w:shd w:val="clear" w:color="auto" w:fill="CCEEFF"/>
            <w:vAlign w:val="bottom"/>
            <w:hideMark/>
          </w:tcPr>
          <w:p w14:paraId="481D59CC"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90AD4A8"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F8CF9F0"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E5D3BE8"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9D03DAC"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4DADC35"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3EA63B"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D7C227E" w14:textId="77777777" w:rsidR="00000000" w:rsidRDefault="00847163">
            <w:pPr>
              <w:rPr>
                <w:rFonts w:eastAsia="Times New Roman"/>
                <w:sz w:val="20"/>
                <w:szCs w:val="20"/>
              </w:rPr>
            </w:pPr>
            <w:r>
              <w:rPr>
                <w:rFonts w:eastAsia="Times New Roman"/>
                <w:sz w:val="20"/>
                <w:szCs w:val="20"/>
              </w:rPr>
              <w:t> </w:t>
            </w:r>
          </w:p>
        </w:tc>
      </w:tr>
      <w:tr w:rsidR="00000000" w14:paraId="45B95B89" w14:textId="77777777">
        <w:trPr>
          <w:divId w:val="869227351"/>
          <w:tblCellSpacing w:w="0" w:type="dxa"/>
        </w:trPr>
        <w:tc>
          <w:tcPr>
            <w:tcW w:w="0" w:type="auto"/>
            <w:shd w:val="clear" w:color="auto" w:fill="FFFFFF"/>
            <w:vAlign w:val="bottom"/>
            <w:hideMark/>
          </w:tcPr>
          <w:p w14:paraId="6029F151" w14:textId="77777777" w:rsidR="00000000" w:rsidRDefault="00847163">
            <w:pPr>
              <w:pStyle w:val="a3"/>
              <w:spacing w:before="0" w:beforeAutospacing="0" w:after="0" w:afterAutospacing="0"/>
              <w:ind w:left="540" w:hanging="180"/>
              <w:rPr>
                <w:sz w:val="20"/>
                <w:szCs w:val="20"/>
              </w:rPr>
            </w:pPr>
            <w:r>
              <w:rPr>
                <w:sz w:val="20"/>
                <w:szCs w:val="20"/>
              </w:rPr>
              <w:t>Real estate, net of accumulated depreciation and amortization of</w:t>
            </w:r>
            <w:r>
              <w:rPr>
                <w:sz w:val="20"/>
                <w:szCs w:val="20"/>
              </w:rPr>
              <w:t xml:space="preserve"> </w:t>
            </w:r>
            <w:r>
              <w:rPr>
                <w:sz w:val="20"/>
                <w:szCs w:val="20"/>
              </w:rPr>
              <w:t>$2,552,66</w:t>
            </w:r>
            <w:r>
              <w:rPr>
                <w:sz w:val="20"/>
                <w:szCs w:val="20"/>
              </w:rPr>
              <w:t>9</w:t>
            </w:r>
            <w:r>
              <w:rPr>
                <w:sz w:val="20"/>
                <w:szCs w:val="20"/>
              </w:rPr>
              <w:t xml:space="preserve"> and</w:t>
            </w:r>
            <w:r>
              <w:rPr>
                <w:sz w:val="20"/>
                <w:szCs w:val="20"/>
              </w:rPr>
              <w:t xml:space="preserve"> </w:t>
            </w:r>
            <w:r>
              <w:rPr>
                <w:sz w:val="20"/>
                <w:szCs w:val="20"/>
              </w:rPr>
              <w:t>$2,500,05</w:t>
            </w:r>
            <w:r>
              <w:rPr>
                <w:sz w:val="20"/>
                <w:szCs w:val="20"/>
              </w:rPr>
              <w:t>3</w:t>
            </w:r>
            <w:r>
              <w:rPr>
                <w:sz w:val="20"/>
                <w:szCs w:val="20"/>
              </w:rPr>
              <w:t>, respectively</w:t>
            </w:r>
          </w:p>
        </w:tc>
        <w:tc>
          <w:tcPr>
            <w:tcW w:w="50" w:type="pct"/>
            <w:shd w:val="clear" w:color="auto" w:fill="FFFFFF"/>
            <w:vAlign w:val="bottom"/>
            <w:hideMark/>
          </w:tcPr>
          <w:p w14:paraId="441B9129"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09C9879" w14:textId="77777777" w:rsidR="00000000" w:rsidRDefault="00847163">
            <w:pPr>
              <w:rPr>
                <w:rFonts w:eastAsia="Times New Roman"/>
                <w:sz w:val="20"/>
                <w:szCs w:val="20"/>
              </w:rPr>
            </w:pPr>
            <w:r>
              <w:rPr>
                <w:rFonts w:eastAsia="Times New Roman"/>
                <w:sz w:val="20"/>
                <w:szCs w:val="20"/>
              </w:rPr>
              <w:t>$</w:t>
            </w:r>
          </w:p>
        </w:tc>
        <w:tc>
          <w:tcPr>
            <w:tcW w:w="600" w:type="pct"/>
            <w:shd w:val="clear" w:color="auto" w:fill="FFFFFF"/>
            <w:vAlign w:val="bottom"/>
            <w:hideMark/>
          </w:tcPr>
          <w:p w14:paraId="42925E35" w14:textId="77777777" w:rsidR="00000000" w:rsidRDefault="00847163">
            <w:pPr>
              <w:jc w:val="right"/>
              <w:rPr>
                <w:rFonts w:eastAsia="Times New Roman"/>
                <w:sz w:val="20"/>
                <w:szCs w:val="20"/>
              </w:rPr>
            </w:pPr>
            <w:r>
              <w:rPr>
                <w:rFonts w:eastAsia="Times New Roman"/>
                <w:sz w:val="20"/>
                <w:szCs w:val="20"/>
              </w:rPr>
              <w:t>9,179,554</w:t>
            </w:r>
          </w:p>
        </w:tc>
        <w:tc>
          <w:tcPr>
            <w:tcW w:w="50" w:type="pct"/>
            <w:shd w:val="clear" w:color="auto" w:fill="FFFFFF"/>
            <w:vAlign w:val="bottom"/>
            <w:hideMark/>
          </w:tcPr>
          <w:p w14:paraId="0434E1A9"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BC1D207"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5A35B3D" w14:textId="77777777" w:rsidR="00000000" w:rsidRDefault="00847163">
            <w:pPr>
              <w:rPr>
                <w:rFonts w:eastAsia="Times New Roman"/>
                <w:sz w:val="20"/>
                <w:szCs w:val="20"/>
              </w:rPr>
            </w:pPr>
            <w:r>
              <w:rPr>
                <w:rFonts w:eastAsia="Times New Roman"/>
                <w:sz w:val="20"/>
                <w:szCs w:val="20"/>
              </w:rPr>
              <w:t>$</w:t>
            </w:r>
          </w:p>
        </w:tc>
        <w:tc>
          <w:tcPr>
            <w:tcW w:w="600" w:type="pct"/>
            <w:shd w:val="clear" w:color="auto" w:fill="FFFFFF"/>
            <w:vAlign w:val="bottom"/>
            <w:hideMark/>
          </w:tcPr>
          <w:p w14:paraId="76F0275F" w14:textId="77777777" w:rsidR="00000000" w:rsidRDefault="00847163">
            <w:pPr>
              <w:jc w:val="right"/>
              <w:rPr>
                <w:rFonts w:eastAsia="Times New Roman"/>
                <w:sz w:val="20"/>
                <w:szCs w:val="20"/>
              </w:rPr>
            </w:pPr>
            <w:r>
              <w:rPr>
                <w:rFonts w:eastAsia="Times New Roman"/>
                <w:sz w:val="20"/>
                <w:szCs w:val="20"/>
              </w:rPr>
              <w:t>9,209,053</w:t>
            </w:r>
          </w:p>
        </w:tc>
        <w:tc>
          <w:tcPr>
            <w:tcW w:w="50" w:type="pct"/>
            <w:shd w:val="clear" w:color="auto" w:fill="FFFFFF"/>
            <w:vAlign w:val="bottom"/>
            <w:hideMark/>
          </w:tcPr>
          <w:p w14:paraId="76235D25" w14:textId="77777777" w:rsidR="00000000" w:rsidRDefault="00847163">
            <w:pPr>
              <w:rPr>
                <w:rFonts w:eastAsia="Times New Roman"/>
                <w:sz w:val="20"/>
                <w:szCs w:val="20"/>
              </w:rPr>
            </w:pPr>
            <w:r>
              <w:rPr>
                <w:rFonts w:eastAsia="Times New Roman"/>
                <w:sz w:val="20"/>
                <w:szCs w:val="20"/>
              </w:rPr>
              <w:t> </w:t>
            </w:r>
          </w:p>
        </w:tc>
      </w:tr>
      <w:tr w:rsidR="00000000" w14:paraId="6666C466" w14:textId="77777777">
        <w:trPr>
          <w:divId w:val="869227351"/>
          <w:tblCellSpacing w:w="0" w:type="dxa"/>
        </w:trPr>
        <w:tc>
          <w:tcPr>
            <w:tcW w:w="0" w:type="auto"/>
            <w:shd w:val="clear" w:color="auto" w:fill="CCEEFF"/>
            <w:vAlign w:val="bottom"/>
            <w:hideMark/>
          </w:tcPr>
          <w:p w14:paraId="72F983CA" w14:textId="77777777" w:rsidR="00000000" w:rsidRDefault="00847163">
            <w:pPr>
              <w:pStyle w:val="a3"/>
              <w:spacing w:before="0" w:beforeAutospacing="0" w:after="0" w:afterAutospacing="0"/>
              <w:ind w:left="540" w:hanging="180"/>
              <w:rPr>
                <w:sz w:val="20"/>
                <w:szCs w:val="20"/>
              </w:rPr>
            </w:pPr>
            <w:r>
              <w:rPr>
                <w:sz w:val="20"/>
                <w:szCs w:val="20"/>
              </w:rPr>
              <w:t>Real estate under development</w:t>
            </w:r>
          </w:p>
        </w:tc>
        <w:tc>
          <w:tcPr>
            <w:tcW w:w="50" w:type="pct"/>
            <w:shd w:val="clear" w:color="auto" w:fill="CCEEFF"/>
            <w:vAlign w:val="bottom"/>
            <w:hideMark/>
          </w:tcPr>
          <w:p w14:paraId="6941C13C"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A9F0785" w14:textId="77777777" w:rsidR="00000000" w:rsidRDefault="0084716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61F0424B" w14:textId="77777777" w:rsidR="00000000" w:rsidRDefault="00847163">
            <w:pPr>
              <w:jc w:val="right"/>
              <w:rPr>
                <w:rFonts w:eastAsia="Times New Roman"/>
                <w:sz w:val="20"/>
                <w:szCs w:val="20"/>
              </w:rPr>
            </w:pPr>
            <w:r>
              <w:rPr>
                <w:rFonts w:eastAsia="Times New Roman"/>
                <w:sz w:val="20"/>
                <w:szCs w:val="20"/>
              </w:rPr>
              <w:t>230,602</w:t>
            </w:r>
          </w:p>
        </w:tc>
        <w:tc>
          <w:tcPr>
            <w:tcW w:w="50" w:type="pct"/>
            <w:shd w:val="clear" w:color="auto" w:fill="CCEEFF"/>
            <w:vAlign w:val="bottom"/>
            <w:hideMark/>
          </w:tcPr>
          <w:p w14:paraId="592C344D"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FDF4DE2"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4BB9DC3" w14:textId="77777777" w:rsidR="00000000" w:rsidRDefault="0084716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2CA00055" w14:textId="77777777" w:rsidR="00000000" w:rsidRDefault="00847163">
            <w:pPr>
              <w:jc w:val="right"/>
              <w:rPr>
                <w:rFonts w:eastAsia="Times New Roman"/>
                <w:sz w:val="20"/>
                <w:szCs w:val="20"/>
              </w:rPr>
            </w:pPr>
            <w:r>
              <w:rPr>
                <w:rFonts w:eastAsia="Times New Roman"/>
                <w:sz w:val="20"/>
                <w:szCs w:val="20"/>
              </w:rPr>
              <w:t>220,170</w:t>
            </w:r>
          </w:p>
        </w:tc>
        <w:tc>
          <w:tcPr>
            <w:tcW w:w="50" w:type="pct"/>
            <w:shd w:val="clear" w:color="auto" w:fill="CCEEFF"/>
            <w:vAlign w:val="bottom"/>
            <w:hideMark/>
          </w:tcPr>
          <w:p w14:paraId="11398317" w14:textId="77777777" w:rsidR="00000000" w:rsidRDefault="00847163">
            <w:pPr>
              <w:rPr>
                <w:rFonts w:eastAsia="Times New Roman"/>
                <w:sz w:val="20"/>
                <w:szCs w:val="20"/>
              </w:rPr>
            </w:pPr>
            <w:r>
              <w:rPr>
                <w:rFonts w:eastAsia="Times New Roman"/>
                <w:sz w:val="20"/>
                <w:szCs w:val="20"/>
              </w:rPr>
              <w:t> </w:t>
            </w:r>
          </w:p>
        </w:tc>
      </w:tr>
      <w:tr w:rsidR="00000000" w14:paraId="3ABF0AD2" w14:textId="77777777">
        <w:trPr>
          <w:divId w:val="869227351"/>
          <w:tblCellSpacing w:w="0" w:type="dxa"/>
        </w:trPr>
        <w:tc>
          <w:tcPr>
            <w:tcW w:w="0" w:type="auto"/>
            <w:shd w:val="clear" w:color="auto" w:fill="FFFFFF"/>
            <w:vAlign w:val="bottom"/>
            <w:hideMark/>
          </w:tcPr>
          <w:p w14:paraId="0F895BFE" w14:textId="77777777" w:rsidR="00000000" w:rsidRDefault="00847163">
            <w:pPr>
              <w:pStyle w:val="a3"/>
              <w:spacing w:before="0" w:beforeAutospacing="0" w:after="0" w:afterAutospacing="0"/>
              <w:ind w:left="540" w:hanging="180"/>
              <w:rPr>
                <w:sz w:val="20"/>
                <w:szCs w:val="20"/>
              </w:rPr>
            </w:pPr>
            <w:r>
              <w:rPr>
                <w:sz w:val="20"/>
                <w:szCs w:val="20"/>
              </w:rPr>
              <w:t>Investments in and advances to real estate joint ventures</w:t>
            </w:r>
          </w:p>
        </w:tc>
        <w:tc>
          <w:tcPr>
            <w:tcW w:w="50" w:type="pct"/>
            <w:shd w:val="clear" w:color="auto" w:fill="FFFFFF"/>
            <w:vAlign w:val="bottom"/>
            <w:hideMark/>
          </w:tcPr>
          <w:p w14:paraId="239AD812"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65FF83E" w14:textId="77777777" w:rsidR="00000000" w:rsidRDefault="00847163">
            <w:pPr>
              <w:rPr>
                <w:rFonts w:eastAsia="Times New Roman"/>
                <w:sz w:val="20"/>
                <w:szCs w:val="20"/>
              </w:rPr>
            </w:pPr>
            <w:r>
              <w:rPr>
                <w:rFonts w:eastAsia="Times New Roman"/>
                <w:sz w:val="20"/>
                <w:szCs w:val="20"/>
              </w:rPr>
              <w:t> </w:t>
            </w:r>
          </w:p>
        </w:tc>
        <w:tc>
          <w:tcPr>
            <w:tcW w:w="600" w:type="pct"/>
            <w:shd w:val="clear" w:color="auto" w:fill="FFFFFF"/>
            <w:vAlign w:val="bottom"/>
            <w:hideMark/>
          </w:tcPr>
          <w:p w14:paraId="2AC323DD" w14:textId="77777777" w:rsidR="00000000" w:rsidRDefault="00847163">
            <w:pPr>
              <w:jc w:val="right"/>
              <w:rPr>
                <w:rFonts w:eastAsia="Times New Roman"/>
                <w:sz w:val="20"/>
                <w:szCs w:val="20"/>
              </w:rPr>
            </w:pPr>
            <w:r>
              <w:rPr>
                <w:rFonts w:eastAsia="Times New Roman"/>
                <w:sz w:val="20"/>
                <w:szCs w:val="20"/>
              </w:rPr>
              <w:t>585,591</w:t>
            </w:r>
          </w:p>
        </w:tc>
        <w:tc>
          <w:tcPr>
            <w:tcW w:w="50" w:type="pct"/>
            <w:shd w:val="clear" w:color="auto" w:fill="FFFFFF"/>
            <w:vAlign w:val="bottom"/>
            <w:hideMark/>
          </w:tcPr>
          <w:p w14:paraId="1B4397C0"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B2158A6"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9529F1D" w14:textId="77777777" w:rsidR="00000000" w:rsidRDefault="00847163">
            <w:pPr>
              <w:rPr>
                <w:rFonts w:eastAsia="Times New Roman"/>
                <w:sz w:val="20"/>
                <w:szCs w:val="20"/>
              </w:rPr>
            </w:pPr>
            <w:r>
              <w:rPr>
                <w:rFonts w:eastAsia="Times New Roman"/>
                <w:sz w:val="20"/>
                <w:szCs w:val="20"/>
              </w:rPr>
              <w:t> </w:t>
            </w:r>
          </w:p>
        </w:tc>
        <w:tc>
          <w:tcPr>
            <w:tcW w:w="600" w:type="pct"/>
            <w:shd w:val="clear" w:color="auto" w:fill="FFFFFF"/>
            <w:vAlign w:val="bottom"/>
            <w:hideMark/>
          </w:tcPr>
          <w:p w14:paraId="11AEE7F7" w14:textId="77777777" w:rsidR="00000000" w:rsidRDefault="00847163">
            <w:pPr>
              <w:jc w:val="right"/>
              <w:rPr>
                <w:rFonts w:eastAsia="Times New Roman"/>
                <w:sz w:val="20"/>
                <w:szCs w:val="20"/>
              </w:rPr>
            </w:pPr>
            <w:r>
              <w:rPr>
                <w:rFonts w:eastAsia="Times New Roman"/>
                <w:sz w:val="20"/>
                <w:szCs w:val="20"/>
              </w:rPr>
              <w:t>578,118</w:t>
            </w:r>
          </w:p>
        </w:tc>
        <w:tc>
          <w:tcPr>
            <w:tcW w:w="50" w:type="pct"/>
            <w:shd w:val="clear" w:color="auto" w:fill="FFFFFF"/>
            <w:vAlign w:val="bottom"/>
            <w:hideMark/>
          </w:tcPr>
          <w:p w14:paraId="7E05ACB1" w14:textId="77777777" w:rsidR="00000000" w:rsidRDefault="00847163">
            <w:pPr>
              <w:rPr>
                <w:rFonts w:eastAsia="Times New Roman"/>
                <w:sz w:val="20"/>
                <w:szCs w:val="20"/>
              </w:rPr>
            </w:pPr>
            <w:r>
              <w:rPr>
                <w:rFonts w:eastAsia="Times New Roman"/>
                <w:sz w:val="20"/>
                <w:szCs w:val="20"/>
              </w:rPr>
              <w:t> </w:t>
            </w:r>
          </w:p>
        </w:tc>
      </w:tr>
      <w:tr w:rsidR="00000000" w14:paraId="48DC1CF3" w14:textId="77777777">
        <w:trPr>
          <w:divId w:val="869227351"/>
          <w:tblCellSpacing w:w="0" w:type="dxa"/>
        </w:trPr>
        <w:tc>
          <w:tcPr>
            <w:tcW w:w="0" w:type="auto"/>
            <w:shd w:val="clear" w:color="auto" w:fill="CCEEFF"/>
            <w:vAlign w:val="bottom"/>
            <w:hideMark/>
          </w:tcPr>
          <w:p w14:paraId="4E0EF254" w14:textId="77777777" w:rsidR="00000000" w:rsidRDefault="00847163">
            <w:pPr>
              <w:pStyle w:val="a3"/>
              <w:spacing w:before="0" w:beforeAutospacing="0" w:after="0" w:afterAutospacing="0"/>
              <w:ind w:left="540" w:hanging="180"/>
              <w:rPr>
                <w:sz w:val="20"/>
                <w:szCs w:val="20"/>
              </w:rPr>
            </w:pPr>
            <w:r>
              <w:rPr>
                <w:sz w:val="20"/>
                <w:szCs w:val="20"/>
              </w:rPr>
              <w:t>Other real estate investments</w:t>
            </w:r>
          </w:p>
        </w:tc>
        <w:tc>
          <w:tcPr>
            <w:tcW w:w="50" w:type="pct"/>
            <w:shd w:val="clear" w:color="auto" w:fill="CCEEFF"/>
            <w:vAlign w:val="bottom"/>
            <w:hideMark/>
          </w:tcPr>
          <w:p w14:paraId="2E736AC4"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CD3AA69" w14:textId="77777777" w:rsidR="00000000" w:rsidRDefault="0084716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7F3D4360" w14:textId="77777777" w:rsidR="00000000" w:rsidRDefault="00847163">
            <w:pPr>
              <w:jc w:val="right"/>
              <w:rPr>
                <w:rFonts w:eastAsia="Times New Roman"/>
                <w:sz w:val="20"/>
                <w:szCs w:val="20"/>
              </w:rPr>
            </w:pPr>
            <w:r>
              <w:rPr>
                <w:rFonts w:eastAsia="Times New Roman"/>
                <w:sz w:val="20"/>
                <w:szCs w:val="20"/>
              </w:rPr>
              <w:t>178,393</w:t>
            </w:r>
          </w:p>
        </w:tc>
        <w:tc>
          <w:tcPr>
            <w:tcW w:w="50" w:type="pct"/>
            <w:shd w:val="clear" w:color="auto" w:fill="CCEEFF"/>
            <w:vAlign w:val="bottom"/>
            <w:hideMark/>
          </w:tcPr>
          <w:p w14:paraId="6C4EB3C8"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253EDE1"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8D98BB6" w14:textId="77777777" w:rsidR="00000000" w:rsidRDefault="0084716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1CD176B9" w14:textId="77777777" w:rsidR="00000000" w:rsidRDefault="00847163">
            <w:pPr>
              <w:jc w:val="right"/>
              <w:rPr>
                <w:rFonts w:eastAsia="Times New Roman"/>
                <w:sz w:val="20"/>
                <w:szCs w:val="20"/>
              </w:rPr>
            </w:pPr>
            <w:r>
              <w:rPr>
                <w:rFonts w:eastAsia="Times New Roman"/>
                <w:sz w:val="20"/>
                <w:szCs w:val="20"/>
              </w:rPr>
              <w:t>194,400</w:t>
            </w:r>
          </w:p>
        </w:tc>
        <w:tc>
          <w:tcPr>
            <w:tcW w:w="50" w:type="pct"/>
            <w:shd w:val="clear" w:color="auto" w:fill="CCEEFF"/>
            <w:vAlign w:val="bottom"/>
            <w:hideMark/>
          </w:tcPr>
          <w:p w14:paraId="2AC45420" w14:textId="77777777" w:rsidR="00000000" w:rsidRDefault="00847163">
            <w:pPr>
              <w:rPr>
                <w:rFonts w:eastAsia="Times New Roman"/>
                <w:sz w:val="20"/>
                <w:szCs w:val="20"/>
              </w:rPr>
            </w:pPr>
            <w:r>
              <w:rPr>
                <w:rFonts w:eastAsia="Times New Roman"/>
                <w:sz w:val="20"/>
                <w:szCs w:val="20"/>
              </w:rPr>
              <w:t> </w:t>
            </w:r>
          </w:p>
        </w:tc>
      </w:tr>
      <w:tr w:rsidR="00000000" w14:paraId="5E1608FD" w14:textId="77777777">
        <w:trPr>
          <w:divId w:val="869227351"/>
          <w:tblCellSpacing w:w="0" w:type="dxa"/>
        </w:trPr>
        <w:tc>
          <w:tcPr>
            <w:tcW w:w="0" w:type="auto"/>
            <w:shd w:val="clear" w:color="auto" w:fill="FFFFFF"/>
            <w:vAlign w:val="bottom"/>
            <w:hideMark/>
          </w:tcPr>
          <w:p w14:paraId="3F4F8180" w14:textId="77777777" w:rsidR="00000000" w:rsidRDefault="00847163">
            <w:pPr>
              <w:pStyle w:val="a3"/>
              <w:spacing w:before="0" w:beforeAutospacing="0" w:after="0" w:afterAutospacing="0"/>
              <w:ind w:left="540" w:hanging="180"/>
              <w:rPr>
                <w:sz w:val="20"/>
                <w:szCs w:val="20"/>
              </w:rPr>
            </w:pPr>
            <w:r>
              <w:rPr>
                <w:sz w:val="20"/>
                <w:szCs w:val="20"/>
              </w:rPr>
              <w:t>Cash and cash equivalents</w:t>
            </w:r>
          </w:p>
        </w:tc>
        <w:tc>
          <w:tcPr>
            <w:tcW w:w="50" w:type="pct"/>
            <w:shd w:val="clear" w:color="auto" w:fill="FFFFFF"/>
            <w:vAlign w:val="bottom"/>
            <w:hideMark/>
          </w:tcPr>
          <w:p w14:paraId="6827E291"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D2BB110" w14:textId="77777777" w:rsidR="00000000" w:rsidRDefault="00847163">
            <w:pPr>
              <w:rPr>
                <w:rFonts w:eastAsia="Times New Roman"/>
                <w:sz w:val="20"/>
                <w:szCs w:val="20"/>
              </w:rPr>
            </w:pPr>
            <w:r>
              <w:rPr>
                <w:rFonts w:eastAsia="Times New Roman"/>
                <w:sz w:val="20"/>
                <w:szCs w:val="20"/>
              </w:rPr>
              <w:t> </w:t>
            </w:r>
          </w:p>
        </w:tc>
        <w:tc>
          <w:tcPr>
            <w:tcW w:w="600" w:type="pct"/>
            <w:shd w:val="clear" w:color="auto" w:fill="FFFFFF"/>
            <w:vAlign w:val="bottom"/>
            <w:hideMark/>
          </w:tcPr>
          <w:p w14:paraId="70348B3A" w14:textId="77777777" w:rsidR="00000000" w:rsidRDefault="00847163">
            <w:pPr>
              <w:jc w:val="right"/>
              <w:rPr>
                <w:rFonts w:eastAsia="Times New Roman"/>
                <w:sz w:val="20"/>
                <w:szCs w:val="20"/>
              </w:rPr>
            </w:pPr>
            <w:r>
              <w:rPr>
                <w:rFonts w:eastAsia="Times New Roman"/>
                <w:sz w:val="20"/>
                <w:szCs w:val="20"/>
              </w:rPr>
              <w:t>451,796</w:t>
            </w:r>
          </w:p>
        </w:tc>
        <w:tc>
          <w:tcPr>
            <w:tcW w:w="50" w:type="pct"/>
            <w:shd w:val="clear" w:color="auto" w:fill="FFFFFF"/>
            <w:vAlign w:val="bottom"/>
            <w:hideMark/>
          </w:tcPr>
          <w:p w14:paraId="2ACE16CC"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F4D6B26"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8145EE2" w14:textId="77777777" w:rsidR="00000000" w:rsidRDefault="00847163">
            <w:pPr>
              <w:rPr>
                <w:rFonts w:eastAsia="Times New Roman"/>
                <w:sz w:val="20"/>
                <w:szCs w:val="20"/>
              </w:rPr>
            </w:pPr>
            <w:r>
              <w:rPr>
                <w:rFonts w:eastAsia="Times New Roman"/>
                <w:sz w:val="20"/>
                <w:szCs w:val="20"/>
              </w:rPr>
              <w:t> </w:t>
            </w:r>
          </w:p>
        </w:tc>
        <w:tc>
          <w:tcPr>
            <w:tcW w:w="600" w:type="pct"/>
            <w:shd w:val="clear" w:color="auto" w:fill="FFFFFF"/>
            <w:vAlign w:val="bottom"/>
            <w:hideMark/>
          </w:tcPr>
          <w:p w14:paraId="6088C1EA" w14:textId="77777777" w:rsidR="00000000" w:rsidRDefault="00847163">
            <w:pPr>
              <w:jc w:val="right"/>
              <w:rPr>
                <w:rFonts w:eastAsia="Times New Roman"/>
                <w:sz w:val="20"/>
                <w:szCs w:val="20"/>
              </w:rPr>
            </w:pPr>
            <w:r>
              <w:rPr>
                <w:rFonts w:eastAsia="Times New Roman"/>
                <w:sz w:val="20"/>
                <w:szCs w:val="20"/>
              </w:rPr>
              <w:t>123,947</w:t>
            </w:r>
          </w:p>
        </w:tc>
        <w:tc>
          <w:tcPr>
            <w:tcW w:w="50" w:type="pct"/>
            <w:shd w:val="clear" w:color="auto" w:fill="FFFFFF"/>
            <w:vAlign w:val="bottom"/>
            <w:hideMark/>
          </w:tcPr>
          <w:p w14:paraId="79842896" w14:textId="77777777" w:rsidR="00000000" w:rsidRDefault="00847163">
            <w:pPr>
              <w:rPr>
                <w:rFonts w:eastAsia="Times New Roman"/>
                <w:sz w:val="20"/>
                <w:szCs w:val="20"/>
              </w:rPr>
            </w:pPr>
            <w:r>
              <w:rPr>
                <w:rFonts w:eastAsia="Times New Roman"/>
                <w:sz w:val="20"/>
                <w:szCs w:val="20"/>
              </w:rPr>
              <w:t> </w:t>
            </w:r>
          </w:p>
        </w:tc>
      </w:tr>
      <w:tr w:rsidR="00000000" w14:paraId="3736FD51" w14:textId="77777777">
        <w:trPr>
          <w:divId w:val="869227351"/>
          <w:tblCellSpacing w:w="0" w:type="dxa"/>
        </w:trPr>
        <w:tc>
          <w:tcPr>
            <w:tcW w:w="0" w:type="auto"/>
            <w:shd w:val="clear" w:color="auto" w:fill="CCEEFF"/>
            <w:vAlign w:val="bottom"/>
            <w:hideMark/>
          </w:tcPr>
          <w:p w14:paraId="0E63AD8D" w14:textId="77777777" w:rsidR="00000000" w:rsidRDefault="00847163">
            <w:pPr>
              <w:pStyle w:val="a3"/>
              <w:spacing w:before="0" w:beforeAutospacing="0" w:after="0" w:afterAutospacing="0"/>
              <w:ind w:left="540" w:hanging="180"/>
              <w:rPr>
                <w:sz w:val="20"/>
                <w:szCs w:val="20"/>
              </w:rPr>
            </w:pPr>
            <w:r>
              <w:rPr>
                <w:sz w:val="20"/>
                <w:szCs w:val="20"/>
              </w:rPr>
              <w:t>Accounts and notes receivable, net</w:t>
            </w:r>
          </w:p>
        </w:tc>
        <w:tc>
          <w:tcPr>
            <w:tcW w:w="50" w:type="pct"/>
            <w:shd w:val="clear" w:color="auto" w:fill="CCEEFF"/>
            <w:vAlign w:val="bottom"/>
            <w:hideMark/>
          </w:tcPr>
          <w:p w14:paraId="2105B352"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2BD13FF" w14:textId="77777777" w:rsidR="00000000" w:rsidRDefault="0084716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5AB51B37" w14:textId="77777777" w:rsidR="00000000" w:rsidRDefault="00847163">
            <w:pPr>
              <w:jc w:val="right"/>
              <w:rPr>
                <w:rFonts w:eastAsia="Times New Roman"/>
                <w:sz w:val="20"/>
                <w:szCs w:val="20"/>
              </w:rPr>
            </w:pPr>
            <w:r>
              <w:rPr>
                <w:rFonts w:eastAsia="Times New Roman"/>
                <w:sz w:val="20"/>
                <w:szCs w:val="20"/>
              </w:rPr>
              <w:t>220,215</w:t>
            </w:r>
          </w:p>
        </w:tc>
        <w:tc>
          <w:tcPr>
            <w:tcW w:w="50" w:type="pct"/>
            <w:shd w:val="clear" w:color="auto" w:fill="CCEEFF"/>
            <w:vAlign w:val="bottom"/>
            <w:hideMark/>
          </w:tcPr>
          <w:p w14:paraId="70E1F74D"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7D93B83"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3CCD1DA" w14:textId="77777777" w:rsidR="00000000" w:rsidRDefault="0084716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739B7A0D" w14:textId="77777777" w:rsidR="00000000" w:rsidRDefault="00847163">
            <w:pPr>
              <w:jc w:val="right"/>
              <w:rPr>
                <w:rFonts w:eastAsia="Times New Roman"/>
                <w:sz w:val="20"/>
                <w:szCs w:val="20"/>
              </w:rPr>
            </w:pPr>
            <w:r>
              <w:rPr>
                <w:rFonts w:eastAsia="Times New Roman"/>
                <w:sz w:val="20"/>
                <w:szCs w:val="20"/>
              </w:rPr>
              <w:t>218,689</w:t>
            </w:r>
          </w:p>
        </w:tc>
        <w:tc>
          <w:tcPr>
            <w:tcW w:w="50" w:type="pct"/>
            <w:shd w:val="clear" w:color="auto" w:fill="CCEEFF"/>
            <w:vAlign w:val="bottom"/>
            <w:hideMark/>
          </w:tcPr>
          <w:p w14:paraId="2EA6271B" w14:textId="77777777" w:rsidR="00000000" w:rsidRDefault="00847163">
            <w:pPr>
              <w:rPr>
                <w:rFonts w:eastAsia="Times New Roman"/>
                <w:sz w:val="20"/>
                <w:szCs w:val="20"/>
              </w:rPr>
            </w:pPr>
            <w:r>
              <w:rPr>
                <w:rFonts w:eastAsia="Times New Roman"/>
                <w:sz w:val="20"/>
                <w:szCs w:val="20"/>
              </w:rPr>
              <w:t> </w:t>
            </w:r>
          </w:p>
        </w:tc>
      </w:tr>
      <w:tr w:rsidR="00000000" w14:paraId="55234D9D" w14:textId="77777777">
        <w:trPr>
          <w:divId w:val="869227351"/>
          <w:tblCellSpacing w:w="0" w:type="dxa"/>
        </w:trPr>
        <w:tc>
          <w:tcPr>
            <w:tcW w:w="0" w:type="auto"/>
            <w:shd w:val="clear" w:color="auto" w:fill="FFFFFF"/>
            <w:vAlign w:val="bottom"/>
            <w:hideMark/>
          </w:tcPr>
          <w:p w14:paraId="53A0E357" w14:textId="77777777" w:rsidR="00000000" w:rsidRDefault="00847163">
            <w:pPr>
              <w:pStyle w:val="a3"/>
              <w:spacing w:before="0" w:beforeAutospacing="0" w:after="0" w:afterAutospacing="0"/>
              <w:ind w:left="540" w:hanging="180"/>
              <w:rPr>
                <w:sz w:val="20"/>
                <w:szCs w:val="20"/>
              </w:rPr>
            </w:pPr>
            <w:r>
              <w:rPr>
                <w:sz w:val="20"/>
                <w:szCs w:val="20"/>
              </w:rPr>
              <w:t>Operating lease right-of-use assets, net</w:t>
            </w:r>
          </w:p>
        </w:tc>
        <w:tc>
          <w:tcPr>
            <w:tcW w:w="50" w:type="pct"/>
            <w:shd w:val="clear" w:color="auto" w:fill="FFFFFF"/>
            <w:vAlign w:val="bottom"/>
            <w:hideMark/>
          </w:tcPr>
          <w:p w14:paraId="5E3E756B"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D2B6A88" w14:textId="77777777" w:rsidR="00000000" w:rsidRDefault="00847163">
            <w:pPr>
              <w:rPr>
                <w:rFonts w:eastAsia="Times New Roman"/>
                <w:sz w:val="20"/>
                <w:szCs w:val="20"/>
              </w:rPr>
            </w:pPr>
            <w:r>
              <w:rPr>
                <w:rFonts w:eastAsia="Times New Roman"/>
                <w:sz w:val="20"/>
                <w:szCs w:val="20"/>
              </w:rPr>
              <w:t> </w:t>
            </w:r>
          </w:p>
        </w:tc>
        <w:tc>
          <w:tcPr>
            <w:tcW w:w="600" w:type="pct"/>
            <w:shd w:val="clear" w:color="auto" w:fill="FFFFFF"/>
            <w:vAlign w:val="bottom"/>
            <w:hideMark/>
          </w:tcPr>
          <w:p w14:paraId="25A2A306" w14:textId="77777777" w:rsidR="00000000" w:rsidRDefault="00847163">
            <w:pPr>
              <w:jc w:val="right"/>
              <w:rPr>
                <w:rFonts w:eastAsia="Times New Roman"/>
                <w:sz w:val="20"/>
                <w:szCs w:val="20"/>
              </w:rPr>
            </w:pPr>
            <w:r>
              <w:rPr>
                <w:rFonts w:eastAsia="Times New Roman"/>
                <w:sz w:val="20"/>
                <w:szCs w:val="20"/>
              </w:rPr>
              <w:t>97,790</w:t>
            </w:r>
          </w:p>
        </w:tc>
        <w:tc>
          <w:tcPr>
            <w:tcW w:w="50" w:type="pct"/>
            <w:shd w:val="clear" w:color="auto" w:fill="FFFFFF"/>
            <w:vAlign w:val="bottom"/>
            <w:hideMark/>
          </w:tcPr>
          <w:p w14:paraId="6B54D8D2"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10EE09C"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2CB7EF0" w14:textId="77777777" w:rsidR="00000000" w:rsidRDefault="00847163">
            <w:pPr>
              <w:rPr>
                <w:rFonts w:eastAsia="Times New Roman"/>
                <w:sz w:val="20"/>
                <w:szCs w:val="20"/>
              </w:rPr>
            </w:pPr>
            <w:r>
              <w:rPr>
                <w:rFonts w:eastAsia="Times New Roman"/>
                <w:sz w:val="20"/>
                <w:szCs w:val="20"/>
              </w:rPr>
              <w:t> </w:t>
            </w:r>
          </w:p>
        </w:tc>
        <w:tc>
          <w:tcPr>
            <w:tcW w:w="600" w:type="pct"/>
            <w:shd w:val="clear" w:color="auto" w:fill="FFFFFF"/>
            <w:vAlign w:val="bottom"/>
            <w:hideMark/>
          </w:tcPr>
          <w:p w14:paraId="73D194DA" w14:textId="77777777" w:rsidR="00000000" w:rsidRDefault="00847163">
            <w:pPr>
              <w:jc w:val="right"/>
              <w:rPr>
                <w:rFonts w:eastAsia="Times New Roman"/>
                <w:sz w:val="20"/>
                <w:szCs w:val="20"/>
              </w:rPr>
            </w:pPr>
            <w:r>
              <w:rPr>
                <w:rFonts w:eastAsia="Times New Roman"/>
                <w:sz w:val="20"/>
                <w:szCs w:val="20"/>
              </w:rPr>
              <w:t>99,125</w:t>
            </w:r>
          </w:p>
        </w:tc>
        <w:tc>
          <w:tcPr>
            <w:tcW w:w="50" w:type="pct"/>
            <w:shd w:val="clear" w:color="auto" w:fill="FFFFFF"/>
            <w:vAlign w:val="bottom"/>
            <w:hideMark/>
          </w:tcPr>
          <w:p w14:paraId="4A485CF7" w14:textId="77777777" w:rsidR="00000000" w:rsidRDefault="00847163">
            <w:pPr>
              <w:rPr>
                <w:rFonts w:eastAsia="Times New Roman"/>
                <w:sz w:val="20"/>
                <w:szCs w:val="20"/>
              </w:rPr>
            </w:pPr>
            <w:r>
              <w:rPr>
                <w:rFonts w:eastAsia="Times New Roman"/>
                <w:sz w:val="20"/>
                <w:szCs w:val="20"/>
              </w:rPr>
              <w:t> </w:t>
            </w:r>
          </w:p>
        </w:tc>
      </w:tr>
      <w:tr w:rsidR="00000000" w14:paraId="1BC32442" w14:textId="77777777">
        <w:trPr>
          <w:divId w:val="869227351"/>
          <w:tblCellSpacing w:w="0" w:type="dxa"/>
        </w:trPr>
        <w:tc>
          <w:tcPr>
            <w:tcW w:w="0" w:type="auto"/>
            <w:shd w:val="clear" w:color="auto" w:fill="CCEEFF"/>
            <w:vAlign w:val="bottom"/>
            <w:hideMark/>
          </w:tcPr>
          <w:p w14:paraId="466570BA" w14:textId="77777777" w:rsidR="00000000" w:rsidRDefault="00847163">
            <w:pPr>
              <w:pStyle w:val="a3"/>
              <w:spacing w:before="0" w:beforeAutospacing="0" w:after="0" w:afterAutospacing="0"/>
              <w:ind w:left="540" w:hanging="180"/>
              <w:rPr>
                <w:sz w:val="20"/>
                <w:szCs w:val="20"/>
              </w:rPr>
            </w:pPr>
            <w:r>
              <w:rPr>
                <w:sz w:val="20"/>
                <w:szCs w:val="20"/>
              </w:rPr>
              <w:t>Other assets</w:t>
            </w:r>
          </w:p>
        </w:tc>
        <w:tc>
          <w:tcPr>
            <w:tcW w:w="50" w:type="pct"/>
            <w:shd w:val="clear" w:color="auto" w:fill="CCEEFF"/>
            <w:tcMar>
              <w:top w:w="0" w:type="dxa"/>
              <w:left w:w="0" w:type="dxa"/>
              <w:bottom w:w="15" w:type="dxa"/>
              <w:right w:w="0" w:type="dxa"/>
            </w:tcMar>
            <w:vAlign w:val="bottom"/>
            <w:hideMark/>
          </w:tcPr>
          <w:p w14:paraId="3CA2709A" w14:textId="77777777" w:rsidR="00000000" w:rsidRDefault="0084716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3EC6A667" w14:textId="77777777" w:rsidR="00000000" w:rsidRDefault="00847163">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65EA8AD1" w14:textId="77777777" w:rsidR="00000000" w:rsidRDefault="00847163">
            <w:pPr>
              <w:jc w:val="right"/>
              <w:rPr>
                <w:rFonts w:eastAsia="Times New Roman"/>
                <w:sz w:val="20"/>
                <w:szCs w:val="20"/>
              </w:rPr>
            </w:pPr>
            <w:r>
              <w:rPr>
                <w:rFonts w:eastAsia="Times New Roman"/>
                <w:sz w:val="20"/>
                <w:szCs w:val="20"/>
              </w:rPr>
              <w:t>361,193</w:t>
            </w:r>
          </w:p>
        </w:tc>
        <w:tc>
          <w:tcPr>
            <w:tcW w:w="50" w:type="pct"/>
            <w:shd w:val="clear" w:color="auto" w:fill="CCEEFF"/>
            <w:tcMar>
              <w:top w:w="0" w:type="dxa"/>
              <w:left w:w="0" w:type="dxa"/>
              <w:bottom w:w="15" w:type="dxa"/>
              <w:right w:w="0" w:type="dxa"/>
            </w:tcMar>
            <w:vAlign w:val="bottom"/>
            <w:hideMark/>
          </w:tcPr>
          <w:p w14:paraId="71DC661D"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14:paraId="2F465FD8" w14:textId="77777777" w:rsidR="00000000" w:rsidRDefault="0084716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39D7BE4E" w14:textId="77777777" w:rsidR="00000000" w:rsidRDefault="00847163">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24AC9233" w14:textId="77777777" w:rsidR="00000000" w:rsidRDefault="00847163">
            <w:pPr>
              <w:jc w:val="right"/>
              <w:rPr>
                <w:rFonts w:eastAsia="Times New Roman"/>
                <w:sz w:val="20"/>
                <w:szCs w:val="20"/>
              </w:rPr>
            </w:pPr>
            <w:r>
              <w:rPr>
                <w:rFonts w:eastAsia="Times New Roman"/>
                <w:sz w:val="20"/>
                <w:szCs w:val="20"/>
              </w:rPr>
              <w:t>354,365</w:t>
            </w:r>
          </w:p>
        </w:tc>
        <w:tc>
          <w:tcPr>
            <w:tcW w:w="50" w:type="pct"/>
            <w:shd w:val="clear" w:color="auto" w:fill="CCEEFF"/>
            <w:tcMar>
              <w:top w:w="0" w:type="dxa"/>
              <w:left w:w="0" w:type="dxa"/>
              <w:bottom w:w="15" w:type="dxa"/>
              <w:right w:w="0" w:type="dxa"/>
            </w:tcMar>
            <w:vAlign w:val="bottom"/>
            <w:hideMark/>
          </w:tcPr>
          <w:p w14:paraId="0B717C88" w14:textId="77777777" w:rsidR="00000000" w:rsidRDefault="00847163">
            <w:pPr>
              <w:rPr>
                <w:rFonts w:eastAsia="Times New Roman"/>
                <w:sz w:val="20"/>
                <w:szCs w:val="20"/>
              </w:rPr>
            </w:pPr>
            <w:r>
              <w:rPr>
                <w:rFonts w:eastAsia="Times New Roman"/>
                <w:sz w:val="20"/>
                <w:szCs w:val="20"/>
              </w:rPr>
              <w:t> </w:t>
            </w:r>
          </w:p>
        </w:tc>
      </w:tr>
      <w:tr w:rsidR="00000000" w14:paraId="7018F2CE" w14:textId="77777777">
        <w:trPr>
          <w:divId w:val="869227351"/>
          <w:tblCellSpacing w:w="0" w:type="dxa"/>
        </w:trPr>
        <w:tc>
          <w:tcPr>
            <w:tcW w:w="0" w:type="auto"/>
            <w:shd w:val="clear" w:color="auto" w:fill="FFFFFF"/>
            <w:vAlign w:val="bottom"/>
            <w:hideMark/>
          </w:tcPr>
          <w:p w14:paraId="2852A9F5" w14:textId="77777777" w:rsidR="00000000" w:rsidRDefault="00847163">
            <w:pPr>
              <w:pStyle w:val="a3"/>
              <w:spacing w:before="0" w:beforeAutospacing="0" w:after="0" w:afterAutospacing="0"/>
              <w:rPr>
                <w:sz w:val="20"/>
                <w:szCs w:val="20"/>
              </w:rPr>
            </w:pPr>
            <w:r>
              <w:rPr>
                <w:sz w:val="20"/>
                <w:szCs w:val="20"/>
              </w:rPr>
              <w:t>Total assets (1)</w:t>
            </w:r>
          </w:p>
        </w:tc>
        <w:tc>
          <w:tcPr>
            <w:tcW w:w="50" w:type="pct"/>
            <w:shd w:val="clear" w:color="auto" w:fill="FFFFFF"/>
            <w:vAlign w:val="bottom"/>
            <w:hideMark/>
          </w:tcPr>
          <w:p w14:paraId="064ED567" w14:textId="77777777" w:rsidR="00000000" w:rsidRDefault="0084716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195D8924" w14:textId="77777777" w:rsidR="00000000" w:rsidRDefault="00847163">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14:paraId="3462F0D0" w14:textId="77777777" w:rsidR="00000000" w:rsidRDefault="00847163">
            <w:pPr>
              <w:jc w:val="right"/>
              <w:rPr>
                <w:rFonts w:eastAsia="Times New Roman"/>
                <w:sz w:val="20"/>
                <w:szCs w:val="20"/>
              </w:rPr>
            </w:pPr>
            <w:r>
              <w:rPr>
                <w:rFonts w:eastAsia="Times New Roman"/>
                <w:sz w:val="20"/>
                <w:szCs w:val="20"/>
              </w:rPr>
              <w:t>11,305,134</w:t>
            </w:r>
          </w:p>
        </w:tc>
        <w:tc>
          <w:tcPr>
            <w:tcW w:w="50" w:type="pct"/>
            <w:shd w:val="clear" w:color="auto" w:fill="FFFFFF"/>
            <w:tcMar>
              <w:top w:w="0" w:type="dxa"/>
              <w:left w:w="0" w:type="dxa"/>
              <w:bottom w:w="45" w:type="dxa"/>
              <w:right w:w="0" w:type="dxa"/>
            </w:tcMar>
            <w:vAlign w:val="bottom"/>
            <w:hideMark/>
          </w:tcPr>
          <w:p w14:paraId="52BD2105"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CA8A544" w14:textId="77777777" w:rsidR="00000000" w:rsidRDefault="0084716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2CD9037C" w14:textId="77777777" w:rsidR="00000000" w:rsidRDefault="00847163">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14:paraId="1C678776" w14:textId="77777777" w:rsidR="00000000" w:rsidRDefault="00847163">
            <w:pPr>
              <w:jc w:val="right"/>
              <w:rPr>
                <w:rFonts w:eastAsia="Times New Roman"/>
                <w:sz w:val="20"/>
                <w:szCs w:val="20"/>
              </w:rPr>
            </w:pPr>
            <w:r>
              <w:rPr>
                <w:rFonts w:eastAsia="Times New Roman"/>
                <w:sz w:val="20"/>
                <w:szCs w:val="20"/>
              </w:rPr>
              <w:t>10,997,867</w:t>
            </w:r>
          </w:p>
        </w:tc>
        <w:tc>
          <w:tcPr>
            <w:tcW w:w="50" w:type="pct"/>
            <w:shd w:val="clear" w:color="auto" w:fill="FFFFFF"/>
            <w:tcMar>
              <w:top w:w="0" w:type="dxa"/>
              <w:left w:w="0" w:type="dxa"/>
              <w:bottom w:w="45" w:type="dxa"/>
              <w:right w:w="0" w:type="dxa"/>
            </w:tcMar>
            <w:vAlign w:val="bottom"/>
            <w:hideMark/>
          </w:tcPr>
          <w:p w14:paraId="4AC4846C" w14:textId="77777777" w:rsidR="00000000" w:rsidRDefault="00847163">
            <w:pPr>
              <w:rPr>
                <w:rFonts w:eastAsia="Times New Roman"/>
                <w:sz w:val="20"/>
                <w:szCs w:val="20"/>
              </w:rPr>
            </w:pPr>
            <w:r>
              <w:rPr>
                <w:rFonts w:eastAsia="Times New Roman"/>
                <w:sz w:val="20"/>
                <w:szCs w:val="20"/>
              </w:rPr>
              <w:t> </w:t>
            </w:r>
          </w:p>
        </w:tc>
      </w:tr>
      <w:tr w:rsidR="00000000" w14:paraId="05494476" w14:textId="77777777">
        <w:trPr>
          <w:divId w:val="869227351"/>
          <w:tblCellSpacing w:w="0" w:type="dxa"/>
        </w:trPr>
        <w:tc>
          <w:tcPr>
            <w:tcW w:w="0" w:type="auto"/>
            <w:shd w:val="clear" w:color="auto" w:fill="CCEEFF"/>
            <w:vAlign w:val="bottom"/>
            <w:hideMark/>
          </w:tcPr>
          <w:p w14:paraId="0827C54C"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8C89CD8"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335F910"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8A0B88D"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8D4B59E"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48314F"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3988567"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42BB3A"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156ED2" w14:textId="77777777" w:rsidR="00000000" w:rsidRDefault="00847163">
            <w:pPr>
              <w:rPr>
                <w:rFonts w:eastAsia="Times New Roman"/>
                <w:sz w:val="20"/>
                <w:szCs w:val="20"/>
              </w:rPr>
            </w:pPr>
            <w:r>
              <w:rPr>
                <w:rFonts w:eastAsia="Times New Roman"/>
                <w:sz w:val="20"/>
                <w:szCs w:val="20"/>
              </w:rPr>
              <w:t> </w:t>
            </w:r>
          </w:p>
        </w:tc>
      </w:tr>
      <w:tr w:rsidR="00000000" w14:paraId="7C01EA39" w14:textId="77777777">
        <w:trPr>
          <w:divId w:val="869227351"/>
          <w:tblCellSpacing w:w="0" w:type="dxa"/>
        </w:trPr>
        <w:tc>
          <w:tcPr>
            <w:tcW w:w="0" w:type="auto"/>
            <w:shd w:val="clear" w:color="auto" w:fill="FFFFFF"/>
            <w:vAlign w:val="bottom"/>
            <w:hideMark/>
          </w:tcPr>
          <w:p w14:paraId="66D411FF" w14:textId="77777777" w:rsidR="00000000" w:rsidRDefault="00847163">
            <w:pPr>
              <w:pStyle w:val="a3"/>
              <w:spacing w:before="0" w:beforeAutospacing="0" w:after="0" w:afterAutospacing="0"/>
              <w:rPr>
                <w:sz w:val="20"/>
                <w:szCs w:val="20"/>
              </w:rPr>
            </w:pPr>
            <w:r>
              <w:rPr>
                <w:sz w:val="20"/>
                <w:szCs w:val="20"/>
              </w:rPr>
              <w:t>Liabilities:</w:t>
            </w:r>
          </w:p>
        </w:tc>
        <w:tc>
          <w:tcPr>
            <w:tcW w:w="0" w:type="auto"/>
            <w:shd w:val="clear" w:color="auto" w:fill="FFFFFF"/>
            <w:vAlign w:val="bottom"/>
            <w:hideMark/>
          </w:tcPr>
          <w:p w14:paraId="70C34724"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E8D1250"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5043FA2"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F0A0903"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F0885CA"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017E15"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54ED475"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C394467" w14:textId="77777777" w:rsidR="00000000" w:rsidRDefault="00847163">
            <w:pPr>
              <w:rPr>
                <w:rFonts w:eastAsia="Times New Roman"/>
                <w:sz w:val="20"/>
                <w:szCs w:val="20"/>
              </w:rPr>
            </w:pPr>
            <w:r>
              <w:rPr>
                <w:rFonts w:eastAsia="Times New Roman"/>
                <w:sz w:val="20"/>
                <w:szCs w:val="20"/>
              </w:rPr>
              <w:t> </w:t>
            </w:r>
          </w:p>
        </w:tc>
      </w:tr>
      <w:tr w:rsidR="00000000" w14:paraId="0B3BEE6E" w14:textId="77777777">
        <w:trPr>
          <w:divId w:val="869227351"/>
          <w:tblCellSpacing w:w="0" w:type="dxa"/>
        </w:trPr>
        <w:tc>
          <w:tcPr>
            <w:tcW w:w="0" w:type="auto"/>
            <w:shd w:val="clear" w:color="auto" w:fill="CCEEFF"/>
            <w:vAlign w:val="bottom"/>
            <w:hideMark/>
          </w:tcPr>
          <w:p w14:paraId="70837F7F" w14:textId="77777777" w:rsidR="00000000" w:rsidRDefault="00847163">
            <w:pPr>
              <w:pStyle w:val="a3"/>
              <w:spacing w:before="0" w:beforeAutospacing="0" w:after="0" w:afterAutospacing="0"/>
              <w:ind w:left="540" w:hanging="180"/>
              <w:rPr>
                <w:sz w:val="20"/>
                <w:szCs w:val="20"/>
              </w:rPr>
            </w:pPr>
            <w:r>
              <w:rPr>
                <w:sz w:val="20"/>
                <w:szCs w:val="20"/>
              </w:rPr>
              <w:t>Notes payable, net</w:t>
            </w:r>
          </w:p>
        </w:tc>
        <w:tc>
          <w:tcPr>
            <w:tcW w:w="50" w:type="pct"/>
            <w:shd w:val="clear" w:color="auto" w:fill="CCEEFF"/>
            <w:vAlign w:val="bottom"/>
            <w:hideMark/>
          </w:tcPr>
          <w:p w14:paraId="7FBF0F76"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FC12A76" w14:textId="77777777" w:rsidR="00000000" w:rsidRDefault="00847163">
            <w:pPr>
              <w:rPr>
                <w:rFonts w:eastAsia="Times New Roman"/>
                <w:sz w:val="20"/>
                <w:szCs w:val="20"/>
              </w:rPr>
            </w:pPr>
            <w:r>
              <w:rPr>
                <w:rFonts w:eastAsia="Times New Roman"/>
                <w:sz w:val="20"/>
                <w:szCs w:val="20"/>
              </w:rPr>
              <w:t>$</w:t>
            </w:r>
          </w:p>
        </w:tc>
        <w:tc>
          <w:tcPr>
            <w:tcW w:w="600" w:type="pct"/>
            <w:shd w:val="clear" w:color="auto" w:fill="CCEEFF"/>
            <w:vAlign w:val="bottom"/>
            <w:hideMark/>
          </w:tcPr>
          <w:p w14:paraId="1086CFCE" w14:textId="77777777" w:rsidR="00000000" w:rsidRDefault="00847163">
            <w:pPr>
              <w:jc w:val="right"/>
              <w:rPr>
                <w:rFonts w:eastAsia="Times New Roman"/>
                <w:sz w:val="20"/>
                <w:szCs w:val="20"/>
              </w:rPr>
            </w:pPr>
            <w:r>
              <w:rPr>
                <w:rFonts w:eastAsia="Times New Roman"/>
                <w:sz w:val="20"/>
                <w:szCs w:val="20"/>
              </w:rPr>
              <w:t>5,303,656</w:t>
            </w:r>
          </w:p>
        </w:tc>
        <w:tc>
          <w:tcPr>
            <w:tcW w:w="50" w:type="pct"/>
            <w:shd w:val="clear" w:color="auto" w:fill="CCEEFF"/>
            <w:vAlign w:val="bottom"/>
            <w:hideMark/>
          </w:tcPr>
          <w:p w14:paraId="1EDECAA2"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410768D"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6A0E6EC" w14:textId="77777777" w:rsidR="00000000" w:rsidRDefault="00847163">
            <w:pPr>
              <w:rPr>
                <w:rFonts w:eastAsia="Times New Roman"/>
                <w:sz w:val="20"/>
                <w:szCs w:val="20"/>
              </w:rPr>
            </w:pPr>
            <w:r>
              <w:rPr>
                <w:rFonts w:eastAsia="Times New Roman"/>
                <w:sz w:val="20"/>
                <w:szCs w:val="20"/>
              </w:rPr>
              <w:t>$</w:t>
            </w:r>
          </w:p>
        </w:tc>
        <w:tc>
          <w:tcPr>
            <w:tcW w:w="600" w:type="pct"/>
            <w:shd w:val="clear" w:color="auto" w:fill="CCEEFF"/>
            <w:vAlign w:val="bottom"/>
            <w:hideMark/>
          </w:tcPr>
          <w:p w14:paraId="45C7D48F" w14:textId="77777777" w:rsidR="00000000" w:rsidRDefault="00847163">
            <w:pPr>
              <w:jc w:val="right"/>
              <w:rPr>
                <w:rFonts w:eastAsia="Times New Roman"/>
                <w:sz w:val="20"/>
                <w:szCs w:val="20"/>
              </w:rPr>
            </w:pPr>
            <w:r>
              <w:rPr>
                <w:rFonts w:eastAsia="Times New Roman"/>
                <w:sz w:val="20"/>
                <w:szCs w:val="20"/>
              </w:rPr>
              <w:t>4,831,759</w:t>
            </w:r>
          </w:p>
        </w:tc>
        <w:tc>
          <w:tcPr>
            <w:tcW w:w="50" w:type="pct"/>
            <w:shd w:val="clear" w:color="auto" w:fill="CCEEFF"/>
            <w:vAlign w:val="bottom"/>
            <w:hideMark/>
          </w:tcPr>
          <w:p w14:paraId="1E325036" w14:textId="77777777" w:rsidR="00000000" w:rsidRDefault="00847163">
            <w:pPr>
              <w:rPr>
                <w:rFonts w:eastAsia="Times New Roman"/>
                <w:sz w:val="20"/>
                <w:szCs w:val="20"/>
              </w:rPr>
            </w:pPr>
            <w:r>
              <w:rPr>
                <w:rFonts w:eastAsia="Times New Roman"/>
                <w:sz w:val="20"/>
                <w:szCs w:val="20"/>
              </w:rPr>
              <w:t> </w:t>
            </w:r>
          </w:p>
        </w:tc>
      </w:tr>
      <w:tr w:rsidR="00000000" w14:paraId="0927A345" w14:textId="77777777">
        <w:trPr>
          <w:divId w:val="869227351"/>
          <w:tblCellSpacing w:w="0" w:type="dxa"/>
        </w:trPr>
        <w:tc>
          <w:tcPr>
            <w:tcW w:w="0" w:type="auto"/>
            <w:shd w:val="clear" w:color="auto" w:fill="FFFFFF"/>
            <w:vAlign w:val="bottom"/>
            <w:hideMark/>
          </w:tcPr>
          <w:p w14:paraId="15369807" w14:textId="77777777" w:rsidR="00000000" w:rsidRDefault="00847163">
            <w:pPr>
              <w:pStyle w:val="a3"/>
              <w:spacing w:before="0" w:beforeAutospacing="0" w:after="0" w:afterAutospacing="0"/>
              <w:ind w:left="540" w:hanging="180"/>
              <w:rPr>
                <w:sz w:val="20"/>
                <w:szCs w:val="20"/>
              </w:rPr>
            </w:pPr>
            <w:r>
              <w:rPr>
                <w:sz w:val="20"/>
                <w:szCs w:val="20"/>
              </w:rPr>
              <w:t>Mortgages and construction loan payable, net</w:t>
            </w:r>
          </w:p>
        </w:tc>
        <w:tc>
          <w:tcPr>
            <w:tcW w:w="50" w:type="pct"/>
            <w:shd w:val="clear" w:color="auto" w:fill="FFFFFF"/>
            <w:vAlign w:val="bottom"/>
            <w:hideMark/>
          </w:tcPr>
          <w:p w14:paraId="6A730282"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9341762" w14:textId="77777777" w:rsidR="00000000" w:rsidRDefault="00847163">
            <w:pPr>
              <w:rPr>
                <w:rFonts w:eastAsia="Times New Roman"/>
                <w:sz w:val="20"/>
                <w:szCs w:val="20"/>
              </w:rPr>
            </w:pPr>
            <w:r>
              <w:rPr>
                <w:rFonts w:eastAsia="Times New Roman"/>
                <w:sz w:val="20"/>
                <w:szCs w:val="20"/>
              </w:rPr>
              <w:t> </w:t>
            </w:r>
          </w:p>
        </w:tc>
        <w:tc>
          <w:tcPr>
            <w:tcW w:w="600" w:type="pct"/>
            <w:shd w:val="clear" w:color="auto" w:fill="FFFFFF"/>
            <w:vAlign w:val="bottom"/>
            <w:hideMark/>
          </w:tcPr>
          <w:p w14:paraId="3E71E27E" w14:textId="77777777" w:rsidR="00000000" w:rsidRDefault="00847163">
            <w:pPr>
              <w:jc w:val="right"/>
              <w:rPr>
                <w:rFonts w:eastAsia="Times New Roman"/>
                <w:sz w:val="20"/>
                <w:szCs w:val="20"/>
              </w:rPr>
            </w:pPr>
            <w:r>
              <w:rPr>
                <w:rFonts w:eastAsia="Times New Roman"/>
                <w:sz w:val="20"/>
                <w:szCs w:val="20"/>
              </w:rPr>
              <w:t>404,879</w:t>
            </w:r>
          </w:p>
        </w:tc>
        <w:tc>
          <w:tcPr>
            <w:tcW w:w="50" w:type="pct"/>
            <w:shd w:val="clear" w:color="auto" w:fill="FFFFFF"/>
            <w:vAlign w:val="bottom"/>
            <w:hideMark/>
          </w:tcPr>
          <w:p w14:paraId="320AD816"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5109570"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841D489" w14:textId="77777777" w:rsidR="00000000" w:rsidRDefault="00847163">
            <w:pPr>
              <w:rPr>
                <w:rFonts w:eastAsia="Times New Roman"/>
                <w:sz w:val="20"/>
                <w:szCs w:val="20"/>
              </w:rPr>
            </w:pPr>
            <w:r>
              <w:rPr>
                <w:rFonts w:eastAsia="Times New Roman"/>
                <w:sz w:val="20"/>
                <w:szCs w:val="20"/>
              </w:rPr>
              <w:t> </w:t>
            </w:r>
          </w:p>
        </w:tc>
        <w:tc>
          <w:tcPr>
            <w:tcW w:w="600" w:type="pct"/>
            <w:shd w:val="clear" w:color="auto" w:fill="FFFFFF"/>
            <w:vAlign w:val="bottom"/>
            <w:hideMark/>
          </w:tcPr>
          <w:p w14:paraId="2083665C" w14:textId="77777777" w:rsidR="00000000" w:rsidRDefault="00847163">
            <w:pPr>
              <w:jc w:val="right"/>
              <w:rPr>
                <w:rFonts w:eastAsia="Times New Roman"/>
                <w:sz w:val="20"/>
                <w:szCs w:val="20"/>
              </w:rPr>
            </w:pPr>
            <w:r>
              <w:rPr>
                <w:rFonts w:eastAsia="Times New Roman"/>
                <w:sz w:val="20"/>
                <w:szCs w:val="20"/>
              </w:rPr>
              <w:t>484,008</w:t>
            </w:r>
          </w:p>
        </w:tc>
        <w:tc>
          <w:tcPr>
            <w:tcW w:w="50" w:type="pct"/>
            <w:shd w:val="clear" w:color="auto" w:fill="FFFFFF"/>
            <w:vAlign w:val="bottom"/>
            <w:hideMark/>
          </w:tcPr>
          <w:p w14:paraId="6BFAA20C" w14:textId="77777777" w:rsidR="00000000" w:rsidRDefault="00847163">
            <w:pPr>
              <w:rPr>
                <w:rFonts w:eastAsia="Times New Roman"/>
                <w:sz w:val="20"/>
                <w:szCs w:val="20"/>
              </w:rPr>
            </w:pPr>
            <w:r>
              <w:rPr>
                <w:rFonts w:eastAsia="Times New Roman"/>
                <w:sz w:val="20"/>
                <w:szCs w:val="20"/>
              </w:rPr>
              <w:t> </w:t>
            </w:r>
          </w:p>
        </w:tc>
      </w:tr>
      <w:tr w:rsidR="00000000" w14:paraId="789E8C41" w14:textId="77777777">
        <w:trPr>
          <w:divId w:val="869227351"/>
          <w:tblCellSpacing w:w="0" w:type="dxa"/>
        </w:trPr>
        <w:tc>
          <w:tcPr>
            <w:tcW w:w="0" w:type="auto"/>
            <w:shd w:val="clear" w:color="auto" w:fill="CCEEFF"/>
            <w:vAlign w:val="bottom"/>
            <w:hideMark/>
          </w:tcPr>
          <w:p w14:paraId="50AF39C0" w14:textId="77777777" w:rsidR="00000000" w:rsidRDefault="00847163">
            <w:pPr>
              <w:pStyle w:val="a3"/>
              <w:spacing w:before="0" w:beforeAutospacing="0" w:after="0" w:afterAutospacing="0"/>
              <w:ind w:left="540" w:hanging="180"/>
              <w:rPr>
                <w:sz w:val="20"/>
                <w:szCs w:val="20"/>
              </w:rPr>
            </w:pPr>
            <w:r>
              <w:rPr>
                <w:sz w:val="20"/>
                <w:szCs w:val="20"/>
              </w:rPr>
              <w:t>Dividends payable</w:t>
            </w:r>
          </w:p>
        </w:tc>
        <w:tc>
          <w:tcPr>
            <w:tcW w:w="50" w:type="pct"/>
            <w:shd w:val="clear" w:color="auto" w:fill="CCEEFF"/>
            <w:vAlign w:val="bottom"/>
            <w:hideMark/>
          </w:tcPr>
          <w:p w14:paraId="6D47509E"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3EC9D61" w14:textId="77777777" w:rsidR="00000000" w:rsidRDefault="0084716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075E864E" w14:textId="77777777" w:rsidR="00000000" w:rsidRDefault="00847163">
            <w:pPr>
              <w:jc w:val="right"/>
              <w:rPr>
                <w:rFonts w:eastAsia="Times New Roman"/>
                <w:sz w:val="20"/>
                <w:szCs w:val="20"/>
              </w:rPr>
            </w:pPr>
            <w:r>
              <w:rPr>
                <w:rFonts w:eastAsia="Times New Roman"/>
                <w:sz w:val="20"/>
                <w:szCs w:val="20"/>
              </w:rPr>
              <w:t>126,473</w:t>
            </w:r>
          </w:p>
        </w:tc>
        <w:tc>
          <w:tcPr>
            <w:tcW w:w="50" w:type="pct"/>
            <w:shd w:val="clear" w:color="auto" w:fill="CCEEFF"/>
            <w:vAlign w:val="bottom"/>
            <w:hideMark/>
          </w:tcPr>
          <w:p w14:paraId="50531FAC"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FF2F250"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6469EF5" w14:textId="77777777" w:rsidR="00000000" w:rsidRDefault="0084716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1E4D0A2D" w14:textId="77777777" w:rsidR="00000000" w:rsidRDefault="00847163">
            <w:pPr>
              <w:jc w:val="right"/>
              <w:rPr>
                <w:rFonts w:eastAsia="Times New Roman"/>
                <w:sz w:val="20"/>
                <w:szCs w:val="20"/>
              </w:rPr>
            </w:pPr>
            <w:r>
              <w:rPr>
                <w:rFonts w:eastAsia="Times New Roman"/>
                <w:sz w:val="20"/>
                <w:szCs w:val="20"/>
              </w:rPr>
              <w:t>126,274</w:t>
            </w:r>
          </w:p>
        </w:tc>
        <w:tc>
          <w:tcPr>
            <w:tcW w:w="50" w:type="pct"/>
            <w:shd w:val="clear" w:color="auto" w:fill="CCEEFF"/>
            <w:vAlign w:val="bottom"/>
            <w:hideMark/>
          </w:tcPr>
          <w:p w14:paraId="0C8C2CC7" w14:textId="77777777" w:rsidR="00000000" w:rsidRDefault="00847163">
            <w:pPr>
              <w:rPr>
                <w:rFonts w:eastAsia="Times New Roman"/>
                <w:sz w:val="20"/>
                <w:szCs w:val="20"/>
              </w:rPr>
            </w:pPr>
            <w:r>
              <w:rPr>
                <w:rFonts w:eastAsia="Times New Roman"/>
                <w:sz w:val="20"/>
                <w:szCs w:val="20"/>
              </w:rPr>
              <w:t> </w:t>
            </w:r>
          </w:p>
        </w:tc>
      </w:tr>
      <w:tr w:rsidR="00000000" w14:paraId="1D4B808A" w14:textId="77777777">
        <w:trPr>
          <w:divId w:val="869227351"/>
          <w:tblCellSpacing w:w="0" w:type="dxa"/>
        </w:trPr>
        <w:tc>
          <w:tcPr>
            <w:tcW w:w="0" w:type="auto"/>
            <w:shd w:val="clear" w:color="auto" w:fill="FFFFFF"/>
            <w:vAlign w:val="bottom"/>
            <w:hideMark/>
          </w:tcPr>
          <w:p w14:paraId="7577A221" w14:textId="77777777" w:rsidR="00000000" w:rsidRDefault="00847163">
            <w:pPr>
              <w:pStyle w:val="a3"/>
              <w:spacing w:before="0" w:beforeAutospacing="0" w:after="0" w:afterAutospacing="0"/>
              <w:ind w:left="540" w:hanging="180"/>
              <w:rPr>
                <w:sz w:val="20"/>
                <w:szCs w:val="20"/>
              </w:rPr>
            </w:pPr>
            <w:r>
              <w:rPr>
                <w:sz w:val="20"/>
                <w:szCs w:val="20"/>
              </w:rPr>
              <w:t>Operating lease liabilities</w:t>
            </w:r>
          </w:p>
        </w:tc>
        <w:tc>
          <w:tcPr>
            <w:tcW w:w="50" w:type="pct"/>
            <w:shd w:val="clear" w:color="auto" w:fill="FFFFFF"/>
            <w:vAlign w:val="bottom"/>
            <w:hideMark/>
          </w:tcPr>
          <w:p w14:paraId="0993CA65"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5C848A8" w14:textId="77777777" w:rsidR="00000000" w:rsidRDefault="00847163">
            <w:pPr>
              <w:rPr>
                <w:rFonts w:eastAsia="Times New Roman"/>
                <w:sz w:val="20"/>
                <w:szCs w:val="20"/>
              </w:rPr>
            </w:pPr>
            <w:r>
              <w:rPr>
                <w:rFonts w:eastAsia="Times New Roman"/>
                <w:sz w:val="20"/>
                <w:szCs w:val="20"/>
              </w:rPr>
              <w:t> </w:t>
            </w:r>
          </w:p>
        </w:tc>
        <w:tc>
          <w:tcPr>
            <w:tcW w:w="600" w:type="pct"/>
            <w:shd w:val="clear" w:color="auto" w:fill="FFFFFF"/>
            <w:vAlign w:val="bottom"/>
            <w:hideMark/>
          </w:tcPr>
          <w:p w14:paraId="6F97FED7" w14:textId="77777777" w:rsidR="00000000" w:rsidRDefault="00847163">
            <w:pPr>
              <w:jc w:val="right"/>
              <w:rPr>
                <w:rFonts w:eastAsia="Times New Roman"/>
                <w:sz w:val="20"/>
                <w:szCs w:val="20"/>
              </w:rPr>
            </w:pPr>
            <w:r>
              <w:rPr>
                <w:rFonts w:eastAsia="Times New Roman"/>
                <w:sz w:val="20"/>
                <w:szCs w:val="20"/>
              </w:rPr>
              <w:t>91,546</w:t>
            </w:r>
          </w:p>
        </w:tc>
        <w:tc>
          <w:tcPr>
            <w:tcW w:w="50" w:type="pct"/>
            <w:shd w:val="clear" w:color="auto" w:fill="FFFFFF"/>
            <w:vAlign w:val="bottom"/>
            <w:hideMark/>
          </w:tcPr>
          <w:p w14:paraId="35186595"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3FDD921"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C7F6BDB" w14:textId="77777777" w:rsidR="00000000" w:rsidRDefault="00847163">
            <w:pPr>
              <w:rPr>
                <w:rFonts w:eastAsia="Times New Roman"/>
                <w:sz w:val="20"/>
                <w:szCs w:val="20"/>
              </w:rPr>
            </w:pPr>
            <w:r>
              <w:rPr>
                <w:rFonts w:eastAsia="Times New Roman"/>
                <w:sz w:val="20"/>
                <w:szCs w:val="20"/>
              </w:rPr>
              <w:t> </w:t>
            </w:r>
          </w:p>
        </w:tc>
        <w:tc>
          <w:tcPr>
            <w:tcW w:w="600" w:type="pct"/>
            <w:shd w:val="clear" w:color="auto" w:fill="FFFFFF"/>
            <w:vAlign w:val="bottom"/>
            <w:hideMark/>
          </w:tcPr>
          <w:p w14:paraId="7F59721E" w14:textId="77777777" w:rsidR="00000000" w:rsidRDefault="00847163">
            <w:pPr>
              <w:jc w:val="right"/>
              <w:rPr>
                <w:rFonts w:eastAsia="Times New Roman"/>
                <w:sz w:val="20"/>
                <w:szCs w:val="20"/>
              </w:rPr>
            </w:pPr>
            <w:r>
              <w:rPr>
                <w:rFonts w:eastAsia="Times New Roman"/>
                <w:sz w:val="20"/>
                <w:szCs w:val="20"/>
              </w:rPr>
              <w:t>92,711</w:t>
            </w:r>
          </w:p>
        </w:tc>
        <w:tc>
          <w:tcPr>
            <w:tcW w:w="50" w:type="pct"/>
            <w:shd w:val="clear" w:color="auto" w:fill="FFFFFF"/>
            <w:vAlign w:val="bottom"/>
            <w:hideMark/>
          </w:tcPr>
          <w:p w14:paraId="257BE6A1" w14:textId="77777777" w:rsidR="00000000" w:rsidRDefault="00847163">
            <w:pPr>
              <w:rPr>
                <w:rFonts w:eastAsia="Times New Roman"/>
                <w:sz w:val="20"/>
                <w:szCs w:val="20"/>
              </w:rPr>
            </w:pPr>
            <w:r>
              <w:rPr>
                <w:rFonts w:eastAsia="Times New Roman"/>
                <w:sz w:val="20"/>
                <w:szCs w:val="20"/>
              </w:rPr>
              <w:t> </w:t>
            </w:r>
          </w:p>
        </w:tc>
      </w:tr>
      <w:tr w:rsidR="00000000" w14:paraId="75B215FA" w14:textId="77777777">
        <w:trPr>
          <w:divId w:val="869227351"/>
          <w:tblCellSpacing w:w="0" w:type="dxa"/>
        </w:trPr>
        <w:tc>
          <w:tcPr>
            <w:tcW w:w="0" w:type="auto"/>
            <w:shd w:val="clear" w:color="auto" w:fill="CCEEFF"/>
            <w:vAlign w:val="bottom"/>
            <w:hideMark/>
          </w:tcPr>
          <w:p w14:paraId="748EDDA2" w14:textId="77777777" w:rsidR="00000000" w:rsidRDefault="00847163">
            <w:pPr>
              <w:pStyle w:val="a3"/>
              <w:spacing w:before="0" w:beforeAutospacing="0" w:after="0" w:afterAutospacing="0"/>
              <w:ind w:left="540" w:hanging="180"/>
              <w:rPr>
                <w:sz w:val="20"/>
                <w:szCs w:val="20"/>
              </w:rPr>
            </w:pPr>
            <w:r>
              <w:rPr>
                <w:sz w:val="20"/>
                <w:szCs w:val="20"/>
              </w:rPr>
              <w:t>Other liabilities</w:t>
            </w:r>
          </w:p>
        </w:tc>
        <w:tc>
          <w:tcPr>
            <w:tcW w:w="50" w:type="pct"/>
            <w:shd w:val="clear" w:color="auto" w:fill="CCEEFF"/>
            <w:tcMar>
              <w:top w:w="0" w:type="dxa"/>
              <w:left w:w="0" w:type="dxa"/>
              <w:bottom w:w="15" w:type="dxa"/>
              <w:right w:w="0" w:type="dxa"/>
            </w:tcMar>
            <w:vAlign w:val="bottom"/>
            <w:hideMark/>
          </w:tcPr>
          <w:p w14:paraId="27D99633" w14:textId="77777777" w:rsidR="00000000" w:rsidRDefault="0084716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6163F03A" w14:textId="77777777" w:rsidR="00000000" w:rsidRDefault="00847163">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5203C8C5" w14:textId="77777777" w:rsidR="00000000" w:rsidRDefault="00847163">
            <w:pPr>
              <w:jc w:val="right"/>
              <w:rPr>
                <w:rFonts w:eastAsia="Times New Roman"/>
                <w:sz w:val="20"/>
                <w:szCs w:val="20"/>
              </w:rPr>
            </w:pPr>
            <w:r>
              <w:rPr>
                <w:rFonts w:eastAsia="Times New Roman"/>
                <w:sz w:val="20"/>
                <w:szCs w:val="20"/>
              </w:rPr>
              <w:t>488,168</w:t>
            </w:r>
          </w:p>
        </w:tc>
        <w:tc>
          <w:tcPr>
            <w:tcW w:w="50" w:type="pct"/>
            <w:shd w:val="clear" w:color="auto" w:fill="CCEEFF"/>
            <w:tcMar>
              <w:top w:w="0" w:type="dxa"/>
              <w:left w:w="0" w:type="dxa"/>
              <w:bottom w:w="15" w:type="dxa"/>
              <w:right w:w="0" w:type="dxa"/>
            </w:tcMar>
            <w:vAlign w:val="bottom"/>
            <w:hideMark/>
          </w:tcPr>
          <w:p w14:paraId="763A1663"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14:paraId="2D79D897" w14:textId="77777777" w:rsidR="00000000" w:rsidRDefault="0084716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3676DFD0" w14:textId="77777777" w:rsidR="00000000" w:rsidRDefault="00847163">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097508EE" w14:textId="77777777" w:rsidR="00000000" w:rsidRDefault="00847163">
            <w:pPr>
              <w:jc w:val="right"/>
              <w:rPr>
                <w:rFonts w:eastAsia="Times New Roman"/>
                <w:sz w:val="20"/>
                <w:szCs w:val="20"/>
              </w:rPr>
            </w:pPr>
            <w:r>
              <w:rPr>
                <w:rFonts w:eastAsia="Times New Roman"/>
                <w:sz w:val="20"/>
                <w:szCs w:val="20"/>
              </w:rPr>
              <w:t>516,265</w:t>
            </w:r>
          </w:p>
        </w:tc>
        <w:tc>
          <w:tcPr>
            <w:tcW w:w="50" w:type="pct"/>
            <w:shd w:val="clear" w:color="auto" w:fill="CCEEFF"/>
            <w:tcMar>
              <w:top w:w="0" w:type="dxa"/>
              <w:left w:w="0" w:type="dxa"/>
              <w:bottom w:w="15" w:type="dxa"/>
              <w:right w:w="0" w:type="dxa"/>
            </w:tcMar>
            <w:vAlign w:val="bottom"/>
            <w:hideMark/>
          </w:tcPr>
          <w:p w14:paraId="69E4482F" w14:textId="77777777" w:rsidR="00000000" w:rsidRDefault="00847163">
            <w:pPr>
              <w:rPr>
                <w:rFonts w:eastAsia="Times New Roman"/>
                <w:sz w:val="20"/>
                <w:szCs w:val="20"/>
              </w:rPr>
            </w:pPr>
            <w:r>
              <w:rPr>
                <w:rFonts w:eastAsia="Times New Roman"/>
                <w:sz w:val="20"/>
                <w:szCs w:val="20"/>
              </w:rPr>
              <w:t> </w:t>
            </w:r>
          </w:p>
        </w:tc>
      </w:tr>
      <w:tr w:rsidR="00000000" w14:paraId="1D93F5A1" w14:textId="77777777">
        <w:trPr>
          <w:divId w:val="869227351"/>
          <w:tblCellSpacing w:w="0" w:type="dxa"/>
        </w:trPr>
        <w:tc>
          <w:tcPr>
            <w:tcW w:w="0" w:type="auto"/>
            <w:shd w:val="clear" w:color="auto" w:fill="FFFFFF"/>
            <w:vAlign w:val="bottom"/>
            <w:hideMark/>
          </w:tcPr>
          <w:p w14:paraId="4C020F08" w14:textId="77777777" w:rsidR="00000000" w:rsidRDefault="00847163">
            <w:pPr>
              <w:pStyle w:val="a3"/>
              <w:spacing w:before="0" w:beforeAutospacing="0" w:after="0" w:afterAutospacing="0"/>
              <w:rPr>
                <w:sz w:val="20"/>
                <w:szCs w:val="20"/>
              </w:rPr>
            </w:pPr>
            <w:r>
              <w:rPr>
                <w:sz w:val="20"/>
                <w:szCs w:val="20"/>
              </w:rPr>
              <w:t>Total liabilities (2)</w:t>
            </w:r>
          </w:p>
        </w:tc>
        <w:tc>
          <w:tcPr>
            <w:tcW w:w="50" w:type="pct"/>
            <w:shd w:val="clear" w:color="auto" w:fill="FFFFFF"/>
            <w:vAlign w:val="bottom"/>
            <w:hideMark/>
          </w:tcPr>
          <w:p w14:paraId="06077F73" w14:textId="77777777" w:rsidR="00000000" w:rsidRDefault="0084716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68B11493" w14:textId="77777777" w:rsidR="00000000" w:rsidRDefault="00847163">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6C6F3546" w14:textId="77777777" w:rsidR="00000000" w:rsidRDefault="00847163">
            <w:pPr>
              <w:jc w:val="right"/>
              <w:rPr>
                <w:rFonts w:eastAsia="Times New Roman"/>
                <w:sz w:val="20"/>
                <w:szCs w:val="20"/>
              </w:rPr>
            </w:pPr>
            <w:r>
              <w:rPr>
                <w:rFonts w:eastAsia="Times New Roman"/>
                <w:sz w:val="20"/>
                <w:szCs w:val="20"/>
              </w:rPr>
              <w:t>6,414,722</w:t>
            </w:r>
          </w:p>
        </w:tc>
        <w:tc>
          <w:tcPr>
            <w:tcW w:w="50" w:type="pct"/>
            <w:shd w:val="clear" w:color="auto" w:fill="FFFFFF"/>
            <w:tcMar>
              <w:top w:w="0" w:type="dxa"/>
              <w:left w:w="0" w:type="dxa"/>
              <w:bottom w:w="15" w:type="dxa"/>
              <w:right w:w="0" w:type="dxa"/>
            </w:tcMar>
            <w:vAlign w:val="bottom"/>
            <w:hideMark/>
          </w:tcPr>
          <w:p w14:paraId="015BB186"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5B61528" w14:textId="77777777" w:rsidR="00000000" w:rsidRDefault="0084716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25567135" w14:textId="77777777" w:rsidR="00000000" w:rsidRDefault="00847163">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0041BCC0" w14:textId="77777777" w:rsidR="00000000" w:rsidRDefault="00847163">
            <w:pPr>
              <w:jc w:val="right"/>
              <w:rPr>
                <w:rFonts w:eastAsia="Times New Roman"/>
                <w:sz w:val="20"/>
                <w:szCs w:val="20"/>
              </w:rPr>
            </w:pPr>
            <w:r>
              <w:rPr>
                <w:rFonts w:eastAsia="Times New Roman"/>
                <w:sz w:val="20"/>
                <w:szCs w:val="20"/>
              </w:rPr>
              <w:t>6,051,017</w:t>
            </w:r>
          </w:p>
        </w:tc>
        <w:tc>
          <w:tcPr>
            <w:tcW w:w="50" w:type="pct"/>
            <w:shd w:val="clear" w:color="auto" w:fill="FFFFFF"/>
            <w:tcMar>
              <w:top w:w="0" w:type="dxa"/>
              <w:left w:w="0" w:type="dxa"/>
              <w:bottom w:w="15" w:type="dxa"/>
              <w:right w:w="0" w:type="dxa"/>
            </w:tcMar>
            <w:vAlign w:val="bottom"/>
            <w:hideMark/>
          </w:tcPr>
          <w:p w14:paraId="74F2B197" w14:textId="77777777" w:rsidR="00000000" w:rsidRDefault="00847163">
            <w:pPr>
              <w:rPr>
                <w:rFonts w:eastAsia="Times New Roman"/>
                <w:sz w:val="20"/>
                <w:szCs w:val="20"/>
              </w:rPr>
            </w:pPr>
            <w:r>
              <w:rPr>
                <w:rFonts w:eastAsia="Times New Roman"/>
                <w:sz w:val="20"/>
                <w:szCs w:val="20"/>
              </w:rPr>
              <w:t> </w:t>
            </w:r>
          </w:p>
        </w:tc>
      </w:tr>
      <w:tr w:rsidR="00000000" w14:paraId="574BA4E3" w14:textId="77777777">
        <w:trPr>
          <w:divId w:val="869227351"/>
          <w:tblCellSpacing w:w="0" w:type="dxa"/>
        </w:trPr>
        <w:tc>
          <w:tcPr>
            <w:tcW w:w="0" w:type="auto"/>
            <w:shd w:val="clear" w:color="auto" w:fill="CCEEFF"/>
            <w:vAlign w:val="bottom"/>
            <w:hideMark/>
          </w:tcPr>
          <w:p w14:paraId="5042E872" w14:textId="77777777" w:rsidR="00000000" w:rsidRDefault="00847163">
            <w:pPr>
              <w:pStyle w:val="a3"/>
              <w:spacing w:before="0" w:beforeAutospacing="0" w:after="0" w:afterAutospacing="0"/>
              <w:rPr>
                <w:sz w:val="20"/>
                <w:szCs w:val="20"/>
              </w:rPr>
            </w:pPr>
            <w:r>
              <w:rPr>
                <w:sz w:val="20"/>
                <w:szCs w:val="20"/>
              </w:rPr>
              <w:t>Redeemable noncontrolling interests</w:t>
            </w:r>
          </w:p>
        </w:tc>
        <w:tc>
          <w:tcPr>
            <w:tcW w:w="50" w:type="pct"/>
            <w:shd w:val="clear" w:color="auto" w:fill="CCEEFF"/>
            <w:vAlign w:val="bottom"/>
            <w:hideMark/>
          </w:tcPr>
          <w:p w14:paraId="31DC37C7" w14:textId="77777777" w:rsidR="00000000" w:rsidRDefault="0084716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6854A961" w14:textId="77777777" w:rsidR="00000000" w:rsidRDefault="00847163">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12F2D126" w14:textId="77777777" w:rsidR="00000000" w:rsidRDefault="00847163">
            <w:pPr>
              <w:jc w:val="right"/>
              <w:rPr>
                <w:rFonts w:eastAsia="Times New Roman"/>
                <w:sz w:val="20"/>
                <w:szCs w:val="20"/>
              </w:rPr>
            </w:pPr>
            <w:r>
              <w:rPr>
                <w:rFonts w:eastAsia="Times New Roman"/>
                <w:sz w:val="20"/>
                <w:szCs w:val="20"/>
              </w:rPr>
              <w:t>17,943</w:t>
            </w:r>
          </w:p>
        </w:tc>
        <w:tc>
          <w:tcPr>
            <w:tcW w:w="50" w:type="pct"/>
            <w:shd w:val="clear" w:color="auto" w:fill="CCEEFF"/>
            <w:tcMar>
              <w:top w:w="0" w:type="dxa"/>
              <w:left w:w="0" w:type="dxa"/>
              <w:bottom w:w="15" w:type="dxa"/>
              <w:right w:w="0" w:type="dxa"/>
            </w:tcMar>
            <w:vAlign w:val="bottom"/>
            <w:hideMark/>
          </w:tcPr>
          <w:p w14:paraId="084E494B"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E5E7559" w14:textId="77777777" w:rsidR="00000000" w:rsidRDefault="0084716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48C8AC86" w14:textId="77777777" w:rsidR="00000000" w:rsidRDefault="00847163">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558F7EAC" w14:textId="77777777" w:rsidR="00000000" w:rsidRDefault="00847163">
            <w:pPr>
              <w:jc w:val="right"/>
              <w:rPr>
                <w:rFonts w:eastAsia="Times New Roman"/>
                <w:sz w:val="20"/>
                <w:szCs w:val="20"/>
              </w:rPr>
            </w:pPr>
            <w:r>
              <w:rPr>
                <w:rFonts w:eastAsia="Times New Roman"/>
                <w:sz w:val="20"/>
                <w:szCs w:val="20"/>
              </w:rPr>
              <w:t>17,943</w:t>
            </w:r>
          </w:p>
        </w:tc>
        <w:tc>
          <w:tcPr>
            <w:tcW w:w="50" w:type="pct"/>
            <w:shd w:val="clear" w:color="auto" w:fill="CCEEFF"/>
            <w:tcMar>
              <w:top w:w="0" w:type="dxa"/>
              <w:left w:w="0" w:type="dxa"/>
              <w:bottom w:w="15" w:type="dxa"/>
              <w:right w:w="0" w:type="dxa"/>
            </w:tcMar>
            <w:vAlign w:val="bottom"/>
            <w:hideMark/>
          </w:tcPr>
          <w:p w14:paraId="7CFB7F32" w14:textId="77777777" w:rsidR="00000000" w:rsidRDefault="00847163">
            <w:pPr>
              <w:rPr>
                <w:rFonts w:eastAsia="Times New Roman"/>
                <w:sz w:val="20"/>
                <w:szCs w:val="20"/>
              </w:rPr>
            </w:pPr>
            <w:r>
              <w:rPr>
                <w:rFonts w:eastAsia="Times New Roman"/>
                <w:sz w:val="20"/>
                <w:szCs w:val="20"/>
              </w:rPr>
              <w:t> </w:t>
            </w:r>
          </w:p>
        </w:tc>
      </w:tr>
      <w:tr w:rsidR="00000000" w14:paraId="66EA5C16" w14:textId="77777777">
        <w:trPr>
          <w:divId w:val="869227351"/>
          <w:tblCellSpacing w:w="0" w:type="dxa"/>
        </w:trPr>
        <w:tc>
          <w:tcPr>
            <w:tcW w:w="0" w:type="auto"/>
            <w:shd w:val="clear" w:color="auto" w:fill="FFFFFF"/>
            <w:vAlign w:val="bottom"/>
            <w:hideMark/>
          </w:tcPr>
          <w:p w14:paraId="0C017EE5"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06DD648"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0C25FC0"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BE00930"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CCD585F"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CC402F7"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6B27806"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7B36429"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8163489" w14:textId="77777777" w:rsidR="00000000" w:rsidRDefault="00847163">
            <w:pPr>
              <w:rPr>
                <w:rFonts w:eastAsia="Times New Roman"/>
                <w:sz w:val="20"/>
                <w:szCs w:val="20"/>
              </w:rPr>
            </w:pPr>
            <w:r>
              <w:rPr>
                <w:rFonts w:eastAsia="Times New Roman"/>
                <w:sz w:val="20"/>
                <w:szCs w:val="20"/>
              </w:rPr>
              <w:t> </w:t>
            </w:r>
          </w:p>
        </w:tc>
      </w:tr>
      <w:tr w:rsidR="00000000" w14:paraId="0A981D0E" w14:textId="77777777">
        <w:trPr>
          <w:divId w:val="869227351"/>
          <w:tblCellSpacing w:w="0" w:type="dxa"/>
        </w:trPr>
        <w:tc>
          <w:tcPr>
            <w:tcW w:w="0" w:type="auto"/>
            <w:shd w:val="clear" w:color="auto" w:fill="CCEEFF"/>
            <w:vAlign w:val="bottom"/>
            <w:hideMark/>
          </w:tcPr>
          <w:p w14:paraId="47DB9C8C" w14:textId="77777777" w:rsidR="00000000" w:rsidRDefault="00847163">
            <w:pPr>
              <w:pStyle w:val="a3"/>
              <w:spacing w:before="0" w:beforeAutospacing="0" w:after="0" w:afterAutospacing="0"/>
              <w:rPr>
                <w:sz w:val="20"/>
                <w:szCs w:val="20"/>
              </w:rPr>
            </w:pPr>
            <w:r>
              <w:rPr>
                <w:sz w:val="20"/>
                <w:szCs w:val="20"/>
              </w:rPr>
              <w:t>Commitments and Contingencies</w:t>
            </w:r>
          </w:p>
        </w:tc>
        <w:tc>
          <w:tcPr>
            <w:tcW w:w="0" w:type="auto"/>
            <w:shd w:val="clear" w:color="auto" w:fill="CCEEFF"/>
            <w:vAlign w:val="bottom"/>
            <w:hideMark/>
          </w:tcPr>
          <w:p w14:paraId="4F11778E"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C247479"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D9549C1" w14:textId="77777777" w:rsidR="00000000" w:rsidRDefault="00847163">
            <w:pPr>
              <w:rPr>
                <w:rFonts w:eastAsia="Times New Roman"/>
                <w:sz w:val="20"/>
                <w:szCs w:val="20"/>
              </w:rPr>
            </w:pPr>
          </w:p>
        </w:tc>
        <w:tc>
          <w:tcPr>
            <w:tcW w:w="0" w:type="auto"/>
            <w:shd w:val="clear" w:color="auto" w:fill="CCEEFF"/>
            <w:vAlign w:val="bottom"/>
            <w:hideMark/>
          </w:tcPr>
          <w:p w14:paraId="733B5E6E"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7A2A2B0"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48162D"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98786D3" w14:textId="77777777" w:rsidR="00000000" w:rsidRDefault="00847163">
            <w:pPr>
              <w:rPr>
                <w:rFonts w:eastAsia="Times New Roman"/>
                <w:sz w:val="20"/>
                <w:szCs w:val="20"/>
              </w:rPr>
            </w:pPr>
          </w:p>
        </w:tc>
        <w:tc>
          <w:tcPr>
            <w:tcW w:w="0" w:type="auto"/>
            <w:shd w:val="clear" w:color="auto" w:fill="CCEEFF"/>
            <w:vAlign w:val="bottom"/>
            <w:hideMark/>
          </w:tcPr>
          <w:p w14:paraId="5F4C3B9F" w14:textId="77777777" w:rsidR="00000000" w:rsidRDefault="00847163">
            <w:pPr>
              <w:rPr>
                <w:rFonts w:eastAsia="Times New Roman"/>
                <w:sz w:val="20"/>
                <w:szCs w:val="20"/>
              </w:rPr>
            </w:pPr>
            <w:r>
              <w:rPr>
                <w:rFonts w:eastAsia="Times New Roman"/>
                <w:sz w:val="20"/>
                <w:szCs w:val="20"/>
              </w:rPr>
              <w:t> </w:t>
            </w:r>
          </w:p>
        </w:tc>
      </w:tr>
      <w:tr w:rsidR="00000000" w14:paraId="14D14A0A" w14:textId="77777777">
        <w:trPr>
          <w:divId w:val="869227351"/>
          <w:tblCellSpacing w:w="0" w:type="dxa"/>
        </w:trPr>
        <w:tc>
          <w:tcPr>
            <w:tcW w:w="0" w:type="auto"/>
            <w:shd w:val="clear" w:color="auto" w:fill="FFFFFF"/>
            <w:vAlign w:val="bottom"/>
            <w:hideMark/>
          </w:tcPr>
          <w:p w14:paraId="089F50D8"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2ED2F21"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035FBD3"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20AAAA3"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E411904"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2697436"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29C1993"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98E1411"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AA486B8" w14:textId="77777777" w:rsidR="00000000" w:rsidRDefault="00847163">
            <w:pPr>
              <w:rPr>
                <w:rFonts w:eastAsia="Times New Roman"/>
                <w:sz w:val="20"/>
                <w:szCs w:val="20"/>
              </w:rPr>
            </w:pPr>
            <w:r>
              <w:rPr>
                <w:rFonts w:eastAsia="Times New Roman"/>
                <w:sz w:val="20"/>
                <w:szCs w:val="20"/>
              </w:rPr>
              <w:t> </w:t>
            </w:r>
          </w:p>
        </w:tc>
      </w:tr>
      <w:tr w:rsidR="00000000" w14:paraId="3E42E1F9" w14:textId="77777777">
        <w:trPr>
          <w:divId w:val="869227351"/>
          <w:tblCellSpacing w:w="0" w:type="dxa"/>
        </w:trPr>
        <w:tc>
          <w:tcPr>
            <w:tcW w:w="0" w:type="auto"/>
            <w:shd w:val="clear" w:color="auto" w:fill="CCEEFF"/>
            <w:vAlign w:val="bottom"/>
            <w:hideMark/>
          </w:tcPr>
          <w:p w14:paraId="3C122B96" w14:textId="77777777" w:rsidR="00000000" w:rsidRDefault="00847163">
            <w:pPr>
              <w:pStyle w:val="a3"/>
              <w:spacing w:before="0" w:beforeAutospacing="0" w:after="0" w:afterAutospacing="0"/>
              <w:rPr>
                <w:sz w:val="20"/>
                <w:szCs w:val="20"/>
              </w:rPr>
            </w:pPr>
            <w:r>
              <w:rPr>
                <w:sz w:val="20"/>
                <w:szCs w:val="20"/>
              </w:rPr>
              <w:t>Stockholders' equity:</w:t>
            </w:r>
          </w:p>
        </w:tc>
        <w:tc>
          <w:tcPr>
            <w:tcW w:w="0" w:type="auto"/>
            <w:shd w:val="clear" w:color="auto" w:fill="CCEEFF"/>
            <w:vAlign w:val="bottom"/>
            <w:hideMark/>
          </w:tcPr>
          <w:p w14:paraId="201EFE0C"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004E30E"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8781FA"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7923142"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7877DD"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E9B0651"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C4E31A2"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ED2F662" w14:textId="77777777" w:rsidR="00000000" w:rsidRDefault="00847163">
            <w:pPr>
              <w:rPr>
                <w:rFonts w:eastAsia="Times New Roman"/>
                <w:sz w:val="20"/>
                <w:szCs w:val="20"/>
              </w:rPr>
            </w:pPr>
            <w:r>
              <w:rPr>
                <w:rFonts w:eastAsia="Times New Roman"/>
                <w:sz w:val="20"/>
                <w:szCs w:val="20"/>
              </w:rPr>
              <w:t> </w:t>
            </w:r>
          </w:p>
        </w:tc>
      </w:tr>
      <w:tr w:rsidR="00000000" w14:paraId="039D3FF5" w14:textId="77777777">
        <w:trPr>
          <w:divId w:val="869227351"/>
          <w:tblCellSpacing w:w="0" w:type="dxa"/>
        </w:trPr>
        <w:tc>
          <w:tcPr>
            <w:tcW w:w="0" w:type="auto"/>
            <w:shd w:val="clear" w:color="auto" w:fill="FFFFFF"/>
            <w:vAlign w:val="bottom"/>
            <w:hideMark/>
          </w:tcPr>
          <w:p w14:paraId="26E3D52A" w14:textId="77777777" w:rsidR="00000000" w:rsidRDefault="00847163">
            <w:pPr>
              <w:pStyle w:val="a3"/>
              <w:spacing w:before="0" w:beforeAutospacing="0" w:after="0" w:afterAutospacing="0"/>
              <w:ind w:left="540" w:hanging="180"/>
              <w:rPr>
                <w:sz w:val="20"/>
                <w:szCs w:val="20"/>
              </w:rPr>
            </w:pPr>
            <w:r>
              <w:rPr>
                <w:sz w:val="20"/>
                <w:szCs w:val="20"/>
              </w:rPr>
              <w:t>Preferred stock,</w:t>
            </w:r>
            <w:r>
              <w:rPr>
                <w:sz w:val="20"/>
                <w:szCs w:val="20"/>
              </w:rPr>
              <w:t xml:space="preserve"> </w:t>
            </w:r>
            <w:r>
              <w:rPr>
                <w:sz w:val="20"/>
                <w:szCs w:val="20"/>
              </w:rPr>
              <w:t>$1.0</w:t>
            </w:r>
            <w:r>
              <w:rPr>
                <w:sz w:val="20"/>
                <w:szCs w:val="20"/>
              </w:rPr>
              <w:t>0</w:t>
            </w:r>
            <w:r>
              <w:rPr>
                <w:sz w:val="20"/>
                <w:szCs w:val="20"/>
              </w:rPr>
              <w:t xml:space="preserve"> par value, authorized</w:t>
            </w:r>
            <w:r>
              <w:rPr>
                <w:sz w:val="20"/>
                <w:szCs w:val="20"/>
              </w:rPr>
              <w:t xml:space="preserve"> </w:t>
            </w:r>
            <w:r>
              <w:rPr>
                <w:sz w:val="20"/>
                <w:szCs w:val="20"/>
              </w:rPr>
              <w:t>7,054,00</w:t>
            </w:r>
            <w:r>
              <w:rPr>
                <w:sz w:val="20"/>
                <w:szCs w:val="20"/>
              </w:rPr>
              <w:t>0</w:t>
            </w:r>
            <w:r>
              <w:rPr>
                <w:sz w:val="20"/>
                <w:szCs w:val="20"/>
              </w:rPr>
              <w:t xml:space="preserve"> </w:t>
            </w:r>
            <w:r>
              <w:rPr>
                <w:sz w:val="20"/>
                <w:szCs w:val="20"/>
              </w:rPr>
              <w:t>shares; Issued and outstanding (in series)</w:t>
            </w:r>
            <w:r>
              <w:rPr>
                <w:sz w:val="20"/>
                <w:szCs w:val="20"/>
              </w:rPr>
              <w:t xml:space="preserve"> </w:t>
            </w:r>
            <w:r>
              <w:rPr>
                <w:sz w:val="20"/>
                <w:szCs w:val="20"/>
              </w:rPr>
              <w:t>19,58</w:t>
            </w:r>
            <w:r>
              <w:rPr>
                <w:sz w:val="20"/>
                <w:szCs w:val="20"/>
              </w:rPr>
              <w:t>0</w:t>
            </w:r>
            <w:r>
              <w:rPr>
                <w:sz w:val="20"/>
                <w:szCs w:val="20"/>
              </w:rPr>
              <w:t xml:space="preserve"> shares; Aggregate liquidation preference</w:t>
            </w:r>
            <w:r>
              <w:rPr>
                <w:sz w:val="20"/>
                <w:szCs w:val="20"/>
              </w:rPr>
              <w:t xml:space="preserve"> </w:t>
            </w:r>
            <w:r>
              <w:rPr>
                <w:sz w:val="20"/>
                <w:szCs w:val="20"/>
              </w:rPr>
              <w:t>$489,50</w:t>
            </w:r>
            <w:r>
              <w:rPr>
                <w:sz w:val="20"/>
                <w:szCs w:val="20"/>
              </w:rPr>
              <w:t>0</w:t>
            </w:r>
          </w:p>
        </w:tc>
        <w:tc>
          <w:tcPr>
            <w:tcW w:w="50" w:type="pct"/>
            <w:shd w:val="clear" w:color="auto" w:fill="FFFFFF"/>
            <w:vAlign w:val="bottom"/>
            <w:hideMark/>
          </w:tcPr>
          <w:p w14:paraId="0D757F95"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FAC2A01" w14:textId="77777777" w:rsidR="00000000" w:rsidRDefault="00847163">
            <w:pPr>
              <w:rPr>
                <w:rFonts w:eastAsia="Times New Roman"/>
                <w:sz w:val="20"/>
                <w:szCs w:val="20"/>
              </w:rPr>
            </w:pPr>
            <w:r>
              <w:rPr>
                <w:rFonts w:eastAsia="Times New Roman"/>
                <w:sz w:val="20"/>
                <w:szCs w:val="20"/>
              </w:rPr>
              <w:t> </w:t>
            </w:r>
          </w:p>
        </w:tc>
        <w:tc>
          <w:tcPr>
            <w:tcW w:w="600" w:type="pct"/>
            <w:shd w:val="clear" w:color="auto" w:fill="FFFFFF"/>
            <w:vAlign w:val="bottom"/>
            <w:hideMark/>
          </w:tcPr>
          <w:p w14:paraId="3AD44F04" w14:textId="77777777" w:rsidR="00000000" w:rsidRDefault="00847163">
            <w:pPr>
              <w:jc w:val="right"/>
              <w:rPr>
                <w:rFonts w:eastAsia="Times New Roman"/>
                <w:sz w:val="20"/>
                <w:szCs w:val="20"/>
              </w:rPr>
            </w:pPr>
            <w:r>
              <w:rPr>
                <w:rFonts w:eastAsia="Times New Roman"/>
                <w:sz w:val="20"/>
                <w:szCs w:val="20"/>
              </w:rPr>
              <w:t>20</w:t>
            </w:r>
          </w:p>
        </w:tc>
        <w:tc>
          <w:tcPr>
            <w:tcW w:w="50" w:type="pct"/>
            <w:shd w:val="clear" w:color="auto" w:fill="FFFFFF"/>
            <w:vAlign w:val="bottom"/>
            <w:hideMark/>
          </w:tcPr>
          <w:p w14:paraId="7DE82098"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D3766BF"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16D8D38" w14:textId="77777777" w:rsidR="00000000" w:rsidRDefault="00847163">
            <w:pPr>
              <w:rPr>
                <w:rFonts w:eastAsia="Times New Roman"/>
                <w:sz w:val="20"/>
                <w:szCs w:val="20"/>
              </w:rPr>
            </w:pPr>
            <w:r>
              <w:rPr>
                <w:rFonts w:eastAsia="Times New Roman"/>
                <w:sz w:val="20"/>
                <w:szCs w:val="20"/>
              </w:rPr>
              <w:t> </w:t>
            </w:r>
          </w:p>
        </w:tc>
        <w:tc>
          <w:tcPr>
            <w:tcW w:w="600" w:type="pct"/>
            <w:shd w:val="clear" w:color="auto" w:fill="FFFFFF"/>
            <w:vAlign w:val="bottom"/>
            <w:hideMark/>
          </w:tcPr>
          <w:p w14:paraId="42CF8365" w14:textId="77777777" w:rsidR="00000000" w:rsidRDefault="00847163">
            <w:pPr>
              <w:jc w:val="right"/>
              <w:rPr>
                <w:rFonts w:eastAsia="Times New Roman"/>
                <w:sz w:val="20"/>
                <w:szCs w:val="20"/>
              </w:rPr>
            </w:pPr>
            <w:r>
              <w:rPr>
                <w:rFonts w:eastAsia="Times New Roman"/>
                <w:sz w:val="20"/>
                <w:szCs w:val="20"/>
              </w:rPr>
              <w:t>20</w:t>
            </w:r>
          </w:p>
        </w:tc>
        <w:tc>
          <w:tcPr>
            <w:tcW w:w="50" w:type="pct"/>
            <w:shd w:val="clear" w:color="auto" w:fill="FFFFFF"/>
            <w:vAlign w:val="bottom"/>
            <w:hideMark/>
          </w:tcPr>
          <w:p w14:paraId="2DF0A2AB" w14:textId="77777777" w:rsidR="00000000" w:rsidRDefault="00847163">
            <w:pPr>
              <w:rPr>
                <w:rFonts w:eastAsia="Times New Roman"/>
                <w:sz w:val="20"/>
                <w:szCs w:val="20"/>
              </w:rPr>
            </w:pPr>
            <w:r>
              <w:rPr>
                <w:rFonts w:eastAsia="Times New Roman"/>
                <w:sz w:val="20"/>
                <w:szCs w:val="20"/>
              </w:rPr>
              <w:t> </w:t>
            </w:r>
          </w:p>
        </w:tc>
      </w:tr>
      <w:tr w:rsidR="00000000" w14:paraId="78FB571E" w14:textId="77777777">
        <w:trPr>
          <w:divId w:val="869227351"/>
          <w:tblCellSpacing w:w="0" w:type="dxa"/>
        </w:trPr>
        <w:tc>
          <w:tcPr>
            <w:tcW w:w="0" w:type="auto"/>
            <w:shd w:val="clear" w:color="auto" w:fill="CCEEFF"/>
            <w:vAlign w:val="bottom"/>
            <w:hideMark/>
          </w:tcPr>
          <w:p w14:paraId="42AB5892" w14:textId="77777777" w:rsidR="00000000" w:rsidRDefault="00847163">
            <w:pPr>
              <w:pStyle w:val="a3"/>
              <w:spacing w:before="0" w:beforeAutospacing="0" w:after="0" w:afterAutospacing="0"/>
              <w:ind w:left="540" w:hanging="180"/>
              <w:rPr>
                <w:sz w:val="20"/>
                <w:szCs w:val="20"/>
              </w:rPr>
            </w:pPr>
            <w:r>
              <w:rPr>
                <w:sz w:val="20"/>
                <w:szCs w:val="20"/>
              </w:rPr>
              <w:t>Common stock,</w:t>
            </w:r>
            <w:r>
              <w:rPr>
                <w:sz w:val="20"/>
                <w:szCs w:val="20"/>
              </w:rPr>
              <w:t xml:space="preserve"> </w:t>
            </w:r>
            <w:r>
              <w:rPr>
                <w:sz w:val="20"/>
                <w:szCs w:val="20"/>
              </w:rPr>
              <w:t>$.0</w:t>
            </w:r>
            <w:r>
              <w:rPr>
                <w:sz w:val="20"/>
                <w:szCs w:val="20"/>
              </w:rPr>
              <w:t>1</w:t>
            </w:r>
            <w:r>
              <w:rPr>
                <w:sz w:val="20"/>
                <w:szCs w:val="20"/>
              </w:rPr>
              <w:t xml:space="preserve"> par value, authorized</w:t>
            </w:r>
            <w:r>
              <w:rPr>
                <w:sz w:val="20"/>
                <w:szCs w:val="20"/>
              </w:rPr>
              <w:t xml:space="preserve"> </w:t>
            </w:r>
            <w:r>
              <w:rPr>
                <w:sz w:val="20"/>
                <w:szCs w:val="20"/>
              </w:rPr>
              <w:t>750,000,00</w:t>
            </w:r>
            <w:r>
              <w:rPr>
                <w:sz w:val="20"/>
                <w:szCs w:val="20"/>
              </w:rPr>
              <w:t>0</w:t>
            </w:r>
            <w:r>
              <w:rPr>
                <w:sz w:val="20"/>
                <w:szCs w:val="20"/>
              </w:rPr>
              <w:t xml:space="preserve"> shares; Issued and outstanding</w:t>
            </w:r>
            <w:r>
              <w:rPr>
                <w:sz w:val="20"/>
                <w:szCs w:val="20"/>
              </w:rPr>
              <w:t xml:space="preserve"> </w:t>
            </w:r>
            <w:r>
              <w:rPr>
                <w:sz w:val="20"/>
                <w:szCs w:val="20"/>
              </w:rPr>
              <w:t>432,525,40</w:t>
            </w:r>
            <w:r>
              <w:rPr>
                <w:sz w:val="20"/>
                <w:szCs w:val="20"/>
              </w:rPr>
              <w:t>9</w:t>
            </w:r>
            <w:r>
              <w:rPr>
                <w:sz w:val="20"/>
                <w:szCs w:val="20"/>
              </w:rPr>
              <w:t xml:space="preserve"> and</w:t>
            </w:r>
            <w:r>
              <w:rPr>
                <w:sz w:val="20"/>
                <w:szCs w:val="20"/>
              </w:rPr>
              <w:t xml:space="preserve"> </w:t>
            </w:r>
            <w:r>
              <w:rPr>
                <w:sz w:val="20"/>
                <w:szCs w:val="20"/>
              </w:rPr>
              <w:t>431,814,95</w:t>
            </w:r>
            <w:r>
              <w:rPr>
                <w:sz w:val="20"/>
                <w:szCs w:val="20"/>
              </w:rPr>
              <w:t>1</w:t>
            </w:r>
            <w:r>
              <w:rPr>
                <w:sz w:val="20"/>
                <w:szCs w:val="20"/>
              </w:rPr>
              <w:t xml:space="preserve"> </w:t>
            </w:r>
            <w:r>
              <w:rPr>
                <w:sz w:val="20"/>
                <w:szCs w:val="20"/>
              </w:rPr>
              <w:t>shares, respectively</w:t>
            </w:r>
          </w:p>
        </w:tc>
        <w:tc>
          <w:tcPr>
            <w:tcW w:w="50" w:type="pct"/>
            <w:shd w:val="clear" w:color="auto" w:fill="CCEEFF"/>
            <w:vAlign w:val="bottom"/>
            <w:hideMark/>
          </w:tcPr>
          <w:p w14:paraId="4271A637"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D026945" w14:textId="77777777" w:rsidR="00000000" w:rsidRDefault="0084716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008D3504" w14:textId="77777777" w:rsidR="00000000" w:rsidRDefault="00847163">
            <w:pPr>
              <w:jc w:val="right"/>
              <w:rPr>
                <w:rFonts w:eastAsia="Times New Roman"/>
                <w:sz w:val="20"/>
                <w:szCs w:val="20"/>
              </w:rPr>
            </w:pPr>
            <w:r>
              <w:rPr>
                <w:rFonts w:eastAsia="Times New Roman"/>
                <w:sz w:val="20"/>
                <w:szCs w:val="20"/>
              </w:rPr>
              <w:t>4,325</w:t>
            </w:r>
          </w:p>
        </w:tc>
        <w:tc>
          <w:tcPr>
            <w:tcW w:w="50" w:type="pct"/>
            <w:shd w:val="clear" w:color="auto" w:fill="CCEEFF"/>
            <w:vAlign w:val="bottom"/>
            <w:hideMark/>
          </w:tcPr>
          <w:p w14:paraId="44378FBA"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291B208"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A67AB95" w14:textId="77777777" w:rsidR="00000000" w:rsidRDefault="0084716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062E4255" w14:textId="77777777" w:rsidR="00000000" w:rsidRDefault="00847163">
            <w:pPr>
              <w:jc w:val="right"/>
              <w:rPr>
                <w:rFonts w:eastAsia="Times New Roman"/>
                <w:sz w:val="20"/>
                <w:szCs w:val="20"/>
              </w:rPr>
            </w:pPr>
            <w:r>
              <w:rPr>
                <w:rFonts w:eastAsia="Times New Roman"/>
                <w:sz w:val="20"/>
                <w:szCs w:val="20"/>
              </w:rPr>
              <w:t>4,318</w:t>
            </w:r>
          </w:p>
        </w:tc>
        <w:tc>
          <w:tcPr>
            <w:tcW w:w="50" w:type="pct"/>
            <w:shd w:val="clear" w:color="auto" w:fill="CCEEFF"/>
            <w:vAlign w:val="bottom"/>
            <w:hideMark/>
          </w:tcPr>
          <w:p w14:paraId="37B36A21" w14:textId="77777777" w:rsidR="00000000" w:rsidRDefault="00847163">
            <w:pPr>
              <w:rPr>
                <w:rFonts w:eastAsia="Times New Roman"/>
                <w:sz w:val="20"/>
                <w:szCs w:val="20"/>
              </w:rPr>
            </w:pPr>
            <w:r>
              <w:rPr>
                <w:rFonts w:eastAsia="Times New Roman"/>
                <w:sz w:val="20"/>
                <w:szCs w:val="20"/>
              </w:rPr>
              <w:t> </w:t>
            </w:r>
          </w:p>
        </w:tc>
      </w:tr>
      <w:tr w:rsidR="00000000" w14:paraId="6C38DB74" w14:textId="77777777">
        <w:trPr>
          <w:divId w:val="869227351"/>
          <w:tblCellSpacing w:w="0" w:type="dxa"/>
        </w:trPr>
        <w:tc>
          <w:tcPr>
            <w:tcW w:w="0" w:type="auto"/>
            <w:shd w:val="clear" w:color="auto" w:fill="FFFFFF"/>
            <w:vAlign w:val="bottom"/>
            <w:hideMark/>
          </w:tcPr>
          <w:p w14:paraId="5D49FFA6" w14:textId="77777777" w:rsidR="00000000" w:rsidRDefault="00847163">
            <w:pPr>
              <w:pStyle w:val="a3"/>
              <w:spacing w:before="0" w:beforeAutospacing="0" w:after="0" w:afterAutospacing="0"/>
              <w:ind w:left="540" w:hanging="180"/>
              <w:rPr>
                <w:sz w:val="20"/>
                <w:szCs w:val="20"/>
              </w:rPr>
            </w:pPr>
            <w:r>
              <w:rPr>
                <w:sz w:val="20"/>
                <w:szCs w:val="20"/>
              </w:rPr>
              <w:t>Paid-in capital</w:t>
            </w:r>
          </w:p>
        </w:tc>
        <w:tc>
          <w:tcPr>
            <w:tcW w:w="50" w:type="pct"/>
            <w:shd w:val="clear" w:color="auto" w:fill="FFFFFF"/>
            <w:vAlign w:val="bottom"/>
            <w:hideMark/>
          </w:tcPr>
          <w:p w14:paraId="7AE176EA"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69BF9A0" w14:textId="77777777" w:rsidR="00000000" w:rsidRDefault="00847163">
            <w:pPr>
              <w:rPr>
                <w:rFonts w:eastAsia="Times New Roman"/>
                <w:sz w:val="20"/>
                <w:szCs w:val="20"/>
              </w:rPr>
            </w:pPr>
            <w:r>
              <w:rPr>
                <w:rFonts w:eastAsia="Times New Roman"/>
                <w:sz w:val="20"/>
                <w:szCs w:val="20"/>
              </w:rPr>
              <w:t> </w:t>
            </w:r>
          </w:p>
        </w:tc>
        <w:tc>
          <w:tcPr>
            <w:tcW w:w="600" w:type="pct"/>
            <w:shd w:val="clear" w:color="auto" w:fill="FFFFFF"/>
            <w:vAlign w:val="bottom"/>
            <w:hideMark/>
          </w:tcPr>
          <w:p w14:paraId="18C44A77" w14:textId="77777777" w:rsidR="00000000" w:rsidRDefault="00847163">
            <w:pPr>
              <w:jc w:val="right"/>
              <w:rPr>
                <w:rFonts w:eastAsia="Times New Roman"/>
                <w:sz w:val="20"/>
                <w:szCs w:val="20"/>
              </w:rPr>
            </w:pPr>
            <w:r>
              <w:rPr>
                <w:rFonts w:eastAsia="Times New Roman"/>
                <w:sz w:val="20"/>
                <w:szCs w:val="20"/>
              </w:rPr>
              <w:t>5,747,277</w:t>
            </w:r>
          </w:p>
        </w:tc>
        <w:tc>
          <w:tcPr>
            <w:tcW w:w="50" w:type="pct"/>
            <w:shd w:val="clear" w:color="auto" w:fill="FFFFFF"/>
            <w:vAlign w:val="bottom"/>
            <w:hideMark/>
          </w:tcPr>
          <w:p w14:paraId="3D697AD1"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29977A0"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48EE47B" w14:textId="77777777" w:rsidR="00000000" w:rsidRDefault="00847163">
            <w:pPr>
              <w:rPr>
                <w:rFonts w:eastAsia="Times New Roman"/>
                <w:sz w:val="20"/>
                <w:szCs w:val="20"/>
              </w:rPr>
            </w:pPr>
            <w:r>
              <w:rPr>
                <w:rFonts w:eastAsia="Times New Roman"/>
                <w:sz w:val="20"/>
                <w:szCs w:val="20"/>
              </w:rPr>
              <w:t> </w:t>
            </w:r>
          </w:p>
        </w:tc>
        <w:tc>
          <w:tcPr>
            <w:tcW w:w="600" w:type="pct"/>
            <w:shd w:val="clear" w:color="auto" w:fill="FFFFFF"/>
            <w:vAlign w:val="bottom"/>
            <w:hideMark/>
          </w:tcPr>
          <w:p w14:paraId="18E014BC" w14:textId="77777777" w:rsidR="00000000" w:rsidRDefault="00847163">
            <w:pPr>
              <w:jc w:val="right"/>
              <w:rPr>
                <w:rFonts w:eastAsia="Times New Roman"/>
                <w:sz w:val="20"/>
                <w:szCs w:val="20"/>
              </w:rPr>
            </w:pPr>
            <w:r>
              <w:rPr>
                <w:rFonts w:eastAsia="Times New Roman"/>
                <w:sz w:val="20"/>
                <w:szCs w:val="20"/>
              </w:rPr>
              <w:t>5,765,233</w:t>
            </w:r>
          </w:p>
        </w:tc>
        <w:tc>
          <w:tcPr>
            <w:tcW w:w="50" w:type="pct"/>
            <w:shd w:val="clear" w:color="auto" w:fill="FFFFFF"/>
            <w:vAlign w:val="bottom"/>
            <w:hideMark/>
          </w:tcPr>
          <w:p w14:paraId="67881FCD" w14:textId="77777777" w:rsidR="00000000" w:rsidRDefault="00847163">
            <w:pPr>
              <w:rPr>
                <w:rFonts w:eastAsia="Times New Roman"/>
                <w:sz w:val="20"/>
                <w:szCs w:val="20"/>
              </w:rPr>
            </w:pPr>
            <w:r>
              <w:rPr>
                <w:rFonts w:eastAsia="Times New Roman"/>
                <w:sz w:val="20"/>
                <w:szCs w:val="20"/>
              </w:rPr>
              <w:t> </w:t>
            </w:r>
          </w:p>
        </w:tc>
      </w:tr>
      <w:tr w:rsidR="00000000" w14:paraId="60C67E0F" w14:textId="77777777">
        <w:trPr>
          <w:divId w:val="869227351"/>
          <w:tblCellSpacing w:w="0" w:type="dxa"/>
        </w:trPr>
        <w:tc>
          <w:tcPr>
            <w:tcW w:w="0" w:type="auto"/>
            <w:shd w:val="clear" w:color="auto" w:fill="CCEEFF"/>
            <w:vAlign w:val="bottom"/>
            <w:hideMark/>
          </w:tcPr>
          <w:p w14:paraId="5C47E521" w14:textId="77777777" w:rsidR="00000000" w:rsidRDefault="00847163">
            <w:pPr>
              <w:pStyle w:val="a3"/>
              <w:spacing w:before="0" w:beforeAutospacing="0" w:after="0" w:afterAutospacing="0"/>
              <w:ind w:left="540" w:hanging="180"/>
              <w:rPr>
                <w:sz w:val="20"/>
                <w:szCs w:val="20"/>
              </w:rPr>
            </w:pPr>
            <w:r>
              <w:rPr>
                <w:sz w:val="20"/>
                <w:szCs w:val="20"/>
              </w:rPr>
              <w:t>Cumulative distributions in excess of net income</w:t>
            </w:r>
          </w:p>
        </w:tc>
        <w:tc>
          <w:tcPr>
            <w:tcW w:w="50" w:type="pct"/>
            <w:shd w:val="clear" w:color="auto" w:fill="CCEEFF"/>
            <w:tcMar>
              <w:top w:w="0" w:type="dxa"/>
              <w:left w:w="0" w:type="dxa"/>
              <w:bottom w:w="15" w:type="dxa"/>
              <w:right w:w="0" w:type="dxa"/>
            </w:tcMar>
            <w:vAlign w:val="bottom"/>
            <w:hideMark/>
          </w:tcPr>
          <w:p w14:paraId="4D2E03B8" w14:textId="77777777" w:rsidR="00000000" w:rsidRDefault="0084716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795196C9" w14:textId="77777777" w:rsidR="00000000" w:rsidRDefault="00847163">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4A12A145" w14:textId="77777777" w:rsidR="00000000" w:rsidRDefault="00847163">
            <w:pPr>
              <w:jc w:val="right"/>
              <w:rPr>
                <w:rFonts w:eastAsia="Times New Roman"/>
                <w:sz w:val="20"/>
                <w:szCs w:val="20"/>
              </w:rPr>
            </w:pPr>
            <w:r>
              <w:rPr>
                <w:rFonts w:eastAsia="Times New Roman"/>
                <w:sz w:val="20"/>
                <w:szCs w:val="20"/>
              </w:rPr>
              <w:t>(942,031</w:t>
            </w:r>
          </w:p>
        </w:tc>
        <w:tc>
          <w:tcPr>
            <w:tcW w:w="50" w:type="pct"/>
            <w:shd w:val="clear" w:color="auto" w:fill="CCEEFF"/>
            <w:tcMar>
              <w:top w:w="0" w:type="dxa"/>
              <w:left w:w="0" w:type="dxa"/>
              <w:bottom w:w="15" w:type="dxa"/>
              <w:right w:w="0" w:type="dxa"/>
            </w:tcMar>
            <w:vAlign w:val="bottom"/>
            <w:hideMark/>
          </w:tcPr>
          <w:p w14:paraId="47C19E78" w14:textId="77777777" w:rsidR="00000000" w:rsidRDefault="00847163">
            <w:pPr>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69E94998" w14:textId="77777777" w:rsidR="00000000" w:rsidRDefault="0084716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35B92A8E" w14:textId="77777777" w:rsidR="00000000" w:rsidRDefault="00847163">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1BA2575D" w14:textId="77777777" w:rsidR="00000000" w:rsidRDefault="00847163">
            <w:pPr>
              <w:jc w:val="right"/>
              <w:rPr>
                <w:rFonts w:eastAsia="Times New Roman"/>
                <w:sz w:val="20"/>
                <w:szCs w:val="20"/>
              </w:rPr>
            </w:pPr>
            <w:r>
              <w:rPr>
                <w:rFonts w:eastAsia="Times New Roman"/>
                <w:sz w:val="20"/>
                <w:szCs w:val="20"/>
              </w:rPr>
              <w:t>(904,679</w:t>
            </w:r>
          </w:p>
        </w:tc>
        <w:tc>
          <w:tcPr>
            <w:tcW w:w="50" w:type="pct"/>
            <w:shd w:val="clear" w:color="auto" w:fill="CCEEFF"/>
            <w:tcMar>
              <w:top w:w="0" w:type="dxa"/>
              <w:left w:w="0" w:type="dxa"/>
              <w:bottom w:w="15" w:type="dxa"/>
              <w:right w:w="0" w:type="dxa"/>
            </w:tcMar>
            <w:vAlign w:val="bottom"/>
            <w:hideMark/>
          </w:tcPr>
          <w:p w14:paraId="3DFE5317" w14:textId="77777777" w:rsidR="00000000" w:rsidRDefault="00847163">
            <w:pPr>
              <w:rPr>
                <w:rFonts w:eastAsia="Times New Roman"/>
                <w:sz w:val="20"/>
                <w:szCs w:val="20"/>
              </w:rPr>
            </w:pPr>
            <w:r>
              <w:rPr>
                <w:rFonts w:eastAsia="Times New Roman"/>
                <w:sz w:val="20"/>
                <w:szCs w:val="20"/>
              </w:rPr>
              <w:t>)</w:t>
            </w:r>
          </w:p>
        </w:tc>
      </w:tr>
      <w:tr w:rsidR="00000000" w14:paraId="4BC7419A" w14:textId="77777777">
        <w:trPr>
          <w:divId w:val="869227351"/>
          <w:tblCellSpacing w:w="0" w:type="dxa"/>
        </w:trPr>
        <w:tc>
          <w:tcPr>
            <w:tcW w:w="0" w:type="auto"/>
            <w:shd w:val="clear" w:color="auto" w:fill="FFFFFF"/>
            <w:vAlign w:val="bottom"/>
            <w:hideMark/>
          </w:tcPr>
          <w:p w14:paraId="39DEE416" w14:textId="77777777" w:rsidR="00000000" w:rsidRDefault="00847163">
            <w:pPr>
              <w:pStyle w:val="a3"/>
              <w:spacing w:before="0" w:beforeAutospacing="0" w:after="0" w:afterAutospacing="0"/>
              <w:rPr>
                <w:sz w:val="20"/>
                <w:szCs w:val="20"/>
              </w:rPr>
            </w:pPr>
            <w:r>
              <w:rPr>
                <w:sz w:val="20"/>
                <w:szCs w:val="20"/>
              </w:rPr>
              <w:lastRenderedPageBreak/>
              <w:t>Total stockholders' equity</w:t>
            </w:r>
          </w:p>
        </w:tc>
        <w:tc>
          <w:tcPr>
            <w:tcW w:w="50" w:type="pct"/>
            <w:shd w:val="clear" w:color="auto" w:fill="FFFFFF"/>
            <w:vAlign w:val="bottom"/>
            <w:hideMark/>
          </w:tcPr>
          <w:p w14:paraId="36E0E347"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C7BF8FA" w14:textId="77777777" w:rsidR="00000000" w:rsidRDefault="00847163">
            <w:pPr>
              <w:rPr>
                <w:rFonts w:eastAsia="Times New Roman"/>
                <w:sz w:val="20"/>
                <w:szCs w:val="20"/>
              </w:rPr>
            </w:pPr>
            <w:r>
              <w:rPr>
                <w:rFonts w:eastAsia="Times New Roman"/>
                <w:sz w:val="20"/>
                <w:szCs w:val="20"/>
              </w:rPr>
              <w:t> </w:t>
            </w:r>
          </w:p>
        </w:tc>
        <w:tc>
          <w:tcPr>
            <w:tcW w:w="600" w:type="pct"/>
            <w:shd w:val="clear" w:color="auto" w:fill="FFFFFF"/>
            <w:vAlign w:val="bottom"/>
            <w:hideMark/>
          </w:tcPr>
          <w:p w14:paraId="6B0B7505" w14:textId="77777777" w:rsidR="00000000" w:rsidRDefault="00847163">
            <w:pPr>
              <w:jc w:val="right"/>
              <w:rPr>
                <w:rFonts w:eastAsia="Times New Roman"/>
                <w:sz w:val="20"/>
                <w:szCs w:val="20"/>
              </w:rPr>
            </w:pPr>
            <w:r>
              <w:rPr>
                <w:rFonts w:eastAsia="Times New Roman"/>
                <w:sz w:val="20"/>
                <w:szCs w:val="20"/>
              </w:rPr>
              <w:t>4,809,591</w:t>
            </w:r>
          </w:p>
        </w:tc>
        <w:tc>
          <w:tcPr>
            <w:tcW w:w="50" w:type="pct"/>
            <w:shd w:val="clear" w:color="auto" w:fill="FFFFFF"/>
            <w:vAlign w:val="bottom"/>
            <w:hideMark/>
          </w:tcPr>
          <w:p w14:paraId="319537BB"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487BE9A"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6A7E03B" w14:textId="77777777" w:rsidR="00000000" w:rsidRDefault="00847163">
            <w:pPr>
              <w:rPr>
                <w:rFonts w:eastAsia="Times New Roman"/>
                <w:sz w:val="20"/>
                <w:szCs w:val="20"/>
              </w:rPr>
            </w:pPr>
            <w:r>
              <w:rPr>
                <w:rFonts w:eastAsia="Times New Roman"/>
                <w:sz w:val="20"/>
                <w:szCs w:val="20"/>
              </w:rPr>
              <w:t> </w:t>
            </w:r>
          </w:p>
        </w:tc>
        <w:tc>
          <w:tcPr>
            <w:tcW w:w="600" w:type="pct"/>
            <w:shd w:val="clear" w:color="auto" w:fill="FFFFFF"/>
            <w:vAlign w:val="bottom"/>
            <w:hideMark/>
          </w:tcPr>
          <w:p w14:paraId="1151F973" w14:textId="77777777" w:rsidR="00000000" w:rsidRDefault="00847163">
            <w:pPr>
              <w:jc w:val="right"/>
              <w:rPr>
                <w:rFonts w:eastAsia="Times New Roman"/>
                <w:sz w:val="20"/>
                <w:szCs w:val="20"/>
              </w:rPr>
            </w:pPr>
            <w:r>
              <w:rPr>
                <w:rFonts w:eastAsia="Times New Roman"/>
                <w:sz w:val="20"/>
                <w:szCs w:val="20"/>
              </w:rPr>
              <w:t>4,864,892</w:t>
            </w:r>
          </w:p>
        </w:tc>
        <w:tc>
          <w:tcPr>
            <w:tcW w:w="50" w:type="pct"/>
            <w:shd w:val="clear" w:color="auto" w:fill="FFFFFF"/>
            <w:vAlign w:val="bottom"/>
            <w:hideMark/>
          </w:tcPr>
          <w:p w14:paraId="10DB653B" w14:textId="77777777" w:rsidR="00000000" w:rsidRDefault="00847163">
            <w:pPr>
              <w:rPr>
                <w:rFonts w:eastAsia="Times New Roman"/>
                <w:sz w:val="20"/>
                <w:szCs w:val="20"/>
              </w:rPr>
            </w:pPr>
            <w:r>
              <w:rPr>
                <w:rFonts w:eastAsia="Times New Roman"/>
                <w:sz w:val="20"/>
                <w:szCs w:val="20"/>
              </w:rPr>
              <w:t> </w:t>
            </w:r>
          </w:p>
        </w:tc>
      </w:tr>
      <w:tr w:rsidR="00000000" w14:paraId="53CF7505" w14:textId="77777777">
        <w:trPr>
          <w:divId w:val="869227351"/>
          <w:tblCellSpacing w:w="0" w:type="dxa"/>
        </w:trPr>
        <w:tc>
          <w:tcPr>
            <w:tcW w:w="0" w:type="auto"/>
            <w:shd w:val="clear" w:color="auto" w:fill="CCEEFF"/>
            <w:vAlign w:val="bottom"/>
            <w:hideMark/>
          </w:tcPr>
          <w:p w14:paraId="362CA17D" w14:textId="77777777" w:rsidR="00000000" w:rsidRDefault="00847163">
            <w:pPr>
              <w:pStyle w:val="a3"/>
              <w:spacing w:before="0" w:beforeAutospacing="0" w:after="0" w:afterAutospacing="0"/>
              <w:ind w:left="540" w:hanging="180"/>
              <w:rPr>
                <w:sz w:val="20"/>
                <w:szCs w:val="20"/>
              </w:rPr>
            </w:pPr>
            <w:r>
              <w:rPr>
                <w:sz w:val="20"/>
                <w:szCs w:val="20"/>
              </w:rPr>
              <w:t>Noncontrolling interests</w:t>
            </w:r>
          </w:p>
        </w:tc>
        <w:tc>
          <w:tcPr>
            <w:tcW w:w="50" w:type="pct"/>
            <w:shd w:val="clear" w:color="auto" w:fill="CCEEFF"/>
            <w:vAlign w:val="bottom"/>
            <w:hideMark/>
          </w:tcPr>
          <w:p w14:paraId="693C0B81" w14:textId="77777777" w:rsidR="00000000" w:rsidRDefault="0084716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3F923E90" w14:textId="77777777" w:rsidR="00000000" w:rsidRDefault="00847163">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6876E6F6" w14:textId="77777777" w:rsidR="00000000" w:rsidRDefault="00847163">
            <w:pPr>
              <w:jc w:val="right"/>
              <w:rPr>
                <w:rFonts w:eastAsia="Times New Roman"/>
                <w:sz w:val="20"/>
                <w:szCs w:val="20"/>
              </w:rPr>
            </w:pPr>
            <w:r>
              <w:rPr>
                <w:rFonts w:eastAsia="Times New Roman"/>
                <w:sz w:val="20"/>
                <w:szCs w:val="20"/>
              </w:rPr>
              <w:t>62,878</w:t>
            </w:r>
          </w:p>
        </w:tc>
        <w:tc>
          <w:tcPr>
            <w:tcW w:w="50" w:type="pct"/>
            <w:shd w:val="clear" w:color="auto" w:fill="CCEEFF"/>
            <w:tcMar>
              <w:top w:w="0" w:type="dxa"/>
              <w:left w:w="0" w:type="dxa"/>
              <w:bottom w:w="15" w:type="dxa"/>
              <w:right w:w="0" w:type="dxa"/>
            </w:tcMar>
            <w:vAlign w:val="bottom"/>
            <w:hideMark/>
          </w:tcPr>
          <w:p w14:paraId="3487649A"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92B3DBD" w14:textId="77777777" w:rsidR="00000000" w:rsidRDefault="0084716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1AEC54AD" w14:textId="77777777" w:rsidR="00000000" w:rsidRDefault="00847163">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77794297" w14:textId="77777777" w:rsidR="00000000" w:rsidRDefault="00847163">
            <w:pPr>
              <w:jc w:val="right"/>
              <w:rPr>
                <w:rFonts w:eastAsia="Times New Roman"/>
                <w:sz w:val="20"/>
                <w:szCs w:val="20"/>
              </w:rPr>
            </w:pPr>
            <w:r>
              <w:rPr>
                <w:rFonts w:eastAsia="Times New Roman"/>
                <w:sz w:val="20"/>
                <w:szCs w:val="20"/>
              </w:rPr>
              <w:t>64,015</w:t>
            </w:r>
          </w:p>
        </w:tc>
        <w:tc>
          <w:tcPr>
            <w:tcW w:w="50" w:type="pct"/>
            <w:shd w:val="clear" w:color="auto" w:fill="CCEEFF"/>
            <w:tcMar>
              <w:top w:w="0" w:type="dxa"/>
              <w:left w:w="0" w:type="dxa"/>
              <w:bottom w:w="15" w:type="dxa"/>
              <w:right w:w="0" w:type="dxa"/>
            </w:tcMar>
            <w:vAlign w:val="bottom"/>
            <w:hideMark/>
          </w:tcPr>
          <w:p w14:paraId="01FCA195" w14:textId="77777777" w:rsidR="00000000" w:rsidRDefault="00847163">
            <w:pPr>
              <w:rPr>
                <w:rFonts w:eastAsia="Times New Roman"/>
                <w:sz w:val="20"/>
                <w:szCs w:val="20"/>
              </w:rPr>
            </w:pPr>
            <w:r>
              <w:rPr>
                <w:rFonts w:eastAsia="Times New Roman"/>
                <w:sz w:val="20"/>
                <w:szCs w:val="20"/>
              </w:rPr>
              <w:t> </w:t>
            </w:r>
          </w:p>
        </w:tc>
      </w:tr>
      <w:tr w:rsidR="00000000" w14:paraId="35BC385C" w14:textId="77777777">
        <w:trPr>
          <w:divId w:val="869227351"/>
          <w:tblCellSpacing w:w="0" w:type="dxa"/>
        </w:trPr>
        <w:tc>
          <w:tcPr>
            <w:tcW w:w="0" w:type="auto"/>
            <w:shd w:val="clear" w:color="auto" w:fill="FFFFFF"/>
            <w:vAlign w:val="bottom"/>
            <w:hideMark/>
          </w:tcPr>
          <w:p w14:paraId="58C91AE2" w14:textId="77777777" w:rsidR="00000000" w:rsidRDefault="00847163">
            <w:pPr>
              <w:pStyle w:val="a3"/>
              <w:spacing w:before="0" w:beforeAutospacing="0" w:after="0" w:afterAutospacing="0"/>
              <w:rPr>
                <w:sz w:val="20"/>
                <w:szCs w:val="20"/>
              </w:rPr>
            </w:pPr>
            <w:r>
              <w:rPr>
                <w:sz w:val="20"/>
                <w:szCs w:val="20"/>
              </w:rPr>
              <w:t>Total equity</w:t>
            </w:r>
          </w:p>
        </w:tc>
        <w:tc>
          <w:tcPr>
            <w:tcW w:w="50" w:type="pct"/>
            <w:shd w:val="clear" w:color="auto" w:fill="FFFFFF"/>
            <w:tcMar>
              <w:top w:w="0" w:type="dxa"/>
              <w:left w:w="0" w:type="dxa"/>
              <w:bottom w:w="15" w:type="dxa"/>
              <w:right w:w="0" w:type="dxa"/>
            </w:tcMar>
            <w:vAlign w:val="bottom"/>
            <w:hideMark/>
          </w:tcPr>
          <w:p w14:paraId="36192752" w14:textId="77777777" w:rsidR="00000000" w:rsidRDefault="0084716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7E0638BF" w14:textId="77777777" w:rsidR="00000000" w:rsidRDefault="00847163">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4FBBEDEC" w14:textId="77777777" w:rsidR="00000000" w:rsidRDefault="00847163">
            <w:pPr>
              <w:jc w:val="right"/>
              <w:rPr>
                <w:rFonts w:eastAsia="Times New Roman"/>
                <w:sz w:val="20"/>
                <w:szCs w:val="20"/>
              </w:rPr>
            </w:pPr>
            <w:r>
              <w:rPr>
                <w:rFonts w:eastAsia="Times New Roman"/>
                <w:sz w:val="20"/>
                <w:szCs w:val="20"/>
              </w:rPr>
              <w:t>4,872,469</w:t>
            </w:r>
          </w:p>
        </w:tc>
        <w:tc>
          <w:tcPr>
            <w:tcW w:w="50" w:type="pct"/>
            <w:shd w:val="clear" w:color="auto" w:fill="FFFFFF"/>
            <w:tcMar>
              <w:top w:w="0" w:type="dxa"/>
              <w:left w:w="0" w:type="dxa"/>
              <w:bottom w:w="15" w:type="dxa"/>
              <w:right w:w="0" w:type="dxa"/>
            </w:tcMar>
            <w:vAlign w:val="bottom"/>
            <w:hideMark/>
          </w:tcPr>
          <w:p w14:paraId="77A35E5B"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14:paraId="5167D147" w14:textId="77777777" w:rsidR="00000000" w:rsidRDefault="0084716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16D47354" w14:textId="77777777" w:rsidR="00000000" w:rsidRDefault="00847163">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6F590B85" w14:textId="77777777" w:rsidR="00000000" w:rsidRDefault="00847163">
            <w:pPr>
              <w:jc w:val="right"/>
              <w:rPr>
                <w:rFonts w:eastAsia="Times New Roman"/>
                <w:sz w:val="20"/>
                <w:szCs w:val="20"/>
              </w:rPr>
            </w:pPr>
            <w:r>
              <w:rPr>
                <w:rFonts w:eastAsia="Times New Roman"/>
                <w:sz w:val="20"/>
                <w:szCs w:val="20"/>
              </w:rPr>
              <w:t>4,928,907</w:t>
            </w:r>
          </w:p>
        </w:tc>
        <w:tc>
          <w:tcPr>
            <w:tcW w:w="50" w:type="pct"/>
            <w:shd w:val="clear" w:color="auto" w:fill="FFFFFF"/>
            <w:tcMar>
              <w:top w:w="0" w:type="dxa"/>
              <w:left w:w="0" w:type="dxa"/>
              <w:bottom w:w="15" w:type="dxa"/>
              <w:right w:w="0" w:type="dxa"/>
            </w:tcMar>
            <w:vAlign w:val="bottom"/>
            <w:hideMark/>
          </w:tcPr>
          <w:p w14:paraId="461BDB63" w14:textId="77777777" w:rsidR="00000000" w:rsidRDefault="00847163">
            <w:pPr>
              <w:rPr>
                <w:rFonts w:eastAsia="Times New Roman"/>
                <w:sz w:val="20"/>
                <w:szCs w:val="20"/>
              </w:rPr>
            </w:pPr>
            <w:r>
              <w:rPr>
                <w:rFonts w:eastAsia="Times New Roman"/>
                <w:sz w:val="20"/>
                <w:szCs w:val="20"/>
              </w:rPr>
              <w:t> </w:t>
            </w:r>
          </w:p>
        </w:tc>
      </w:tr>
      <w:tr w:rsidR="00000000" w14:paraId="7786B0CC" w14:textId="77777777">
        <w:trPr>
          <w:divId w:val="869227351"/>
          <w:tblCellSpacing w:w="0" w:type="dxa"/>
        </w:trPr>
        <w:tc>
          <w:tcPr>
            <w:tcW w:w="0" w:type="auto"/>
            <w:shd w:val="clear" w:color="auto" w:fill="CCEEFF"/>
            <w:vAlign w:val="bottom"/>
            <w:hideMark/>
          </w:tcPr>
          <w:p w14:paraId="10CB01A2" w14:textId="77777777" w:rsidR="00000000" w:rsidRDefault="00847163">
            <w:pPr>
              <w:pStyle w:val="a3"/>
              <w:spacing w:before="0" w:beforeAutospacing="0" w:after="0" w:afterAutospacing="0"/>
              <w:rPr>
                <w:sz w:val="20"/>
                <w:szCs w:val="20"/>
              </w:rPr>
            </w:pPr>
            <w:r>
              <w:rPr>
                <w:sz w:val="20"/>
                <w:szCs w:val="20"/>
              </w:rPr>
              <w:t>Total liabilities and equity</w:t>
            </w:r>
          </w:p>
        </w:tc>
        <w:tc>
          <w:tcPr>
            <w:tcW w:w="50" w:type="pct"/>
            <w:shd w:val="clear" w:color="auto" w:fill="CCEEFF"/>
            <w:tcMar>
              <w:top w:w="0" w:type="dxa"/>
              <w:left w:w="0" w:type="dxa"/>
              <w:bottom w:w="45" w:type="dxa"/>
              <w:right w:w="0" w:type="dxa"/>
            </w:tcMar>
            <w:vAlign w:val="bottom"/>
            <w:hideMark/>
          </w:tcPr>
          <w:p w14:paraId="570A6005" w14:textId="77777777" w:rsidR="00000000" w:rsidRDefault="0084716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44127430" w14:textId="77777777" w:rsidR="00000000" w:rsidRDefault="00847163">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14:paraId="13001D26" w14:textId="77777777" w:rsidR="00000000" w:rsidRDefault="00847163">
            <w:pPr>
              <w:jc w:val="right"/>
              <w:rPr>
                <w:rFonts w:eastAsia="Times New Roman"/>
                <w:sz w:val="20"/>
                <w:szCs w:val="20"/>
              </w:rPr>
            </w:pPr>
            <w:r>
              <w:rPr>
                <w:rFonts w:eastAsia="Times New Roman"/>
                <w:sz w:val="20"/>
                <w:szCs w:val="20"/>
              </w:rPr>
              <w:t>11,305,134</w:t>
            </w:r>
          </w:p>
        </w:tc>
        <w:tc>
          <w:tcPr>
            <w:tcW w:w="50" w:type="pct"/>
            <w:shd w:val="clear" w:color="auto" w:fill="CCEEFF"/>
            <w:tcMar>
              <w:top w:w="0" w:type="dxa"/>
              <w:left w:w="0" w:type="dxa"/>
              <w:bottom w:w="45" w:type="dxa"/>
              <w:right w:w="0" w:type="dxa"/>
            </w:tcMar>
            <w:vAlign w:val="bottom"/>
            <w:hideMark/>
          </w:tcPr>
          <w:p w14:paraId="066AE7C4"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45" w:type="dxa"/>
              <w:right w:w="0" w:type="dxa"/>
            </w:tcMar>
            <w:vAlign w:val="bottom"/>
            <w:hideMark/>
          </w:tcPr>
          <w:p w14:paraId="4E49FD14" w14:textId="77777777" w:rsidR="00000000" w:rsidRDefault="0084716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077ECEEC" w14:textId="77777777" w:rsidR="00000000" w:rsidRDefault="00847163">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14:paraId="26D4E15E" w14:textId="77777777" w:rsidR="00000000" w:rsidRDefault="00847163">
            <w:pPr>
              <w:jc w:val="right"/>
              <w:rPr>
                <w:rFonts w:eastAsia="Times New Roman"/>
                <w:sz w:val="20"/>
                <w:szCs w:val="20"/>
              </w:rPr>
            </w:pPr>
            <w:r>
              <w:rPr>
                <w:rFonts w:eastAsia="Times New Roman"/>
                <w:sz w:val="20"/>
                <w:szCs w:val="20"/>
              </w:rPr>
              <w:t>10,997,867</w:t>
            </w:r>
          </w:p>
        </w:tc>
        <w:tc>
          <w:tcPr>
            <w:tcW w:w="50" w:type="pct"/>
            <w:shd w:val="clear" w:color="auto" w:fill="CCEEFF"/>
            <w:tcMar>
              <w:top w:w="0" w:type="dxa"/>
              <w:left w:w="0" w:type="dxa"/>
              <w:bottom w:w="45" w:type="dxa"/>
              <w:right w:w="0" w:type="dxa"/>
            </w:tcMar>
            <w:vAlign w:val="bottom"/>
            <w:hideMark/>
          </w:tcPr>
          <w:p w14:paraId="4FD69E60" w14:textId="77777777" w:rsidR="00000000" w:rsidRDefault="00847163">
            <w:pPr>
              <w:rPr>
                <w:rFonts w:eastAsia="Times New Roman"/>
                <w:sz w:val="20"/>
                <w:szCs w:val="20"/>
              </w:rPr>
            </w:pPr>
            <w:r>
              <w:rPr>
                <w:rFonts w:eastAsia="Times New Roman"/>
                <w:sz w:val="20"/>
                <w:szCs w:val="20"/>
              </w:rPr>
              <w:t> </w:t>
            </w:r>
          </w:p>
        </w:tc>
      </w:tr>
    </w:tbl>
    <w:p w14:paraId="05397FD8" w14:textId="77777777" w:rsidR="00000000" w:rsidRDefault="00847163">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75C1C440" w14:textId="77777777">
        <w:trPr>
          <w:tblCellSpacing w:w="0" w:type="dxa"/>
        </w:trPr>
        <w:tc>
          <w:tcPr>
            <w:tcW w:w="360" w:type="dxa"/>
            <w:hideMark/>
          </w:tcPr>
          <w:p w14:paraId="09EA2D28" w14:textId="77777777" w:rsidR="00000000" w:rsidRDefault="00847163">
            <w:pPr>
              <w:pStyle w:val="a3"/>
              <w:spacing w:before="0" w:beforeAutospacing="0" w:after="0" w:afterAutospacing="0"/>
              <w:jc w:val="center"/>
              <w:rPr>
                <w:sz w:val="20"/>
                <w:szCs w:val="20"/>
              </w:rPr>
            </w:pPr>
            <w:r>
              <w:rPr>
                <w:sz w:val="20"/>
                <w:szCs w:val="20"/>
              </w:rPr>
              <w:t>(1)</w:t>
            </w:r>
          </w:p>
        </w:tc>
        <w:tc>
          <w:tcPr>
            <w:tcW w:w="0" w:type="auto"/>
            <w:hideMark/>
          </w:tcPr>
          <w:p w14:paraId="77D30708" w14:textId="77777777" w:rsidR="00000000" w:rsidRDefault="00847163">
            <w:pPr>
              <w:pStyle w:val="a3"/>
              <w:spacing w:before="0" w:beforeAutospacing="0" w:after="0" w:afterAutospacing="0"/>
              <w:jc w:val="both"/>
              <w:rPr>
                <w:sz w:val="20"/>
                <w:szCs w:val="20"/>
              </w:rPr>
            </w:pPr>
            <w:r>
              <w:rPr>
                <w:sz w:val="20"/>
                <w:szCs w:val="20"/>
              </w:rPr>
              <w:t>Includes restricted assets of consolidated variable interest entities (“VIEs”) at March 31, 2020 and December 31, 2019 of $104,243 and $245,489, respectively.  See Footnote 10 of the Notes to Condensed Consolidated Financial Statements.</w:t>
            </w:r>
          </w:p>
        </w:tc>
      </w:tr>
      <w:tr w:rsidR="00000000" w14:paraId="7D4ACC88" w14:textId="77777777">
        <w:trPr>
          <w:tblCellSpacing w:w="0" w:type="dxa"/>
        </w:trPr>
        <w:tc>
          <w:tcPr>
            <w:tcW w:w="360" w:type="dxa"/>
            <w:hideMark/>
          </w:tcPr>
          <w:p w14:paraId="2592BF51" w14:textId="77777777" w:rsidR="00000000" w:rsidRDefault="00847163">
            <w:pPr>
              <w:pStyle w:val="a3"/>
              <w:spacing w:before="0" w:beforeAutospacing="0" w:after="0" w:afterAutospacing="0"/>
              <w:jc w:val="center"/>
              <w:rPr>
                <w:sz w:val="20"/>
                <w:szCs w:val="20"/>
              </w:rPr>
            </w:pPr>
            <w:r>
              <w:rPr>
                <w:sz w:val="20"/>
                <w:szCs w:val="20"/>
              </w:rPr>
              <w:t>(2)</w:t>
            </w:r>
          </w:p>
        </w:tc>
        <w:tc>
          <w:tcPr>
            <w:tcW w:w="0" w:type="auto"/>
            <w:hideMark/>
          </w:tcPr>
          <w:p w14:paraId="09C247D8" w14:textId="77777777" w:rsidR="00000000" w:rsidRDefault="00847163">
            <w:pPr>
              <w:pStyle w:val="a3"/>
              <w:spacing w:before="0" w:beforeAutospacing="0" w:after="0" w:afterAutospacing="0"/>
              <w:rPr>
                <w:sz w:val="20"/>
                <w:szCs w:val="20"/>
              </w:rPr>
            </w:pPr>
            <w:r>
              <w:rPr>
                <w:sz w:val="20"/>
                <w:szCs w:val="20"/>
              </w:rPr>
              <w:t>Includes non-recourse liabilities of consolidated VIEs at March 31, 2020 and December 31, 2019 of $65,544 and $153,436, respectively.  See Footnote 10 of the Notes to Condensed Consolidated Financial Statements.</w:t>
            </w:r>
          </w:p>
        </w:tc>
      </w:tr>
    </w:tbl>
    <w:p w14:paraId="39957DE9" w14:textId="77777777" w:rsidR="00000000" w:rsidRDefault="00847163">
      <w:pPr>
        <w:pStyle w:val="a3"/>
        <w:spacing w:before="0" w:beforeAutospacing="0" w:after="0" w:afterAutospacing="0"/>
        <w:rPr>
          <w:sz w:val="20"/>
          <w:szCs w:val="20"/>
        </w:rPr>
      </w:pPr>
      <w:r>
        <w:rPr>
          <w:sz w:val="20"/>
          <w:szCs w:val="20"/>
        </w:rPr>
        <w:t> </w:t>
      </w:r>
    </w:p>
    <w:p w14:paraId="370C1AE7" w14:textId="77777777" w:rsidR="00000000" w:rsidRDefault="00847163">
      <w:pPr>
        <w:pStyle w:val="a3"/>
        <w:spacing w:before="0" w:beforeAutospacing="0" w:after="0" w:afterAutospacing="0"/>
        <w:jc w:val="center"/>
        <w:rPr>
          <w:sz w:val="20"/>
          <w:szCs w:val="20"/>
        </w:rPr>
      </w:pPr>
      <w:r>
        <w:rPr>
          <w:sz w:val="20"/>
          <w:szCs w:val="20"/>
        </w:rPr>
        <w:t>The accompanying notes are an integral pa</w:t>
      </w:r>
      <w:r>
        <w:rPr>
          <w:sz w:val="20"/>
          <w:szCs w:val="20"/>
        </w:rPr>
        <w:t>rt of these condensed consolidated financial statements.</w:t>
      </w:r>
    </w:p>
    <w:p w14:paraId="6670DFCA" w14:textId="77777777" w:rsidR="00000000" w:rsidRDefault="00847163">
      <w:pPr>
        <w:pStyle w:val="a3"/>
        <w:spacing w:before="0" w:beforeAutospacing="0" w:after="0" w:afterAutospacing="0"/>
        <w:jc w:val="center"/>
        <w:rPr>
          <w:sz w:val="20"/>
          <w:szCs w:val="20"/>
        </w:rPr>
      </w:pPr>
      <w:r>
        <w:rPr>
          <w:sz w:val="20"/>
          <w:szCs w:val="20"/>
        </w:rPr>
        <w:t> </w:t>
      </w:r>
    </w:p>
    <w:p w14:paraId="13463A5A" w14:textId="77777777" w:rsidR="00000000" w:rsidRDefault="00847163">
      <w:pPr>
        <w:jc w:val="center"/>
        <w:divId w:val="864633608"/>
        <w:rPr>
          <w:rFonts w:eastAsia="Times New Roman"/>
          <w:sz w:val="20"/>
          <w:szCs w:val="20"/>
        </w:rPr>
      </w:pPr>
      <w:r>
        <w:rPr>
          <w:rFonts w:eastAsia="Times New Roman"/>
          <w:sz w:val="20"/>
          <w:szCs w:val="20"/>
        </w:rPr>
        <w:t xml:space="preserve">3 </w:t>
      </w:r>
    </w:p>
    <w:p w14:paraId="08394CBD" w14:textId="77777777" w:rsidR="00000000" w:rsidRDefault="00847163">
      <w:pPr>
        <w:divId w:val="25181252"/>
        <w:rPr>
          <w:rFonts w:eastAsia="Times New Roman"/>
          <w:sz w:val="20"/>
          <w:szCs w:val="20"/>
        </w:rPr>
      </w:pPr>
      <w:r>
        <w:rPr>
          <w:rFonts w:eastAsia="Times New Roman"/>
          <w:sz w:val="20"/>
          <w:szCs w:val="20"/>
        </w:rPr>
        <w:pict w14:anchorId="7C1F8470">
          <v:rect id="_x0000_i1031" style="width:0;height:1.5pt" o:hralign="center" o:hrstd="t" o:hr="t" fillcolor="#a0a0a0" stroked="f"/>
        </w:pict>
      </w:r>
    </w:p>
    <w:p w14:paraId="1941B16D" w14:textId="77777777" w:rsidR="00000000" w:rsidRDefault="00847163">
      <w:pPr>
        <w:divId w:val="805389877"/>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08405002" w14:textId="77777777" w:rsidR="00000000" w:rsidRDefault="00847163">
      <w:pPr>
        <w:divId w:val="223181762"/>
        <w:rPr>
          <w:rFonts w:eastAsia="Times New Roman"/>
          <w:sz w:val="20"/>
          <w:szCs w:val="20"/>
        </w:rPr>
      </w:pPr>
      <w:r>
        <w:rPr>
          <w:rFonts w:eastAsia="Times New Roman"/>
          <w:sz w:val="20"/>
          <w:szCs w:val="20"/>
        </w:rPr>
        <w:t xml:space="preserve">  </w:t>
      </w:r>
    </w:p>
    <w:p w14:paraId="264A130D" w14:textId="77777777" w:rsidR="00000000" w:rsidRDefault="00847163">
      <w:pPr>
        <w:pStyle w:val="a3"/>
        <w:spacing w:before="0" w:beforeAutospacing="0" w:after="0" w:afterAutospacing="0"/>
        <w:rPr>
          <w:sz w:val="20"/>
          <w:szCs w:val="20"/>
        </w:rPr>
      </w:pPr>
      <w:r>
        <w:rPr>
          <w:sz w:val="20"/>
          <w:szCs w:val="20"/>
        </w:rPr>
        <w:t> </w:t>
      </w:r>
    </w:p>
    <w:p w14:paraId="02C9A7A7" w14:textId="77777777" w:rsidR="00000000" w:rsidRDefault="00847163">
      <w:pPr>
        <w:pStyle w:val="a3"/>
        <w:spacing w:before="0" w:beforeAutospacing="0" w:after="0" w:afterAutospacing="0"/>
        <w:jc w:val="center"/>
        <w:rPr>
          <w:sz w:val="20"/>
          <w:szCs w:val="20"/>
        </w:rPr>
      </w:pPr>
      <w:r>
        <w:rPr>
          <w:sz w:val="20"/>
          <w:szCs w:val="20"/>
        </w:rPr>
        <w:t>KIMCO REALTY CORPORATION AND SUBSIDIARIES</w:t>
      </w:r>
    </w:p>
    <w:p w14:paraId="0D31618D" w14:textId="77777777" w:rsidR="00000000" w:rsidRDefault="00847163">
      <w:pPr>
        <w:pStyle w:val="a3"/>
        <w:spacing w:before="0" w:beforeAutospacing="0" w:after="0" w:afterAutospacing="0"/>
        <w:jc w:val="center"/>
        <w:rPr>
          <w:sz w:val="20"/>
          <w:szCs w:val="20"/>
        </w:rPr>
      </w:pPr>
      <w:r>
        <w:rPr>
          <w:sz w:val="20"/>
          <w:szCs w:val="20"/>
        </w:rPr>
        <w:t xml:space="preserve">CONDENSED CONSOLIDATED STATEMENTS OF </w:t>
      </w:r>
      <w:r>
        <w:rPr>
          <w:sz w:val="20"/>
          <w:szCs w:val="20"/>
        </w:rPr>
        <w:t>INCOME</w:t>
      </w:r>
    </w:p>
    <w:p w14:paraId="3A781453" w14:textId="77777777" w:rsidR="00000000" w:rsidRDefault="00847163">
      <w:pPr>
        <w:pStyle w:val="a3"/>
        <w:spacing w:before="0" w:beforeAutospacing="0" w:after="0" w:afterAutospacing="0"/>
        <w:jc w:val="center"/>
        <w:rPr>
          <w:sz w:val="20"/>
          <w:szCs w:val="20"/>
        </w:rPr>
      </w:pPr>
      <w:r>
        <w:rPr>
          <w:sz w:val="20"/>
          <w:szCs w:val="20"/>
        </w:rPr>
        <w:t>(Unaudited)</w:t>
      </w:r>
    </w:p>
    <w:p w14:paraId="2BB0842B" w14:textId="77777777" w:rsidR="00000000" w:rsidRDefault="00847163">
      <w:pPr>
        <w:pStyle w:val="a3"/>
        <w:spacing w:before="0" w:beforeAutospacing="0" w:after="0" w:afterAutospacing="0"/>
        <w:jc w:val="center"/>
        <w:rPr>
          <w:sz w:val="20"/>
          <w:szCs w:val="20"/>
        </w:rPr>
      </w:pPr>
      <w:r>
        <w:rPr>
          <w:sz w:val="20"/>
          <w:szCs w:val="20"/>
        </w:rPr>
        <w:t>(in thousands, except per share data)</w:t>
      </w:r>
    </w:p>
    <w:p w14:paraId="2DCB2FE0" w14:textId="77777777" w:rsidR="00000000" w:rsidRDefault="00847163">
      <w:pPr>
        <w:pStyle w:val="a3"/>
        <w:spacing w:before="0" w:beforeAutospacing="0" w:after="0" w:afterAutospacing="0"/>
        <w:jc w:val="center"/>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141"/>
        <w:gridCol w:w="78"/>
        <w:gridCol w:w="100"/>
        <w:gridCol w:w="826"/>
        <w:gridCol w:w="78"/>
        <w:gridCol w:w="78"/>
        <w:gridCol w:w="100"/>
        <w:gridCol w:w="826"/>
        <w:gridCol w:w="79"/>
      </w:tblGrid>
      <w:tr w:rsidR="00000000" w14:paraId="4A3E00B5" w14:textId="77777777">
        <w:trPr>
          <w:divId w:val="849947503"/>
          <w:tblCellSpacing w:w="0" w:type="dxa"/>
        </w:trPr>
        <w:tc>
          <w:tcPr>
            <w:tcW w:w="0" w:type="auto"/>
            <w:vAlign w:val="bottom"/>
            <w:hideMark/>
          </w:tcPr>
          <w:p w14:paraId="66F87E70"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66177543" w14:textId="77777777" w:rsidR="00000000" w:rsidRDefault="00847163">
            <w:pPr>
              <w:rPr>
                <w:rFonts w:eastAsia="Times New Roman"/>
                <w:sz w:val="20"/>
                <w:szCs w:val="20"/>
              </w:rPr>
            </w:pPr>
            <w:r>
              <w:rPr>
                <w:rFonts w:eastAsia="Times New Roman"/>
                <w:sz w:val="20"/>
                <w:szCs w:val="20"/>
              </w:rPr>
              <w:t> </w:t>
            </w:r>
          </w:p>
        </w:tc>
        <w:tc>
          <w:tcPr>
            <w:tcW w:w="0" w:type="auto"/>
            <w:gridSpan w:val="6"/>
            <w:vAlign w:val="bottom"/>
            <w:hideMark/>
          </w:tcPr>
          <w:p w14:paraId="2CFA7EBB" w14:textId="77777777" w:rsidR="00000000" w:rsidRDefault="00847163">
            <w:pPr>
              <w:pStyle w:val="a3"/>
              <w:spacing w:before="0" w:beforeAutospacing="0" w:after="0" w:afterAutospacing="0"/>
              <w:jc w:val="center"/>
              <w:rPr>
                <w:sz w:val="20"/>
                <w:szCs w:val="20"/>
              </w:rPr>
            </w:pPr>
            <w:r>
              <w:rPr>
                <w:b/>
                <w:bCs/>
                <w:sz w:val="20"/>
                <w:szCs w:val="20"/>
              </w:rPr>
              <w:t xml:space="preserve">Three Months Ended March 31, </w:t>
            </w:r>
          </w:p>
        </w:tc>
        <w:tc>
          <w:tcPr>
            <w:tcW w:w="0" w:type="auto"/>
            <w:vAlign w:val="bottom"/>
            <w:hideMark/>
          </w:tcPr>
          <w:p w14:paraId="20DC9B49" w14:textId="77777777" w:rsidR="00000000" w:rsidRDefault="00847163">
            <w:pPr>
              <w:rPr>
                <w:rFonts w:eastAsia="Times New Roman"/>
                <w:sz w:val="20"/>
                <w:szCs w:val="20"/>
              </w:rPr>
            </w:pPr>
            <w:r>
              <w:rPr>
                <w:rFonts w:eastAsia="Times New Roman"/>
                <w:sz w:val="20"/>
                <w:szCs w:val="20"/>
              </w:rPr>
              <w:t> </w:t>
            </w:r>
          </w:p>
        </w:tc>
      </w:tr>
      <w:tr w:rsidR="00000000" w14:paraId="30B7DB2B" w14:textId="77777777">
        <w:trPr>
          <w:divId w:val="849947503"/>
          <w:tblCellSpacing w:w="0" w:type="dxa"/>
        </w:trPr>
        <w:tc>
          <w:tcPr>
            <w:tcW w:w="0" w:type="auto"/>
            <w:vAlign w:val="bottom"/>
            <w:hideMark/>
          </w:tcPr>
          <w:p w14:paraId="47ADFAA4"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78754C14" w14:textId="77777777" w:rsidR="00000000" w:rsidRDefault="0084716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46F487B0" w14:textId="77777777" w:rsidR="00000000" w:rsidRDefault="00847163">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14:paraId="2E063E7C"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4097E2D4" w14:textId="77777777" w:rsidR="00000000" w:rsidRDefault="0084716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1DE5B94E" w14:textId="77777777" w:rsidR="00000000" w:rsidRDefault="00847163">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1102BA75" w14:textId="77777777" w:rsidR="00000000" w:rsidRDefault="00847163">
            <w:pPr>
              <w:rPr>
                <w:rFonts w:eastAsia="Times New Roman"/>
                <w:sz w:val="20"/>
                <w:szCs w:val="20"/>
              </w:rPr>
            </w:pPr>
            <w:r>
              <w:rPr>
                <w:rFonts w:eastAsia="Times New Roman"/>
                <w:sz w:val="20"/>
                <w:szCs w:val="20"/>
              </w:rPr>
              <w:t> </w:t>
            </w:r>
          </w:p>
        </w:tc>
      </w:tr>
      <w:tr w:rsidR="00000000" w14:paraId="6F73F2F5" w14:textId="77777777">
        <w:trPr>
          <w:divId w:val="849947503"/>
          <w:tblCellSpacing w:w="0" w:type="dxa"/>
        </w:trPr>
        <w:tc>
          <w:tcPr>
            <w:tcW w:w="0" w:type="auto"/>
            <w:vAlign w:val="bottom"/>
            <w:hideMark/>
          </w:tcPr>
          <w:p w14:paraId="185FD119"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2EE562B5"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31087D31"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2DB7868F"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74B1F9E8"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6ACD30F0"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5CDB6A89"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6892F3A4"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6899CDAA" w14:textId="77777777" w:rsidR="00000000" w:rsidRDefault="00847163">
            <w:pPr>
              <w:rPr>
                <w:rFonts w:eastAsia="Times New Roman"/>
                <w:sz w:val="20"/>
                <w:szCs w:val="20"/>
              </w:rPr>
            </w:pPr>
            <w:r>
              <w:rPr>
                <w:rFonts w:eastAsia="Times New Roman"/>
                <w:sz w:val="20"/>
                <w:szCs w:val="20"/>
              </w:rPr>
              <w:t> </w:t>
            </w:r>
          </w:p>
        </w:tc>
      </w:tr>
      <w:tr w:rsidR="00000000" w14:paraId="6F9B3F54" w14:textId="77777777">
        <w:trPr>
          <w:divId w:val="849947503"/>
          <w:tblCellSpacing w:w="0" w:type="dxa"/>
        </w:trPr>
        <w:tc>
          <w:tcPr>
            <w:tcW w:w="0" w:type="auto"/>
            <w:shd w:val="clear" w:color="auto" w:fill="CCEEFF"/>
            <w:vAlign w:val="bottom"/>
            <w:hideMark/>
          </w:tcPr>
          <w:p w14:paraId="4E3C990A" w14:textId="77777777" w:rsidR="00000000" w:rsidRDefault="00847163">
            <w:pPr>
              <w:pStyle w:val="a3"/>
              <w:spacing w:before="0" w:beforeAutospacing="0" w:after="0" w:afterAutospacing="0"/>
              <w:rPr>
                <w:sz w:val="20"/>
                <w:szCs w:val="20"/>
              </w:rPr>
            </w:pPr>
            <w:r>
              <w:rPr>
                <w:sz w:val="20"/>
                <w:szCs w:val="20"/>
              </w:rPr>
              <w:t>Revenues</w:t>
            </w:r>
          </w:p>
        </w:tc>
        <w:tc>
          <w:tcPr>
            <w:tcW w:w="0" w:type="auto"/>
            <w:shd w:val="clear" w:color="auto" w:fill="CCEEFF"/>
            <w:vAlign w:val="bottom"/>
            <w:hideMark/>
          </w:tcPr>
          <w:p w14:paraId="05C7EE2D"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208EA25"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B0B7752"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1ED2B27"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29D5103"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8398B66"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2A5A172"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2F60A3" w14:textId="77777777" w:rsidR="00000000" w:rsidRDefault="00847163">
            <w:pPr>
              <w:rPr>
                <w:rFonts w:eastAsia="Times New Roman"/>
                <w:sz w:val="20"/>
                <w:szCs w:val="20"/>
              </w:rPr>
            </w:pPr>
            <w:r>
              <w:rPr>
                <w:rFonts w:eastAsia="Times New Roman"/>
                <w:sz w:val="20"/>
                <w:szCs w:val="20"/>
              </w:rPr>
              <w:t> </w:t>
            </w:r>
          </w:p>
        </w:tc>
      </w:tr>
      <w:tr w:rsidR="00000000" w14:paraId="6B0A5218" w14:textId="77777777">
        <w:trPr>
          <w:divId w:val="849947503"/>
          <w:tblCellSpacing w:w="0" w:type="dxa"/>
        </w:trPr>
        <w:tc>
          <w:tcPr>
            <w:tcW w:w="0" w:type="auto"/>
            <w:shd w:val="clear" w:color="auto" w:fill="FFFFFF"/>
            <w:vAlign w:val="bottom"/>
            <w:hideMark/>
          </w:tcPr>
          <w:p w14:paraId="31D96BEF" w14:textId="77777777" w:rsidR="00000000" w:rsidRDefault="00847163">
            <w:pPr>
              <w:pStyle w:val="a3"/>
              <w:spacing w:before="0" w:beforeAutospacing="0" w:after="0" w:afterAutospacing="0"/>
              <w:ind w:left="360"/>
              <w:rPr>
                <w:sz w:val="20"/>
                <w:szCs w:val="20"/>
              </w:rPr>
            </w:pPr>
            <w:r>
              <w:rPr>
                <w:sz w:val="20"/>
                <w:szCs w:val="20"/>
              </w:rPr>
              <w:t>Revenues from rental properties, net</w:t>
            </w:r>
          </w:p>
        </w:tc>
        <w:tc>
          <w:tcPr>
            <w:tcW w:w="50" w:type="pct"/>
            <w:shd w:val="clear" w:color="auto" w:fill="FFFFFF"/>
            <w:vAlign w:val="bottom"/>
            <w:hideMark/>
          </w:tcPr>
          <w:p w14:paraId="7D0E7162"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E20BA55" w14:textId="77777777" w:rsidR="00000000" w:rsidRDefault="00847163">
            <w:pPr>
              <w:rPr>
                <w:rFonts w:eastAsia="Times New Roman"/>
                <w:sz w:val="20"/>
                <w:szCs w:val="20"/>
              </w:rPr>
            </w:pPr>
            <w:r>
              <w:rPr>
                <w:rFonts w:eastAsia="Times New Roman"/>
                <w:sz w:val="20"/>
                <w:szCs w:val="20"/>
              </w:rPr>
              <w:t>$</w:t>
            </w:r>
          </w:p>
        </w:tc>
        <w:tc>
          <w:tcPr>
            <w:tcW w:w="500" w:type="pct"/>
            <w:shd w:val="clear" w:color="auto" w:fill="FFFFFF"/>
            <w:vAlign w:val="bottom"/>
            <w:hideMark/>
          </w:tcPr>
          <w:p w14:paraId="389920ED" w14:textId="77777777" w:rsidR="00000000" w:rsidRDefault="00847163">
            <w:pPr>
              <w:jc w:val="right"/>
              <w:rPr>
                <w:rFonts w:eastAsia="Times New Roman"/>
                <w:sz w:val="20"/>
                <w:szCs w:val="20"/>
              </w:rPr>
            </w:pPr>
            <w:r>
              <w:rPr>
                <w:rFonts w:eastAsia="Times New Roman"/>
                <w:sz w:val="20"/>
                <w:szCs w:val="20"/>
              </w:rPr>
              <w:t>286,004</w:t>
            </w:r>
          </w:p>
        </w:tc>
        <w:tc>
          <w:tcPr>
            <w:tcW w:w="50" w:type="pct"/>
            <w:shd w:val="clear" w:color="auto" w:fill="FFFFFF"/>
            <w:vAlign w:val="bottom"/>
            <w:hideMark/>
          </w:tcPr>
          <w:p w14:paraId="6590F9F7"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5D258B8"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1A2321A" w14:textId="77777777" w:rsidR="00000000" w:rsidRDefault="00847163">
            <w:pPr>
              <w:rPr>
                <w:rFonts w:eastAsia="Times New Roman"/>
                <w:sz w:val="20"/>
                <w:szCs w:val="20"/>
              </w:rPr>
            </w:pPr>
            <w:r>
              <w:rPr>
                <w:rFonts w:eastAsia="Times New Roman"/>
                <w:sz w:val="20"/>
                <w:szCs w:val="20"/>
              </w:rPr>
              <w:t>$</w:t>
            </w:r>
          </w:p>
        </w:tc>
        <w:tc>
          <w:tcPr>
            <w:tcW w:w="500" w:type="pct"/>
            <w:shd w:val="clear" w:color="auto" w:fill="FFFFFF"/>
            <w:vAlign w:val="bottom"/>
            <w:hideMark/>
          </w:tcPr>
          <w:p w14:paraId="7669168A" w14:textId="77777777" w:rsidR="00000000" w:rsidRDefault="00847163">
            <w:pPr>
              <w:jc w:val="right"/>
              <w:rPr>
                <w:rFonts w:eastAsia="Times New Roman"/>
                <w:sz w:val="20"/>
                <w:szCs w:val="20"/>
              </w:rPr>
            </w:pPr>
            <w:r>
              <w:rPr>
                <w:rFonts w:eastAsia="Times New Roman"/>
                <w:sz w:val="20"/>
                <w:szCs w:val="20"/>
              </w:rPr>
              <w:t>290,634</w:t>
            </w:r>
          </w:p>
        </w:tc>
        <w:tc>
          <w:tcPr>
            <w:tcW w:w="50" w:type="pct"/>
            <w:shd w:val="clear" w:color="auto" w:fill="FFFFFF"/>
            <w:vAlign w:val="bottom"/>
            <w:hideMark/>
          </w:tcPr>
          <w:p w14:paraId="38929927" w14:textId="77777777" w:rsidR="00000000" w:rsidRDefault="00847163">
            <w:pPr>
              <w:rPr>
                <w:rFonts w:eastAsia="Times New Roman"/>
                <w:sz w:val="20"/>
                <w:szCs w:val="20"/>
              </w:rPr>
            </w:pPr>
            <w:r>
              <w:rPr>
                <w:rFonts w:eastAsia="Times New Roman"/>
                <w:sz w:val="20"/>
                <w:szCs w:val="20"/>
              </w:rPr>
              <w:t> </w:t>
            </w:r>
          </w:p>
        </w:tc>
      </w:tr>
      <w:tr w:rsidR="00000000" w14:paraId="3F40D411" w14:textId="77777777">
        <w:trPr>
          <w:divId w:val="849947503"/>
          <w:tblCellSpacing w:w="0" w:type="dxa"/>
        </w:trPr>
        <w:tc>
          <w:tcPr>
            <w:tcW w:w="0" w:type="auto"/>
            <w:shd w:val="clear" w:color="auto" w:fill="CCEEFF"/>
            <w:vAlign w:val="bottom"/>
            <w:hideMark/>
          </w:tcPr>
          <w:p w14:paraId="05FC5643" w14:textId="77777777" w:rsidR="00000000" w:rsidRDefault="00847163">
            <w:pPr>
              <w:pStyle w:val="a3"/>
              <w:spacing w:before="0" w:beforeAutospacing="0" w:after="0" w:afterAutospacing="0"/>
              <w:ind w:left="360"/>
              <w:rPr>
                <w:sz w:val="20"/>
                <w:szCs w:val="20"/>
              </w:rPr>
            </w:pPr>
            <w:r>
              <w:rPr>
                <w:sz w:val="20"/>
                <w:szCs w:val="20"/>
              </w:rPr>
              <w:t>Management and other fee income</w:t>
            </w:r>
          </w:p>
        </w:tc>
        <w:tc>
          <w:tcPr>
            <w:tcW w:w="50" w:type="pct"/>
            <w:shd w:val="clear" w:color="auto" w:fill="CCEEFF"/>
            <w:vAlign w:val="bottom"/>
            <w:hideMark/>
          </w:tcPr>
          <w:p w14:paraId="3C85FF6A" w14:textId="77777777" w:rsidR="00000000" w:rsidRDefault="0084716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7BA44C63" w14:textId="77777777" w:rsidR="00000000" w:rsidRDefault="00847163">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14:paraId="69136BB9" w14:textId="77777777" w:rsidR="00000000" w:rsidRDefault="00847163">
            <w:pPr>
              <w:jc w:val="right"/>
              <w:rPr>
                <w:rFonts w:eastAsia="Times New Roman"/>
                <w:sz w:val="20"/>
                <w:szCs w:val="20"/>
              </w:rPr>
            </w:pPr>
            <w:r>
              <w:rPr>
                <w:rFonts w:eastAsia="Times New Roman"/>
                <w:sz w:val="20"/>
                <w:szCs w:val="20"/>
              </w:rPr>
              <w:t>3,740</w:t>
            </w:r>
          </w:p>
        </w:tc>
        <w:tc>
          <w:tcPr>
            <w:tcW w:w="50" w:type="pct"/>
            <w:shd w:val="clear" w:color="auto" w:fill="CCEEFF"/>
            <w:tcMar>
              <w:top w:w="0" w:type="dxa"/>
              <w:left w:w="0" w:type="dxa"/>
              <w:bottom w:w="15" w:type="dxa"/>
              <w:right w:w="0" w:type="dxa"/>
            </w:tcMar>
            <w:vAlign w:val="bottom"/>
            <w:hideMark/>
          </w:tcPr>
          <w:p w14:paraId="2918787E"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AD33CE9" w14:textId="77777777" w:rsidR="00000000" w:rsidRDefault="0084716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04D486E6" w14:textId="77777777" w:rsidR="00000000" w:rsidRDefault="00847163">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14:paraId="6847C745" w14:textId="77777777" w:rsidR="00000000" w:rsidRDefault="00847163">
            <w:pPr>
              <w:jc w:val="right"/>
              <w:rPr>
                <w:rFonts w:eastAsia="Times New Roman"/>
                <w:sz w:val="20"/>
                <w:szCs w:val="20"/>
              </w:rPr>
            </w:pPr>
            <w:r>
              <w:rPr>
                <w:rFonts w:eastAsia="Times New Roman"/>
                <w:sz w:val="20"/>
                <w:szCs w:val="20"/>
              </w:rPr>
              <w:t>4,376</w:t>
            </w:r>
          </w:p>
        </w:tc>
        <w:tc>
          <w:tcPr>
            <w:tcW w:w="50" w:type="pct"/>
            <w:shd w:val="clear" w:color="auto" w:fill="CCEEFF"/>
            <w:tcMar>
              <w:top w:w="0" w:type="dxa"/>
              <w:left w:w="0" w:type="dxa"/>
              <w:bottom w:w="15" w:type="dxa"/>
              <w:right w:w="0" w:type="dxa"/>
            </w:tcMar>
            <w:vAlign w:val="bottom"/>
            <w:hideMark/>
          </w:tcPr>
          <w:p w14:paraId="24B4983B" w14:textId="77777777" w:rsidR="00000000" w:rsidRDefault="00847163">
            <w:pPr>
              <w:rPr>
                <w:rFonts w:eastAsia="Times New Roman"/>
                <w:sz w:val="20"/>
                <w:szCs w:val="20"/>
              </w:rPr>
            </w:pPr>
            <w:r>
              <w:rPr>
                <w:rFonts w:eastAsia="Times New Roman"/>
                <w:sz w:val="20"/>
                <w:szCs w:val="20"/>
              </w:rPr>
              <w:t> </w:t>
            </w:r>
          </w:p>
        </w:tc>
      </w:tr>
      <w:tr w:rsidR="00000000" w14:paraId="7921799D" w14:textId="77777777">
        <w:trPr>
          <w:divId w:val="849947503"/>
          <w:tblCellSpacing w:w="0" w:type="dxa"/>
        </w:trPr>
        <w:tc>
          <w:tcPr>
            <w:tcW w:w="0" w:type="auto"/>
            <w:shd w:val="clear" w:color="auto" w:fill="FFFFFF"/>
            <w:vAlign w:val="bottom"/>
            <w:hideMark/>
          </w:tcPr>
          <w:p w14:paraId="351478B4" w14:textId="77777777" w:rsidR="00000000" w:rsidRDefault="00847163">
            <w:pPr>
              <w:pStyle w:val="a3"/>
              <w:spacing w:before="0" w:beforeAutospacing="0" w:after="0" w:afterAutospacing="0"/>
              <w:ind w:left="720"/>
              <w:rPr>
                <w:sz w:val="20"/>
                <w:szCs w:val="20"/>
              </w:rPr>
            </w:pPr>
            <w:r>
              <w:rPr>
                <w:sz w:val="20"/>
                <w:szCs w:val="20"/>
              </w:rPr>
              <w:t>Total revenues</w:t>
            </w:r>
          </w:p>
        </w:tc>
        <w:tc>
          <w:tcPr>
            <w:tcW w:w="50" w:type="pct"/>
            <w:shd w:val="clear" w:color="auto" w:fill="FFFFFF"/>
            <w:vAlign w:val="bottom"/>
            <w:hideMark/>
          </w:tcPr>
          <w:p w14:paraId="6D6753C6" w14:textId="77777777" w:rsidR="00000000" w:rsidRDefault="0084716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3005D096" w14:textId="77777777" w:rsidR="00000000" w:rsidRDefault="00847163">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FFFFFF"/>
            <w:vAlign w:val="bottom"/>
            <w:hideMark/>
          </w:tcPr>
          <w:p w14:paraId="6A1FD57E" w14:textId="77777777" w:rsidR="00000000" w:rsidRDefault="00847163">
            <w:pPr>
              <w:jc w:val="right"/>
              <w:rPr>
                <w:rFonts w:eastAsia="Times New Roman"/>
                <w:sz w:val="20"/>
                <w:szCs w:val="20"/>
              </w:rPr>
            </w:pPr>
            <w:r>
              <w:rPr>
                <w:rFonts w:eastAsia="Times New Roman"/>
                <w:sz w:val="20"/>
                <w:szCs w:val="20"/>
              </w:rPr>
              <w:t>289,744</w:t>
            </w:r>
          </w:p>
        </w:tc>
        <w:tc>
          <w:tcPr>
            <w:tcW w:w="50" w:type="pct"/>
            <w:shd w:val="clear" w:color="auto" w:fill="FFFFFF"/>
            <w:tcMar>
              <w:top w:w="0" w:type="dxa"/>
              <w:left w:w="0" w:type="dxa"/>
              <w:bottom w:w="15" w:type="dxa"/>
              <w:right w:w="0" w:type="dxa"/>
            </w:tcMar>
            <w:vAlign w:val="bottom"/>
            <w:hideMark/>
          </w:tcPr>
          <w:p w14:paraId="624E3C28"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E66AE42" w14:textId="77777777" w:rsidR="00000000" w:rsidRDefault="0084716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7438111C" w14:textId="77777777" w:rsidR="00000000" w:rsidRDefault="00847163">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FFFFFF"/>
            <w:vAlign w:val="bottom"/>
            <w:hideMark/>
          </w:tcPr>
          <w:p w14:paraId="25F5582F" w14:textId="77777777" w:rsidR="00000000" w:rsidRDefault="00847163">
            <w:pPr>
              <w:jc w:val="right"/>
              <w:rPr>
                <w:rFonts w:eastAsia="Times New Roman"/>
                <w:sz w:val="20"/>
                <w:szCs w:val="20"/>
              </w:rPr>
            </w:pPr>
            <w:r>
              <w:rPr>
                <w:rFonts w:eastAsia="Times New Roman"/>
                <w:sz w:val="20"/>
                <w:szCs w:val="20"/>
              </w:rPr>
              <w:t>295,010</w:t>
            </w:r>
          </w:p>
        </w:tc>
        <w:tc>
          <w:tcPr>
            <w:tcW w:w="50" w:type="pct"/>
            <w:shd w:val="clear" w:color="auto" w:fill="FFFFFF"/>
            <w:tcMar>
              <w:top w:w="0" w:type="dxa"/>
              <w:left w:w="0" w:type="dxa"/>
              <w:bottom w:w="15" w:type="dxa"/>
              <w:right w:w="0" w:type="dxa"/>
            </w:tcMar>
            <w:vAlign w:val="bottom"/>
            <w:hideMark/>
          </w:tcPr>
          <w:p w14:paraId="5044C409" w14:textId="77777777" w:rsidR="00000000" w:rsidRDefault="00847163">
            <w:pPr>
              <w:rPr>
                <w:rFonts w:eastAsia="Times New Roman"/>
                <w:sz w:val="20"/>
                <w:szCs w:val="20"/>
              </w:rPr>
            </w:pPr>
            <w:r>
              <w:rPr>
                <w:rFonts w:eastAsia="Times New Roman"/>
                <w:sz w:val="20"/>
                <w:szCs w:val="20"/>
              </w:rPr>
              <w:t> </w:t>
            </w:r>
          </w:p>
        </w:tc>
      </w:tr>
      <w:tr w:rsidR="00000000" w14:paraId="67BDEFA2" w14:textId="77777777">
        <w:trPr>
          <w:divId w:val="849947503"/>
          <w:tblCellSpacing w:w="0" w:type="dxa"/>
        </w:trPr>
        <w:tc>
          <w:tcPr>
            <w:tcW w:w="0" w:type="auto"/>
            <w:shd w:val="clear" w:color="auto" w:fill="CCEEFF"/>
            <w:vAlign w:val="bottom"/>
            <w:hideMark/>
          </w:tcPr>
          <w:p w14:paraId="14436EE7"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A0258EC"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71A611A"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A0BF697"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FFD806"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D0F1780"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05619D"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47EB541"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BFC43B3" w14:textId="77777777" w:rsidR="00000000" w:rsidRDefault="00847163">
            <w:pPr>
              <w:rPr>
                <w:rFonts w:eastAsia="Times New Roman"/>
                <w:sz w:val="20"/>
                <w:szCs w:val="20"/>
              </w:rPr>
            </w:pPr>
            <w:r>
              <w:rPr>
                <w:rFonts w:eastAsia="Times New Roman"/>
                <w:sz w:val="20"/>
                <w:szCs w:val="20"/>
              </w:rPr>
              <w:t> </w:t>
            </w:r>
          </w:p>
        </w:tc>
      </w:tr>
      <w:tr w:rsidR="00000000" w14:paraId="7631A7BB" w14:textId="77777777">
        <w:trPr>
          <w:divId w:val="849947503"/>
          <w:tblCellSpacing w:w="0" w:type="dxa"/>
        </w:trPr>
        <w:tc>
          <w:tcPr>
            <w:tcW w:w="0" w:type="auto"/>
            <w:shd w:val="clear" w:color="auto" w:fill="FFFFFF"/>
            <w:vAlign w:val="bottom"/>
            <w:hideMark/>
          </w:tcPr>
          <w:p w14:paraId="7C9F103C" w14:textId="77777777" w:rsidR="00000000" w:rsidRDefault="00847163">
            <w:pPr>
              <w:pStyle w:val="a3"/>
              <w:spacing w:before="0" w:beforeAutospacing="0" w:after="0" w:afterAutospacing="0"/>
              <w:rPr>
                <w:sz w:val="20"/>
                <w:szCs w:val="20"/>
              </w:rPr>
            </w:pPr>
            <w:r>
              <w:rPr>
                <w:sz w:val="20"/>
                <w:szCs w:val="20"/>
              </w:rPr>
              <w:t>Operating expenses</w:t>
            </w:r>
          </w:p>
        </w:tc>
        <w:tc>
          <w:tcPr>
            <w:tcW w:w="0" w:type="auto"/>
            <w:shd w:val="clear" w:color="auto" w:fill="FFFFFF"/>
            <w:vAlign w:val="bottom"/>
            <w:hideMark/>
          </w:tcPr>
          <w:p w14:paraId="7D3ECDB2"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D662843"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3238343"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46F4AA1"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C8EB930"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A6347D6"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C7AC64"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02D5563" w14:textId="77777777" w:rsidR="00000000" w:rsidRDefault="00847163">
            <w:pPr>
              <w:rPr>
                <w:rFonts w:eastAsia="Times New Roman"/>
                <w:sz w:val="20"/>
                <w:szCs w:val="20"/>
              </w:rPr>
            </w:pPr>
            <w:r>
              <w:rPr>
                <w:rFonts w:eastAsia="Times New Roman"/>
                <w:sz w:val="20"/>
                <w:szCs w:val="20"/>
              </w:rPr>
              <w:t> </w:t>
            </w:r>
          </w:p>
        </w:tc>
      </w:tr>
      <w:tr w:rsidR="00000000" w14:paraId="6CB1373F" w14:textId="77777777">
        <w:trPr>
          <w:divId w:val="849947503"/>
          <w:tblCellSpacing w:w="0" w:type="dxa"/>
        </w:trPr>
        <w:tc>
          <w:tcPr>
            <w:tcW w:w="0" w:type="auto"/>
            <w:shd w:val="clear" w:color="auto" w:fill="CCEEFF"/>
            <w:vAlign w:val="bottom"/>
            <w:hideMark/>
          </w:tcPr>
          <w:p w14:paraId="69FC98EF" w14:textId="77777777" w:rsidR="00000000" w:rsidRDefault="00847163">
            <w:pPr>
              <w:pStyle w:val="a3"/>
              <w:spacing w:before="0" w:beforeAutospacing="0" w:after="0" w:afterAutospacing="0"/>
              <w:ind w:left="360"/>
              <w:rPr>
                <w:sz w:val="20"/>
                <w:szCs w:val="20"/>
              </w:rPr>
            </w:pPr>
            <w:r>
              <w:rPr>
                <w:sz w:val="20"/>
                <w:szCs w:val="20"/>
              </w:rPr>
              <w:t>Rent</w:t>
            </w:r>
          </w:p>
        </w:tc>
        <w:tc>
          <w:tcPr>
            <w:tcW w:w="50" w:type="pct"/>
            <w:shd w:val="clear" w:color="auto" w:fill="CCEEFF"/>
            <w:vAlign w:val="bottom"/>
            <w:hideMark/>
          </w:tcPr>
          <w:p w14:paraId="1A83E729"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147DDAB" w14:textId="77777777" w:rsidR="00000000" w:rsidRDefault="00847163">
            <w:pPr>
              <w:rPr>
                <w:rFonts w:eastAsia="Times New Roman"/>
                <w:sz w:val="20"/>
                <w:szCs w:val="20"/>
              </w:rPr>
            </w:pPr>
            <w:r>
              <w:rPr>
                <w:rFonts w:eastAsia="Times New Roman"/>
                <w:sz w:val="20"/>
                <w:szCs w:val="20"/>
              </w:rPr>
              <w:t> </w:t>
            </w:r>
          </w:p>
        </w:tc>
        <w:tc>
          <w:tcPr>
            <w:tcW w:w="500" w:type="pct"/>
            <w:shd w:val="clear" w:color="auto" w:fill="CCEEFF"/>
            <w:vAlign w:val="bottom"/>
            <w:hideMark/>
          </w:tcPr>
          <w:p w14:paraId="4D0FD7CA" w14:textId="77777777" w:rsidR="00000000" w:rsidRDefault="00847163">
            <w:pPr>
              <w:jc w:val="right"/>
              <w:rPr>
                <w:rFonts w:eastAsia="Times New Roman"/>
                <w:sz w:val="20"/>
                <w:szCs w:val="20"/>
              </w:rPr>
            </w:pPr>
            <w:r>
              <w:rPr>
                <w:rFonts w:eastAsia="Times New Roman"/>
                <w:sz w:val="20"/>
                <w:szCs w:val="20"/>
              </w:rPr>
              <w:t>(2,835</w:t>
            </w:r>
          </w:p>
        </w:tc>
        <w:tc>
          <w:tcPr>
            <w:tcW w:w="50" w:type="pct"/>
            <w:shd w:val="clear" w:color="auto" w:fill="CCEEFF"/>
            <w:vAlign w:val="bottom"/>
            <w:hideMark/>
          </w:tcPr>
          <w:p w14:paraId="73D64515" w14:textId="77777777" w:rsidR="00000000" w:rsidRDefault="00847163">
            <w:pPr>
              <w:rPr>
                <w:rFonts w:eastAsia="Times New Roman"/>
                <w:sz w:val="20"/>
                <w:szCs w:val="20"/>
              </w:rPr>
            </w:pPr>
            <w:r>
              <w:rPr>
                <w:rFonts w:eastAsia="Times New Roman"/>
                <w:sz w:val="20"/>
                <w:szCs w:val="20"/>
              </w:rPr>
              <w:t>)</w:t>
            </w:r>
          </w:p>
        </w:tc>
        <w:tc>
          <w:tcPr>
            <w:tcW w:w="50" w:type="pct"/>
            <w:shd w:val="clear" w:color="auto" w:fill="CCEEFF"/>
            <w:vAlign w:val="bottom"/>
            <w:hideMark/>
          </w:tcPr>
          <w:p w14:paraId="7E253BA0"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56D52D9" w14:textId="77777777" w:rsidR="00000000" w:rsidRDefault="00847163">
            <w:pPr>
              <w:rPr>
                <w:rFonts w:eastAsia="Times New Roman"/>
                <w:sz w:val="20"/>
                <w:szCs w:val="20"/>
              </w:rPr>
            </w:pPr>
            <w:r>
              <w:rPr>
                <w:rFonts w:eastAsia="Times New Roman"/>
                <w:sz w:val="20"/>
                <w:szCs w:val="20"/>
              </w:rPr>
              <w:t> </w:t>
            </w:r>
          </w:p>
        </w:tc>
        <w:tc>
          <w:tcPr>
            <w:tcW w:w="500" w:type="pct"/>
            <w:shd w:val="clear" w:color="auto" w:fill="CCEEFF"/>
            <w:vAlign w:val="bottom"/>
            <w:hideMark/>
          </w:tcPr>
          <w:p w14:paraId="7E10340F" w14:textId="77777777" w:rsidR="00000000" w:rsidRDefault="00847163">
            <w:pPr>
              <w:jc w:val="right"/>
              <w:rPr>
                <w:rFonts w:eastAsia="Times New Roman"/>
                <w:sz w:val="20"/>
                <w:szCs w:val="20"/>
              </w:rPr>
            </w:pPr>
            <w:r>
              <w:rPr>
                <w:rFonts w:eastAsia="Times New Roman"/>
                <w:sz w:val="20"/>
                <w:szCs w:val="20"/>
              </w:rPr>
              <w:t>(2,692</w:t>
            </w:r>
          </w:p>
        </w:tc>
        <w:tc>
          <w:tcPr>
            <w:tcW w:w="50" w:type="pct"/>
            <w:shd w:val="clear" w:color="auto" w:fill="CCEEFF"/>
            <w:vAlign w:val="bottom"/>
            <w:hideMark/>
          </w:tcPr>
          <w:p w14:paraId="4EAA0C93" w14:textId="77777777" w:rsidR="00000000" w:rsidRDefault="00847163">
            <w:pPr>
              <w:rPr>
                <w:rFonts w:eastAsia="Times New Roman"/>
                <w:sz w:val="20"/>
                <w:szCs w:val="20"/>
              </w:rPr>
            </w:pPr>
            <w:r>
              <w:rPr>
                <w:rFonts w:eastAsia="Times New Roman"/>
                <w:sz w:val="20"/>
                <w:szCs w:val="20"/>
              </w:rPr>
              <w:t>)</w:t>
            </w:r>
          </w:p>
        </w:tc>
      </w:tr>
      <w:tr w:rsidR="00000000" w14:paraId="35B178C6" w14:textId="77777777">
        <w:trPr>
          <w:divId w:val="849947503"/>
          <w:tblCellSpacing w:w="0" w:type="dxa"/>
        </w:trPr>
        <w:tc>
          <w:tcPr>
            <w:tcW w:w="0" w:type="auto"/>
            <w:shd w:val="clear" w:color="auto" w:fill="FFFFFF"/>
            <w:vAlign w:val="bottom"/>
            <w:hideMark/>
          </w:tcPr>
          <w:p w14:paraId="65A14F8A" w14:textId="77777777" w:rsidR="00000000" w:rsidRDefault="00847163">
            <w:pPr>
              <w:pStyle w:val="a3"/>
              <w:spacing w:before="0" w:beforeAutospacing="0" w:after="0" w:afterAutospacing="0"/>
              <w:ind w:left="360"/>
              <w:rPr>
                <w:sz w:val="20"/>
                <w:szCs w:val="20"/>
              </w:rPr>
            </w:pPr>
            <w:r>
              <w:rPr>
                <w:sz w:val="20"/>
                <w:szCs w:val="20"/>
              </w:rPr>
              <w:t>Real estate taxes</w:t>
            </w:r>
          </w:p>
        </w:tc>
        <w:tc>
          <w:tcPr>
            <w:tcW w:w="50" w:type="pct"/>
            <w:shd w:val="clear" w:color="auto" w:fill="FFFFFF"/>
            <w:vAlign w:val="bottom"/>
            <w:hideMark/>
          </w:tcPr>
          <w:p w14:paraId="78755172"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7C28D55" w14:textId="77777777" w:rsidR="00000000" w:rsidRDefault="00847163">
            <w:pPr>
              <w:rPr>
                <w:rFonts w:eastAsia="Times New Roman"/>
                <w:sz w:val="20"/>
                <w:szCs w:val="20"/>
              </w:rPr>
            </w:pPr>
            <w:r>
              <w:rPr>
                <w:rFonts w:eastAsia="Times New Roman"/>
                <w:sz w:val="20"/>
                <w:szCs w:val="20"/>
              </w:rPr>
              <w:t> </w:t>
            </w:r>
          </w:p>
        </w:tc>
        <w:tc>
          <w:tcPr>
            <w:tcW w:w="500" w:type="pct"/>
            <w:shd w:val="clear" w:color="auto" w:fill="FFFFFF"/>
            <w:vAlign w:val="bottom"/>
            <w:hideMark/>
          </w:tcPr>
          <w:p w14:paraId="0DB4C6BB" w14:textId="77777777" w:rsidR="00000000" w:rsidRDefault="00847163">
            <w:pPr>
              <w:jc w:val="right"/>
              <w:rPr>
                <w:rFonts w:eastAsia="Times New Roman"/>
                <w:sz w:val="20"/>
                <w:szCs w:val="20"/>
              </w:rPr>
            </w:pPr>
            <w:r>
              <w:rPr>
                <w:rFonts w:eastAsia="Times New Roman"/>
                <w:sz w:val="20"/>
                <w:szCs w:val="20"/>
              </w:rPr>
              <w:t>(39,652</w:t>
            </w:r>
          </w:p>
        </w:tc>
        <w:tc>
          <w:tcPr>
            <w:tcW w:w="50" w:type="pct"/>
            <w:shd w:val="clear" w:color="auto" w:fill="FFFFFF"/>
            <w:vAlign w:val="bottom"/>
            <w:hideMark/>
          </w:tcPr>
          <w:p w14:paraId="6B38A708" w14:textId="77777777" w:rsidR="00000000" w:rsidRDefault="00847163">
            <w:pPr>
              <w:rPr>
                <w:rFonts w:eastAsia="Times New Roman"/>
                <w:sz w:val="20"/>
                <w:szCs w:val="20"/>
              </w:rPr>
            </w:pPr>
            <w:r>
              <w:rPr>
                <w:rFonts w:eastAsia="Times New Roman"/>
                <w:sz w:val="20"/>
                <w:szCs w:val="20"/>
              </w:rPr>
              <w:t>)</w:t>
            </w:r>
          </w:p>
        </w:tc>
        <w:tc>
          <w:tcPr>
            <w:tcW w:w="50" w:type="pct"/>
            <w:shd w:val="clear" w:color="auto" w:fill="FFFFFF"/>
            <w:vAlign w:val="bottom"/>
            <w:hideMark/>
          </w:tcPr>
          <w:p w14:paraId="776CD976"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5DF71F0" w14:textId="77777777" w:rsidR="00000000" w:rsidRDefault="00847163">
            <w:pPr>
              <w:rPr>
                <w:rFonts w:eastAsia="Times New Roman"/>
                <w:sz w:val="20"/>
                <w:szCs w:val="20"/>
              </w:rPr>
            </w:pPr>
            <w:r>
              <w:rPr>
                <w:rFonts w:eastAsia="Times New Roman"/>
                <w:sz w:val="20"/>
                <w:szCs w:val="20"/>
              </w:rPr>
              <w:t> </w:t>
            </w:r>
          </w:p>
        </w:tc>
        <w:tc>
          <w:tcPr>
            <w:tcW w:w="500" w:type="pct"/>
            <w:shd w:val="clear" w:color="auto" w:fill="FFFFFF"/>
            <w:vAlign w:val="bottom"/>
            <w:hideMark/>
          </w:tcPr>
          <w:p w14:paraId="0822D796" w14:textId="77777777" w:rsidR="00000000" w:rsidRDefault="00847163">
            <w:pPr>
              <w:jc w:val="right"/>
              <w:rPr>
                <w:rFonts w:eastAsia="Times New Roman"/>
                <w:sz w:val="20"/>
                <w:szCs w:val="20"/>
              </w:rPr>
            </w:pPr>
            <w:r>
              <w:rPr>
                <w:rFonts w:eastAsia="Times New Roman"/>
                <w:sz w:val="20"/>
                <w:szCs w:val="20"/>
              </w:rPr>
              <w:t>(39,347</w:t>
            </w:r>
          </w:p>
        </w:tc>
        <w:tc>
          <w:tcPr>
            <w:tcW w:w="50" w:type="pct"/>
            <w:shd w:val="clear" w:color="auto" w:fill="FFFFFF"/>
            <w:vAlign w:val="bottom"/>
            <w:hideMark/>
          </w:tcPr>
          <w:p w14:paraId="3BB54F56" w14:textId="77777777" w:rsidR="00000000" w:rsidRDefault="00847163">
            <w:pPr>
              <w:rPr>
                <w:rFonts w:eastAsia="Times New Roman"/>
                <w:sz w:val="20"/>
                <w:szCs w:val="20"/>
              </w:rPr>
            </w:pPr>
            <w:r>
              <w:rPr>
                <w:rFonts w:eastAsia="Times New Roman"/>
                <w:sz w:val="20"/>
                <w:szCs w:val="20"/>
              </w:rPr>
              <w:t>)</w:t>
            </w:r>
          </w:p>
        </w:tc>
      </w:tr>
      <w:tr w:rsidR="00000000" w14:paraId="68B1D41C" w14:textId="77777777">
        <w:trPr>
          <w:divId w:val="849947503"/>
          <w:tblCellSpacing w:w="0" w:type="dxa"/>
        </w:trPr>
        <w:tc>
          <w:tcPr>
            <w:tcW w:w="0" w:type="auto"/>
            <w:shd w:val="clear" w:color="auto" w:fill="CCEEFF"/>
            <w:vAlign w:val="bottom"/>
            <w:hideMark/>
          </w:tcPr>
          <w:p w14:paraId="7473184C" w14:textId="77777777" w:rsidR="00000000" w:rsidRDefault="00847163">
            <w:pPr>
              <w:pStyle w:val="a3"/>
              <w:spacing w:before="0" w:beforeAutospacing="0" w:after="0" w:afterAutospacing="0"/>
              <w:ind w:left="360"/>
              <w:rPr>
                <w:sz w:val="20"/>
                <w:szCs w:val="20"/>
              </w:rPr>
            </w:pPr>
            <w:r>
              <w:rPr>
                <w:sz w:val="20"/>
                <w:szCs w:val="20"/>
              </w:rPr>
              <w:t>Operating and maintenance</w:t>
            </w:r>
          </w:p>
        </w:tc>
        <w:tc>
          <w:tcPr>
            <w:tcW w:w="50" w:type="pct"/>
            <w:shd w:val="clear" w:color="auto" w:fill="CCEEFF"/>
            <w:vAlign w:val="bottom"/>
            <w:hideMark/>
          </w:tcPr>
          <w:p w14:paraId="7E7809AD"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E182B9B" w14:textId="77777777" w:rsidR="00000000" w:rsidRDefault="00847163">
            <w:pPr>
              <w:rPr>
                <w:rFonts w:eastAsia="Times New Roman"/>
                <w:sz w:val="20"/>
                <w:szCs w:val="20"/>
              </w:rPr>
            </w:pPr>
            <w:r>
              <w:rPr>
                <w:rFonts w:eastAsia="Times New Roman"/>
                <w:sz w:val="20"/>
                <w:szCs w:val="20"/>
              </w:rPr>
              <w:t> </w:t>
            </w:r>
          </w:p>
        </w:tc>
        <w:tc>
          <w:tcPr>
            <w:tcW w:w="500" w:type="pct"/>
            <w:shd w:val="clear" w:color="auto" w:fill="CCEEFF"/>
            <w:vAlign w:val="bottom"/>
            <w:hideMark/>
          </w:tcPr>
          <w:p w14:paraId="604DB997" w14:textId="77777777" w:rsidR="00000000" w:rsidRDefault="00847163">
            <w:pPr>
              <w:jc w:val="right"/>
              <w:rPr>
                <w:rFonts w:eastAsia="Times New Roman"/>
                <w:sz w:val="20"/>
                <w:szCs w:val="20"/>
              </w:rPr>
            </w:pPr>
            <w:r>
              <w:rPr>
                <w:rFonts w:eastAsia="Times New Roman"/>
                <w:sz w:val="20"/>
                <w:szCs w:val="20"/>
              </w:rPr>
              <w:t>(42,408</w:t>
            </w:r>
          </w:p>
        </w:tc>
        <w:tc>
          <w:tcPr>
            <w:tcW w:w="50" w:type="pct"/>
            <w:shd w:val="clear" w:color="auto" w:fill="CCEEFF"/>
            <w:vAlign w:val="bottom"/>
            <w:hideMark/>
          </w:tcPr>
          <w:p w14:paraId="20D5BF5B" w14:textId="77777777" w:rsidR="00000000" w:rsidRDefault="00847163">
            <w:pPr>
              <w:rPr>
                <w:rFonts w:eastAsia="Times New Roman"/>
                <w:sz w:val="20"/>
                <w:szCs w:val="20"/>
              </w:rPr>
            </w:pPr>
            <w:r>
              <w:rPr>
                <w:rFonts w:eastAsia="Times New Roman"/>
                <w:sz w:val="20"/>
                <w:szCs w:val="20"/>
              </w:rPr>
              <w:t>)</w:t>
            </w:r>
          </w:p>
        </w:tc>
        <w:tc>
          <w:tcPr>
            <w:tcW w:w="50" w:type="pct"/>
            <w:shd w:val="clear" w:color="auto" w:fill="CCEEFF"/>
            <w:vAlign w:val="bottom"/>
            <w:hideMark/>
          </w:tcPr>
          <w:p w14:paraId="431AD64F"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79C5CC7" w14:textId="77777777" w:rsidR="00000000" w:rsidRDefault="00847163">
            <w:pPr>
              <w:rPr>
                <w:rFonts w:eastAsia="Times New Roman"/>
                <w:sz w:val="20"/>
                <w:szCs w:val="20"/>
              </w:rPr>
            </w:pPr>
            <w:r>
              <w:rPr>
                <w:rFonts w:eastAsia="Times New Roman"/>
                <w:sz w:val="20"/>
                <w:szCs w:val="20"/>
              </w:rPr>
              <w:t> </w:t>
            </w:r>
          </w:p>
        </w:tc>
        <w:tc>
          <w:tcPr>
            <w:tcW w:w="500" w:type="pct"/>
            <w:shd w:val="clear" w:color="auto" w:fill="CCEEFF"/>
            <w:vAlign w:val="bottom"/>
            <w:hideMark/>
          </w:tcPr>
          <w:p w14:paraId="44A03474" w14:textId="77777777" w:rsidR="00000000" w:rsidRDefault="00847163">
            <w:pPr>
              <w:jc w:val="right"/>
              <w:rPr>
                <w:rFonts w:eastAsia="Times New Roman"/>
                <w:sz w:val="20"/>
                <w:szCs w:val="20"/>
              </w:rPr>
            </w:pPr>
            <w:r>
              <w:rPr>
                <w:rFonts w:eastAsia="Times New Roman"/>
                <w:sz w:val="20"/>
                <w:szCs w:val="20"/>
              </w:rPr>
              <w:t>(40,896</w:t>
            </w:r>
          </w:p>
        </w:tc>
        <w:tc>
          <w:tcPr>
            <w:tcW w:w="50" w:type="pct"/>
            <w:shd w:val="clear" w:color="auto" w:fill="CCEEFF"/>
            <w:vAlign w:val="bottom"/>
            <w:hideMark/>
          </w:tcPr>
          <w:p w14:paraId="51093136" w14:textId="77777777" w:rsidR="00000000" w:rsidRDefault="00847163">
            <w:pPr>
              <w:rPr>
                <w:rFonts w:eastAsia="Times New Roman"/>
                <w:sz w:val="20"/>
                <w:szCs w:val="20"/>
              </w:rPr>
            </w:pPr>
            <w:r>
              <w:rPr>
                <w:rFonts w:eastAsia="Times New Roman"/>
                <w:sz w:val="20"/>
                <w:szCs w:val="20"/>
              </w:rPr>
              <w:t>)</w:t>
            </w:r>
          </w:p>
        </w:tc>
      </w:tr>
      <w:tr w:rsidR="00000000" w14:paraId="6D0C3C5C" w14:textId="77777777">
        <w:trPr>
          <w:divId w:val="849947503"/>
          <w:tblCellSpacing w:w="0" w:type="dxa"/>
        </w:trPr>
        <w:tc>
          <w:tcPr>
            <w:tcW w:w="0" w:type="auto"/>
            <w:shd w:val="clear" w:color="auto" w:fill="FFFFFF"/>
            <w:vAlign w:val="bottom"/>
            <w:hideMark/>
          </w:tcPr>
          <w:p w14:paraId="09231ACE" w14:textId="77777777" w:rsidR="00000000" w:rsidRDefault="00847163">
            <w:pPr>
              <w:pStyle w:val="a3"/>
              <w:spacing w:before="0" w:beforeAutospacing="0" w:after="0" w:afterAutospacing="0"/>
              <w:ind w:left="360"/>
              <w:rPr>
                <w:sz w:val="20"/>
                <w:szCs w:val="20"/>
              </w:rPr>
            </w:pPr>
            <w:r>
              <w:rPr>
                <w:sz w:val="20"/>
                <w:szCs w:val="20"/>
              </w:rPr>
              <w:t>General and administrative</w:t>
            </w:r>
          </w:p>
        </w:tc>
        <w:tc>
          <w:tcPr>
            <w:tcW w:w="50" w:type="pct"/>
            <w:shd w:val="clear" w:color="auto" w:fill="FFFFFF"/>
            <w:vAlign w:val="bottom"/>
            <w:hideMark/>
          </w:tcPr>
          <w:p w14:paraId="22C80224"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E06E67B" w14:textId="77777777" w:rsidR="00000000" w:rsidRDefault="00847163">
            <w:pPr>
              <w:rPr>
                <w:rFonts w:eastAsia="Times New Roman"/>
                <w:sz w:val="20"/>
                <w:szCs w:val="20"/>
              </w:rPr>
            </w:pPr>
            <w:r>
              <w:rPr>
                <w:rFonts w:eastAsia="Times New Roman"/>
                <w:sz w:val="20"/>
                <w:szCs w:val="20"/>
              </w:rPr>
              <w:t> </w:t>
            </w:r>
          </w:p>
        </w:tc>
        <w:tc>
          <w:tcPr>
            <w:tcW w:w="500" w:type="pct"/>
            <w:shd w:val="clear" w:color="auto" w:fill="FFFFFF"/>
            <w:vAlign w:val="bottom"/>
            <w:hideMark/>
          </w:tcPr>
          <w:p w14:paraId="19C500DC" w14:textId="77777777" w:rsidR="00000000" w:rsidRDefault="00847163">
            <w:pPr>
              <w:jc w:val="right"/>
              <w:rPr>
                <w:rFonts w:eastAsia="Times New Roman"/>
                <w:sz w:val="20"/>
                <w:szCs w:val="20"/>
              </w:rPr>
            </w:pPr>
            <w:r>
              <w:rPr>
                <w:rFonts w:eastAsia="Times New Roman"/>
                <w:sz w:val="20"/>
                <w:szCs w:val="20"/>
              </w:rPr>
              <w:t>(21,017</w:t>
            </w:r>
          </w:p>
        </w:tc>
        <w:tc>
          <w:tcPr>
            <w:tcW w:w="50" w:type="pct"/>
            <w:shd w:val="clear" w:color="auto" w:fill="FFFFFF"/>
            <w:vAlign w:val="bottom"/>
            <w:hideMark/>
          </w:tcPr>
          <w:p w14:paraId="35BEBB49" w14:textId="77777777" w:rsidR="00000000" w:rsidRDefault="00847163">
            <w:pPr>
              <w:rPr>
                <w:rFonts w:eastAsia="Times New Roman"/>
                <w:sz w:val="20"/>
                <w:szCs w:val="20"/>
              </w:rPr>
            </w:pPr>
            <w:r>
              <w:rPr>
                <w:rFonts w:eastAsia="Times New Roman"/>
                <w:sz w:val="20"/>
                <w:szCs w:val="20"/>
              </w:rPr>
              <w:t>)</w:t>
            </w:r>
          </w:p>
        </w:tc>
        <w:tc>
          <w:tcPr>
            <w:tcW w:w="50" w:type="pct"/>
            <w:shd w:val="clear" w:color="auto" w:fill="FFFFFF"/>
            <w:vAlign w:val="bottom"/>
            <w:hideMark/>
          </w:tcPr>
          <w:p w14:paraId="71239E4F"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E7D1EC7" w14:textId="77777777" w:rsidR="00000000" w:rsidRDefault="00847163">
            <w:pPr>
              <w:rPr>
                <w:rFonts w:eastAsia="Times New Roman"/>
                <w:sz w:val="20"/>
                <w:szCs w:val="20"/>
              </w:rPr>
            </w:pPr>
            <w:r>
              <w:rPr>
                <w:rFonts w:eastAsia="Times New Roman"/>
                <w:sz w:val="20"/>
                <w:szCs w:val="20"/>
              </w:rPr>
              <w:t> </w:t>
            </w:r>
          </w:p>
        </w:tc>
        <w:tc>
          <w:tcPr>
            <w:tcW w:w="500" w:type="pct"/>
            <w:shd w:val="clear" w:color="auto" w:fill="FFFFFF"/>
            <w:vAlign w:val="bottom"/>
            <w:hideMark/>
          </w:tcPr>
          <w:p w14:paraId="2112AFA8" w14:textId="77777777" w:rsidR="00000000" w:rsidRDefault="00847163">
            <w:pPr>
              <w:jc w:val="right"/>
              <w:rPr>
                <w:rFonts w:eastAsia="Times New Roman"/>
                <w:sz w:val="20"/>
                <w:szCs w:val="20"/>
              </w:rPr>
            </w:pPr>
            <w:r>
              <w:rPr>
                <w:rFonts w:eastAsia="Times New Roman"/>
                <w:sz w:val="20"/>
                <w:szCs w:val="20"/>
              </w:rPr>
              <w:t>(25,831</w:t>
            </w:r>
          </w:p>
        </w:tc>
        <w:tc>
          <w:tcPr>
            <w:tcW w:w="50" w:type="pct"/>
            <w:shd w:val="clear" w:color="auto" w:fill="FFFFFF"/>
            <w:vAlign w:val="bottom"/>
            <w:hideMark/>
          </w:tcPr>
          <w:p w14:paraId="64E98124" w14:textId="77777777" w:rsidR="00000000" w:rsidRDefault="00847163">
            <w:pPr>
              <w:rPr>
                <w:rFonts w:eastAsia="Times New Roman"/>
                <w:sz w:val="20"/>
                <w:szCs w:val="20"/>
              </w:rPr>
            </w:pPr>
            <w:r>
              <w:rPr>
                <w:rFonts w:eastAsia="Times New Roman"/>
                <w:sz w:val="20"/>
                <w:szCs w:val="20"/>
              </w:rPr>
              <w:t>)</w:t>
            </w:r>
          </w:p>
        </w:tc>
      </w:tr>
      <w:tr w:rsidR="00000000" w14:paraId="0BD940AF" w14:textId="77777777">
        <w:trPr>
          <w:divId w:val="849947503"/>
          <w:tblCellSpacing w:w="0" w:type="dxa"/>
        </w:trPr>
        <w:tc>
          <w:tcPr>
            <w:tcW w:w="0" w:type="auto"/>
            <w:shd w:val="clear" w:color="auto" w:fill="CCEEFF"/>
            <w:vAlign w:val="bottom"/>
            <w:hideMark/>
          </w:tcPr>
          <w:p w14:paraId="0974800C" w14:textId="77777777" w:rsidR="00000000" w:rsidRDefault="00847163">
            <w:pPr>
              <w:pStyle w:val="a3"/>
              <w:spacing w:before="0" w:beforeAutospacing="0" w:after="0" w:afterAutospacing="0"/>
              <w:ind w:left="360"/>
              <w:rPr>
                <w:sz w:val="20"/>
                <w:szCs w:val="20"/>
              </w:rPr>
            </w:pPr>
            <w:r>
              <w:rPr>
                <w:sz w:val="20"/>
                <w:szCs w:val="20"/>
              </w:rPr>
              <w:t>Impairment charges</w:t>
            </w:r>
          </w:p>
        </w:tc>
        <w:tc>
          <w:tcPr>
            <w:tcW w:w="50" w:type="pct"/>
            <w:shd w:val="clear" w:color="auto" w:fill="CCEEFF"/>
            <w:vAlign w:val="bottom"/>
            <w:hideMark/>
          </w:tcPr>
          <w:p w14:paraId="5561121E"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800E6DD" w14:textId="77777777" w:rsidR="00000000" w:rsidRDefault="00847163">
            <w:pPr>
              <w:rPr>
                <w:rFonts w:eastAsia="Times New Roman"/>
                <w:sz w:val="20"/>
                <w:szCs w:val="20"/>
              </w:rPr>
            </w:pPr>
            <w:r>
              <w:rPr>
                <w:rFonts w:eastAsia="Times New Roman"/>
                <w:sz w:val="20"/>
                <w:szCs w:val="20"/>
              </w:rPr>
              <w:t> </w:t>
            </w:r>
          </w:p>
        </w:tc>
        <w:tc>
          <w:tcPr>
            <w:tcW w:w="500" w:type="pct"/>
            <w:shd w:val="clear" w:color="auto" w:fill="CCEEFF"/>
            <w:vAlign w:val="bottom"/>
            <w:hideMark/>
          </w:tcPr>
          <w:p w14:paraId="25A55739" w14:textId="77777777" w:rsidR="00000000" w:rsidRDefault="00847163">
            <w:pPr>
              <w:jc w:val="right"/>
              <w:rPr>
                <w:rFonts w:eastAsia="Times New Roman"/>
                <w:sz w:val="20"/>
                <w:szCs w:val="20"/>
              </w:rPr>
            </w:pPr>
            <w:r>
              <w:rPr>
                <w:rFonts w:eastAsia="Times New Roman"/>
                <w:sz w:val="20"/>
                <w:szCs w:val="20"/>
              </w:rPr>
              <w:t>(2,974</w:t>
            </w:r>
          </w:p>
        </w:tc>
        <w:tc>
          <w:tcPr>
            <w:tcW w:w="50" w:type="pct"/>
            <w:shd w:val="clear" w:color="auto" w:fill="CCEEFF"/>
            <w:vAlign w:val="bottom"/>
            <w:hideMark/>
          </w:tcPr>
          <w:p w14:paraId="530FDC41" w14:textId="77777777" w:rsidR="00000000" w:rsidRDefault="00847163">
            <w:pPr>
              <w:rPr>
                <w:rFonts w:eastAsia="Times New Roman"/>
                <w:sz w:val="20"/>
                <w:szCs w:val="20"/>
              </w:rPr>
            </w:pPr>
            <w:r>
              <w:rPr>
                <w:rFonts w:eastAsia="Times New Roman"/>
                <w:sz w:val="20"/>
                <w:szCs w:val="20"/>
              </w:rPr>
              <w:t>)</w:t>
            </w:r>
          </w:p>
        </w:tc>
        <w:tc>
          <w:tcPr>
            <w:tcW w:w="50" w:type="pct"/>
            <w:shd w:val="clear" w:color="auto" w:fill="CCEEFF"/>
            <w:vAlign w:val="bottom"/>
            <w:hideMark/>
          </w:tcPr>
          <w:p w14:paraId="22818C72"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EF5BB4B" w14:textId="77777777" w:rsidR="00000000" w:rsidRDefault="00847163">
            <w:pPr>
              <w:rPr>
                <w:rFonts w:eastAsia="Times New Roman"/>
                <w:sz w:val="20"/>
                <w:szCs w:val="20"/>
              </w:rPr>
            </w:pPr>
            <w:r>
              <w:rPr>
                <w:rFonts w:eastAsia="Times New Roman"/>
                <w:sz w:val="20"/>
                <w:szCs w:val="20"/>
              </w:rPr>
              <w:t> </w:t>
            </w:r>
          </w:p>
        </w:tc>
        <w:tc>
          <w:tcPr>
            <w:tcW w:w="500" w:type="pct"/>
            <w:shd w:val="clear" w:color="auto" w:fill="CCEEFF"/>
            <w:vAlign w:val="bottom"/>
            <w:hideMark/>
          </w:tcPr>
          <w:p w14:paraId="141F09D6" w14:textId="77777777" w:rsidR="00000000" w:rsidRDefault="00847163">
            <w:pPr>
              <w:jc w:val="right"/>
              <w:rPr>
                <w:rFonts w:eastAsia="Times New Roman"/>
                <w:sz w:val="20"/>
                <w:szCs w:val="20"/>
              </w:rPr>
            </w:pPr>
            <w:r>
              <w:rPr>
                <w:rFonts w:eastAsia="Times New Roman"/>
                <w:sz w:val="20"/>
                <w:szCs w:val="20"/>
              </w:rPr>
              <w:t>(4,175</w:t>
            </w:r>
          </w:p>
        </w:tc>
        <w:tc>
          <w:tcPr>
            <w:tcW w:w="50" w:type="pct"/>
            <w:shd w:val="clear" w:color="auto" w:fill="CCEEFF"/>
            <w:vAlign w:val="bottom"/>
            <w:hideMark/>
          </w:tcPr>
          <w:p w14:paraId="05C90534" w14:textId="77777777" w:rsidR="00000000" w:rsidRDefault="00847163">
            <w:pPr>
              <w:rPr>
                <w:rFonts w:eastAsia="Times New Roman"/>
                <w:sz w:val="20"/>
                <w:szCs w:val="20"/>
              </w:rPr>
            </w:pPr>
            <w:r>
              <w:rPr>
                <w:rFonts w:eastAsia="Times New Roman"/>
                <w:sz w:val="20"/>
                <w:szCs w:val="20"/>
              </w:rPr>
              <w:t>)</w:t>
            </w:r>
          </w:p>
        </w:tc>
      </w:tr>
      <w:tr w:rsidR="00000000" w14:paraId="4D9AED30" w14:textId="77777777">
        <w:trPr>
          <w:divId w:val="849947503"/>
          <w:tblCellSpacing w:w="0" w:type="dxa"/>
        </w:trPr>
        <w:tc>
          <w:tcPr>
            <w:tcW w:w="0" w:type="auto"/>
            <w:shd w:val="clear" w:color="auto" w:fill="FFFFFF"/>
            <w:vAlign w:val="bottom"/>
            <w:hideMark/>
          </w:tcPr>
          <w:p w14:paraId="2893342B" w14:textId="77777777" w:rsidR="00000000" w:rsidRDefault="00847163">
            <w:pPr>
              <w:pStyle w:val="a3"/>
              <w:spacing w:before="0" w:beforeAutospacing="0" w:after="0" w:afterAutospacing="0"/>
              <w:ind w:left="360"/>
              <w:rPr>
                <w:sz w:val="20"/>
                <w:szCs w:val="20"/>
              </w:rPr>
            </w:pPr>
            <w:r>
              <w:rPr>
                <w:sz w:val="20"/>
                <w:szCs w:val="20"/>
              </w:rPr>
              <w:t>Depreciation and amortization</w:t>
            </w:r>
          </w:p>
        </w:tc>
        <w:tc>
          <w:tcPr>
            <w:tcW w:w="50" w:type="pct"/>
            <w:shd w:val="clear" w:color="auto" w:fill="FFFFFF"/>
            <w:vAlign w:val="bottom"/>
            <w:hideMark/>
          </w:tcPr>
          <w:p w14:paraId="3245311C" w14:textId="77777777" w:rsidR="00000000" w:rsidRDefault="0084716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2379D0B2" w14:textId="77777777" w:rsidR="00000000" w:rsidRDefault="00847163">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FFFFFF"/>
            <w:vAlign w:val="bottom"/>
            <w:hideMark/>
          </w:tcPr>
          <w:p w14:paraId="1348081F" w14:textId="77777777" w:rsidR="00000000" w:rsidRDefault="00847163">
            <w:pPr>
              <w:jc w:val="right"/>
              <w:rPr>
                <w:rFonts w:eastAsia="Times New Roman"/>
                <w:sz w:val="20"/>
                <w:szCs w:val="20"/>
              </w:rPr>
            </w:pPr>
            <w:r>
              <w:rPr>
                <w:rFonts w:eastAsia="Times New Roman"/>
                <w:sz w:val="20"/>
                <w:szCs w:val="20"/>
              </w:rPr>
              <w:t>(69,397</w:t>
            </w:r>
          </w:p>
        </w:tc>
        <w:tc>
          <w:tcPr>
            <w:tcW w:w="50" w:type="pct"/>
            <w:shd w:val="clear" w:color="auto" w:fill="FFFFFF"/>
            <w:tcMar>
              <w:top w:w="0" w:type="dxa"/>
              <w:left w:w="0" w:type="dxa"/>
              <w:bottom w:w="15" w:type="dxa"/>
              <w:right w:w="0" w:type="dxa"/>
            </w:tcMar>
            <w:vAlign w:val="bottom"/>
            <w:hideMark/>
          </w:tcPr>
          <w:p w14:paraId="4D6C3D5D" w14:textId="77777777" w:rsidR="00000000" w:rsidRDefault="00847163">
            <w:pPr>
              <w:rPr>
                <w:rFonts w:eastAsia="Times New Roman"/>
                <w:sz w:val="20"/>
                <w:szCs w:val="20"/>
              </w:rPr>
            </w:pPr>
            <w:r>
              <w:rPr>
                <w:rFonts w:eastAsia="Times New Roman"/>
                <w:sz w:val="20"/>
                <w:szCs w:val="20"/>
              </w:rPr>
              <w:t>)</w:t>
            </w:r>
          </w:p>
        </w:tc>
        <w:tc>
          <w:tcPr>
            <w:tcW w:w="50" w:type="pct"/>
            <w:shd w:val="clear" w:color="auto" w:fill="FFFFFF"/>
            <w:vAlign w:val="bottom"/>
            <w:hideMark/>
          </w:tcPr>
          <w:p w14:paraId="4C7B0A27" w14:textId="77777777" w:rsidR="00000000" w:rsidRDefault="0084716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27414D31" w14:textId="77777777" w:rsidR="00000000" w:rsidRDefault="00847163">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FFFFFF"/>
            <w:vAlign w:val="bottom"/>
            <w:hideMark/>
          </w:tcPr>
          <w:p w14:paraId="0F3B0E2C" w14:textId="77777777" w:rsidR="00000000" w:rsidRDefault="00847163">
            <w:pPr>
              <w:jc w:val="right"/>
              <w:rPr>
                <w:rFonts w:eastAsia="Times New Roman"/>
                <w:sz w:val="20"/>
                <w:szCs w:val="20"/>
              </w:rPr>
            </w:pPr>
            <w:r>
              <w:rPr>
                <w:rFonts w:eastAsia="Times New Roman"/>
                <w:sz w:val="20"/>
                <w:szCs w:val="20"/>
              </w:rPr>
              <w:t>(71,561</w:t>
            </w:r>
          </w:p>
        </w:tc>
        <w:tc>
          <w:tcPr>
            <w:tcW w:w="50" w:type="pct"/>
            <w:shd w:val="clear" w:color="auto" w:fill="FFFFFF"/>
            <w:tcMar>
              <w:top w:w="0" w:type="dxa"/>
              <w:left w:w="0" w:type="dxa"/>
              <w:bottom w:w="15" w:type="dxa"/>
              <w:right w:w="0" w:type="dxa"/>
            </w:tcMar>
            <w:vAlign w:val="bottom"/>
            <w:hideMark/>
          </w:tcPr>
          <w:p w14:paraId="679B5864" w14:textId="77777777" w:rsidR="00000000" w:rsidRDefault="00847163">
            <w:pPr>
              <w:rPr>
                <w:rFonts w:eastAsia="Times New Roman"/>
                <w:sz w:val="20"/>
                <w:szCs w:val="20"/>
              </w:rPr>
            </w:pPr>
            <w:r>
              <w:rPr>
                <w:rFonts w:eastAsia="Times New Roman"/>
                <w:sz w:val="20"/>
                <w:szCs w:val="20"/>
              </w:rPr>
              <w:t>)</w:t>
            </w:r>
          </w:p>
        </w:tc>
      </w:tr>
      <w:tr w:rsidR="00000000" w14:paraId="0AF36FCD" w14:textId="77777777">
        <w:trPr>
          <w:divId w:val="849947503"/>
          <w:tblCellSpacing w:w="0" w:type="dxa"/>
        </w:trPr>
        <w:tc>
          <w:tcPr>
            <w:tcW w:w="0" w:type="auto"/>
            <w:shd w:val="clear" w:color="auto" w:fill="CCEEFF"/>
            <w:vAlign w:val="bottom"/>
            <w:hideMark/>
          </w:tcPr>
          <w:p w14:paraId="4B8A23C0" w14:textId="77777777" w:rsidR="00000000" w:rsidRDefault="00847163">
            <w:pPr>
              <w:pStyle w:val="a3"/>
              <w:spacing w:before="0" w:beforeAutospacing="0" w:after="0" w:afterAutospacing="0"/>
              <w:ind w:left="720"/>
              <w:rPr>
                <w:sz w:val="20"/>
                <w:szCs w:val="20"/>
              </w:rPr>
            </w:pPr>
            <w:r>
              <w:rPr>
                <w:sz w:val="20"/>
                <w:szCs w:val="20"/>
              </w:rPr>
              <w:t>Total operating expenses</w:t>
            </w:r>
          </w:p>
        </w:tc>
        <w:tc>
          <w:tcPr>
            <w:tcW w:w="50" w:type="pct"/>
            <w:shd w:val="clear" w:color="auto" w:fill="CCEEFF"/>
            <w:vAlign w:val="bottom"/>
            <w:hideMark/>
          </w:tcPr>
          <w:p w14:paraId="0D8A6A60" w14:textId="77777777" w:rsidR="00000000" w:rsidRDefault="0084716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121F8E63" w14:textId="77777777" w:rsidR="00000000" w:rsidRDefault="00847163">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14:paraId="5FA63791" w14:textId="77777777" w:rsidR="00000000" w:rsidRDefault="00847163">
            <w:pPr>
              <w:jc w:val="right"/>
              <w:rPr>
                <w:rFonts w:eastAsia="Times New Roman"/>
                <w:sz w:val="20"/>
                <w:szCs w:val="20"/>
              </w:rPr>
            </w:pPr>
            <w:r>
              <w:rPr>
                <w:rFonts w:eastAsia="Times New Roman"/>
                <w:sz w:val="20"/>
                <w:szCs w:val="20"/>
              </w:rPr>
              <w:t>(178,283</w:t>
            </w:r>
          </w:p>
        </w:tc>
        <w:tc>
          <w:tcPr>
            <w:tcW w:w="50" w:type="pct"/>
            <w:shd w:val="clear" w:color="auto" w:fill="CCEEFF"/>
            <w:tcMar>
              <w:top w:w="0" w:type="dxa"/>
              <w:left w:w="0" w:type="dxa"/>
              <w:bottom w:w="15" w:type="dxa"/>
              <w:right w:w="0" w:type="dxa"/>
            </w:tcMar>
            <w:vAlign w:val="bottom"/>
            <w:hideMark/>
          </w:tcPr>
          <w:p w14:paraId="06AE9A15" w14:textId="77777777" w:rsidR="00000000" w:rsidRDefault="00847163">
            <w:pPr>
              <w:rPr>
                <w:rFonts w:eastAsia="Times New Roman"/>
                <w:sz w:val="20"/>
                <w:szCs w:val="20"/>
              </w:rPr>
            </w:pPr>
            <w:r>
              <w:rPr>
                <w:rFonts w:eastAsia="Times New Roman"/>
                <w:sz w:val="20"/>
                <w:szCs w:val="20"/>
              </w:rPr>
              <w:t>)</w:t>
            </w:r>
          </w:p>
        </w:tc>
        <w:tc>
          <w:tcPr>
            <w:tcW w:w="50" w:type="pct"/>
            <w:shd w:val="clear" w:color="auto" w:fill="CCEEFF"/>
            <w:vAlign w:val="bottom"/>
            <w:hideMark/>
          </w:tcPr>
          <w:p w14:paraId="7359DA63" w14:textId="77777777" w:rsidR="00000000" w:rsidRDefault="0084716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591C0219" w14:textId="77777777" w:rsidR="00000000" w:rsidRDefault="00847163">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14:paraId="228955EC" w14:textId="77777777" w:rsidR="00000000" w:rsidRDefault="00847163">
            <w:pPr>
              <w:jc w:val="right"/>
              <w:rPr>
                <w:rFonts w:eastAsia="Times New Roman"/>
                <w:sz w:val="20"/>
                <w:szCs w:val="20"/>
              </w:rPr>
            </w:pPr>
            <w:r>
              <w:rPr>
                <w:rFonts w:eastAsia="Times New Roman"/>
                <w:sz w:val="20"/>
                <w:szCs w:val="20"/>
              </w:rPr>
              <w:t>(184,502</w:t>
            </w:r>
          </w:p>
        </w:tc>
        <w:tc>
          <w:tcPr>
            <w:tcW w:w="50" w:type="pct"/>
            <w:shd w:val="clear" w:color="auto" w:fill="CCEEFF"/>
            <w:tcMar>
              <w:top w:w="0" w:type="dxa"/>
              <w:left w:w="0" w:type="dxa"/>
              <w:bottom w:w="15" w:type="dxa"/>
              <w:right w:w="0" w:type="dxa"/>
            </w:tcMar>
            <w:vAlign w:val="bottom"/>
            <w:hideMark/>
          </w:tcPr>
          <w:p w14:paraId="09B1F43D" w14:textId="77777777" w:rsidR="00000000" w:rsidRDefault="00847163">
            <w:pPr>
              <w:rPr>
                <w:rFonts w:eastAsia="Times New Roman"/>
                <w:sz w:val="20"/>
                <w:szCs w:val="20"/>
              </w:rPr>
            </w:pPr>
            <w:r>
              <w:rPr>
                <w:rFonts w:eastAsia="Times New Roman"/>
                <w:sz w:val="20"/>
                <w:szCs w:val="20"/>
              </w:rPr>
              <w:t>)</w:t>
            </w:r>
          </w:p>
        </w:tc>
      </w:tr>
      <w:tr w:rsidR="00000000" w14:paraId="34F6AAAB" w14:textId="77777777">
        <w:trPr>
          <w:divId w:val="849947503"/>
          <w:tblCellSpacing w:w="0" w:type="dxa"/>
        </w:trPr>
        <w:tc>
          <w:tcPr>
            <w:tcW w:w="0" w:type="auto"/>
            <w:shd w:val="clear" w:color="auto" w:fill="FFFFFF"/>
            <w:vAlign w:val="bottom"/>
            <w:hideMark/>
          </w:tcPr>
          <w:p w14:paraId="3814C252"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F6F9C22"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7C57DBF"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E75E778"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C3DD3B1"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AEEF2C3"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BE3E4EC"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0D239E0"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C03483A" w14:textId="77777777" w:rsidR="00000000" w:rsidRDefault="00847163">
            <w:pPr>
              <w:rPr>
                <w:rFonts w:eastAsia="Times New Roman"/>
                <w:sz w:val="20"/>
                <w:szCs w:val="20"/>
              </w:rPr>
            </w:pPr>
            <w:r>
              <w:rPr>
                <w:rFonts w:eastAsia="Times New Roman"/>
                <w:sz w:val="20"/>
                <w:szCs w:val="20"/>
              </w:rPr>
              <w:t> </w:t>
            </w:r>
          </w:p>
        </w:tc>
      </w:tr>
      <w:tr w:rsidR="00000000" w14:paraId="049E1D06" w14:textId="77777777">
        <w:trPr>
          <w:divId w:val="849947503"/>
          <w:tblCellSpacing w:w="0" w:type="dxa"/>
        </w:trPr>
        <w:tc>
          <w:tcPr>
            <w:tcW w:w="0" w:type="auto"/>
            <w:shd w:val="clear" w:color="auto" w:fill="CCEEFF"/>
            <w:vAlign w:val="bottom"/>
            <w:hideMark/>
          </w:tcPr>
          <w:p w14:paraId="75FE348A" w14:textId="77777777" w:rsidR="00000000" w:rsidRDefault="00847163">
            <w:pPr>
              <w:pStyle w:val="a3"/>
              <w:spacing w:before="0" w:beforeAutospacing="0" w:after="0" w:afterAutospacing="0"/>
              <w:ind w:left="360"/>
              <w:rPr>
                <w:sz w:val="20"/>
                <w:szCs w:val="20"/>
              </w:rPr>
            </w:pPr>
            <w:r>
              <w:rPr>
                <w:sz w:val="20"/>
                <w:szCs w:val="20"/>
              </w:rPr>
              <w:t>Gain on sale of properties</w:t>
            </w:r>
          </w:p>
        </w:tc>
        <w:tc>
          <w:tcPr>
            <w:tcW w:w="50" w:type="pct"/>
            <w:shd w:val="clear" w:color="auto" w:fill="CCEEFF"/>
            <w:vAlign w:val="bottom"/>
            <w:hideMark/>
          </w:tcPr>
          <w:p w14:paraId="34328AD8" w14:textId="77777777" w:rsidR="00000000" w:rsidRDefault="0084716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12054BED" w14:textId="77777777" w:rsidR="00000000" w:rsidRDefault="00847163">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14:paraId="703E7333" w14:textId="77777777" w:rsidR="00000000" w:rsidRDefault="00847163">
            <w:pPr>
              <w:jc w:val="right"/>
              <w:rPr>
                <w:rFonts w:eastAsia="Times New Roman"/>
                <w:sz w:val="20"/>
                <w:szCs w:val="20"/>
              </w:rPr>
            </w:pPr>
            <w:r>
              <w:rPr>
                <w:rFonts w:eastAsia="Times New Roman"/>
                <w:sz w:val="20"/>
                <w:szCs w:val="20"/>
              </w:rPr>
              <w:t>3,847</w:t>
            </w:r>
          </w:p>
        </w:tc>
        <w:tc>
          <w:tcPr>
            <w:tcW w:w="50" w:type="pct"/>
            <w:shd w:val="clear" w:color="auto" w:fill="CCEEFF"/>
            <w:tcMar>
              <w:top w:w="0" w:type="dxa"/>
              <w:left w:w="0" w:type="dxa"/>
              <w:bottom w:w="15" w:type="dxa"/>
              <w:right w:w="0" w:type="dxa"/>
            </w:tcMar>
            <w:vAlign w:val="bottom"/>
            <w:hideMark/>
          </w:tcPr>
          <w:p w14:paraId="26D65CE5"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8B6904A" w14:textId="77777777" w:rsidR="00000000" w:rsidRDefault="0084716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5ECA2B37" w14:textId="77777777" w:rsidR="00000000" w:rsidRDefault="00847163">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14:paraId="0CE8D000" w14:textId="77777777" w:rsidR="00000000" w:rsidRDefault="00847163">
            <w:pPr>
              <w:jc w:val="right"/>
              <w:rPr>
                <w:rFonts w:eastAsia="Times New Roman"/>
                <w:sz w:val="20"/>
                <w:szCs w:val="20"/>
              </w:rPr>
            </w:pPr>
            <w:r>
              <w:rPr>
                <w:rFonts w:eastAsia="Times New Roman"/>
                <w:sz w:val="20"/>
                <w:szCs w:val="20"/>
              </w:rPr>
              <w:t>23,595</w:t>
            </w:r>
          </w:p>
        </w:tc>
        <w:tc>
          <w:tcPr>
            <w:tcW w:w="50" w:type="pct"/>
            <w:shd w:val="clear" w:color="auto" w:fill="CCEEFF"/>
            <w:tcMar>
              <w:top w:w="0" w:type="dxa"/>
              <w:left w:w="0" w:type="dxa"/>
              <w:bottom w:w="15" w:type="dxa"/>
              <w:right w:w="0" w:type="dxa"/>
            </w:tcMar>
            <w:vAlign w:val="bottom"/>
            <w:hideMark/>
          </w:tcPr>
          <w:p w14:paraId="5A803C82" w14:textId="77777777" w:rsidR="00000000" w:rsidRDefault="00847163">
            <w:pPr>
              <w:rPr>
                <w:rFonts w:eastAsia="Times New Roman"/>
                <w:sz w:val="20"/>
                <w:szCs w:val="20"/>
              </w:rPr>
            </w:pPr>
            <w:r>
              <w:rPr>
                <w:rFonts w:eastAsia="Times New Roman"/>
                <w:sz w:val="20"/>
                <w:szCs w:val="20"/>
              </w:rPr>
              <w:t> </w:t>
            </w:r>
          </w:p>
        </w:tc>
      </w:tr>
      <w:tr w:rsidR="00000000" w14:paraId="555197A8" w14:textId="77777777">
        <w:trPr>
          <w:divId w:val="849947503"/>
          <w:tblCellSpacing w:w="0" w:type="dxa"/>
        </w:trPr>
        <w:tc>
          <w:tcPr>
            <w:tcW w:w="0" w:type="auto"/>
            <w:shd w:val="clear" w:color="auto" w:fill="FFFFFF"/>
            <w:vAlign w:val="bottom"/>
            <w:hideMark/>
          </w:tcPr>
          <w:p w14:paraId="40CC21D5"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23ABA1F"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2033DFB"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16DB6CD"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90AB089"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A235E59"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9E7495B"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8F61DC6"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4E0F631" w14:textId="77777777" w:rsidR="00000000" w:rsidRDefault="00847163">
            <w:pPr>
              <w:rPr>
                <w:rFonts w:eastAsia="Times New Roman"/>
                <w:sz w:val="20"/>
                <w:szCs w:val="20"/>
              </w:rPr>
            </w:pPr>
            <w:r>
              <w:rPr>
                <w:rFonts w:eastAsia="Times New Roman"/>
                <w:sz w:val="20"/>
                <w:szCs w:val="20"/>
              </w:rPr>
              <w:t> </w:t>
            </w:r>
          </w:p>
        </w:tc>
      </w:tr>
      <w:tr w:rsidR="00000000" w14:paraId="55F10ACC" w14:textId="77777777">
        <w:trPr>
          <w:divId w:val="849947503"/>
          <w:tblCellSpacing w:w="0" w:type="dxa"/>
        </w:trPr>
        <w:tc>
          <w:tcPr>
            <w:tcW w:w="0" w:type="auto"/>
            <w:shd w:val="clear" w:color="auto" w:fill="CCEEFF"/>
            <w:vAlign w:val="bottom"/>
            <w:hideMark/>
          </w:tcPr>
          <w:p w14:paraId="3633EA6A" w14:textId="77777777" w:rsidR="00000000" w:rsidRDefault="00847163">
            <w:pPr>
              <w:pStyle w:val="a3"/>
              <w:spacing w:before="0" w:beforeAutospacing="0" w:after="0" w:afterAutospacing="0"/>
              <w:rPr>
                <w:sz w:val="20"/>
                <w:szCs w:val="20"/>
              </w:rPr>
            </w:pPr>
            <w:r>
              <w:rPr>
                <w:sz w:val="20"/>
                <w:szCs w:val="20"/>
              </w:rPr>
              <w:t>Operating income</w:t>
            </w:r>
          </w:p>
        </w:tc>
        <w:tc>
          <w:tcPr>
            <w:tcW w:w="50" w:type="pct"/>
            <w:shd w:val="clear" w:color="auto" w:fill="CCEEFF"/>
            <w:vAlign w:val="bottom"/>
            <w:hideMark/>
          </w:tcPr>
          <w:p w14:paraId="00B4AAF2"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E0EAF80" w14:textId="77777777" w:rsidR="00000000" w:rsidRDefault="00847163">
            <w:pPr>
              <w:rPr>
                <w:rFonts w:eastAsia="Times New Roman"/>
                <w:sz w:val="20"/>
                <w:szCs w:val="20"/>
              </w:rPr>
            </w:pPr>
            <w:r>
              <w:rPr>
                <w:rFonts w:eastAsia="Times New Roman"/>
                <w:sz w:val="20"/>
                <w:szCs w:val="20"/>
              </w:rPr>
              <w:t> </w:t>
            </w:r>
          </w:p>
        </w:tc>
        <w:tc>
          <w:tcPr>
            <w:tcW w:w="500" w:type="pct"/>
            <w:shd w:val="clear" w:color="auto" w:fill="CCEEFF"/>
            <w:vAlign w:val="bottom"/>
            <w:hideMark/>
          </w:tcPr>
          <w:p w14:paraId="046F9413" w14:textId="77777777" w:rsidR="00000000" w:rsidRDefault="00847163">
            <w:pPr>
              <w:jc w:val="right"/>
              <w:rPr>
                <w:rFonts w:eastAsia="Times New Roman"/>
                <w:sz w:val="20"/>
                <w:szCs w:val="20"/>
              </w:rPr>
            </w:pPr>
            <w:r>
              <w:rPr>
                <w:rFonts w:eastAsia="Times New Roman"/>
                <w:sz w:val="20"/>
                <w:szCs w:val="20"/>
              </w:rPr>
              <w:t>115,308</w:t>
            </w:r>
          </w:p>
        </w:tc>
        <w:tc>
          <w:tcPr>
            <w:tcW w:w="50" w:type="pct"/>
            <w:shd w:val="clear" w:color="auto" w:fill="CCEEFF"/>
            <w:vAlign w:val="bottom"/>
            <w:hideMark/>
          </w:tcPr>
          <w:p w14:paraId="47906253"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918DBF1"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9BA56D0" w14:textId="77777777" w:rsidR="00000000" w:rsidRDefault="00847163">
            <w:pPr>
              <w:rPr>
                <w:rFonts w:eastAsia="Times New Roman"/>
                <w:sz w:val="20"/>
                <w:szCs w:val="20"/>
              </w:rPr>
            </w:pPr>
            <w:r>
              <w:rPr>
                <w:rFonts w:eastAsia="Times New Roman"/>
                <w:sz w:val="20"/>
                <w:szCs w:val="20"/>
              </w:rPr>
              <w:t> </w:t>
            </w:r>
          </w:p>
        </w:tc>
        <w:tc>
          <w:tcPr>
            <w:tcW w:w="500" w:type="pct"/>
            <w:shd w:val="clear" w:color="auto" w:fill="CCEEFF"/>
            <w:vAlign w:val="bottom"/>
            <w:hideMark/>
          </w:tcPr>
          <w:p w14:paraId="1CA12E20" w14:textId="77777777" w:rsidR="00000000" w:rsidRDefault="00847163">
            <w:pPr>
              <w:jc w:val="right"/>
              <w:rPr>
                <w:rFonts w:eastAsia="Times New Roman"/>
                <w:sz w:val="20"/>
                <w:szCs w:val="20"/>
              </w:rPr>
            </w:pPr>
            <w:r>
              <w:rPr>
                <w:rFonts w:eastAsia="Times New Roman"/>
                <w:sz w:val="20"/>
                <w:szCs w:val="20"/>
              </w:rPr>
              <w:t>134,103</w:t>
            </w:r>
          </w:p>
        </w:tc>
        <w:tc>
          <w:tcPr>
            <w:tcW w:w="50" w:type="pct"/>
            <w:shd w:val="clear" w:color="auto" w:fill="CCEEFF"/>
            <w:vAlign w:val="bottom"/>
            <w:hideMark/>
          </w:tcPr>
          <w:p w14:paraId="6E733CD1" w14:textId="77777777" w:rsidR="00000000" w:rsidRDefault="00847163">
            <w:pPr>
              <w:rPr>
                <w:rFonts w:eastAsia="Times New Roman"/>
                <w:sz w:val="20"/>
                <w:szCs w:val="20"/>
              </w:rPr>
            </w:pPr>
            <w:r>
              <w:rPr>
                <w:rFonts w:eastAsia="Times New Roman"/>
                <w:sz w:val="20"/>
                <w:szCs w:val="20"/>
              </w:rPr>
              <w:t> </w:t>
            </w:r>
          </w:p>
        </w:tc>
      </w:tr>
      <w:tr w:rsidR="00000000" w14:paraId="18DBD202" w14:textId="77777777">
        <w:trPr>
          <w:divId w:val="849947503"/>
          <w:tblCellSpacing w:w="0" w:type="dxa"/>
        </w:trPr>
        <w:tc>
          <w:tcPr>
            <w:tcW w:w="0" w:type="auto"/>
            <w:shd w:val="clear" w:color="auto" w:fill="FFFFFF"/>
            <w:vAlign w:val="bottom"/>
            <w:hideMark/>
          </w:tcPr>
          <w:p w14:paraId="1B380B1B"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00EB9DD"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FFD2FD2"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F2071A5"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AB47F0F"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97B6487"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DCC4F1A"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203A443"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0C17616" w14:textId="77777777" w:rsidR="00000000" w:rsidRDefault="00847163">
            <w:pPr>
              <w:rPr>
                <w:rFonts w:eastAsia="Times New Roman"/>
                <w:sz w:val="20"/>
                <w:szCs w:val="20"/>
              </w:rPr>
            </w:pPr>
            <w:r>
              <w:rPr>
                <w:rFonts w:eastAsia="Times New Roman"/>
                <w:sz w:val="20"/>
                <w:szCs w:val="20"/>
              </w:rPr>
              <w:t> </w:t>
            </w:r>
          </w:p>
        </w:tc>
      </w:tr>
      <w:tr w:rsidR="00000000" w14:paraId="51C5CA9F" w14:textId="77777777">
        <w:trPr>
          <w:divId w:val="849947503"/>
          <w:tblCellSpacing w:w="0" w:type="dxa"/>
        </w:trPr>
        <w:tc>
          <w:tcPr>
            <w:tcW w:w="0" w:type="auto"/>
            <w:shd w:val="clear" w:color="auto" w:fill="CCEEFF"/>
            <w:vAlign w:val="bottom"/>
            <w:hideMark/>
          </w:tcPr>
          <w:p w14:paraId="44144A0E" w14:textId="77777777" w:rsidR="00000000" w:rsidRDefault="00847163">
            <w:pPr>
              <w:pStyle w:val="a3"/>
              <w:spacing w:before="0" w:beforeAutospacing="0" w:after="0" w:afterAutospacing="0"/>
              <w:rPr>
                <w:sz w:val="20"/>
                <w:szCs w:val="20"/>
              </w:rPr>
            </w:pPr>
            <w:r>
              <w:rPr>
                <w:sz w:val="20"/>
                <w:szCs w:val="20"/>
              </w:rPr>
              <w:t>Other income/(expense)</w:t>
            </w:r>
          </w:p>
        </w:tc>
        <w:tc>
          <w:tcPr>
            <w:tcW w:w="0" w:type="auto"/>
            <w:shd w:val="clear" w:color="auto" w:fill="CCEEFF"/>
            <w:vAlign w:val="bottom"/>
            <w:hideMark/>
          </w:tcPr>
          <w:p w14:paraId="5969CA52"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A839C08"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05BC7E"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1D0298"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4F94C60"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AF3B978"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1F0C15"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1F5327" w14:textId="77777777" w:rsidR="00000000" w:rsidRDefault="00847163">
            <w:pPr>
              <w:rPr>
                <w:rFonts w:eastAsia="Times New Roman"/>
                <w:sz w:val="20"/>
                <w:szCs w:val="20"/>
              </w:rPr>
            </w:pPr>
            <w:r>
              <w:rPr>
                <w:rFonts w:eastAsia="Times New Roman"/>
                <w:sz w:val="20"/>
                <w:szCs w:val="20"/>
              </w:rPr>
              <w:t> </w:t>
            </w:r>
          </w:p>
        </w:tc>
      </w:tr>
      <w:tr w:rsidR="00000000" w14:paraId="4B201E46" w14:textId="77777777">
        <w:trPr>
          <w:divId w:val="849947503"/>
          <w:tblCellSpacing w:w="0" w:type="dxa"/>
        </w:trPr>
        <w:tc>
          <w:tcPr>
            <w:tcW w:w="0" w:type="auto"/>
            <w:shd w:val="clear" w:color="auto" w:fill="FFFFFF"/>
            <w:vAlign w:val="bottom"/>
            <w:hideMark/>
          </w:tcPr>
          <w:p w14:paraId="2BFB0C3B" w14:textId="77777777" w:rsidR="00000000" w:rsidRDefault="00847163">
            <w:pPr>
              <w:pStyle w:val="a3"/>
              <w:spacing w:before="0" w:beforeAutospacing="0" w:after="0" w:afterAutospacing="0"/>
              <w:ind w:left="360"/>
              <w:rPr>
                <w:sz w:val="20"/>
                <w:szCs w:val="20"/>
              </w:rPr>
            </w:pPr>
            <w:r>
              <w:rPr>
                <w:sz w:val="20"/>
                <w:szCs w:val="20"/>
              </w:rPr>
              <w:t>Other (expense)/income, net</w:t>
            </w:r>
          </w:p>
        </w:tc>
        <w:tc>
          <w:tcPr>
            <w:tcW w:w="50" w:type="pct"/>
            <w:shd w:val="clear" w:color="auto" w:fill="FFFFFF"/>
            <w:vAlign w:val="bottom"/>
            <w:hideMark/>
          </w:tcPr>
          <w:p w14:paraId="5910FE70"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BFDE1B4" w14:textId="77777777" w:rsidR="00000000" w:rsidRDefault="00847163">
            <w:pPr>
              <w:rPr>
                <w:rFonts w:eastAsia="Times New Roman"/>
                <w:sz w:val="20"/>
                <w:szCs w:val="20"/>
              </w:rPr>
            </w:pPr>
            <w:r>
              <w:rPr>
                <w:rFonts w:eastAsia="Times New Roman"/>
                <w:sz w:val="20"/>
                <w:szCs w:val="20"/>
              </w:rPr>
              <w:t> </w:t>
            </w:r>
          </w:p>
        </w:tc>
        <w:tc>
          <w:tcPr>
            <w:tcW w:w="500" w:type="pct"/>
            <w:shd w:val="clear" w:color="auto" w:fill="FFFFFF"/>
            <w:vAlign w:val="bottom"/>
            <w:hideMark/>
          </w:tcPr>
          <w:p w14:paraId="55C8C07C" w14:textId="77777777" w:rsidR="00000000" w:rsidRDefault="00847163">
            <w:pPr>
              <w:jc w:val="right"/>
              <w:rPr>
                <w:rFonts w:eastAsia="Times New Roman"/>
                <w:sz w:val="20"/>
                <w:szCs w:val="20"/>
              </w:rPr>
            </w:pPr>
            <w:r>
              <w:rPr>
                <w:rFonts w:eastAsia="Times New Roman"/>
                <w:sz w:val="20"/>
                <w:szCs w:val="20"/>
              </w:rPr>
              <w:t>(3,422</w:t>
            </w:r>
          </w:p>
        </w:tc>
        <w:tc>
          <w:tcPr>
            <w:tcW w:w="50" w:type="pct"/>
            <w:shd w:val="clear" w:color="auto" w:fill="FFFFFF"/>
            <w:vAlign w:val="bottom"/>
            <w:hideMark/>
          </w:tcPr>
          <w:p w14:paraId="118D25E6" w14:textId="77777777" w:rsidR="00000000" w:rsidRDefault="00847163">
            <w:pPr>
              <w:rPr>
                <w:rFonts w:eastAsia="Times New Roman"/>
                <w:sz w:val="20"/>
                <w:szCs w:val="20"/>
              </w:rPr>
            </w:pPr>
            <w:r>
              <w:rPr>
                <w:rFonts w:eastAsia="Times New Roman"/>
                <w:sz w:val="20"/>
                <w:szCs w:val="20"/>
              </w:rPr>
              <w:t>)</w:t>
            </w:r>
          </w:p>
        </w:tc>
        <w:tc>
          <w:tcPr>
            <w:tcW w:w="50" w:type="pct"/>
            <w:shd w:val="clear" w:color="auto" w:fill="FFFFFF"/>
            <w:vAlign w:val="bottom"/>
            <w:hideMark/>
          </w:tcPr>
          <w:p w14:paraId="6EF39BA7"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2A7513A" w14:textId="77777777" w:rsidR="00000000" w:rsidRDefault="00847163">
            <w:pPr>
              <w:rPr>
                <w:rFonts w:eastAsia="Times New Roman"/>
                <w:sz w:val="20"/>
                <w:szCs w:val="20"/>
              </w:rPr>
            </w:pPr>
            <w:r>
              <w:rPr>
                <w:rFonts w:eastAsia="Times New Roman"/>
                <w:sz w:val="20"/>
                <w:szCs w:val="20"/>
              </w:rPr>
              <w:t> </w:t>
            </w:r>
          </w:p>
        </w:tc>
        <w:tc>
          <w:tcPr>
            <w:tcW w:w="500" w:type="pct"/>
            <w:shd w:val="clear" w:color="auto" w:fill="FFFFFF"/>
            <w:vAlign w:val="bottom"/>
            <w:hideMark/>
          </w:tcPr>
          <w:p w14:paraId="37E3E5C7" w14:textId="77777777" w:rsidR="00000000" w:rsidRDefault="00847163">
            <w:pPr>
              <w:jc w:val="right"/>
              <w:rPr>
                <w:rFonts w:eastAsia="Times New Roman"/>
                <w:sz w:val="20"/>
                <w:szCs w:val="20"/>
              </w:rPr>
            </w:pPr>
            <w:r>
              <w:rPr>
                <w:rFonts w:eastAsia="Times New Roman"/>
                <w:sz w:val="20"/>
                <w:szCs w:val="20"/>
              </w:rPr>
              <w:t>2,622</w:t>
            </w:r>
          </w:p>
        </w:tc>
        <w:tc>
          <w:tcPr>
            <w:tcW w:w="50" w:type="pct"/>
            <w:shd w:val="clear" w:color="auto" w:fill="FFFFFF"/>
            <w:vAlign w:val="bottom"/>
            <w:hideMark/>
          </w:tcPr>
          <w:p w14:paraId="3CF2D69D" w14:textId="77777777" w:rsidR="00000000" w:rsidRDefault="00847163">
            <w:pPr>
              <w:rPr>
                <w:rFonts w:eastAsia="Times New Roman"/>
                <w:sz w:val="20"/>
                <w:szCs w:val="20"/>
              </w:rPr>
            </w:pPr>
            <w:r>
              <w:rPr>
                <w:rFonts w:eastAsia="Times New Roman"/>
                <w:sz w:val="20"/>
                <w:szCs w:val="20"/>
              </w:rPr>
              <w:t> </w:t>
            </w:r>
          </w:p>
        </w:tc>
      </w:tr>
      <w:tr w:rsidR="00000000" w14:paraId="72C57B66" w14:textId="77777777">
        <w:trPr>
          <w:divId w:val="849947503"/>
          <w:tblCellSpacing w:w="0" w:type="dxa"/>
        </w:trPr>
        <w:tc>
          <w:tcPr>
            <w:tcW w:w="0" w:type="auto"/>
            <w:shd w:val="clear" w:color="auto" w:fill="CCEEFF"/>
            <w:vAlign w:val="bottom"/>
            <w:hideMark/>
          </w:tcPr>
          <w:p w14:paraId="2A364A15" w14:textId="77777777" w:rsidR="00000000" w:rsidRDefault="00847163">
            <w:pPr>
              <w:pStyle w:val="a3"/>
              <w:spacing w:before="0" w:beforeAutospacing="0" w:after="0" w:afterAutospacing="0"/>
              <w:ind w:left="360"/>
              <w:rPr>
                <w:sz w:val="20"/>
                <w:szCs w:val="20"/>
              </w:rPr>
            </w:pPr>
            <w:r>
              <w:rPr>
                <w:sz w:val="20"/>
                <w:szCs w:val="20"/>
              </w:rPr>
              <w:t>Interest expense</w:t>
            </w:r>
          </w:p>
        </w:tc>
        <w:tc>
          <w:tcPr>
            <w:tcW w:w="50" w:type="pct"/>
            <w:shd w:val="clear" w:color="auto" w:fill="CCEEFF"/>
            <w:vAlign w:val="bottom"/>
            <w:hideMark/>
          </w:tcPr>
          <w:p w14:paraId="7FC4DB9F" w14:textId="77777777" w:rsidR="00000000" w:rsidRDefault="0084716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3E2A545A" w14:textId="77777777" w:rsidR="00000000" w:rsidRDefault="00847163">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14:paraId="78F2E89E" w14:textId="77777777" w:rsidR="00000000" w:rsidRDefault="00847163">
            <w:pPr>
              <w:jc w:val="right"/>
              <w:rPr>
                <w:rFonts w:eastAsia="Times New Roman"/>
                <w:sz w:val="20"/>
                <w:szCs w:val="20"/>
              </w:rPr>
            </w:pPr>
            <w:r>
              <w:rPr>
                <w:rFonts w:eastAsia="Times New Roman"/>
                <w:sz w:val="20"/>
                <w:szCs w:val="20"/>
              </w:rPr>
              <w:t>(46,060</w:t>
            </w:r>
          </w:p>
        </w:tc>
        <w:tc>
          <w:tcPr>
            <w:tcW w:w="50" w:type="pct"/>
            <w:shd w:val="clear" w:color="auto" w:fill="CCEEFF"/>
            <w:tcMar>
              <w:top w:w="0" w:type="dxa"/>
              <w:left w:w="0" w:type="dxa"/>
              <w:bottom w:w="15" w:type="dxa"/>
              <w:right w:w="0" w:type="dxa"/>
            </w:tcMar>
            <w:vAlign w:val="bottom"/>
            <w:hideMark/>
          </w:tcPr>
          <w:p w14:paraId="19D2F321" w14:textId="77777777" w:rsidR="00000000" w:rsidRDefault="00847163">
            <w:pPr>
              <w:rPr>
                <w:rFonts w:eastAsia="Times New Roman"/>
                <w:sz w:val="20"/>
                <w:szCs w:val="20"/>
              </w:rPr>
            </w:pPr>
            <w:r>
              <w:rPr>
                <w:rFonts w:eastAsia="Times New Roman"/>
                <w:sz w:val="20"/>
                <w:szCs w:val="20"/>
              </w:rPr>
              <w:t>)</w:t>
            </w:r>
          </w:p>
        </w:tc>
        <w:tc>
          <w:tcPr>
            <w:tcW w:w="50" w:type="pct"/>
            <w:shd w:val="clear" w:color="auto" w:fill="CCEEFF"/>
            <w:vAlign w:val="bottom"/>
            <w:hideMark/>
          </w:tcPr>
          <w:p w14:paraId="4CC60B09" w14:textId="77777777" w:rsidR="00000000" w:rsidRDefault="0084716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64A22E23" w14:textId="77777777" w:rsidR="00000000" w:rsidRDefault="00847163">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14:paraId="3CD0D4B3" w14:textId="77777777" w:rsidR="00000000" w:rsidRDefault="00847163">
            <w:pPr>
              <w:jc w:val="right"/>
              <w:rPr>
                <w:rFonts w:eastAsia="Times New Roman"/>
                <w:sz w:val="20"/>
                <w:szCs w:val="20"/>
              </w:rPr>
            </w:pPr>
            <w:r>
              <w:rPr>
                <w:rFonts w:eastAsia="Times New Roman"/>
                <w:sz w:val="20"/>
                <w:szCs w:val="20"/>
              </w:rPr>
              <w:t>(44,395</w:t>
            </w:r>
          </w:p>
        </w:tc>
        <w:tc>
          <w:tcPr>
            <w:tcW w:w="50" w:type="pct"/>
            <w:shd w:val="clear" w:color="auto" w:fill="CCEEFF"/>
            <w:tcMar>
              <w:top w:w="0" w:type="dxa"/>
              <w:left w:w="0" w:type="dxa"/>
              <w:bottom w:w="15" w:type="dxa"/>
              <w:right w:w="0" w:type="dxa"/>
            </w:tcMar>
            <w:vAlign w:val="bottom"/>
            <w:hideMark/>
          </w:tcPr>
          <w:p w14:paraId="327CA4A7" w14:textId="77777777" w:rsidR="00000000" w:rsidRDefault="00847163">
            <w:pPr>
              <w:rPr>
                <w:rFonts w:eastAsia="Times New Roman"/>
                <w:sz w:val="20"/>
                <w:szCs w:val="20"/>
              </w:rPr>
            </w:pPr>
            <w:r>
              <w:rPr>
                <w:rFonts w:eastAsia="Times New Roman"/>
                <w:sz w:val="20"/>
                <w:szCs w:val="20"/>
              </w:rPr>
              <w:t>)</w:t>
            </w:r>
          </w:p>
        </w:tc>
      </w:tr>
      <w:tr w:rsidR="00000000" w14:paraId="3F954251" w14:textId="77777777">
        <w:trPr>
          <w:divId w:val="849947503"/>
          <w:tblCellSpacing w:w="0" w:type="dxa"/>
        </w:trPr>
        <w:tc>
          <w:tcPr>
            <w:tcW w:w="0" w:type="auto"/>
            <w:shd w:val="clear" w:color="auto" w:fill="FFFFFF"/>
            <w:vAlign w:val="bottom"/>
            <w:hideMark/>
          </w:tcPr>
          <w:p w14:paraId="1D1BE501" w14:textId="77777777" w:rsidR="00000000" w:rsidRDefault="00847163">
            <w:pPr>
              <w:pStyle w:val="a3"/>
              <w:spacing w:before="0" w:beforeAutospacing="0" w:after="0" w:afterAutospacing="0"/>
              <w:ind w:left="180" w:hanging="180"/>
              <w:rPr>
                <w:sz w:val="20"/>
                <w:szCs w:val="20"/>
              </w:rPr>
            </w:pPr>
            <w:r>
              <w:rPr>
                <w:sz w:val="20"/>
                <w:szCs w:val="20"/>
              </w:rPr>
              <w:t>Income before income taxes, net, equity in income of joint ventures, net, and equity in income from other real estate investments, net</w:t>
            </w:r>
          </w:p>
        </w:tc>
        <w:tc>
          <w:tcPr>
            <w:tcW w:w="50" w:type="pct"/>
            <w:shd w:val="clear" w:color="auto" w:fill="FFFFFF"/>
            <w:vAlign w:val="bottom"/>
            <w:hideMark/>
          </w:tcPr>
          <w:p w14:paraId="522D0F09"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5A6A489" w14:textId="77777777" w:rsidR="00000000" w:rsidRDefault="00847163">
            <w:pPr>
              <w:rPr>
                <w:rFonts w:eastAsia="Times New Roman"/>
                <w:sz w:val="20"/>
                <w:szCs w:val="20"/>
              </w:rPr>
            </w:pPr>
            <w:r>
              <w:rPr>
                <w:rFonts w:eastAsia="Times New Roman"/>
                <w:sz w:val="20"/>
                <w:szCs w:val="20"/>
              </w:rPr>
              <w:t> </w:t>
            </w:r>
          </w:p>
        </w:tc>
        <w:tc>
          <w:tcPr>
            <w:tcW w:w="500" w:type="pct"/>
            <w:shd w:val="clear" w:color="auto" w:fill="FFFFFF"/>
            <w:vAlign w:val="bottom"/>
            <w:hideMark/>
          </w:tcPr>
          <w:p w14:paraId="0502F490" w14:textId="77777777" w:rsidR="00000000" w:rsidRDefault="00847163">
            <w:pPr>
              <w:jc w:val="right"/>
              <w:rPr>
                <w:rFonts w:eastAsia="Times New Roman"/>
                <w:sz w:val="20"/>
                <w:szCs w:val="20"/>
              </w:rPr>
            </w:pPr>
            <w:r>
              <w:rPr>
                <w:rFonts w:eastAsia="Times New Roman"/>
                <w:sz w:val="20"/>
                <w:szCs w:val="20"/>
              </w:rPr>
              <w:t>65,826</w:t>
            </w:r>
          </w:p>
        </w:tc>
        <w:tc>
          <w:tcPr>
            <w:tcW w:w="50" w:type="pct"/>
            <w:shd w:val="clear" w:color="auto" w:fill="FFFFFF"/>
            <w:vAlign w:val="bottom"/>
            <w:hideMark/>
          </w:tcPr>
          <w:p w14:paraId="5D6CF527"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805C5E4"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08584CF" w14:textId="77777777" w:rsidR="00000000" w:rsidRDefault="00847163">
            <w:pPr>
              <w:rPr>
                <w:rFonts w:eastAsia="Times New Roman"/>
                <w:sz w:val="20"/>
                <w:szCs w:val="20"/>
              </w:rPr>
            </w:pPr>
            <w:r>
              <w:rPr>
                <w:rFonts w:eastAsia="Times New Roman"/>
                <w:sz w:val="20"/>
                <w:szCs w:val="20"/>
              </w:rPr>
              <w:t> </w:t>
            </w:r>
          </w:p>
        </w:tc>
        <w:tc>
          <w:tcPr>
            <w:tcW w:w="500" w:type="pct"/>
            <w:shd w:val="clear" w:color="auto" w:fill="FFFFFF"/>
            <w:vAlign w:val="bottom"/>
            <w:hideMark/>
          </w:tcPr>
          <w:p w14:paraId="2D44CFE5" w14:textId="77777777" w:rsidR="00000000" w:rsidRDefault="00847163">
            <w:pPr>
              <w:jc w:val="right"/>
              <w:rPr>
                <w:rFonts w:eastAsia="Times New Roman"/>
                <w:sz w:val="20"/>
                <w:szCs w:val="20"/>
              </w:rPr>
            </w:pPr>
            <w:r>
              <w:rPr>
                <w:rFonts w:eastAsia="Times New Roman"/>
                <w:sz w:val="20"/>
                <w:szCs w:val="20"/>
              </w:rPr>
              <w:t>92,330</w:t>
            </w:r>
          </w:p>
        </w:tc>
        <w:tc>
          <w:tcPr>
            <w:tcW w:w="50" w:type="pct"/>
            <w:shd w:val="clear" w:color="auto" w:fill="FFFFFF"/>
            <w:vAlign w:val="bottom"/>
            <w:hideMark/>
          </w:tcPr>
          <w:p w14:paraId="43E83DBD" w14:textId="77777777" w:rsidR="00000000" w:rsidRDefault="00847163">
            <w:pPr>
              <w:rPr>
                <w:rFonts w:eastAsia="Times New Roman"/>
                <w:sz w:val="20"/>
                <w:szCs w:val="20"/>
              </w:rPr>
            </w:pPr>
            <w:r>
              <w:rPr>
                <w:rFonts w:eastAsia="Times New Roman"/>
                <w:sz w:val="20"/>
                <w:szCs w:val="20"/>
              </w:rPr>
              <w:t> </w:t>
            </w:r>
          </w:p>
        </w:tc>
      </w:tr>
      <w:tr w:rsidR="00000000" w14:paraId="10B9F50B" w14:textId="77777777">
        <w:trPr>
          <w:divId w:val="849947503"/>
          <w:tblCellSpacing w:w="0" w:type="dxa"/>
        </w:trPr>
        <w:tc>
          <w:tcPr>
            <w:tcW w:w="0" w:type="auto"/>
            <w:shd w:val="clear" w:color="auto" w:fill="CCEEFF"/>
            <w:vAlign w:val="bottom"/>
            <w:hideMark/>
          </w:tcPr>
          <w:p w14:paraId="5C1E0247"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64A4A5E"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13B331"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CE3DBC"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C233489"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DA31A27"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2F0E5A"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94677C6"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F6DC20A" w14:textId="77777777" w:rsidR="00000000" w:rsidRDefault="00847163">
            <w:pPr>
              <w:rPr>
                <w:rFonts w:eastAsia="Times New Roman"/>
                <w:sz w:val="20"/>
                <w:szCs w:val="20"/>
              </w:rPr>
            </w:pPr>
            <w:r>
              <w:rPr>
                <w:rFonts w:eastAsia="Times New Roman"/>
                <w:sz w:val="20"/>
                <w:szCs w:val="20"/>
              </w:rPr>
              <w:t> </w:t>
            </w:r>
          </w:p>
        </w:tc>
      </w:tr>
      <w:tr w:rsidR="00000000" w14:paraId="36DD5F50" w14:textId="77777777">
        <w:trPr>
          <w:divId w:val="849947503"/>
          <w:tblCellSpacing w:w="0" w:type="dxa"/>
        </w:trPr>
        <w:tc>
          <w:tcPr>
            <w:tcW w:w="0" w:type="auto"/>
            <w:shd w:val="clear" w:color="auto" w:fill="FFFFFF"/>
            <w:vAlign w:val="bottom"/>
            <w:hideMark/>
          </w:tcPr>
          <w:p w14:paraId="48FA60B1" w14:textId="77777777" w:rsidR="00000000" w:rsidRDefault="00847163">
            <w:pPr>
              <w:pStyle w:val="a3"/>
              <w:spacing w:before="0" w:beforeAutospacing="0" w:after="0" w:afterAutospacing="0"/>
              <w:ind w:left="360"/>
              <w:rPr>
                <w:sz w:val="20"/>
                <w:szCs w:val="20"/>
              </w:rPr>
            </w:pPr>
            <w:r>
              <w:rPr>
                <w:sz w:val="20"/>
                <w:szCs w:val="20"/>
              </w:rPr>
              <w:t>Provision for income taxes, net</w:t>
            </w:r>
          </w:p>
        </w:tc>
        <w:tc>
          <w:tcPr>
            <w:tcW w:w="50" w:type="pct"/>
            <w:shd w:val="clear" w:color="auto" w:fill="FFFFFF"/>
            <w:vAlign w:val="bottom"/>
            <w:hideMark/>
          </w:tcPr>
          <w:p w14:paraId="485C3AE5"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54C3FCE" w14:textId="77777777" w:rsidR="00000000" w:rsidRDefault="00847163">
            <w:pPr>
              <w:rPr>
                <w:rFonts w:eastAsia="Times New Roman"/>
                <w:sz w:val="20"/>
                <w:szCs w:val="20"/>
              </w:rPr>
            </w:pPr>
            <w:r>
              <w:rPr>
                <w:rFonts w:eastAsia="Times New Roman"/>
                <w:sz w:val="20"/>
                <w:szCs w:val="20"/>
              </w:rPr>
              <w:t> </w:t>
            </w:r>
          </w:p>
        </w:tc>
        <w:tc>
          <w:tcPr>
            <w:tcW w:w="500" w:type="pct"/>
            <w:shd w:val="clear" w:color="auto" w:fill="FFFFFF"/>
            <w:vAlign w:val="bottom"/>
            <w:hideMark/>
          </w:tcPr>
          <w:p w14:paraId="293888CB" w14:textId="77777777" w:rsidR="00000000" w:rsidRDefault="00847163">
            <w:pPr>
              <w:jc w:val="right"/>
              <w:rPr>
                <w:rFonts w:eastAsia="Times New Roman"/>
                <w:sz w:val="20"/>
                <w:szCs w:val="20"/>
              </w:rPr>
            </w:pPr>
            <w:r>
              <w:rPr>
                <w:rFonts w:eastAsia="Times New Roman"/>
                <w:sz w:val="20"/>
                <w:szCs w:val="20"/>
              </w:rPr>
              <w:t>(43</w:t>
            </w:r>
          </w:p>
        </w:tc>
        <w:tc>
          <w:tcPr>
            <w:tcW w:w="50" w:type="pct"/>
            <w:shd w:val="clear" w:color="auto" w:fill="FFFFFF"/>
            <w:vAlign w:val="bottom"/>
            <w:hideMark/>
          </w:tcPr>
          <w:p w14:paraId="78E4AE1B" w14:textId="77777777" w:rsidR="00000000" w:rsidRDefault="00847163">
            <w:pPr>
              <w:rPr>
                <w:rFonts w:eastAsia="Times New Roman"/>
                <w:sz w:val="20"/>
                <w:szCs w:val="20"/>
              </w:rPr>
            </w:pPr>
            <w:r>
              <w:rPr>
                <w:rFonts w:eastAsia="Times New Roman"/>
                <w:sz w:val="20"/>
                <w:szCs w:val="20"/>
              </w:rPr>
              <w:t>)</w:t>
            </w:r>
          </w:p>
        </w:tc>
        <w:tc>
          <w:tcPr>
            <w:tcW w:w="50" w:type="pct"/>
            <w:shd w:val="clear" w:color="auto" w:fill="FFFFFF"/>
            <w:vAlign w:val="bottom"/>
            <w:hideMark/>
          </w:tcPr>
          <w:p w14:paraId="77F84441"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A5F7AF6" w14:textId="77777777" w:rsidR="00000000" w:rsidRDefault="00847163">
            <w:pPr>
              <w:rPr>
                <w:rFonts w:eastAsia="Times New Roman"/>
                <w:sz w:val="20"/>
                <w:szCs w:val="20"/>
              </w:rPr>
            </w:pPr>
            <w:r>
              <w:rPr>
                <w:rFonts w:eastAsia="Times New Roman"/>
                <w:sz w:val="20"/>
                <w:szCs w:val="20"/>
              </w:rPr>
              <w:t> </w:t>
            </w:r>
          </w:p>
        </w:tc>
        <w:tc>
          <w:tcPr>
            <w:tcW w:w="500" w:type="pct"/>
            <w:shd w:val="clear" w:color="auto" w:fill="FFFFFF"/>
            <w:vAlign w:val="bottom"/>
            <w:hideMark/>
          </w:tcPr>
          <w:p w14:paraId="0BFCE0E6" w14:textId="77777777" w:rsidR="00000000" w:rsidRDefault="00847163">
            <w:pPr>
              <w:jc w:val="right"/>
              <w:rPr>
                <w:rFonts w:eastAsia="Times New Roman"/>
                <w:sz w:val="20"/>
                <w:szCs w:val="20"/>
              </w:rPr>
            </w:pPr>
            <w:r>
              <w:rPr>
                <w:rFonts w:eastAsia="Times New Roman"/>
                <w:sz w:val="20"/>
                <w:szCs w:val="20"/>
              </w:rPr>
              <w:t>(630</w:t>
            </w:r>
          </w:p>
        </w:tc>
        <w:tc>
          <w:tcPr>
            <w:tcW w:w="50" w:type="pct"/>
            <w:shd w:val="clear" w:color="auto" w:fill="FFFFFF"/>
            <w:vAlign w:val="bottom"/>
            <w:hideMark/>
          </w:tcPr>
          <w:p w14:paraId="7F4C8D80" w14:textId="77777777" w:rsidR="00000000" w:rsidRDefault="00847163">
            <w:pPr>
              <w:rPr>
                <w:rFonts w:eastAsia="Times New Roman"/>
                <w:sz w:val="20"/>
                <w:szCs w:val="20"/>
              </w:rPr>
            </w:pPr>
            <w:r>
              <w:rPr>
                <w:rFonts w:eastAsia="Times New Roman"/>
                <w:sz w:val="20"/>
                <w:szCs w:val="20"/>
              </w:rPr>
              <w:t>)</w:t>
            </w:r>
          </w:p>
        </w:tc>
      </w:tr>
      <w:tr w:rsidR="00000000" w14:paraId="43278B74" w14:textId="77777777">
        <w:trPr>
          <w:divId w:val="849947503"/>
          <w:tblCellSpacing w:w="0" w:type="dxa"/>
        </w:trPr>
        <w:tc>
          <w:tcPr>
            <w:tcW w:w="0" w:type="auto"/>
            <w:shd w:val="clear" w:color="auto" w:fill="CCEEFF"/>
            <w:vAlign w:val="bottom"/>
            <w:hideMark/>
          </w:tcPr>
          <w:p w14:paraId="659E449F" w14:textId="77777777" w:rsidR="00000000" w:rsidRDefault="00847163">
            <w:pPr>
              <w:pStyle w:val="a3"/>
              <w:spacing w:before="0" w:beforeAutospacing="0" w:after="0" w:afterAutospacing="0"/>
              <w:ind w:left="360"/>
              <w:rPr>
                <w:sz w:val="20"/>
                <w:szCs w:val="20"/>
              </w:rPr>
            </w:pPr>
            <w:r>
              <w:rPr>
                <w:sz w:val="20"/>
                <w:szCs w:val="20"/>
              </w:rPr>
              <w:t>Equity in income of joint ventures, net</w:t>
            </w:r>
          </w:p>
        </w:tc>
        <w:tc>
          <w:tcPr>
            <w:tcW w:w="50" w:type="pct"/>
            <w:shd w:val="clear" w:color="auto" w:fill="CCEEFF"/>
            <w:vAlign w:val="bottom"/>
            <w:hideMark/>
          </w:tcPr>
          <w:p w14:paraId="03BB6953"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7C4354C" w14:textId="77777777" w:rsidR="00000000" w:rsidRDefault="00847163">
            <w:pPr>
              <w:rPr>
                <w:rFonts w:eastAsia="Times New Roman"/>
                <w:sz w:val="20"/>
                <w:szCs w:val="20"/>
              </w:rPr>
            </w:pPr>
            <w:r>
              <w:rPr>
                <w:rFonts w:eastAsia="Times New Roman"/>
                <w:sz w:val="20"/>
                <w:szCs w:val="20"/>
              </w:rPr>
              <w:t> </w:t>
            </w:r>
          </w:p>
        </w:tc>
        <w:tc>
          <w:tcPr>
            <w:tcW w:w="500" w:type="pct"/>
            <w:shd w:val="clear" w:color="auto" w:fill="CCEEFF"/>
            <w:vAlign w:val="bottom"/>
            <w:hideMark/>
          </w:tcPr>
          <w:p w14:paraId="4D3D7B87" w14:textId="77777777" w:rsidR="00000000" w:rsidRDefault="00847163">
            <w:pPr>
              <w:jc w:val="right"/>
              <w:rPr>
                <w:rFonts w:eastAsia="Times New Roman"/>
                <w:sz w:val="20"/>
                <w:szCs w:val="20"/>
              </w:rPr>
            </w:pPr>
            <w:r>
              <w:rPr>
                <w:rFonts w:eastAsia="Times New Roman"/>
                <w:sz w:val="20"/>
                <w:szCs w:val="20"/>
              </w:rPr>
              <w:t>13,648</w:t>
            </w:r>
          </w:p>
        </w:tc>
        <w:tc>
          <w:tcPr>
            <w:tcW w:w="50" w:type="pct"/>
            <w:shd w:val="clear" w:color="auto" w:fill="CCEEFF"/>
            <w:vAlign w:val="bottom"/>
            <w:hideMark/>
          </w:tcPr>
          <w:p w14:paraId="4AB8B87E"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B8A9A6F"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F5353EF" w14:textId="77777777" w:rsidR="00000000" w:rsidRDefault="00847163">
            <w:pPr>
              <w:rPr>
                <w:rFonts w:eastAsia="Times New Roman"/>
                <w:sz w:val="20"/>
                <w:szCs w:val="20"/>
              </w:rPr>
            </w:pPr>
            <w:r>
              <w:rPr>
                <w:rFonts w:eastAsia="Times New Roman"/>
                <w:sz w:val="20"/>
                <w:szCs w:val="20"/>
              </w:rPr>
              <w:t> </w:t>
            </w:r>
          </w:p>
        </w:tc>
        <w:tc>
          <w:tcPr>
            <w:tcW w:w="500" w:type="pct"/>
            <w:shd w:val="clear" w:color="auto" w:fill="CCEEFF"/>
            <w:vAlign w:val="bottom"/>
            <w:hideMark/>
          </w:tcPr>
          <w:p w14:paraId="3AC80032" w14:textId="77777777" w:rsidR="00000000" w:rsidRDefault="00847163">
            <w:pPr>
              <w:jc w:val="right"/>
              <w:rPr>
                <w:rFonts w:eastAsia="Times New Roman"/>
                <w:sz w:val="20"/>
                <w:szCs w:val="20"/>
              </w:rPr>
            </w:pPr>
            <w:r>
              <w:rPr>
                <w:rFonts w:eastAsia="Times New Roman"/>
                <w:sz w:val="20"/>
                <w:szCs w:val="20"/>
              </w:rPr>
              <w:t>18,754</w:t>
            </w:r>
          </w:p>
        </w:tc>
        <w:tc>
          <w:tcPr>
            <w:tcW w:w="50" w:type="pct"/>
            <w:shd w:val="clear" w:color="auto" w:fill="CCEEFF"/>
            <w:vAlign w:val="bottom"/>
            <w:hideMark/>
          </w:tcPr>
          <w:p w14:paraId="25BC481F" w14:textId="77777777" w:rsidR="00000000" w:rsidRDefault="00847163">
            <w:pPr>
              <w:rPr>
                <w:rFonts w:eastAsia="Times New Roman"/>
                <w:sz w:val="20"/>
                <w:szCs w:val="20"/>
              </w:rPr>
            </w:pPr>
            <w:r>
              <w:rPr>
                <w:rFonts w:eastAsia="Times New Roman"/>
                <w:sz w:val="20"/>
                <w:szCs w:val="20"/>
              </w:rPr>
              <w:t> </w:t>
            </w:r>
          </w:p>
        </w:tc>
      </w:tr>
      <w:tr w:rsidR="00000000" w14:paraId="57F1373C" w14:textId="77777777">
        <w:trPr>
          <w:divId w:val="849947503"/>
          <w:tblCellSpacing w:w="0" w:type="dxa"/>
        </w:trPr>
        <w:tc>
          <w:tcPr>
            <w:tcW w:w="0" w:type="auto"/>
            <w:shd w:val="clear" w:color="auto" w:fill="FFFFFF"/>
            <w:vAlign w:val="bottom"/>
            <w:hideMark/>
          </w:tcPr>
          <w:p w14:paraId="5F1DB1D6" w14:textId="77777777" w:rsidR="00000000" w:rsidRDefault="00847163">
            <w:pPr>
              <w:pStyle w:val="a3"/>
              <w:spacing w:before="0" w:beforeAutospacing="0" w:after="0" w:afterAutospacing="0"/>
              <w:ind w:left="360"/>
              <w:rPr>
                <w:sz w:val="20"/>
                <w:szCs w:val="20"/>
              </w:rPr>
            </w:pPr>
            <w:r>
              <w:rPr>
                <w:sz w:val="20"/>
                <w:szCs w:val="20"/>
              </w:rPr>
              <w:t>Equity in income of other real estate investments, net</w:t>
            </w:r>
          </w:p>
        </w:tc>
        <w:tc>
          <w:tcPr>
            <w:tcW w:w="50" w:type="pct"/>
            <w:shd w:val="clear" w:color="auto" w:fill="FFFFFF"/>
            <w:vAlign w:val="bottom"/>
            <w:hideMark/>
          </w:tcPr>
          <w:p w14:paraId="113C50A3"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1EE3449" w14:textId="77777777" w:rsidR="00000000" w:rsidRDefault="00847163">
            <w:pPr>
              <w:rPr>
                <w:rFonts w:eastAsia="Times New Roman"/>
                <w:sz w:val="20"/>
                <w:szCs w:val="20"/>
              </w:rPr>
            </w:pPr>
            <w:r>
              <w:rPr>
                <w:rFonts w:eastAsia="Times New Roman"/>
                <w:sz w:val="20"/>
                <w:szCs w:val="20"/>
              </w:rPr>
              <w:t> </w:t>
            </w:r>
          </w:p>
        </w:tc>
        <w:tc>
          <w:tcPr>
            <w:tcW w:w="500" w:type="pct"/>
            <w:shd w:val="clear" w:color="auto" w:fill="FFFFFF"/>
            <w:vAlign w:val="bottom"/>
            <w:hideMark/>
          </w:tcPr>
          <w:p w14:paraId="3A58C1C4" w14:textId="77777777" w:rsidR="00000000" w:rsidRDefault="00847163">
            <w:pPr>
              <w:jc w:val="right"/>
              <w:rPr>
                <w:rFonts w:eastAsia="Times New Roman"/>
                <w:sz w:val="20"/>
                <w:szCs w:val="20"/>
              </w:rPr>
            </w:pPr>
            <w:r>
              <w:rPr>
                <w:rFonts w:eastAsia="Times New Roman"/>
                <w:sz w:val="20"/>
                <w:szCs w:val="20"/>
              </w:rPr>
              <w:t>10,958</w:t>
            </w:r>
          </w:p>
        </w:tc>
        <w:tc>
          <w:tcPr>
            <w:tcW w:w="50" w:type="pct"/>
            <w:shd w:val="clear" w:color="auto" w:fill="FFFFFF"/>
            <w:vAlign w:val="bottom"/>
            <w:hideMark/>
          </w:tcPr>
          <w:p w14:paraId="7A0E4F98"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21080CB"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E29A7EA" w14:textId="77777777" w:rsidR="00000000" w:rsidRDefault="00847163">
            <w:pPr>
              <w:rPr>
                <w:rFonts w:eastAsia="Times New Roman"/>
                <w:sz w:val="20"/>
                <w:szCs w:val="20"/>
              </w:rPr>
            </w:pPr>
            <w:r>
              <w:rPr>
                <w:rFonts w:eastAsia="Times New Roman"/>
                <w:sz w:val="20"/>
                <w:szCs w:val="20"/>
              </w:rPr>
              <w:t> </w:t>
            </w:r>
          </w:p>
        </w:tc>
        <w:tc>
          <w:tcPr>
            <w:tcW w:w="500" w:type="pct"/>
            <w:shd w:val="clear" w:color="auto" w:fill="FFFFFF"/>
            <w:vAlign w:val="bottom"/>
            <w:hideMark/>
          </w:tcPr>
          <w:p w14:paraId="3F1B9061" w14:textId="77777777" w:rsidR="00000000" w:rsidRDefault="00847163">
            <w:pPr>
              <w:jc w:val="right"/>
              <w:rPr>
                <w:rFonts w:eastAsia="Times New Roman"/>
                <w:sz w:val="20"/>
                <w:szCs w:val="20"/>
              </w:rPr>
            </w:pPr>
            <w:r>
              <w:rPr>
                <w:rFonts w:eastAsia="Times New Roman"/>
                <w:sz w:val="20"/>
                <w:szCs w:val="20"/>
              </w:rPr>
              <w:t>6,224</w:t>
            </w:r>
          </w:p>
        </w:tc>
        <w:tc>
          <w:tcPr>
            <w:tcW w:w="50" w:type="pct"/>
            <w:shd w:val="clear" w:color="auto" w:fill="FFFFFF"/>
            <w:vAlign w:val="bottom"/>
            <w:hideMark/>
          </w:tcPr>
          <w:p w14:paraId="1F7EA0F2" w14:textId="77777777" w:rsidR="00000000" w:rsidRDefault="00847163">
            <w:pPr>
              <w:rPr>
                <w:rFonts w:eastAsia="Times New Roman"/>
                <w:sz w:val="20"/>
                <w:szCs w:val="20"/>
              </w:rPr>
            </w:pPr>
            <w:r>
              <w:rPr>
                <w:rFonts w:eastAsia="Times New Roman"/>
                <w:sz w:val="20"/>
                <w:szCs w:val="20"/>
              </w:rPr>
              <w:t> </w:t>
            </w:r>
          </w:p>
        </w:tc>
      </w:tr>
      <w:tr w:rsidR="00000000" w14:paraId="41F969D5" w14:textId="77777777">
        <w:trPr>
          <w:divId w:val="849947503"/>
          <w:tblCellSpacing w:w="0" w:type="dxa"/>
        </w:trPr>
        <w:tc>
          <w:tcPr>
            <w:tcW w:w="0" w:type="auto"/>
            <w:shd w:val="clear" w:color="auto" w:fill="CCEEFF"/>
            <w:vAlign w:val="bottom"/>
            <w:hideMark/>
          </w:tcPr>
          <w:p w14:paraId="5BE0D209"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14:paraId="5AE689EC" w14:textId="77777777" w:rsidR="00000000" w:rsidRDefault="00847163">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14:paraId="5945F6BA" w14:textId="77777777" w:rsidR="00000000" w:rsidRDefault="00847163">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14:paraId="6C172F29"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14:paraId="50791FD2"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14:paraId="51C692BB" w14:textId="77777777" w:rsidR="00000000" w:rsidRDefault="00847163">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14:paraId="49F7E8CC" w14:textId="77777777" w:rsidR="00000000" w:rsidRDefault="00847163">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14:paraId="46AAC448"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14:paraId="2038E6C2" w14:textId="77777777" w:rsidR="00000000" w:rsidRDefault="00847163">
            <w:pPr>
              <w:rPr>
                <w:rFonts w:eastAsia="Times New Roman"/>
                <w:sz w:val="20"/>
                <w:szCs w:val="20"/>
              </w:rPr>
            </w:pPr>
            <w:r>
              <w:rPr>
                <w:rFonts w:eastAsia="Times New Roman"/>
                <w:sz w:val="20"/>
                <w:szCs w:val="20"/>
              </w:rPr>
              <w:t> </w:t>
            </w:r>
          </w:p>
        </w:tc>
      </w:tr>
      <w:tr w:rsidR="00000000" w14:paraId="1208DBB6" w14:textId="77777777">
        <w:trPr>
          <w:divId w:val="849947503"/>
          <w:tblCellSpacing w:w="0" w:type="dxa"/>
        </w:trPr>
        <w:tc>
          <w:tcPr>
            <w:tcW w:w="0" w:type="auto"/>
            <w:shd w:val="clear" w:color="auto" w:fill="FFFFFF"/>
            <w:vAlign w:val="bottom"/>
            <w:hideMark/>
          </w:tcPr>
          <w:p w14:paraId="185DE38D" w14:textId="77777777" w:rsidR="00000000" w:rsidRDefault="00847163">
            <w:pPr>
              <w:pStyle w:val="a3"/>
              <w:spacing w:before="0" w:beforeAutospacing="0" w:after="0" w:afterAutospacing="0"/>
              <w:ind w:left="540"/>
              <w:rPr>
                <w:sz w:val="20"/>
                <w:szCs w:val="20"/>
              </w:rPr>
            </w:pPr>
            <w:r>
              <w:rPr>
                <w:sz w:val="20"/>
                <w:szCs w:val="20"/>
              </w:rPr>
              <w:t>Net income</w:t>
            </w:r>
          </w:p>
        </w:tc>
        <w:tc>
          <w:tcPr>
            <w:tcW w:w="50" w:type="pct"/>
            <w:shd w:val="clear" w:color="auto" w:fill="FFFFFF"/>
            <w:vAlign w:val="bottom"/>
            <w:hideMark/>
          </w:tcPr>
          <w:p w14:paraId="64EF6386"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EC9FA93" w14:textId="77777777" w:rsidR="00000000" w:rsidRDefault="00847163">
            <w:pPr>
              <w:rPr>
                <w:rFonts w:eastAsia="Times New Roman"/>
                <w:sz w:val="20"/>
                <w:szCs w:val="20"/>
              </w:rPr>
            </w:pPr>
            <w:r>
              <w:rPr>
                <w:rFonts w:eastAsia="Times New Roman"/>
                <w:sz w:val="20"/>
                <w:szCs w:val="20"/>
              </w:rPr>
              <w:t> </w:t>
            </w:r>
          </w:p>
        </w:tc>
        <w:tc>
          <w:tcPr>
            <w:tcW w:w="500" w:type="pct"/>
            <w:shd w:val="clear" w:color="auto" w:fill="FFFFFF"/>
            <w:vAlign w:val="bottom"/>
            <w:hideMark/>
          </w:tcPr>
          <w:p w14:paraId="359EACA6" w14:textId="77777777" w:rsidR="00000000" w:rsidRDefault="00847163">
            <w:pPr>
              <w:jc w:val="right"/>
              <w:rPr>
                <w:rFonts w:eastAsia="Times New Roman"/>
                <w:sz w:val="20"/>
                <w:szCs w:val="20"/>
              </w:rPr>
            </w:pPr>
            <w:r>
              <w:rPr>
                <w:rFonts w:eastAsia="Times New Roman"/>
                <w:sz w:val="20"/>
                <w:szCs w:val="20"/>
              </w:rPr>
              <w:t>90,389</w:t>
            </w:r>
          </w:p>
        </w:tc>
        <w:tc>
          <w:tcPr>
            <w:tcW w:w="50" w:type="pct"/>
            <w:shd w:val="clear" w:color="auto" w:fill="FFFFFF"/>
            <w:vAlign w:val="bottom"/>
            <w:hideMark/>
          </w:tcPr>
          <w:p w14:paraId="23522E94"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2D1A82D"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02D99F7" w14:textId="77777777" w:rsidR="00000000" w:rsidRDefault="00847163">
            <w:pPr>
              <w:rPr>
                <w:rFonts w:eastAsia="Times New Roman"/>
                <w:sz w:val="20"/>
                <w:szCs w:val="20"/>
              </w:rPr>
            </w:pPr>
            <w:r>
              <w:rPr>
                <w:rFonts w:eastAsia="Times New Roman"/>
                <w:sz w:val="20"/>
                <w:szCs w:val="20"/>
              </w:rPr>
              <w:t> </w:t>
            </w:r>
          </w:p>
        </w:tc>
        <w:tc>
          <w:tcPr>
            <w:tcW w:w="500" w:type="pct"/>
            <w:shd w:val="clear" w:color="auto" w:fill="FFFFFF"/>
            <w:vAlign w:val="bottom"/>
            <w:hideMark/>
          </w:tcPr>
          <w:p w14:paraId="50788DD8" w14:textId="77777777" w:rsidR="00000000" w:rsidRDefault="00847163">
            <w:pPr>
              <w:jc w:val="right"/>
              <w:rPr>
                <w:rFonts w:eastAsia="Times New Roman"/>
                <w:sz w:val="20"/>
                <w:szCs w:val="20"/>
              </w:rPr>
            </w:pPr>
            <w:r>
              <w:rPr>
                <w:rFonts w:eastAsia="Times New Roman"/>
                <w:sz w:val="20"/>
                <w:szCs w:val="20"/>
              </w:rPr>
              <w:t>116,678</w:t>
            </w:r>
          </w:p>
        </w:tc>
        <w:tc>
          <w:tcPr>
            <w:tcW w:w="50" w:type="pct"/>
            <w:shd w:val="clear" w:color="auto" w:fill="FFFFFF"/>
            <w:vAlign w:val="bottom"/>
            <w:hideMark/>
          </w:tcPr>
          <w:p w14:paraId="3BE66DA3" w14:textId="77777777" w:rsidR="00000000" w:rsidRDefault="00847163">
            <w:pPr>
              <w:rPr>
                <w:rFonts w:eastAsia="Times New Roman"/>
                <w:sz w:val="20"/>
                <w:szCs w:val="20"/>
              </w:rPr>
            </w:pPr>
            <w:r>
              <w:rPr>
                <w:rFonts w:eastAsia="Times New Roman"/>
                <w:sz w:val="20"/>
                <w:szCs w:val="20"/>
              </w:rPr>
              <w:t> </w:t>
            </w:r>
          </w:p>
        </w:tc>
      </w:tr>
      <w:tr w:rsidR="00000000" w14:paraId="0F5946B7" w14:textId="77777777">
        <w:trPr>
          <w:divId w:val="849947503"/>
          <w:tblCellSpacing w:w="0" w:type="dxa"/>
        </w:trPr>
        <w:tc>
          <w:tcPr>
            <w:tcW w:w="0" w:type="auto"/>
            <w:shd w:val="clear" w:color="auto" w:fill="CCEEFF"/>
            <w:vAlign w:val="bottom"/>
            <w:hideMark/>
          </w:tcPr>
          <w:p w14:paraId="78E19241"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0B4D036"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A46030"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0AF099"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2BCF6C8"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6544D0B"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1C7888"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48FBEF"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0F5C37D" w14:textId="77777777" w:rsidR="00000000" w:rsidRDefault="00847163">
            <w:pPr>
              <w:rPr>
                <w:rFonts w:eastAsia="Times New Roman"/>
                <w:sz w:val="20"/>
                <w:szCs w:val="20"/>
              </w:rPr>
            </w:pPr>
            <w:r>
              <w:rPr>
                <w:rFonts w:eastAsia="Times New Roman"/>
                <w:sz w:val="20"/>
                <w:szCs w:val="20"/>
              </w:rPr>
              <w:t> </w:t>
            </w:r>
          </w:p>
        </w:tc>
      </w:tr>
      <w:tr w:rsidR="00000000" w14:paraId="58944102" w14:textId="77777777">
        <w:trPr>
          <w:divId w:val="849947503"/>
          <w:tblCellSpacing w:w="0" w:type="dxa"/>
        </w:trPr>
        <w:tc>
          <w:tcPr>
            <w:tcW w:w="0" w:type="auto"/>
            <w:shd w:val="clear" w:color="auto" w:fill="FFFFFF"/>
            <w:vAlign w:val="bottom"/>
            <w:hideMark/>
          </w:tcPr>
          <w:p w14:paraId="6EFA85B6" w14:textId="77777777" w:rsidR="00000000" w:rsidRDefault="00847163">
            <w:pPr>
              <w:pStyle w:val="a3"/>
              <w:spacing w:before="0" w:beforeAutospacing="0" w:after="0" w:afterAutospacing="0"/>
              <w:ind w:left="360"/>
              <w:rPr>
                <w:sz w:val="20"/>
                <w:szCs w:val="20"/>
              </w:rPr>
            </w:pPr>
            <w:r>
              <w:rPr>
                <w:sz w:val="20"/>
                <w:szCs w:val="20"/>
              </w:rPr>
              <w:t>Net income attributable to noncontrolling interests</w:t>
            </w:r>
          </w:p>
        </w:tc>
        <w:tc>
          <w:tcPr>
            <w:tcW w:w="50" w:type="pct"/>
            <w:shd w:val="clear" w:color="auto" w:fill="FFFFFF"/>
            <w:vAlign w:val="bottom"/>
            <w:hideMark/>
          </w:tcPr>
          <w:p w14:paraId="1BE88FE7"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3E56344" w14:textId="77777777" w:rsidR="00000000" w:rsidRDefault="00847163">
            <w:pPr>
              <w:rPr>
                <w:rFonts w:eastAsia="Times New Roman"/>
                <w:sz w:val="20"/>
                <w:szCs w:val="20"/>
              </w:rPr>
            </w:pPr>
            <w:r>
              <w:rPr>
                <w:rFonts w:eastAsia="Times New Roman"/>
                <w:sz w:val="20"/>
                <w:szCs w:val="20"/>
              </w:rPr>
              <w:t> </w:t>
            </w:r>
          </w:p>
        </w:tc>
        <w:tc>
          <w:tcPr>
            <w:tcW w:w="500" w:type="pct"/>
            <w:shd w:val="clear" w:color="auto" w:fill="FFFFFF"/>
            <w:vAlign w:val="bottom"/>
            <w:hideMark/>
          </w:tcPr>
          <w:p w14:paraId="521DF315" w14:textId="77777777" w:rsidR="00000000" w:rsidRDefault="00847163">
            <w:pPr>
              <w:jc w:val="right"/>
              <w:rPr>
                <w:rFonts w:eastAsia="Times New Roman"/>
                <w:sz w:val="20"/>
                <w:szCs w:val="20"/>
              </w:rPr>
            </w:pPr>
            <w:r>
              <w:rPr>
                <w:rFonts w:eastAsia="Times New Roman"/>
                <w:sz w:val="20"/>
                <w:szCs w:val="20"/>
              </w:rPr>
              <w:t>(289</w:t>
            </w:r>
          </w:p>
        </w:tc>
        <w:tc>
          <w:tcPr>
            <w:tcW w:w="50" w:type="pct"/>
            <w:shd w:val="clear" w:color="auto" w:fill="FFFFFF"/>
            <w:vAlign w:val="bottom"/>
            <w:hideMark/>
          </w:tcPr>
          <w:p w14:paraId="62033C20" w14:textId="77777777" w:rsidR="00000000" w:rsidRDefault="00847163">
            <w:pPr>
              <w:rPr>
                <w:rFonts w:eastAsia="Times New Roman"/>
                <w:sz w:val="20"/>
                <w:szCs w:val="20"/>
              </w:rPr>
            </w:pPr>
            <w:r>
              <w:rPr>
                <w:rFonts w:eastAsia="Times New Roman"/>
                <w:sz w:val="20"/>
                <w:szCs w:val="20"/>
              </w:rPr>
              <w:t>)</w:t>
            </w:r>
          </w:p>
        </w:tc>
        <w:tc>
          <w:tcPr>
            <w:tcW w:w="50" w:type="pct"/>
            <w:shd w:val="clear" w:color="auto" w:fill="FFFFFF"/>
            <w:vAlign w:val="bottom"/>
            <w:hideMark/>
          </w:tcPr>
          <w:p w14:paraId="31268D1D"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F00642F" w14:textId="77777777" w:rsidR="00000000" w:rsidRDefault="00847163">
            <w:pPr>
              <w:rPr>
                <w:rFonts w:eastAsia="Times New Roman"/>
                <w:sz w:val="20"/>
                <w:szCs w:val="20"/>
              </w:rPr>
            </w:pPr>
            <w:r>
              <w:rPr>
                <w:rFonts w:eastAsia="Times New Roman"/>
                <w:sz w:val="20"/>
                <w:szCs w:val="20"/>
              </w:rPr>
              <w:t> </w:t>
            </w:r>
          </w:p>
        </w:tc>
        <w:tc>
          <w:tcPr>
            <w:tcW w:w="500" w:type="pct"/>
            <w:shd w:val="clear" w:color="auto" w:fill="FFFFFF"/>
            <w:vAlign w:val="bottom"/>
            <w:hideMark/>
          </w:tcPr>
          <w:p w14:paraId="3D101FF6" w14:textId="77777777" w:rsidR="00000000" w:rsidRDefault="00847163">
            <w:pPr>
              <w:jc w:val="right"/>
              <w:rPr>
                <w:rFonts w:eastAsia="Times New Roman"/>
                <w:sz w:val="20"/>
                <w:szCs w:val="20"/>
              </w:rPr>
            </w:pPr>
            <w:r>
              <w:rPr>
                <w:rFonts w:eastAsia="Times New Roman"/>
                <w:sz w:val="20"/>
                <w:szCs w:val="20"/>
              </w:rPr>
              <w:t>(509</w:t>
            </w:r>
          </w:p>
        </w:tc>
        <w:tc>
          <w:tcPr>
            <w:tcW w:w="50" w:type="pct"/>
            <w:shd w:val="clear" w:color="auto" w:fill="FFFFFF"/>
            <w:vAlign w:val="bottom"/>
            <w:hideMark/>
          </w:tcPr>
          <w:p w14:paraId="2EA705BF" w14:textId="77777777" w:rsidR="00000000" w:rsidRDefault="00847163">
            <w:pPr>
              <w:rPr>
                <w:rFonts w:eastAsia="Times New Roman"/>
                <w:sz w:val="20"/>
                <w:szCs w:val="20"/>
              </w:rPr>
            </w:pPr>
            <w:r>
              <w:rPr>
                <w:rFonts w:eastAsia="Times New Roman"/>
                <w:sz w:val="20"/>
                <w:szCs w:val="20"/>
              </w:rPr>
              <w:t>)</w:t>
            </w:r>
          </w:p>
        </w:tc>
      </w:tr>
      <w:tr w:rsidR="00000000" w14:paraId="14F570C4" w14:textId="77777777">
        <w:trPr>
          <w:divId w:val="849947503"/>
          <w:tblCellSpacing w:w="0" w:type="dxa"/>
        </w:trPr>
        <w:tc>
          <w:tcPr>
            <w:tcW w:w="0" w:type="auto"/>
            <w:shd w:val="clear" w:color="auto" w:fill="CCEEFF"/>
            <w:vAlign w:val="bottom"/>
            <w:hideMark/>
          </w:tcPr>
          <w:p w14:paraId="4A8ED4A6" w14:textId="77777777" w:rsidR="00000000" w:rsidRDefault="00847163">
            <w:pPr>
              <w:rPr>
                <w:rFonts w:eastAsia="Times New Roman"/>
                <w:sz w:val="20"/>
                <w:szCs w:val="20"/>
              </w:rPr>
            </w:pPr>
            <w:r>
              <w:rPr>
                <w:rFonts w:eastAsia="Times New Roman"/>
                <w:sz w:val="20"/>
                <w:szCs w:val="20"/>
              </w:rPr>
              <w:lastRenderedPageBreak/>
              <w:t> </w:t>
            </w:r>
          </w:p>
        </w:tc>
        <w:tc>
          <w:tcPr>
            <w:tcW w:w="0" w:type="auto"/>
            <w:shd w:val="clear" w:color="auto" w:fill="CCEEFF"/>
            <w:tcMar>
              <w:top w:w="0" w:type="dxa"/>
              <w:left w:w="0" w:type="dxa"/>
              <w:bottom w:w="15" w:type="dxa"/>
              <w:right w:w="0" w:type="dxa"/>
            </w:tcMar>
            <w:vAlign w:val="bottom"/>
            <w:hideMark/>
          </w:tcPr>
          <w:p w14:paraId="6480C5DC" w14:textId="77777777" w:rsidR="00000000" w:rsidRDefault="00847163">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14:paraId="3B3375CB" w14:textId="77777777" w:rsidR="00000000" w:rsidRDefault="00847163">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14:paraId="403AC3AA"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14:paraId="29711F36"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14:paraId="73C714E9" w14:textId="77777777" w:rsidR="00000000" w:rsidRDefault="00847163">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14:paraId="377A149F" w14:textId="77777777" w:rsidR="00000000" w:rsidRDefault="00847163">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14:paraId="6175F9D7"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14:paraId="05FEA465" w14:textId="77777777" w:rsidR="00000000" w:rsidRDefault="00847163">
            <w:pPr>
              <w:rPr>
                <w:rFonts w:eastAsia="Times New Roman"/>
                <w:sz w:val="20"/>
                <w:szCs w:val="20"/>
              </w:rPr>
            </w:pPr>
            <w:r>
              <w:rPr>
                <w:rFonts w:eastAsia="Times New Roman"/>
                <w:sz w:val="20"/>
                <w:szCs w:val="20"/>
              </w:rPr>
              <w:t> </w:t>
            </w:r>
          </w:p>
        </w:tc>
      </w:tr>
      <w:tr w:rsidR="00000000" w14:paraId="2C8D9038" w14:textId="77777777">
        <w:trPr>
          <w:divId w:val="849947503"/>
          <w:tblCellSpacing w:w="0" w:type="dxa"/>
        </w:trPr>
        <w:tc>
          <w:tcPr>
            <w:tcW w:w="0" w:type="auto"/>
            <w:shd w:val="clear" w:color="auto" w:fill="FFFFFF"/>
            <w:vAlign w:val="bottom"/>
            <w:hideMark/>
          </w:tcPr>
          <w:p w14:paraId="26F3B9EA" w14:textId="77777777" w:rsidR="00000000" w:rsidRDefault="00847163">
            <w:pPr>
              <w:pStyle w:val="a3"/>
              <w:spacing w:before="0" w:beforeAutospacing="0" w:after="0" w:afterAutospacing="0"/>
              <w:ind w:left="540"/>
              <w:rPr>
                <w:sz w:val="20"/>
                <w:szCs w:val="20"/>
              </w:rPr>
            </w:pPr>
            <w:r>
              <w:rPr>
                <w:sz w:val="20"/>
                <w:szCs w:val="20"/>
              </w:rPr>
              <w:t>Net income attributable to the Company</w:t>
            </w:r>
          </w:p>
        </w:tc>
        <w:tc>
          <w:tcPr>
            <w:tcW w:w="50" w:type="pct"/>
            <w:shd w:val="clear" w:color="auto" w:fill="FFFFFF"/>
            <w:vAlign w:val="bottom"/>
            <w:hideMark/>
          </w:tcPr>
          <w:p w14:paraId="6F300E03"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1967849" w14:textId="77777777" w:rsidR="00000000" w:rsidRDefault="00847163">
            <w:pPr>
              <w:rPr>
                <w:rFonts w:eastAsia="Times New Roman"/>
                <w:sz w:val="20"/>
                <w:szCs w:val="20"/>
              </w:rPr>
            </w:pPr>
            <w:r>
              <w:rPr>
                <w:rFonts w:eastAsia="Times New Roman"/>
                <w:sz w:val="20"/>
                <w:szCs w:val="20"/>
              </w:rPr>
              <w:t> </w:t>
            </w:r>
          </w:p>
        </w:tc>
        <w:tc>
          <w:tcPr>
            <w:tcW w:w="500" w:type="pct"/>
            <w:shd w:val="clear" w:color="auto" w:fill="FFFFFF"/>
            <w:vAlign w:val="bottom"/>
            <w:hideMark/>
          </w:tcPr>
          <w:p w14:paraId="24915147" w14:textId="77777777" w:rsidR="00000000" w:rsidRDefault="00847163">
            <w:pPr>
              <w:jc w:val="right"/>
              <w:rPr>
                <w:rFonts w:eastAsia="Times New Roman"/>
                <w:sz w:val="20"/>
                <w:szCs w:val="20"/>
              </w:rPr>
            </w:pPr>
            <w:r>
              <w:rPr>
                <w:rFonts w:eastAsia="Times New Roman"/>
                <w:sz w:val="20"/>
                <w:szCs w:val="20"/>
              </w:rPr>
              <w:t>90,100</w:t>
            </w:r>
          </w:p>
        </w:tc>
        <w:tc>
          <w:tcPr>
            <w:tcW w:w="50" w:type="pct"/>
            <w:shd w:val="clear" w:color="auto" w:fill="FFFFFF"/>
            <w:vAlign w:val="bottom"/>
            <w:hideMark/>
          </w:tcPr>
          <w:p w14:paraId="75E7D294"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9866409"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3B8993F" w14:textId="77777777" w:rsidR="00000000" w:rsidRDefault="00847163">
            <w:pPr>
              <w:rPr>
                <w:rFonts w:eastAsia="Times New Roman"/>
                <w:sz w:val="20"/>
                <w:szCs w:val="20"/>
              </w:rPr>
            </w:pPr>
            <w:r>
              <w:rPr>
                <w:rFonts w:eastAsia="Times New Roman"/>
                <w:sz w:val="20"/>
                <w:szCs w:val="20"/>
              </w:rPr>
              <w:t> </w:t>
            </w:r>
          </w:p>
        </w:tc>
        <w:tc>
          <w:tcPr>
            <w:tcW w:w="500" w:type="pct"/>
            <w:shd w:val="clear" w:color="auto" w:fill="FFFFFF"/>
            <w:vAlign w:val="bottom"/>
            <w:hideMark/>
          </w:tcPr>
          <w:p w14:paraId="2BDBAF8C" w14:textId="77777777" w:rsidR="00000000" w:rsidRDefault="00847163">
            <w:pPr>
              <w:jc w:val="right"/>
              <w:rPr>
                <w:rFonts w:eastAsia="Times New Roman"/>
                <w:sz w:val="20"/>
                <w:szCs w:val="20"/>
              </w:rPr>
            </w:pPr>
            <w:r>
              <w:rPr>
                <w:rFonts w:eastAsia="Times New Roman"/>
                <w:sz w:val="20"/>
                <w:szCs w:val="20"/>
              </w:rPr>
              <w:t>116,169</w:t>
            </w:r>
          </w:p>
        </w:tc>
        <w:tc>
          <w:tcPr>
            <w:tcW w:w="50" w:type="pct"/>
            <w:shd w:val="clear" w:color="auto" w:fill="FFFFFF"/>
            <w:vAlign w:val="bottom"/>
            <w:hideMark/>
          </w:tcPr>
          <w:p w14:paraId="25EA6767" w14:textId="77777777" w:rsidR="00000000" w:rsidRDefault="00847163">
            <w:pPr>
              <w:rPr>
                <w:rFonts w:eastAsia="Times New Roman"/>
                <w:sz w:val="20"/>
                <w:szCs w:val="20"/>
              </w:rPr>
            </w:pPr>
            <w:r>
              <w:rPr>
                <w:rFonts w:eastAsia="Times New Roman"/>
                <w:sz w:val="20"/>
                <w:szCs w:val="20"/>
              </w:rPr>
              <w:t> </w:t>
            </w:r>
          </w:p>
        </w:tc>
      </w:tr>
      <w:tr w:rsidR="00000000" w14:paraId="3292A3F4" w14:textId="77777777">
        <w:trPr>
          <w:divId w:val="849947503"/>
          <w:tblCellSpacing w:w="0" w:type="dxa"/>
        </w:trPr>
        <w:tc>
          <w:tcPr>
            <w:tcW w:w="0" w:type="auto"/>
            <w:shd w:val="clear" w:color="auto" w:fill="CCEEFF"/>
            <w:vAlign w:val="bottom"/>
            <w:hideMark/>
          </w:tcPr>
          <w:p w14:paraId="4DE277DB"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41CD94A"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1C89F5B"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965E17"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A4981B"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46C3866"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6BC6CCE"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5A70D2D"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4B1583B" w14:textId="77777777" w:rsidR="00000000" w:rsidRDefault="00847163">
            <w:pPr>
              <w:rPr>
                <w:rFonts w:eastAsia="Times New Roman"/>
                <w:sz w:val="20"/>
                <w:szCs w:val="20"/>
              </w:rPr>
            </w:pPr>
            <w:r>
              <w:rPr>
                <w:rFonts w:eastAsia="Times New Roman"/>
                <w:sz w:val="20"/>
                <w:szCs w:val="20"/>
              </w:rPr>
              <w:t> </w:t>
            </w:r>
          </w:p>
        </w:tc>
      </w:tr>
      <w:tr w:rsidR="00000000" w14:paraId="046B527C" w14:textId="77777777">
        <w:trPr>
          <w:divId w:val="849947503"/>
          <w:tblCellSpacing w:w="0" w:type="dxa"/>
        </w:trPr>
        <w:tc>
          <w:tcPr>
            <w:tcW w:w="0" w:type="auto"/>
            <w:shd w:val="clear" w:color="auto" w:fill="FFFFFF"/>
            <w:vAlign w:val="bottom"/>
            <w:hideMark/>
          </w:tcPr>
          <w:p w14:paraId="3EA89D49" w14:textId="77777777" w:rsidR="00000000" w:rsidRDefault="00847163">
            <w:pPr>
              <w:pStyle w:val="a3"/>
              <w:spacing w:before="0" w:beforeAutospacing="0" w:after="0" w:afterAutospacing="0"/>
              <w:ind w:left="360"/>
              <w:rPr>
                <w:sz w:val="20"/>
                <w:szCs w:val="20"/>
              </w:rPr>
            </w:pPr>
            <w:r>
              <w:rPr>
                <w:sz w:val="20"/>
                <w:szCs w:val="20"/>
              </w:rPr>
              <w:t>Preferred dividends</w:t>
            </w:r>
          </w:p>
        </w:tc>
        <w:tc>
          <w:tcPr>
            <w:tcW w:w="50" w:type="pct"/>
            <w:shd w:val="clear" w:color="auto" w:fill="FFFFFF"/>
            <w:vAlign w:val="bottom"/>
            <w:hideMark/>
          </w:tcPr>
          <w:p w14:paraId="65A6C499" w14:textId="77777777" w:rsidR="00000000" w:rsidRDefault="0084716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49D0FB92" w14:textId="77777777" w:rsidR="00000000" w:rsidRDefault="00847163">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FFFFFF"/>
            <w:vAlign w:val="bottom"/>
            <w:hideMark/>
          </w:tcPr>
          <w:p w14:paraId="714FEFA5" w14:textId="77777777" w:rsidR="00000000" w:rsidRDefault="00847163">
            <w:pPr>
              <w:jc w:val="right"/>
              <w:rPr>
                <w:rFonts w:eastAsia="Times New Roman"/>
                <w:sz w:val="20"/>
                <w:szCs w:val="20"/>
              </w:rPr>
            </w:pPr>
            <w:r>
              <w:rPr>
                <w:rFonts w:eastAsia="Times New Roman"/>
                <w:sz w:val="20"/>
                <w:szCs w:val="20"/>
              </w:rPr>
              <w:t>(6,354</w:t>
            </w:r>
          </w:p>
        </w:tc>
        <w:tc>
          <w:tcPr>
            <w:tcW w:w="50" w:type="pct"/>
            <w:shd w:val="clear" w:color="auto" w:fill="FFFFFF"/>
            <w:tcMar>
              <w:top w:w="0" w:type="dxa"/>
              <w:left w:w="0" w:type="dxa"/>
              <w:bottom w:w="15" w:type="dxa"/>
              <w:right w:w="0" w:type="dxa"/>
            </w:tcMar>
            <w:vAlign w:val="bottom"/>
            <w:hideMark/>
          </w:tcPr>
          <w:p w14:paraId="22A98474" w14:textId="77777777" w:rsidR="00000000" w:rsidRDefault="00847163">
            <w:pPr>
              <w:rPr>
                <w:rFonts w:eastAsia="Times New Roman"/>
                <w:sz w:val="20"/>
                <w:szCs w:val="20"/>
              </w:rPr>
            </w:pPr>
            <w:r>
              <w:rPr>
                <w:rFonts w:eastAsia="Times New Roman"/>
                <w:sz w:val="20"/>
                <w:szCs w:val="20"/>
              </w:rPr>
              <w:t>)</w:t>
            </w:r>
          </w:p>
        </w:tc>
        <w:tc>
          <w:tcPr>
            <w:tcW w:w="50" w:type="pct"/>
            <w:shd w:val="clear" w:color="auto" w:fill="FFFFFF"/>
            <w:vAlign w:val="bottom"/>
            <w:hideMark/>
          </w:tcPr>
          <w:p w14:paraId="5C4B2530" w14:textId="77777777" w:rsidR="00000000" w:rsidRDefault="0084716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49DE947A" w14:textId="77777777" w:rsidR="00000000" w:rsidRDefault="00847163">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FFFFFF"/>
            <w:vAlign w:val="bottom"/>
            <w:hideMark/>
          </w:tcPr>
          <w:p w14:paraId="7AF2F7B0" w14:textId="77777777" w:rsidR="00000000" w:rsidRDefault="00847163">
            <w:pPr>
              <w:jc w:val="right"/>
              <w:rPr>
                <w:rFonts w:eastAsia="Times New Roman"/>
                <w:sz w:val="20"/>
                <w:szCs w:val="20"/>
              </w:rPr>
            </w:pPr>
            <w:r>
              <w:rPr>
                <w:rFonts w:eastAsia="Times New Roman"/>
                <w:sz w:val="20"/>
                <w:szCs w:val="20"/>
              </w:rPr>
              <w:t>(14,534</w:t>
            </w:r>
          </w:p>
        </w:tc>
        <w:tc>
          <w:tcPr>
            <w:tcW w:w="50" w:type="pct"/>
            <w:shd w:val="clear" w:color="auto" w:fill="FFFFFF"/>
            <w:tcMar>
              <w:top w:w="0" w:type="dxa"/>
              <w:left w:w="0" w:type="dxa"/>
              <w:bottom w:w="15" w:type="dxa"/>
              <w:right w:w="0" w:type="dxa"/>
            </w:tcMar>
            <w:vAlign w:val="bottom"/>
            <w:hideMark/>
          </w:tcPr>
          <w:p w14:paraId="5615264E" w14:textId="77777777" w:rsidR="00000000" w:rsidRDefault="00847163">
            <w:pPr>
              <w:rPr>
                <w:rFonts w:eastAsia="Times New Roman"/>
                <w:sz w:val="20"/>
                <w:szCs w:val="20"/>
              </w:rPr>
            </w:pPr>
            <w:r>
              <w:rPr>
                <w:rFonts w:eastAsia="Times New Roman"/>
                <w:sz w:val="20"/>
                <w:szCs w:val="20"/>
              </w:rPr>
              <w:t>)</w:t>
            </w:r>
          </w:p>
        </w:tc>
      </w:tr>
      <w:tr w:rsidR="00000000" w14:paraId="73D6BFD3" w14:textId="77777777">
        <w:trPr>
          <w:divId w:val="849947503"/>
          <w:tblCellSpacing w:w="0" w:type="dxa"/>
        </w:trPr>
        <w:tc>
          <w:tcPr>
            <w:tcW w:w="0" w:type="auto"/>
            <w:shd w:val="clear" w:color="auto" w:fill="CCEEFF"/>
            <w:vAlign w:val="bottom"/>
            <w:hideMark/>
          </w:tcPr>
          <w:p w14:paraId="244811DA"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E19183"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984D12"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8D17664"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6B7C5C7"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32B28E6"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9CCF5F1"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703F818"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E516684" w14:textId="77777777" w:rsidR="00000000" w:rsidRDefault="00847163">
            <w:pPr>
              <w:rPr>
                <w:rFonts w:eastAsia="Times New Roman"/>
                <w:sz w:val="20"/>
                <w:szCs w:val="20"/>
              </w:rPr>
            </w:pPr>
            <w:r>
              <w:rPr>
                <w:rFonts w:eastAsia="Times New Roman"/>
                <w:sz w:val="20"/>
                <w:szCs w:val="20"/>
              </w:rPr>
              <w:t> </w:t>
            </w:r>
          </w:p>
        </w:tc>
      </w:tr>
      <w:tr w:rsidR="00000000" w14:paraId="3369C065" w14:textId="77777777">
        <w:trPr>
          <w:divId w:val="849947503"/>
          <w:tblCellSpacing w:w="0" w:type="dxa"/>
        </w:trPr>
        <w:tc>
          <w:tcPr>
            <w:tcW w:w="0" w:type="auto"/>
            <w:shd w:val="clear" w:color="auto" w:fill="FFFFFF"/>
            <w:vAlign w:val="bottom"/>
            <w:hideMark/>
          </w:tcPr>
          <w:p w14:paraId="1089F4BF" w14:textId="77777777" w:rsidR="00000000" w:rsidRDefault="00847163">
            <w:pPr>
              <w:pStyle w:val="a3"/>
              <w:spacing w:before="0" w:beforeAutospacing="0" w:after="0" w:afterAutospacing="0"/>
              <w:ind w:left="540"/>
              <w:rPr>
                <w:sz w:val="20"/>
                <w:szCs w:val="20"/>
              </w:rPr>
            </w:pPr>
            <w:r>
              <w:rPr>
                <w:sz w:val="20"/>
                <w:szCs w:val="20"/>
              </w:rPr>
              <w:t>Net income available to the Company's common shareholders</w:t>
            </w:r>
          </w:p>
        </w:tc>
        <w:tc>
          <w:tcPr>
            <w:tcW w:w="50" w:type="pct"/>
            <w:shd w:val="clear" w:color="auto" w:fill="FFFFFF"/>
            <w:vAlign w:val="bottom"/>
            <w:hideMark/>
          </w:tcPr>
          <w:p w14:paraId="177EF6DE" w14:textId="77777777" w:rsidR="00000000" w:rsidRDefault="0084716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7CD14DF4" w14:textId="77777777" w:rsidR="00000000" w:rsidRDefault="00847163">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FFFFFF"/>
            <w:vAlign w:val="bottom"/>
            <w:hideMark/>
          </w:tcPr>
          <w:p w14:paraId="04A88966" w14:textId="77777777" w:rsidR="00000000" w:rsidRDefault="00847163">
            <w:pPr>
              <w:jc w:val="right"/>
              <w:rPr>
                <w:rFonts w:eastAsia="Times New Roman"/>
                <w:sz w:val="20"/>
                <w:szCs w:val="20"/>
              </w:rPr>
            </w:pPr>
            <w:r>
              <w:rPr>
                <w:rFonts w:eastAsia="Times New Roman"/>
                <w:sz w:val="20"/>
                <w:szCs w:val="20"/>
              </w:rPr>
              <w:t>83,746</w:t>
            </w:r>
          </w:p>
        </w:tc>
        <w:tc>
          <w:tcPr>
            <w:tcW w:w="50" w:type="pct"/>
            <w:shd w:val="clear" w:color="auto" w:fill="FFFFFF"/>
            <w:tcMar>
              <w:top w:w="0" w:type="dxa"/>
              <w:left w:w="0" w:type="dxa"/>
              <w:bottom w:w="45" w:type="dxa"/>
              <w:right w:w="0" w:type="dxa"/>
            </w:tcMar>
            <w:vAlign w:val="bottom"/>
            <w:hideMark/>
          </w:tcPr>
          <w:p w14:paraId="50ABB5FE"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671A3FE" w14:textId="77777777" w:rsidR="00000000" w:rsidRDefault="0084716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30AD357F" w14:textId="77777777" w:rsidR="00000000" w:rsidRDefault="00847163">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FFFFFF"/>
            <w:vAlign w:val="bottom"/>
            <w:hideMark/>
          </w:tcPr>
          <w:p w14:paraId="7FEA0407" w14:textId="77777777" w:rsidR="00000000" w:rsidRDefault="00847163">
            <w:pPr>
              <w:jc w:val="right"/>
              <w:rPr>
                <w:rFonts w:eastAsia="Times New Roman"/>
                <w:sz w:val="20"/>
                <w:szCs w:val="20"/>
              </w:rPr>
            </w:pPr>
            <w:r>
              <w:rPr>
                <w:rFonts w:eastAsia="Times New Roman"/>
                <w:sz w:val="20"/>
                <w:szCs w:val="20"/>
              </w:rPr>
              <w:t>101,635</w:t>
            </w:r>
          </w:p>
        </w:tc>
        <w:tc>
          <w:tcPr>
            <w:tcW w:w="50" w:type="pct"/>
            <w:shd w:val="clear" w:color="auto" w:fill="FFFFFF"/>
            <w:tcMar>
              <w:top w:w="0" w:type="dxa"/>
              <w:left w:w="0" w:type="dxa"/>
              <w:bottom w:w="45" w:type="dxa"/>
              <w:right w:w="0" w:type="dxa"/>
            </w:tcMar>
            <w:vAlign w:val="bottom"/>
            <w:hideMark/>
          </w:tcPr>
          <w:p w14:paraId="4FA977E7" w14:textId="77777777" w:rsidR="00000000" w:rsidRDefault="00847163">
            <w:pPr>
              <w:rPr>
                <w:rFonts w:eastAsia="Times New Roman"/>
                <w:sz w:val="20"/>
                <w:szCs w:val="20"/>
              </w:rPr>
            </w:pPr>
            <w:r>
              <w:rPr>
                <w:rFonts w:eastAsia="Times New Roman"/>
                <w:sz w:val="20"/>
                <w:szCs w:val="20"/>
              </w:rPr>
              <w:t> </w:t>
            </w:r>
          </w:p>
        </w:tc>
      </w:tr>
      <w:tr w:rsidR="00000000" w14:paraId="426CB673" w14:textId="77777777">
        <w:trPr>
          <w:divId w:val="849947503"/>
          <w:tblCellSpacing w:w="0" w:type="dxa"/>
        </w:trPr>
        <w:tc>
          <w:tcPr>
            <w:tcW w:w="0" w:type="auto"/>
            <w:shd w:val="clear" w:color="auto" w:fill="CCEEFF"/>
            <w:vAlign w:val="bottom"/>
            <w:hideMark/>
          </w:tcPr>
          <w:p w14:paraId="7B06B69C"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B98694B"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0C4E5E"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0274A1C"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E52E578"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D3A0982"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68B7CB3"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03B828B"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60BEC14" w14:textId="77777777" w:rsidR="00000000" w:rsidRDefault="00847163">
            <w:pPr>
              <w:rPr>
                <w:rFonts w:eastAsia="Times New Roman"/>
                <w:sz w:val="20"/>
                <w:szCs w:val="20"/>
              </w:rPr>
            </w:pPr>
            <w:r>
              <w:rPr>
                <w:rFonts w:eastAsia="Times New Roman"/>
                <w:sz w:val="20"/>
                <w:szCs w:val="20"/>
              </w:rPr>
              <w:t> </w:t>
            </w:r>
          </w:p>
        </w:tc>
      </w:tr>
      <w:tr w:rsidR="00000000" w14:paraId="25FECBA5" w14:textId="77777777">
        <w:trPr>
          <w:divId w:val="849947503"/>
          <w:tblCellSpacing w:w="0" w:type="dxa"/>
        </w:trPr>
        <w:tc>
          <w:tcPr>
            <w:tcW w:w="0" w:type="auto"/>
            <w:shd w:val="clear" w:color="auto" w:fill="FFFFFF"/>
            <w:vAlign w:val="bottom"/>
            <w:hideMark/>
          </w:tcPr>
          <w:p w14:paraId="5FA024EE" w14:textId="77777777" w:rsidR="00000000" w:rsidRDefault="00847163">
            <w:pPr>
              <w:pStyle w:val="a3"/>
              <w:spacing w:before="0" w:beforeAutospacing="0" w:after="0" w:afterAutospacing="0"/>
              <w:rPr>
                <w:sz w:val="20"/>
                <w:szCs w:val="20"/>
              </w:rPr>
            </w:pPr>
            <w:r>
              <w:rPr>
                <w:sz w:val="20"/>
                <w:szCs w:val="20"/>
              </w:rPr>
              <w:t>Per common share:</w:t>
            </w:r>
          </w:p>
        </w:tc>
        <w:tc>
          <w:tcPr>
            <w:tcW w:w="0" w:type="auto"/>
            <w:shd w:val="clear" w:color="auto" w:fill="FFFFFF"/>
            <w:vAlign w:val="bottom"/>
            <w:hideMark/>
          </w:tcPr>
          <w:p w14:paraId="1DB59F6C"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BB1A75B"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96E45F2"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67E205E"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FAC8C9D"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99B5467"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701C670"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A269A6B" w14:textId="77777777" w:rsidR="00000000" w:rsidRDefault="00847163">
            <w:pPr>
              <w:rPr>
                <w:rFonts w:eastAsia="Times New Roman"/>
                <w:sz w:val="20"/>
                <w:szCs w:val="20"/>
              </w:rPr>
            </w:pPr>
            <w:r>
              <w:rPr>
                <w:rFonts w:eastAsia="Times New Roman"/>
                <w:sz w:val="20"/>
                <w:szCs w:val="20"/>
              </w:rPr>
              <w:t> </w:t>
            </w:r>
          </w:p>
        </w:tc>
      </w:tr>
      <w:tr w:rsidR="00000000" w14:paraId="78573CCD" w14:textId="77777777">
        <w:trPr>
          <w:divId w:val="849947503"/>
          <w:tblCellSpacing w:w="0" w:type="dxa"/>
        </w:trPr>
        <w:tc>
          <w:tcPr>
            <w:tcW w:w="0" w:type="auto"/>
            <w:shd w:val="clear" w:color="auto" w:fill="CCEEFF"/>
            <w:vAlign w:val="bottom"/>
            <w:hideMark/>
          </w:tcPr>
          <w:p w14:paraId="3AD74B70" w14:textId="77777777" w:rsidR="00000000" w:rsidRDefault="00847163">
            <w:pPr>
              <w:pStyle w:val="a3"/>
              <w:spacing w:before="0" w:beforeAutospacing="0" w:after="0" w:afterAutospacing="0"/>
              <w:ind w:left="360"/>
              <w:rPr>
                <w:sz w:val="20"/>
                <w:szCs w:val="20"/>
              </w:rPr>
            </w:pPr>
            <w:r>
              <w:rPr>
                <w:sz w:val="20"/>
                <w:szCs w:val="20"/>
              </w:rPr>
              <w:t>Net income available to the Company:</w:t>
            </w:r>
          </w:p>
        </w:tc>
        <w:tc>
          <w:tcPr>
            <w:tcW w:w="0" w:type="auto"/>
            <w:shd w:val="clear" w:color="auto" w:fill="CCEEFF"/>
            <w:vAlign w:val="bottom"/>
            <w:hideMark/>
          </w:tcPr>
          <w:p w14:paraId="7075E100"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545AA9E"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AF65B7"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FDDC9C3"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A922517"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3A5C8BD"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A12A4EB"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84DB64C" w14:textId="77777777" w:rsidR="00000000" w:rsidRDefault="00847163">
            <w:pPr>
              <w:rPr>
                <w:rFonts w:eastAsia="Times New Roman"/>
                <w:sz w:val="20"/>
                <w:szCs w:val="20"/>
              </w:rPr>
            </w:pPr>
            <w:r>
              <w:rPr>
                <w:rFonts w:eastAsia="Times New Roman"/>
                <w:sz w:val="20"/>
                <w:szCs w:val="20"/>
              </w:rPr>
              <w:t> </w:t>
            </w:r>
          </w:p>
        </w:tc>
      </w:tr>
      <w:tr w:rsidR="00000000" w14:paraId="538E5516" w14:textId="77777777">
        <w:trPr>
          <w:divId w:val="849947503"/>
          <w:tblCellSpacing w:w="0" w:type="dxa"/>
        </w:trPr>
        <w:tc>
          <w:tcPr>
            <w:tcW w:w="0" w:type="auto"/>
            <w:shd w:val="clear" w:color="auto" w:fill="FFFFFF"/>
            <w:vAlign w:val="bottom"/>
            <w:hideMark/>
          </w:tcPr>
          <w:p w14:paraId="45C47158" w14:textId="77777777" w:rsidR="00000000" w:rsidRDefault="00847163">
            <w:pPr>
              <w:pStyle w:val="a3"/>
              <w:spacing w:before="0" w:beforeAutospacing="0" w:after="0" w:afterAutospacing="0"/>
              <w:ind w:left="720"/>
              <w:rPr>
                <w:sz w:val="20"/>
                <w:szCs w:val="20"/>
              </w:rPr>
            </w:pPr>
            <w:r>
              <w:rPr>
                <w:sz w:val="20"/>
                <w:szCs w:val="20"/>
              </w:rPr>
              <w:t>-Basic</w:t>
            </w:r>
          </w:p>
        </w:tc>
        <w:tc>
          <w:tcPr>
            <w:tcW w:w="50" w:type="pct"/>
            <w:shd w:val="clear" w:color="auto" w:fill="FFFFFF"/>
            <w:vAlign w:val="bottom"/>
            <w:hideMark/>
          </w:tcPr>
          <w:p w14:paraId="1C3D13F7" w14:textId="77777777" w:rsidR="00000000" w:rsidRDefault="0084716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6E3399C8" w14:textId="77777777" w:rsidR="00000000" w:rsidRDefault="00847163">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FFFFFF"/>
            <w:vAlign w:val="bottom"/>
            <w:hideMark/>
          </w:tcPr>
          <w:p w14:paraId="4C9F908E" w14:textId="77777777" w:rsidR="00000000" w:rsidRDefault="00847163">
            <w:pPr>
              <w:jc w:val="right"/>
              <w:rPr>
                <w:rFonts w:eastAsia="Times New Roman"/>
                <w:sz w:val="20"/>
                <w:szCs w:val="20"/>
              </w:rPr>
            </w:pPr>
            <w:r>
              <w:rPr>
                <w:rFonts w:eastAsia="Times New Roman"/>
                <w:sz w:val="20"/>
                <w:szCs w:val="20"/>
              </w:rPr>
              <w:t>0.19</w:t>
            </w:r>
          </w:p>
        </w:tc>
        <w:tc>
          <w:tcPr>
            <w:tcW w:w="50" w:type="pct"/>
            <w:shd w:val="clear" w:color="auto" w:fill="FFFFFF"/>
            <w:tcMar>
              <w:top w:w="0" w:type="dxa"/>
              <w:left w:w="0" w:type="dxa"/>
              <w:bottom w:w="45" w:type="dxa"/>
              <w:right w:w="0" w:type="dxa"/>
            </w:tcMar>
            <w:vAlign w:val="bottom"/>
            <w:hideMark/>
          </w:tcPr>
          <w:p w14:paraId="20797E04"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FE41E8A" w14:textId="77777777" w:rsidR="00000000" w:rsidRDefault="0084716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1D749217" w14:textId="77777777" w:rsidR="00000000" w:rsidRDefault="00847163">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FFFFFF"/>
            <w:vAlign w:val="bottom"/>
            <w:hideMark/>
          </w:tcPr>
          <w:p w14:paraId="1C153CDF" w14:textId="77777777" w:rsidR="00000000" w:rsidRDefault="00847163">
            <w:pPr>
              <w:jc w:val="right"/>
              <w:rPr>
                <w:rFonts w:eastAsia="Times New Roman"/>
                <w:sz w:val="20"/>
                <w:szCs w:val="20"/>
              </w:rPr>
            </w:pPr>
            <w:r>
              <w:rPr>
                <w:rFonts w:eastAsia="Times New Roman"/>
                <w:sz w:val="20"/>
                <w:szCs w:val="20"/>
              </w:rPr>
              <w:t>0.24</w:t>
            </w:r>
          </w:p>
        </w:tc>
        <w:tc>
          <w:tcPr>
            <w:tcW w:w="50" w:type="pct"/>
            <w:shd w:val="clear" w:color="auto" w:fill="FFFFFF"/>
            <w:tcMar>
              <w:top w:w="0" w:type="dxa"/>
              <w:left w:w="0" w:type="dxa"/>
              <w:bottom w:w="45" w:type="dxa"/>
              <w:right w:w="0" w:type="dxa"/>
            </w:tcMar>
            <w:vAlign w:val="bottom"/>
            <w:hideMark/>
          </w:tcPr>
          <w:p w14:paraId="75CCF98C" w14:textId="77777777" w:rsidR="00000000" w:rsidRDefault="00847163">
            <w:pPr>
              <w:rPr>
                <w:rFonts w:eastAsia="Times New Roman"/>
                <w:sz w:val="20"/>
                <w:szCs w:val="20"/>
              </w:rPr>
            </w:pPr>
            <w:r>
              <w:rPr>
                <w:rFonts w:eastAsia="Times New Roman"/>
                <w:sz w:val="20"/>
                <w:szCs w:val="20"/>
              </w:rPr>
              <w:t> </w:t>
            </w:r>
          </w:p>
        </w:tc>
      </w:tr>
      <w:tr w:rsidR="00000000" w14:paraId="4EA9D3D1" w14:textId="77777777">
        <w:trPr>
          <w:divId w:val="849947503"/>
          <w:tblCellSpacing w:w="0" w:type="dxa"/>
        </w:trPr>
        <w:tc>
          <w:tcPr>
            <w:tcW w:w="0" w:type="auto"/>
            <w:shd w:val="clear" w:color="auto" w:fill="CCEEFF"/>
            <w:vAlign w:val="bottom"/>
            <w:hideMark/>
          </w:tcPr>
          <w:p w14:paraId="1663161F" w14:textId="77777777" w:rsidR="00000000" w:rsidRDefault="00847163">
            <w:pPr>
              <w:pStyle w:val="a3"/>
              <w:spacing w:before="0" w:beforeAutospacing="0" w:after="0" w:afterAutospacing="0"/>
              <w:ind w:left="720"/>
              <w:rPr>
                <w:sz w:val="20"/>
                <w:szCs w:val="20"/>
              </w:rPr>
            </w:pPr>
            <w:r>
              <w:rPr>
                <w:sz w:val="20"/>
                <w:szCs w:val="20"/>
              </w:rPr>
              <w:t>-Diluted</w:t>
            </w:r>
          </w:p>
        </w:tc>
        <w:tc>
          <w:tcPr>
            <w:tcW w:w="50" w:type="pct"/>
            <w:shd w:val="clear" w:color="auto" w:fill="CCEEFF"/>
            <w:vAlign w:val="bottom"/>
            <w:hideMark/>
          </w:tcPr>
          <w:p w14:paraId="725450AA" w14:textId="77777777" w:rsidR="00000000" w:rsidRDefault="0084716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27A78CCF" w14:textId="77777777" w:rsidR="00000000" w:rsidRDefault="00847163">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CCEEFF"/>
            <w:vAlign w:val="bottom"/>
            <w:hideMark/>
          </w:tcPr>
          <w:p w14:paraId="61D1AF33" w14:textId="77777777" w:rsidR="00000000" w:rsidRDefault="00847163">
            <w:pPr>
              <w:jc w:val="right"/>
              <w:rPr>
                <w:rFonts w:eastAsia="Times New Roman"/>
                <w:sz w:val="20"/>
                <w:szCs w:val="20"/>
              </w:rPr>
            </w:pPr>
            <w:r>
              <w:rPr>
                <w:rFonts w:eastAsia="Times New Roman"/>
                <w:sz w:val="20"/>
                <w:szCs w:val="20"/>
              </w:rPr>
              <w:t>0.19</w:t>
            </w:r>
          </w:p>
        </w:tc>
        <w:tc>
          <w:tcPr>
            <w:tcW w:w="50" w:type="pct"/>
            <w:shd w:val="clear" w:color="auto" w:fill="CCEEFF"/>
            <w:tcMar>
              <w:top w:w="0" w:type="dxa"/>
              <w:left w:w="0" w:type="dxa"/>
              <w:bottom w:w="45" w:type="dxa"/>
              <w:right w:w="0" w:type="dxa"/>
            </w:tcMar>
            <w:vAlign w:val="bottom"/>
            <w:hideMark/>
          </w:tcPr>
          <w:p w14:paraId="443B14BD"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9976F01" w14:textId="77777777" w:rsidR="00000000" w:rsidRDefault="0084716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318A32C2" w14:textId="77777777" w:rsidR="00000000" w:rsidRDefault="00847163">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CCEEFF"/>
            <w:vAlign w:val="bottom"/>
            <w:hideMark/>
          </w:tcPr>
          <w:p w14:paraId="1DCA1B90" w14:textId="77777777" w:rsidR="00000000" w:rsidRDefault="00847163">
            <w:pPr>
              <w:jc w:val="right"/>
              <w:rPr>
                <w:rFonts w:eastAsia="Times New Roman"/>
                <w:sz w:val="20"/>
                <w:szCs w:val="20"/>
              </w:rPr>
            </w:pPr>
            <w:r>
              <w:rPr>
                <w:rFonts w:eastAsia="Times New Roman"/>
                <w:sz w:val="20"/>
                <w:szCs w:val="20"/>
              </w:rPr>
              <w:t>0.24</w:t>
            </w:r>
          </w:p>
        </w:tc>
        <w:tc>
          <w:tcPr>
            <w:tcW w:w="50" w:type="pct"/>
            <w:shd w:val="clear" w:color="auto" w:fill="CCEEFF"/>
            <w:tcMar>
              <w:top w:w="0" w:type="dxa"/>
              <w:left w:w="0" w:type="dxa"/>
              <w:bottom w:w="45" w:type="dxa"/>
              <w:right w:w="0" w:type="dxa"/>
            </w:tcMar>
            <w:vAlign w:val="bottom"/>
            <w:hideMark/>
          </w:tcPr>
          <w:p w14:paraId="6D902A0B" w14:textId="77777777" w:rsidR="00000000" w:rsidRDefault="00847163">
            <w:pPr>
              <w:rPr>
                <w:rFonts w:eastAsia="Times New Roman"/>
                <w:sz w:val="20"/>
                <w:szCs w:val="20"/>
              </w:rPr>
            </w:pPr>
            <w:r>
              <w:rPr>
                <w:rFonts w:eastAsia="Times New Roman"/>
                <w:sz w:val="20"/>
                <w:szCs w:val="20"/>
              </w:rPr>
              <w:t> </w:t>
            </w:r>
          </w:p>
        </w:tc>
      </w:tr>
      <w:tr w:rsidR="00000000" w14:paraId="38512B8F" w14:textId="77777777">
        <w:trPr>
          <w:divId w:val="849947503"/>
          <w:tblCellSpacing w:w="0" w:type="dxa"/>
        </w:trPr>
        <w:tc>
          <w:tcPr>
            <w:tcW w:w="0" w:type="auto"/>
            <w:shd w:val="clear" w:color="auto" w:fill="FFFFFF"/>
            <w:tcMar>
              <w:top w:w="0" w:type="dxa"/>
              <w:left w:w="180" w:type="dxa"/>
              <w:bottom w:w="0" w:type="dxa"/>
              <w:right w:w="0" w:type="dxa"/>
            </w:tcMar>
            <w:vAlign w:val="bottom"/>
            <w:hideMark/>
          </w:tcPr>
          <w:p w14:paraId="642FE173"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BE8E188"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020CF55"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5BEE12C"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6D12109"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FED3E1F"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B74FBA9"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1E7586A"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337A210" w14:textId="77777777" w:rsidR="00000000" w:rsidRDefault="00847163">
            <w:pPr>
              <w:rPr>
                <w:rFonts w:eastAsia="Times New Roman"/>
                <w:sz w:val="20"/>
                <w:szCs w:val="20"/>
              </w:rPr>
            </w:pPr>
            <w:r>
              <w:rPr>
                <w:rFonts w:eastAsia="Times New Roman"/>
                <w:sz w:val="20"/>
                <w:szCs w:val="20"/>
              </w:rPr>
              <w:t> </w:t>
            </w:r>
          </w:p>
        </w:tc>
      </w:tr>
      <w:tr w:rsidR="00000000" w14:paraId="5C5670A4" w14:textId="77777777">
        <w:trPr>
          <w:divId w:val="849947503"/>
          <w:tblCellSpacing w:w="0" w:type="dxa"/>
        </w:trPr>
        <w:tc>
          <w:tcPr>
            <w:tcW w:w="0" w:type="auto"/>
            <w:shd w:val="clear" w:color="auto" w:fill="CCEEFF"/>
            <w:vAlign w:val="bottom"/>
            <w:hideMark/>
          </w:tcPr>
          <w:p w14:paraId="1D00EE95" w14:textId="77777777" w:rsidR="00000000" w:rsidRDefault="00847163">
            <w:pPr>
              <w:pStyle w:val="a3"/>
              <w:spacing w:before="0" w:beforeAutospacing="0" w:after="0" w:afterAutospacing="0"/>
              <w:rPr>
                <w:sz w:val="20"/>
                <w:szCs w:val="20"/>
              </w:rPr>
            </w:pPr>
            <w:r>
              <w:rPr>
                <w:sz w:val="20"/>
                <w:szCs w:val="20"/>
              </w:rPr>
              <w:t>Weighted average shares:</w:t>
            </w:r>
          </w:p>
        </w:tc>
        <w:tc>
          <w:tcPr>
            <w:tcW w:w="0" w:type="auto"/>
            <w:shd w:val="clear" w:color="auto" w:fill="CCEEFF"/>
            <w:vAlign w:val="bottom"/>
            <w:hideMark/>
          </w:tcPr>
          <w:p w14:paraId="47CD979B"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3DE81B"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FE22A3"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A837DFE"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1852448"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BCDC20A"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F99B20E"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6509450" w14:textId="77777777" w:rsidR="00000000" w:rsidRDefault="00847163">
            <w:pPr>
              <w:rPr>
                <w:rFonts w:eastAsia="Times New Roman"/>
                <w:sz w:val="20"/>
                <w:szCs w:val="20"/>
              </w:rPr>
            </w:pPr>
            <w:r>
              <w:rPr>
                <w:rFonts w:eastAsia="Times New Roman"/>
                <w:sz w:val="20"/>
                <w:szCs w:val="20"/>
              </w:rPr>
              <w:t> </w:t>
            </w:r>
          </w:p>
        </w:tc>
      </w:tr>
      <w:tr w:rsidR="00000000" w14:paraId="679017EF" w14:textId="77777777">
        <w:trPr>
          <w:divId w:val="849947503"/>
          <w:tblCellSpacing w:w="0" w:type="dxa"/>
        </w:trPr>
        <w:tc>
          <w:tcPr>
            <w:tcW w:w="0" w:type="auto"/>
            <w:shd w:val="clear" w:color="auto" w:fill="FFFFFF"/>
            <w:vAlign w:val="bottom"/>
            <w:hideMark/>
          </w:tcPr>
          <w:p w14:paraId="7B2C2A87" w14:textId="77777777" w:rsidR="00000000" w:rsidRDefault="00847163">
            <w:pPr>
              <w:pStyle w:val="a3"/>
              <w:spacing w:before="0" w:beforeAutospacing="0" w:after="0" w:afterAutospacing="0"/>
              <w:ind w:left="720"/>
              <w:rPr>
                <w:sz w:val="20"/>
                <w:szCs w:val="20"/>
              </w:rPr>
            </w:pPr>
            <w:r>
              <w:rPr>
                <w:sz w:val="20"/>
                <w:szCs w:val="20"/>
              </w:rPr>
              <w:t>-Basic</w:t>
            </w:r>
          </w:p>
        </w:tc>
        <w:tc>
          <w:tcPr>
            <w:tcW w:w="50" w:type="pct"/>
            <w:shd w:val="clear" w:color="auto" w:fill="FFFFFF"/>
            <w:vAlign w:val="bottom"/>
            <w:hideMark/>
          </w:tcPr>
          <w:p w14:paraId="68686CE9" w14:textId="77777777" w:rsidR="00000000" w:rsidRDefault="0084716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092707D5" w14:textId="77777777" w:rsidR="00000000" w:rsidRDefault="00847163">
            <w:pPr>
              <w:rPr>
                <w:rFonts w:eastAsia="Times New Roman"/>
                <w:sz w:val="20"/>
                <w:szCs w:val="20"/>
              </w:rPr>
            </w:pPr>
            <w:r>
              <w:rPr>
                <w:rFonts w:eastAsia="Times New Roman"/>
                <w:sz w:val="20"/>
                <w:szCs w:val="20"/>
              </w:rPr>
              <w:t> </w:t>
            </w:r>
          </w:p>
        </w:tc>
        <w:tc>
          <w:tcPr>
            <w:tcW w:w="500" w:type="pct"/>
            <w:tcBorders>
              <w:bottom w:val="double" w:sz="6" w:space="0" w:color="000000"/>
            </w:tcBorders>
            <w:shd w:val="clear" w:color="auto" w:fill="FFFFFF"/>
            <w:vAlign w:val="bottom"/>
            <w:hideMark/>
          </w:tcPr>
          <w:p w14:paraId="39641A0C" w14:textId="77777777" w:rsidR="00000000" w:rsidRDefault="00847163">
            <w:pPr>
              <w:jc w:val="right"/>
              <w:rPr>
                <w:rFonts w:eastAsia="Times New Roman"/>
                <w:sz w:val="20"/>
                <w:szCs w:val="20"/>
              </w:rPr>
            </w:pPr>
            <w:r>
              <w:rPr>
                <w:rFonts w:eastAsia="Times New Roman"/>
                <w:sz w:val="20"/>
                <w:szCs w:val="20"/>
              </w:rPr>
              <w:t>429,735</w:t>
            </w:r>
          </w:p>
        </w:tc>
        <w:tc>
          <w:tcPr>
            <w:tcW w:w="50" w:type="pct"/>
            <w:shd w:val="clear" w:color="auto" w:fill="FFFFFF"/>
            <w:tcMar>
              <w:top w:w="0" w:type="dxa"/>
              <w:left w:w="0" w:type="dxa"/>
              <w:bottom w:w="45" w:type="dxa"/>
              <w:right w:w="0" w:type="dxa"/>
            </w:tcMar>
            <w:vAlign w:val="bottom"/>
            <w:hideMark/>
          </w:tcPr>
          <w:p w14:paraId="50480384"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5BBD1E4" w14:textId="77777777" w:rsidR="00000000" w:rsidRDefault="0084716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41700A18" w14:textId="77777777" w:rsidR="00000000" w:rsidRDefault="00847163">
            <w:pPr>
              <w:rPr>
                <w:rFonts w:eastAsia="Times New Roman"/>
                <w:sz w:val="20"/>
                <w:szCs w:val="20"/>
              </w:rPr>
            </w:pPr>
            <w:r>
              <w:rPr>
                <w:rFonts w:eastAsia="Times New Roman"/>
                <w:sz w:val="20"/>
                <w:szCs w:val="20"/>
              </w:rPr>
              <w:t> </w:t>
            </w:r>
          </w:p>
        </w:tc>
        <w:tc>
          <w:tcPr>
            <w:tcW w:w="500" w:type="pct"/>
            <w:tcBorders>
              <w:bottom w:val="double" w:sz="6" w:space="0" w:color="000000"/>
            </w:tcBorders>
            <w:shd w:val="clear" w:color="auto" w:fill="FFFFFF"/>
            <w:vAlign w:val="bottom"/>
            <w:hideMark/>
          </w:tcPr>
          <w:p w14:paraId="024014B6" w14:textId="77777777" w:rsidR="00000000" w:rsidRDefault="00847163">
            <w:pPr>
              <w:jc w:val="right"/>
              <w:rPr>
                <w:rFonts w:eastAsia="Times New Roman"/>
                <w:sz w:val="20"/>
                <w:szCs w:val="20"/>
              </w:rPr>
            </w:pPr>
            <w:r>
              <w:rPr>
                <w:rFonts w:eastAsia="Times New Roman"/>
                <w:sz w:val="20"/>
                <w:szCs w:val="20"/>
              </w:rPr>
              <w:t>419,464</w:t>
            </w:r>
          </w:p>
        </w:tc>
        <w:tc>
          <w:tcPr>
            <w:tcW w:w="50" w:type="pct"/>
            <w:shd w:val="clear" w:color="auto" w:fill="FFFFFF"/>
            <w:tcMar>
              <w:top w:w="0" w:type="dxa"/>
              <w:left w:w="0" w:type="dxa"/>
              <w:bottom w:w="45" w:type="dxa"/>
              <w:right w:w="0" w:type="dxa"/>
            </w:tcMar>
            <w:vAlign w:val="bottom"/>
            <w:hideMark/>
          </w:tcPr>
          <w:p w14:paraId="6F67435C" w14:textId="77777777" w:rsidR="00000000" w:rsidRDefault="00847163">
            <w:pPr>
              <w:rPr>
                <w:rFonts w:eastAsia="Times New Roman"/>
                <w:sz w:val="20"/>
                <w:szCs w:val="20"/>
              </w:rPr>
            </w:pPr>
            <w:r>
              <w:rPr>
                <w:rFonts w:eastAsia="Times New Roman"/>
                <w:sz w:val="20"/>
                <w:szCs w:val="20"/>
              </w:rPr>
              <w:t> </w:t>
            </w:r>
          </w:p>
        </w:tc>
      </w:tr>
      <w:tr w:rsidR="00000000" w14:paraId="1CCAAA38" w14:textId="77777777">
        <w:trPr>
          <w:divId w:val="849947503"/>
          <w:tblCellSpacing w:w="0" w:type="dxa"/>
        </w:trPr>
        <w:tc>
          <w:tcPr>
            <w:tcW w:w="0" w:type="auto"/>
            <w:shd w:val="clear" w:color="auto" w:fill="CCEEFF"/>
            <w:vAlign w:val="bottom"/>
            <w:hideMark/>
          </w:tcPr>
          <w:p w14:paraId="1DF311CE" w14:textId="77777777" w:rsidR="00000000" w:rsidRDefault="00847163">
            <w:pPr>
              <w:pStyle w:val="a3"/>
              <w:spacing w:before="0" w:beforeAutospacing="0" w:after="0" w:afterAutospacing="0"/>
              <w:ind w:left="720"/>
              <w:rPr>
                <w:sz w:val="20"/>
                <w:szCs w:val="20"/>
              </w:rPr>
            </w:pPr>
            <w:r>
              <w:rPr>
                <w:sz w:val="20"/>
                <w:szCs w:val="20"/>
              </w:rPr>
              <w:t>-Diluted</w:t>
            </w:r>
          </w:p>
        </w:tc>
        <w:tc>
          <w:tcPr>
            <w:tcW w:w="50" w:type="pct"/>
            <w:shd w:val="clear" w:color="auto" w:fill="CCEEFF"/>
            <w:vAlign w:val="bottom"/>
            <w:hideMark/>
          </w:tcPr>
          <w:p w14:paraId="10FEC77B" w14:textId="77777777" w:rsidR="00000000" w:rsidRDefault="0084716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193783A4" w14:textId="77777777" w:rsidR="00000000" w:rsidRDefault="00847163">
            <w:pPr>
              <w:rPr>
                <w:rFonts w:eastAsia="Times New Roman"/>
                <w:sz w:val="20"/>
                <w:szCs w:val="20"/>
              </w:rPr>
            </w:pPr>
            <w:r>
              <w:rPr>
                <w:rFonts w:eastAsia="Times New Roman"/>
                <w:sz w:val="20"/>
                <w:szCs w:val="20"/>
              </w:rPr>
              <w:t> </w:t>
            </w:r>
          </w:p>
        </w:tc>
        <w:tc>
          <w:tcPr>
            <w:tcW w:w="500" w:type="pct"/>
            <w:tcBorders>
              <w:bottom w:val="double" w:sz="6" w:space="0" w:color="000000"/>
            </w:tcBorders>
            <w:shd w:val="clear" w:color="auto" w:fill="CCEEFF"/>
            <w:vAlign w:val="bottom"/>
            <w:hideMark/>
          </w:tcPr>
          <w:p w14:paraId="01C1E8C6" w14:textId="77777777" w:rsidR="00000000" w:rsidRDefault="00847163">
            <w:pPr>
              <w:jc w:val="right"/>
              <w:rPr>
                <w:rFonts w:eastAsia="Times New Roman"/>
                <w:sz w:val="20"/>
                <w:szCs w:val="20"/>
              </w:rPr>
            </w:pPr>
            <w:r>
              <w:rPr>
                <w:rFonts w:eastAsia="Times New Roman"/>
                <w:sz w:val="20"/>
                <w:szCs w:val="20"/>
              </w:rPr>
              <w:t>430,505</w:t>
            </w:r>
          </w:p>
        </w:tc>
        <w:tc>
          <w:tcPr>
            <w:tcW w:w="50" w:type="pct"/>
            <w:shd w:val="clear" w:color="auto" w:fill="CCEEFF"/>
            <w:tcMar>
              <w:top w:w="0" w:type="dxa"/>
              <w:left w:w="0" w:type="dxa"/>
              <w:bottom w:w="45" w:type="dxa"/>
              <w:right w:w="0" w:type="dxa"/>
            </w:tcMar>
            <w:vAlign w:val="bottom"/>
            <w:hideMark/>
          </w:tcPr>
          <w:p w14:paraId="070B9E45"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3C3623B" w14:textId="77777777" w:rsidR="00000000" w:rsidRDefault="0084716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599C65DD" w14:textId="77777777" w:rsidR="00000000" w:rsidRDefault="00847163">
            <w:pPr>
              <w:rPr>
                <w:rFonts w:eastAsia="Times New Roman"/>
                <w:sz w:val="20"/>
                <w:szCs w:val="20"/>
              </w:rPr>
            </w:pPr>
            <w:r>
              <w:rPr>
                <w:rFonts w:eastAsia="Times New Roman"/>
                <w:sz w:val="20"/>
                <w:szCs w:val="20"/>
              </w:rPr>
              <w:t> </w:t>
            </w:r>
          </w:p>
        </w:tc>
        <w:tc>
          <w:tcPr>
            <w:tcW w:w="500" w:type="pct"/>
            <w:tcBorders>
              <w:bottom w:val="double" w:sz="6" w:space="0" w:color="000000"/>
            </w:tcBorders>
            <w:shd w:val="clear" w:color="auto" w:fill="CCEEFF"/>
            <w:vAlign w:val="bottom"/>
            <w:hideMark/>
          </w:tcPr>
          <w:p w14:paraId="5FFCA42D" w14:textId="77777777" w:rsidR="00000000" w:rsidRDefault="00847163">
            <w:pPr>
              <w:jc w:val="right"/>
              <w:rPr>
                <w:rFonts w:eastAsia="Times New Roman"/>
                <w:sz w:val="20"/>
                <w:szCs w:val="20"/>
              </w:rPr>
            </w:pPr>
            <w:r>
              <w:rPr>
                <w:rFonts w:eastAsia="Times New Roman"/>
                <w:sz w:val="20"/>
                <w:szCs w:val="20"/>
              </w:rPr>
              <w:t>420,763</w:t>
            </w:r>
          </w:p>
        </w:tc>
        <w:tc>
          <w:tcPr>
            <w:tcW w:w="50" w:type="pct"/>
            <w:shd w:val="clear" w:color="auto" w:fill="CCEEFF"/>
            <w:tcMar>
              <w:top w:w="0" w:type="dxa"/>
              <w:left w:w="0" w:type="dxa"/>
              <w:bottom w:w="45" w:type="dxa"/>
              <w:right w:w="0" w:type="dxa"/>
            </w:tcMar>
            <w:vAlign w:val="bottom"/>
            <w:hideMark/>
          </w:tcPr>
          <w:p w14:paraId="7A334AD4" w14:textId="77777777" w:rsidR="00000000" w:rsidRDefault="00847163">
            <w:pPr>
              <w:rPr>
                <w:rFonts w:eastAsia="Times New Roman"/>
                <w:sz w:val="20"/>
                <w:szCs w:val="20"/>
              </w:rPr>
            </w:pPr>
            <w:r>
              <w:rPr>
                <w:rFonts w:eastAsia="Times New Roman"/>
                <w:sz w:val="20"/>
                <w:szCs w:val="20"/>
              </w:rPr>
              <w:t> </w:t>
            </w:r>
          </w:p>
        </w:tc>
      </w:tr>
    </w:tbl>
    <w:p w14:paraId="25F0DBEB" w14:textId="77777777" w:rsidR="00000000" w:rsidRDefault="00847163">
      <w:pPr>
        <w:pStyle w:val="a3"/>
        <w:spacing w:before="0" w:beforeAutospacing="0" w:after="0" w:afterAutospacing="0"/>
        <w:rPr>
          <w:sz w:val="20"/>
          <w:szCs w:val="20"/>
        </w:rPr>
      </w:pPr>
      <w:r>
        <w:rPr>
          <w:sz w:val="20"/>
          <w:szCs w:val="20"/>
        </w:rPr>
        <w:t> </w:t>
      </w:r>
    </w:p>
    <w:p w14:paraId="24319B58" w14:textId="77777777" w:rsidR="00000000" w:rsidRDefault="00847163">
      <w:pPr>
        <w:pStyle w:val="a3"/>
        <w:spacing w:before="0" w:beforeAutospacing="0" w:after="0" w:afterAutospacing="0"/>
        <w:jc w:val="center"/>
        <w:rPr>
          <w:sz w:val="20"/>
          <w:szCs w:val="20"/>
        </w:rPr>
      </w:pPr>
      <w:r>
        <w:rPr>
          <w:sz w:val="20"/>
          <w:szCs w:val="20"/>
        </w:rPr>
        <w:t>The accompanying notes are an integral part of these condensed consolidated financial statements.</w:t>
      </w:r>
    </w:p>
    <w:p w14:paraId="1E2131B3" w14:textId="77777777" w:rsidR="00000000" w:rsidRDefault="00847163">
      <w:pPr>
        <w:pStyle w:val="a3"/>
        <w:spacing w:before="0" w:beforeAutospacing="0" w:after="0" w:afterAutospacing="0"/>
        <w:rPr>
          <w:sz w:val="20"/>
          <w:szCs w:val="20"/>
        </w:rPr>
      </w:pPr>
      <w:r>
        <w:rPr>
          <w:sz w:val="20"/>
          <w:szCs w:val="20"/>
        </w:rPr>
        <w:t> </w:t>
      </w:r>
    </w:p>
    <w:p w14:paraId="7A7C5260" w14:textId="77777777" w:rsidR="00000000" w:rsidRDefault="00847163">
      <w:pPr>
        <w:jc w:val="center"/>
        <w:divId w:val="1229220364"/>
        <w:rPr>
          <w:rFonts w:eastAsia="Times New Roman"/>
          <w:sz w:val="20"/>
          <w:szCs w:val="20"/>
        </w:rPr>
      </w:pPr>
      <w:r>
        <w:rPr>
          <w:rFonts w:eastAsia="Times New Roman"/>
          <w:sz w:val="20"/>
          <w:szCs w:val="20"/>
        </w:rPr>
        <w:t xml:space="preserve">4 </w:t>
      </w:r>
    </w:p>
    <w:p w14:paraId="0E712F7A" w14:textId="77777777" w:rsidR="00000000" w:rsidRDefault="00847163">
      <w:pPr>
        <w:divId w:val="411974919"/>
        <w:rPr>
          <w:rFonts w:eastAsia="Times New Roman"/>
          <w:sz w:val="20"/>
          <w:szCs w:val="20"/>
        </w:rPr>
      </w:pPr>
      <w:r>
        <w:rPr>
          <w:rFonts w:eastAsia="Times New Roman"/>
          <w:sz w:val="20"/>
          <w:szCs w:val="20"/>
        </w:rPr>
        <w:pict w14:anchorId="6028AF8D">
          <v:rect id="_x0000_i1032" style="width:0;height:1.5pt" o:hralign="center" o:hrstd="t" o:hr="t" fillcolor="#a0a0a0" stroked="f"/>
        </w:pict>
      </w:r>
    </w:p>
    <w:p w14:paraId="273725E0" w14:textId="77777777" w:rsidR="00000000" w:rsidRDefault="00847163">
      <w:pPr>
        <w:divId w:val="1716344528"/>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09B4D1F4" w14:textId="77777777" w:rsidR="00000000" w:rsidRDefault="00847163">
      <w:pPr>
        <w:divId w:val="1503007398"/>
        <w:rPr>
          <w:rFonts w:eastAsia="Times New Roman"/>
          <w:sz w:val="20"/>
          <w:szCs w:val="20"/>
        </w:rPr>
      </w:pPr>
      <w:r>
        <w:rPr>
          <w:rFonts w:eastAsia="Times New Roman"/>
          <w:sz w:val="20"/>
          <w:szCs w:val="20"/>
        </w:rPr>
        <w:t xml:space="preserve">  </w:t>
      </w:r>
    </w:p>
    <w:p w14:paraId="78E72D5E" w14:textId="77777777" w:rsidR="00000000" w:rsidRDefault="00847163">
      <w:pPr>
        <w:pStyle w:val="a3"/>
        <w:spacing w:before="0" w:beforeAutospacing="0" w:after="0" w:afterAutospacing="0"/>
        <w:rPr>
          <w:sz w:val="20"/>
          <w:szCs w:val="20"/>
        </w:rPr>
      </w:pPr>
      <w:r>
        <w:rPr>
          <w:sz w:val="20"/>
          <w:szCs w:val="20"/>
        </w:rPr>
        <w:t> </w:t>
      </w:r>
    </w:p>
    <w:p w14:paraId="57C46409" w14:textId="77777777" w:rsidR="00000000" w:rsidRDefault="00847163">
      <w:pPr>
        <w:pStyle w:val="a3"/>
        <w:spacing w:before="0" w:beforeAutospacing="0" w:after="0" w:afterAutospacing="0"/>
        <w:jc w:val="center"/>
        <w:rPr>
          <w:sz w:val="20"/>
          <w:szCs w:val="20"/>
        </w:rPr>
      </w:pPr>
      <w:r>
        <w:rPr>
          <w:sz w:val="20"/>
          <w:szCs w:val="20"/>
        </w:rPr>
        <w:t>KIMCO REALTY CORPORATION AND SUBSIDIA</w:t>
      </w:r>
      <w:r>
        <w:rPr>
          <w:sz w:val="20"/>
          <w:szCs w:val="20"/>
        </w:rPr>
        <w:t>RIES</w:t>
      </w:r>
    </w:p>
    <w:p w14:paraId="243E94E6" w14:textId="77777777" w:rsidR="00000000" w:rsidRDefault="00847163">
      <w:pPr>
        <w:pStyle w:val="a3"/>
        <w:spacing w:before="0" w:beforeAutospacing="0" w:after="0" w:afterAutospacing="0"/>
        <w:jc w:val="center"/>
        <w:rPr>
          <w:sz w:val="20"/>
          <w:szCs w:val="20"/>
        </w:rPr>
      </w:pPr>
      <w:r>
        <w:rPr>
          <w:sz w:val="20"/>
          <w:szCs w:val="20"/>
        </w:rPr>
        <w:t>CONDENSED CONSOLIDATED STATEMENTS OF CHANGES IN EQUITY</w:t>
      </w:r>
    </w:p>
    <w:p w14:paraId="0FE2F70D" w14:textId="77777777" w:rsidR="00000000" w:rsidRDefault="00847163">
      <w:pPr>
        <w:pStyle w:val="a3"/>
        <w:spacing w:before="0" w:beforeAutospacing="0" w:after="0" w:afterAutospacing="0"/>
        <w:jc w:val="center"/>
        <w:rPr>
          <w:sz w:val="20"/>
          <w:szCs w:val="20"/>
        </w:rPr>
      </w:pPr>
      <w:r>
        <w:rPr>
          <w:sz w:val="20"/>
          <w:szCs w:val="20"/>
        </w:rPr>
        <w:t>For the Three Months Ended March 31, 2020 and 2019</w:t>
      </w:r>
    </w:p>
    <w:p w14:paraId="112C69BE" w14:textId="77777777" w:rsidR="00000000" w:rsidRDefault="00847163">
      <w:pPr>
        <w:pStyle w:val="a3"/>
        <w:spacing w:before="0" w:beforeAutospacing="0" w:after="0" w:afterAutospacing="0"/>
        <w:jc w:val="center"/>
        <w:rPr>
          <w:sz w:val="20"/>
          <w:szCs w:val="20"/>
        </w:rPr>
      </w:pPr>
      <w:r>
        <w:rPr>
          <w:sz w:val="20"/>
          <w:szCs w:val="20"/>
        </w:rPr>
        <w:t>(Unaudited)</w:t>
      </w:r>
    </w:p>
    <w:p w14:paraId="6FE16474" w14:textId="77777777" w:rsidR="00000000" w:rsidRDefault="00847163">
      <w:pPr>
        <w:pStyle w:val="a3"/>
        <w:spacing w:before="0" w:beforeAutospacing="0" w:after="0" w:afterAutospacing="0"/>
        <w:jc w:val="center"/>
        <w:rPr>
          <w:sz w:val="20"/>
          <w:szCs w:val="20"/>
        </w:rPr>
      </w:pPr>
      <w:r>
        <w:rPr>
          <w:sz w:val="20"/>
          <w:szCs w:val="20"/>
        </w:rPr>
        <w:t>(in thousands)</w:t>
      </w:r>
    </w:p>
    <w:p w14:paraId="34D7AC74" w14:textId="77777777" w:rsidR="00000000" w:rsidRDefault="00847163">
      <w:pPr>
        <w:pStyle w:val="a3"/>
        <w:spacing w:before="0" w:beforeAutospacing="0" w:after="0" w:afterAutospacing="0"/>
        <w:jc w:val="center"/>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123"/>
        <w:gridCol w:w="40"/>
        <w:gridCol w:w="180"/>
        <w:gridCol w:w="718"/>
        <w:gridCol w:w="54"/>
        <w:gridCol w:w="40"/>
        <w:gridCol w:w="88"/>
        <w:gridCol w:w="349"/>
        <w:gridCol w:w="56"/>
        <w:gridCol w:w="55"/>
        <w:gridCol w:w="113"/>
        <w:gridCol w:w="448"/>
        <w:gridCol w:w="40"/>
        <w:gridCol w:w="40"/>
        <w:gridCol w:w="40"/>
        <w:gridCol w:w="520"/>
        <w:gridCol w:w="54"/>
        <w:gridCol w:w="40"/>
        <w:gridCol w:w="113"/>
        <w:gridCol w:w="448"/>
        <w:gridCol w:w="54"/>
        <w:gridCol w:w="40"/>
        <w:gridCol w:w="80"/>
        <w:gridCol w:w="640"/>
        <w:gridCol w:w="54"/>
        <w:gridCol w:w="40"/>
        <w:gridCol w:w="156"/>
        <w:gridCol w:w="778"/>
        <w:gridCol w:w="54"/>
        <w:gridCol w:w="40"/>
        <w:gridCol w:w="172"/>
        <w:gridCol w:w="860"/>
        <w:gridCol w:w="54"/>
        <w:gridCol w:w="40"/>
        <w:gridCol w:w="80"/>
        <w:gridCol w:w="640"/>
        <w:gridCol w:w="54"/>
      </w:tblGrid>
      <w:tr w:rsidR="00000000" w14:paraId="68B90A6E" w14:textId="77777777">
        <w:trPr>
          <w:divId w:val="323124837"/>
          <w:tblCellSpacing w:w="0" w:type="dxa"/>
        </w:trPr>
        <w:tc>
          <w:tcPr>
            <w:tcW w:w="1500" w:type="pct"/>
            <w:vAlign w:val="bottom"/>
            <w:hideMark/>
          </w:tcPr>
          <w:p w14:paraId="50FFB0C9" w14:textId="77777777" w:rsidR="00000000" w:rsidRDefault="00847163">
            <w:pPr>
              <w:rPr>
                <w:rFonts w:eastAsia="Times New Roman"/>
                <w:sz w:val="16"/>
                <w:szCs w:val="16"/>
              </w:rPr>
            </w:pPr>
            <w:r>
              <w:rPr>
                <w:rFonts w:eastAsia="Times New Roman"/>
                <w:sz w:val="16"/>
                <w:szCs w:val="16"/>
              </w:rPr>
              <w:t> </w:t>
            </w:r>
          </w:p>
        </w:tc>
        <w:tc>
          <w:tcPr>
            <w:tcW w:w="50" w:type="pct"/>
            <w:vAlign w:val="bottom"/>
            <w:hideMark/>
          </w:tcPr>
          <w:p w14:paraId="7C2DF644" w14:textId="77777777" w:rsidR="00000000" w:rsidRDefault="00847163">
            <w:pPr>
              <w:rPr>
                <w:rFonts w:eastAsia="Times New Roman"/>
                <w:sz w:val="16"/>
                <w:szCs w:val="16"/>
              </w:rPr>
            </w:pPr>
            <w:r>
              <w:rPr>
                <w:rFonts w:eastAsia="Times New Roman"/>
                <w:sz w:val="16"/>
                <w:szCs w:val="16"/>
              </w:rPr>
              <w:t> </w:t>
            </w:r>
          </w:p>
        </w:tc>
        <w:tc>
          <w:tcPr>
            <w:tcW w:w="100" w:type="pct"/>
            <w:gridSpan w:val="2"/>
            <w:vAlign w:val="bottom"/>
            <w:hideMark/>
          </w:tcPr>
          <w:p w14:paraId="0A4D9A73" w14:textId="77777777" w:rsidR="00000000" w:rsidRDefault="00847163">
            <w:pPr>
              <w:pStyle w:val="a3"/>
              <w:spacing w:before="0" w:beforeAutospacing="0" w:after="0" w:afterAutospacing="0"/>
              <w:jc w:val="center"/>
              <w:rPr>
                <w:sz w:val="16"/>
                <w:szCs w:val="16"/>
              </w:rPr>
            </w:pPr>
            <w:r>
              <w:rPr>
                <w:b/>
                <w:bCs/>
                <w:sz w:val="16"/>
                <w:szCs w:val="16"/>
              </w:rPr>
              <w:t xml:space="preserve">Cumulative </w:t>
            </w:r>
          </w:p>
        </w:tc>
        <w:tc>
          <w:tcPr>
            <w:tcW w:w="50" w:type="pct"/>
            <w:vAlign w:val="bottom"/>
            <w:hideMark/>
          </w:tcPr>
          <w:p w14:paraId="5E2AD81C" w14:textId="77777777" w:rsidR="00000000" w:rsidRDefault="00847163">
            <w:pPr>
              <w:rPr>
                <w:rFonts w:eastAsia="Times New Roman"/>
                <w:sz w:val="16"/>
                <w:szCs w:val="16"/>
              </w:rPr>
            </w:pPr>
            <w:r>
              <w:rPr>
                <w:rFonts w:eastAsia="Times New Roman"/>
                <w:sz w:val="16"/>
                <w:szCs w:val="16"/>
              </w:rPr>
              <w:t> </w:t>
            </w:r>
          </w:p>
        </w:tc>
        <w:tc>
          <w:tcPr>
            <w:tcW w:w="50" w:type="pct"/>
            <w:vAlign w:val="bottom"/>
            <w:hideMark/>
          </w:tcPr>
          <w:p w14:paraId="2CB19C10" w14:textId="77777777" w:rsidR="00000000" w:rsidRDefault="00847163">
            <w:pPr>
              <w:rPr>
                <w:rFonts w:eastAsia="Times New Roman"/>
                <w:sz w:val="16"/>
                <w:szCs w:val="16"/>
              </w:rPr>
            </w:pPr>
            <w:r>
              <w:rPr>
                <w:rFonts w:eastAsia="Times New Roman"/>
                <w:sz w:val="16"/>
                <w:szCs w:val="16"/>
              </w:rPr>
              <w:t> </w:t>
            </w:r>
          </w:p>
        </w:tc>
        <w:tc>
          <w:tcPr>
            <w:tcW w:w="50" w:type="pct"/>
            <w:vAlign w:val="bottom"/>
            <w:hideMark/>
          </w:tcPr>
          <w:p w14:paraId="34BCEF40" w14:textId="77777777" w:rsidR="00000000" w:rsidRDefault="00847163">
            <w:pPr>
              <w:rPr>
                <w:rFonts w:eastAsia="Times New Roman"/>
                <w:sz w:val="16"/>
                <w:szCs w:val="16"/>
              </w:rPr>
            </w:pPr>
            <w:r>
              <w:rPr>
                <w:rFonts w:eastAsia="Times New Roman"/>
                <w:b/>
                <w:bCs/>
                <w:sz w:val="16"/>
                <w:szCs w:val="16"/>
              </w:rPr>
              <w:t> </w:t>
            </w:r>
          </w:p>
        </w:tc>
        <w:tc>
          <w:tcPr>
            <w:tcW w:w="200" w:type="pct"/>
            <w:vAlign w:val="bottom"/>
            <w:hideMark/>
          </w:tcPr>
          <w:p w14:paraId="4F333122" w14:textId="77777777" w:rsidR="00000000" w:rsidRDefault="00847163">
            <w:pPr>
              <w:jc w:val="center"/>
              <w:rPr>
                <w:rFonts w:eastAsia="Times New Roman"/>
                <w:sz w:val="16"/>
                <w:szCs w:val="16"/>
              </w:rPr>
            </w:pPr>
            <w:r>
              <w:rPr>
                <w:rFonts w:eastAsia="Times New Roman"/>
                <w:b/>
                <w:bCs/>
                <w:sz w:val="16"/>
                <w:szCs w:val="16"/>
              </w:rPr>
              <w:t> </w:t>
            </w:r>
          </w:p>
        </w:tc>
        <w:tc>
          <w:tcPr>
            <w:tcW w:w="50" w:type="pct"/>
            <w:vAlign w:val="bottom"/>
            <w:hideMark/>
          </w:tcPr>
          <w:p w14:paraId="79F0B8BE" w14:textId="77777777" w:rsidR="00000000" w:rsidRDefault="00847163">
            <w:pPr>
              <w:rPr>
                <w:rFonts w:eastAsia="Times New Roman"/>
                <w:sz w:val="16"/>
                <w:szCs w:val="16"/>
              </w:rPr>
            </w:pPr>
            <w:r>
              <w:rPr>
                <w:rFonts w:eastAsia="Times New Roman"/>
                <w:b/>
                <w:bCs/>
                <w:sz w:val="16"/>
                <w:szCs w:val="16"/>
              </w:rPr>
              <w:t> </w:t>
            </w:r>
          </w:p>
        </w:tc>
        <w:tc>
          <w:tcPr>
            <w:tcW w:w="50" w:type="pct"/>
            <w:vAlign w:val="bottom"/>
            <w:hideMark/>
          </w:tcPr>
          <w:p w14:paraId="22EC5799" w14:textId="77777777" w:rsidR="00000000" w:rsidRDefault="00847163">
            <w:pPr>
              <w:rPr>
                <w:rFonts w:eastAsia="Times New Roman"/>
                <w:sz w:val="16"/>
                <w:szCs w:val="16"/>
              </w:rPr>
            </w:pPr>
            <w:r>
              <w:rPr>
                <w:rFonts w:eastAsia="Times New Roman"/>
                <w:sz w:val="16"/>
                <w:szCs w:val="16"/>
              </w:rPr>
              <w:t> </w:t>
            </w:r>
          </w:p>
        </w:tc>
        <w:tc>
          <w:tcPr>
            <w:tcW w:w="50" w:type="pct"/>
            <w:vAlign w:val="bottom"/>
            <w:hideMark/>
          </w:tcPr>
          <w:p w14:paraId="5FE944BF" w14:textId="77777777" w:rsidR="00000000" w:rsidRDefault="00847163">
            <w:pPr>
              <w:rPr>
                <w:rFonts w:eastAsia="Times New Roman"/>
                <w:sz w:val="16"/>
                <w:szCs w:val="16"/>
              </w:rPr>
            </w:pPr>
            <w:r>
              <w:rPr>
                <w:rFonts w:eastAsia="Times New Roman"/>
                <w:b/>
                <w:bCs/>
                <w:sz w:val="16"/>
                <w:szCs w:val="16"/>
              </w:rPr>
              <w:t> </w:t>
            </w:r>
          </w:p>
        </w:tc>
        <w:tc>
          <w:tcPr>
            <w:tcW w:w="200" w:type="pct"/>
            <w:vAlign w:val="bottom"/>
            <w:hideMark/>
          </w:tcPr>
          <w:p w14:paraId="12FF4E1F" w14:textId="77777777" w:rsidR="00000000" w:rsidRDefault="00847163">
            <w:pPr>
              <w:jc w:val="center"/>
              <w:rPr>
                <w:rFonts w:eastAsia="Times New Roman"/>
                <w:sz w:val="16"/>
                <w:szCs w:val="16"/>
              </w:rPr>
            </w:pPr>
            <w:r>
              <w:rPr>
                <w:rFonts w:eastAsia="Times New Roman"/>
                <w:b/>
                <w:bCs/>
                <w:sz w:val="16"/>
                <w:szCs w:val="16"/>
              </w:rPr>
              <w:t> </w:t>
            </w:r>
          </w:p>
        </w:tc>
        <w:tc>
          <w:tcPr>
            <w:tcW w:w="50" w:type="pct"/>
            <w:vAlign w:val="bottom"/>
            <w:hideMark/>
          </w:tcPr>
          <w:p w14:paraId="6764C2F7" w14:textId="77777777" w:rsidR="00000000" w:rsidRDefault="00847163">
            <w:pPr>
              <w:rPr>
                <w:rFonts w:eastAsia="Times New Roman"/>
                <w:sz w:val="16"/>
                <w:szCs w:val="16"/>
              </w:rPr>
            </w:pPr>
            <w:r>
              <w:rPr>
                <w:rFonts w:eastAsia="Times New Roman"/>
                <w:b/>
                <w:bCs/>
                <w:sz w:val="16"/>
                <w:szCs w:val="16"/>
              </w:rPr>
              <w:t> </w:t>
            </w:r>
          </w:p>
        </w:tc>
        <w:tc>
          <w:tcPr>
            <w:tcW w:w="50" w:type="pct"/>
            <w:vAlign w:val="bottom"/>
            <w:hideMark/>
          </w:tcPr>
          <w:p w14:paraId="1F98776B" w14:textId="77777777" w:rsidR="00000000" w:rsidRDefault="00847163">
            <w:pPr>
              <w:rPr>
                <w:rFonts w:eastAsia="Times New Roman"/>
                <w:sz w:val="16"/>
                <w:szCs w:val="16"/>
              </w:rPr>
            </w:pPr>
            <w:r>
              <w:rPr>
                <w:rFonts w:eastAsia="Times New Roman"/>
                <w:sz w:val="16"/>
                <w:szCs w:val="16"/>
              </w:rPr>
              <w:t> </w:t>
            </w:r>
          </w:p>
        </w:tc>
        <w:tc>
          <w:tcPr>
            <w:tcW w:w="50" w:type="pct"/>
            <w:vAlign w:val="bottom"/>
            <w:hideMark/>
          </w:tcPr>
          <w:p w14:paraId="3729F6C0" w14:textId="77777777" w:rsidR="00000000" w:rsidRDefault="00847163">
            <w:pPr>
              <w:rPr>
                <w:rFonts w:eastAsia="Times New Roman"/>
                <w:sz w:val="16"/>
                <w:szCs w:val="16"/>
              </w:rPr>
            </w:pPr>
            <w:r>
              <w:rPr>
                <w:rFonts w:eastAsia="Times New Roman"/>
                <w:b/>
                <w:bCs/>
                <w:sz w:val="16"/>
                <w:szCs w:val="16"/>
              </w:rPr>
              <w:t> </w:t>
            </w:r>
          </w:p>
        </w:tc>
        <w:tc>
          <w:tcPr>
            <w:tcW w:w="200" w:type="pct"/>
            <w:vAlign w:val="bottom"/>
            <w:hideMark/>
          </w:tcPr>
          <w:p w14:paraId="5FEBE409" w14:textId="77777777" w:rsidR="00000000" w:rsidRDefault="00847163">
            <w:pPr>
              <w:jc w:val="center"/>
              <w:rPr>
                <w:rFonts w:eastAsia="Times New Roman"/>
                <w:sz w:val="16"/>
                <w:szCs w:val="16"/>
              </w:rPr>
            </w:pPr>
            <w:r>
              <w:rPr>
                <w:rFonts w:eastAsia="Times New Roman"/>
                <w:b/>
                <w:bCs/>
                <w:sz w:val="16"/>
                <w:szCs w:val="16"/>
              </w:rPr>
              <w:t> </w:t>
            </w:r>
          </w:p>
        </w:tc>
        <w:tc>
          <w:tcPr>
            <w:tcW w:w="50" w:type="pct"/>
            <w:vAlign w:val="bottom"/>
            <w:hideMark/>
          </w:tcPr>
          <w:p w14:paraId="779827A0" w14:textId="77777777" w:rsidR="00000000" w:rsidRDefault="00847163">
            <w:pPr>
              <w:rPr>
                <w:rFonts w:eastAsia="Times New Roman"/>
                <w:sz w:val="16"/>
                <w:szCs w:val="16"/>
              </w:rPr>
            </w:pPr>
            <w:r>
              <w:rPr>
                <w:rFonts w:eastAsia="Times New Roman"/>
                <w:b/>
                <w:bCs/>
                <w:sz w:val="16"/>
                <w:szCs w:val="16"/>
              </w:rPr>
              <w:t> </w:t>
            </w:r>
          </w:p>
        </w:tc>
        <w:tc>
          <w:tcPr>
            <w:tcW w:w="50" w:type="pct"/>
            <w:vAlign w:val="bottom"/>
            <w:hideMark/>
          </w:tcPr>
          <w:p w14:paraId="233516B8" w14:textId="77777777" w:rsidR="00000000" w:rsidRDefault="00847163">
            <w:pPr>
              <w:rPr>
                <w:rFonts w:eastAsia="Times New Roman"/>
                <w:sz w:val="16"/>
                <w:szCs w:val="16"/>
              </w:rPr>
            </w:pPr>
            <w:r>
              <w:rPr>
                <w:rFonts w:eastAsia="Times New Roman"/>
                <w:sz w:val="16"/>
                <w:szCs w:val="16"/>
              </w:rPr>
              <w:t> </w:t>
            </w:r>
          </w:p>
        </w:tc>
        <w:tc>
          <w:tcPr>
            <w:tcW w:w="50" w:type="pct"/>
            <w:vAlign w:val="bottom"/>
            <w:hideMark/>
          </w:tcPr>
          <w:p w14:paraId="46B55268" w14:textId="77777777" w:rsidR="00000000" w:rsidRDefault="00847163">
            <w:pPr>
              <w:rPr>
                <w:rFonts w:eastAsia="Times New Roman"/>
                <w:sz w:val="16"/>
                <w:szCs w:val="16"/>
              </w:rPr>
            </w:pPr>
            <w:r>
              <w:rPr>
                <w:rFonts w:eastAsia="Times New Roman"/>
                <w:b/>
                <w:bCs/>
                <w:sz w:val="16"/>
                <w:szCs w:val="16"/>
              </w:rPr>
              <w:t> </w:t>
            </w:r>
          </w:p>
        </w:tc>
        <w:tc>
          <w:tcPr>
            <w:tcW w:w="200" w:type="pct"/>
            <w:vAlign w:val="bottom"/>
            <w:hideMark/>
          </w:tcPr>
          <w:p w14:paraId="35273726" w14:textId="77777777" w:rsidR="00000000" w:rsidRDefault="00847163">
            <w:pPr>
              <w:jc w:val="center"/>
              <w:rPr>
                <w:rFonts w:eastAsia="Times New Roman"/>
                <w:sz w:val="16"/>
                <w:szCs w:val="16"/>
              </w:rPr>
            </w:pPr>
            <w:r>
              <w:rPr>
                <w:rFonts w:eastAsia="Times New Roman"/>
                <w:b/>
                <w:bCs/>
                <w:sz w:val="16"/>
                <w:szCs w:val="16"/>
              </w:rPr>
              <w:t> </w:t>
            </w:r>
          </w:p>
        </w:tc>
        <w:tc>
          <w:tcPr>
            <w:tcW w:w="50" w:type="pct"/>
            <w:vAlign w:val="bottom"/>
            <w:hideMark/>
          </w:tcPr>
          <w:p w14:paraId="3C7B7EB4" w14:textId="77777777" w:rsidR="00000000" w:rsidRDefault="00847163">
            <w:pPr>
              <w:rPr>
                <w:rFonts w:eastAsia="Times New Roman"/>
                <w:sz w:val="16"/>
                <w:szCs w:val="16"/>
              </w:rPr>
            </w:pPr>
            <w:r>
              <w:rPr>
                <w:rFonts w:eastAsia="Times New Roman"/>
                <w:b/>
                <w:bCs/>
                <w:sz w:val="16"/>
                <w:szCs w:val="16"/>
              </w:rPr>
              <w:t> </w:t>
            </w:r>
          </w:p>
        </w:tc>
        <w:tc>
          <w:tcPr>
            <w:tcW w:w="50" w:type="pct"/>
            <w:vAlign w:val="bottom"/>
            <w:hideMark/>
          </w:tcPr>
          <w:p w14:paraId="68B88752" w14:textId="77777777" w:rsidR="00000000" w:rsidRDefault="00847163">
            <w:pPr>
              <w:rPr>
                <w:rFonts w:eastAsia="Times New Roman"/>
                <w:sz w:val="16"/>
                <w:szCs w:val="16"/>
              </w:rPr>
            </w:pPr>
            <w:r>
              <w:rPr>
                <w:rFonts w:eastAsia="Times New Roman"/>
                <w:sz w:val="16"/>
                <w:szCs w:val="16"/>
              </w:rPr>
              <w:t> </w:t>
            </w:r>
          </w:p>
        </w:tc>
        <w:tc>
          <w:tcPr>
            <w:tcW w:w="50" w:type="pct"/>
            <w:vAlign w:val="bottom"/>
            <w:hideMark/>
          </w:tcPr>
          <w:p w14:paraId="0A2C3D05" w14:textId="77777777" w:rsidR="00000000" w:rsidRDefault="00847163">
            <w:pPr>
              <w:rPr>
                <w:rFonts w:eastAsia="Times New Roman"/>
                <w:sz w:val="16"/>
                <w:szCs w:val="16"/>
              </w:rPr>
            </w:pPr>
            <w:r>
              <w:rPr>
                <w:rFonts w:eastAsia="Times New Roman"/>
                <w:b/>
                <w:bCs/>
                <w:sz w:val="16"/>
                <w:szCs w:val="16"/>
              </w:rPr>
              <w:t> </w:t>
            </w:r>
          </w:p>
        </w:tc>
        <w:tc>
          <w:tcPr>
            <w:tcW w:w="200" w:type="pct"/>
            <w:vAlign w:val="bottom"/>
            <w:hideMark/>
          </w:tcPr>
          <w:p w14:paraId="5E2D8F54" w14:textId="77777777" w:rsidR="00000000" w:rsidRDefault="00847163">
            <w:pPr>
              <w:jc w:val="center"/>
              <w:rPr>
                <w:rFonts w:eastAsia="Times New Roman"/>
                <w:sz w:val="16"/>
                <w:szCs w:val="16"/>
              </w:rPr>
            </w:pPr>
            <w:r>
              <w:rPr>
                <w:rFonts w:eastAsia="Times New Roman"/>
                <w:b/>
                <w:bCs/>
                <w:sz w:val="16"/>
                <w:szCs w:val="16"/>
              </w:rPr>
              <w:t> </w:t>
            </w:r>
          </w:p>
        </w:tc>
        <w:tc>
          <w:tcPr>
            <w:tcW w:w="50" w:type="pct"/>
            <w:vAlign w:val="bottom"/>
            <w:hideMark/>
          </w:tcPr>
          <w:p w14:paraId="14E0714B" w14:textId="77777777" w:rsidR="00000000" w:rsidRDefault="00847163">
            <w:pPr>
              <w:rPr>
                <w:rFonts w:eastAsia="Times New Roman"/>
                <w:sz w:val="16"/>
                <w:szCs w:val="16"/>
              </w:rPr>
            </w:pPr>
            <w:r>
              <w:rPr>
                <w:rFonts w:eastAsia="Times New Roman"/>
                <w:b/>
                <w:bCs/>
                <w:sz w:val="16"/>
                <w:szCs w:val="16"/>
              </w:rPr>
              <w:t> </w:t>
            </w:r>
          </w:p>
        </w:tc>
        <w:tc>
          <w:tcPr>
            <w:tcW w:w="50" w:type="pct"/>
            <w:vAlign w:val="bottom"/>
            <w:hideMark/>
          </w:tcPr>
          <w:p w14:paraId="016713AE" w14:textId="77777777" w:rsidR="00000000" w:rsidRDefault="00847163">
            <w:pPr>
              <w:rPr>
                <w:rFonts w:eastAsia="Times New Roman"/>
                <w:sz w:val="16"/>
                <w:szCs w:val="16"/>
              </w:rPr>
            </w:pPr>
            <w:r>
              <w:rPr>
                <w:rFonts w:eastAsia="Times New Roman"/>
                <w:sz w:val="16"/>
                <w:szCs w:val="16"/>
              </w:rPr>
              <w:t> </w:t>
            </w:r>
          </w:p>
        </w:tc>
        <w:tc>
          <w:tcPr>
            <w:tcW w:w="50" w:type="pct"/>
            <w:gridSpan w:val="2"/>
            <w:vAlign w:val="bottom"/>
            <w:hideMark/>
          </w:tcPr>
          <w:p w14:paraId="6A6AADFC" w14:textId="77777777" w:rsidR="00000000" w:rsidRDefault="00847163">
            <w:pPr>
              <w:pStyle w:val="a3"/>
              <w:spacing w:before="0" w:beforeAutospacing="0" w:after="0" w:afterAutospacing="0"/>
              <w:jc w:val="center"/>
              <w:rPr>
                <w:sz w:val="16"/>
                <w:szCs w:val="16"/>
              </w:rPr>
            </w:pPr>
            <w:r>
              <w:rPr>
                <w:b/>
                <w:bCs/>
                <w:sz w:val="16"/>
                <w:szCs w:val="16"/>
              </w:rPr>
              <w:t>Total</w:t>
            </w:r>
          </w:p>
        </w:tc>
        <w:tc>
          <w:tcPr>
            <w:tcW w:w="50" w:type="pct"/>
            <w:vAlign w:val="bottom"/>
            <w:hideMark/>
          </w:tcPr>
          <w:p w14:paraId="19A18A19" w14:textId="77777777" w:rsidR="00000000" w:rsidRDefault="00847163">
            <w:pPr>
              <w:rPr>
                <w:rFonts w:eastAsia="Times New Roman"/>
                <w:sz w:val="16"/>
                <w:szCs w:val="16"/>
              </w:rPr>
            </w:pPr>
            <w:r>
              <w:rPr>
                <w:rFonts w:eastAsia="Times New Roman"/>
                <w:sz w:val="16"/>
                <w:szCs w:val="16"/>
              </w:rPr>
              <w:t> </w:t>
            </w:r>
          </w:p>
        </w:tc>
        <w:tc>
          <w:tcPr>
            <w:tcW w:w="50" w:type="pct"/>
            <w:vAlign w:val="bottom"/>
            <w:hideMark/>
          </w:tcPr>
          <w:p w14:paraId="653B8F16" w14:textId="77777777" w:rsidR="00000000" w:rsidRDefault="00847163">
            <w:pPr>
              <w:rPr>
                <w:rFonts w:eastAsia="Times New Roman"/>
                <w:sz w:val="16"/>
                <w:szCs w:val="16"/>
              </w:rPr>
            </w:pPr>
            <w:r>
              <w:rPr>
                <w:rFonts w:eastAsia="Times New Roman"/>
                <w:sz w:val="16"/>
                <w:szCs w:val="16"/>
              </w:rPr>
              <w:t> </w:t>
            </w:r>
          </w:p>
        </w:tc>
        <w:tc>
          <w:tcPr>
            <w:tcW w:w="50" w:type="pct"/>
            <w:vAlign w:val="bottom"/>
            <w:hideMark/>
          </w:tcPr>
          <w:p w14:paraId="38ED2D10" w14:textId="77777777" w:rsidR="00000000" w:rsidRDefault="00847163">
            <w:pPr>
              <w:rPr>
                <w:rFonts w:eastAsia="Times New Roman"/>
                <w:sz w:val="16"/>
                <w:szCs w:val="16"/>
              </w:rPr>
            </w:pPr>
            <w:r>
              <w:rPr>
                <w:rFonts w:eastAsia="Times New Roman"/>
                <w:b/>
                <w:bCs/>
                <w:sz w:val="16"/>
                <w:szCs w:val="16"/>
              </w:rPr>
              <w:t> </w:t>
            </w:r>
          </w:p>
        </w:tc>
        <w:tc>
          <w:tcPr>
            <w:tcW w:w="250" w:type="pct"/>
            <w:vAlign w:val="bottom"/>
            <w:hideMark/>
          </w:tcPr>
          <w:p w14:paraId="7DE69221" w14:textId="77777777" w:rsidR="00000000" w:rsidRDefault="00847163">
            <w:pPr>
              <w:jc w:val="center"/>
              <w:rPr>
                <w:rFonts w:eastAsia="Times New Roman"/>
                <w:sz w:val="16"/>
                <w:szCs w:val="16"/>
              </w:rPr>
            </w:pPr>
            <w:r>
              <w:rPr>
                <w:rFonts w:eastAsia="Times New Roman"/>
                <w:b/>
                <w:bCs/>
                <w:sz w:val="16"/>
                <w:szCs w:val="16"/>
              </w:rPr>
              <w:t> </w:t>
            </w:r>
          </w:p>
        </w:tc>
        <w:tc>
          <w:tcPr>
            <w:tcW w:w="50" w:type="pct"/>
            <w:vAlign w:val="bottom"/>
            <w:hideMark/>
          </w:tcPr>
          <w:p w14:paraId="1180FB98" w14:textId="77777777" w:rsidR="00000000" w:rsidRDefault="00847163">
            <w:pPr>
              <w:rPr>
                <w:rFonts w:eastAsia="Times New Roman"/>
                <w:sz w:val="16"/>
                <w:szCs w:val="16"/>
              </w:rPr>
            </w:pPr>
            <w:r>
              <w:rPr>
                <w:rFonts w:eastAsia="Times New Roman"/>
                <w:b/>
                <w:bCs/>
                <w:sz w:val="16"/>
                <w:szCs w:val="16"/>
              </w:rPr>
              <w:t> </w:t>
            </w:r>
          </w:p>
        </w:tc>
        <w:tc>
          <w:tcPr>
            <w:tcW w:w="50" w:type="pct"/>
            <w:vAlign w:val="bottom"/>
            <w:hideMark/>
          </w:tcPr>
          <w:p w14:paraId="1C40B696" w14:textId="77777777" w:rsidR="00000000" w:rsidRDefault="00847163">
            <w:pPr>
              <w:rPr>
                <w:rFonts w:eastAsia="Times New Roman"/>
                <w:sz w:val="16"/>
                <w:szCs w:val="16"/>
              </w:rPr>
            </w:pPr>
            <w:r>
              <w:rPr>
                <w:rFonts w:eastAsia="Times New Roman"/>
                <w:sz w:val="16"/>
                <w:szCs w:val="16"/>
              </w:rPr>
              <w:t> </w:t>
            </w:r>
          </w:p>
        </w:tc>
        <w:tc>
          <w:tcPr>
            <w:tcW w:w="50" w:type="pct"/>
            <w:vAlign w:val="bottom"/>
            <w:hideMark/>
          </w:tcPr>
          <w:p w14:paraId="79A94D17" w14:textId="77777777" w:rsidR="00000000" w:rsidRDefault="00847163">
            <w:pPr>
              <w:rPr>
                <w:rFonts w:eastAsia="Times New Roman"/>
                <w:sz w:val="16"/>
                <w:szCs w:val="16"/>
              </w:rPr>
            </w:pPr>
            <w:r>
              <w:rPr>
                <w:rFonts w:eastAsia="Times New Roman"/>
                <w:b/>
                <w:bCs/>
                <w:sz w:val="16"/>
                <w:szCs w:val="16"/>
              </w:rPr>
              <w:t> </w:t>
            </w:r>
          </w:p>
        </w:tc>
        <w:tc>
          <w:tcPr>
            <w:tcW w:w="200" w:type="pct"/>
            <w:vAlign w:val="bottom"/>
            <w:hideMark/>
          </w:tcPr>
          <w:p w14:paraId="6EFF58D3" w14:textId="77777777" w:rsidR="00000000" w:rsidRDefault="00847163">
            <w:pPr>
              <w:jc w:val="center"/>
              <w:rPr>
                <w:rFonts w:eastAsia="Times New Roman"/>
                <w:sz w:val="16"/>
                <w:szCs w:val="16"/>
              </w:rPr>
            </w:pPr>
            <w:r>
              <w:rPr>
                <w:rFonts w:eastAsia="Times New Roman"/>
                <w:b/>
                <w:bCs/>
                <w:sz w:val="16"/>
                <w:szCs w:val="16"/>
              </w:rPr>
              <w:t> </w:t>
            </w:r>
          </w:p>
        </w:tc>
        <w:tc>
          <w:tcPr>
            <w:tcW w:w="50" w:type="pct"/>
            <w:vAlign w:val="bottom"/>
            <w:hideMark/>
          </w:tcPr>
          <w:p w14:paraId="54FF7F07" w14:textId="77777777" w:rsidR="00000000" w:rsidRDefault="00847163">
            <w:pPr>
              <w:rPr>
                <w:rFonts w:eastAsia="Times New Roman"/>
                <w:sz w:val="16"/>
                <w:szCs w:val="16"/>
              </w:rPr>
            </w:pPr>
            <w:r>
              <w:rPr>
                <w:rFonts w:eastAsia="Times New Roman"/>
                <w:b/>
                <w:bCs/>
                <w:sz w:val="16"/>
                <w:szCs w:val="16"/>
              </w:rPr>
              <w:t> </w:t>
            </w:r>
          </w:p>
        </w:tc>
      </w:tr>
      <w:tr w:rsidR="00000000" w14:paraId="5A8A62E1" w14:textId="77777777">
        <w:trPr>
          <w:divId w:val="323124837"/>
          <w:tblCellSpacing w:w="0" w:type="dxa"/>
        </w:trPr>
        <w:tc>
          <w:tcPr>
            <w:tcW w:w="1500" w:type="pct"/>
            <w:vAlign w:val="bottom"/>
            <w:hideMark/>
          </w:tcPr>
          <w:p w14:paraId="1DD20477" w14:textId="77777777" w:rsidR="00000000" w:rsidRDefault="00847163">
            <w:pPr>
              <w:rPr>
                <w:rFonts w:eastAsia="Times New Roman"/>
                <w:sz w:val="16"/>
                <w:szCs w:val="16"/>
              </w:rPr>
            </w:pPr>
            <w:r>
              <w:rPr>
                <w:rFonts w:eastAsia="Times New Roman"/>
                <w:sz w:val="16"/>
                <w:szCs w:val="16"/>
              </w:rPr>
              <w:t> </w:t>
            </w:r>
          </w:p>
        </w:tc>
        <w:tc>
          <w:tcPr>
            <w:tcW w:w="50" w:type="pct"/>
            <w:vAlign w:val="bottom"/>
            <w:hideMark/>
          </w:tcPr>
          <w:p w14:paraId="1D020F4A" w14:textId="77777777" w:rsidR="00000000" w:rsidRDefault="00847163">
            <w:pPr>
              <w:rPr>
                <w:rFonts w:eastAsia="Times New Roman"/>
                <w:sz w:val="16"/>
                <w:szCs w:val="16"/>
              </w:rPr>
            </w:pPr>
            <w:r>
              <w:rPr>
                <w:rFonts w:eastAsia="Times New Roman"/>
                <w:sz w:val="16"/>
                <w:szCs w:val="16"/>
              </w:rPr>
              <w:t> </w:t>
            </w:r>
          </w:p>
        </w:tc>
        <w:tc>
          <w:tcPr>
            <w:tcW w:w="100" w:type="pct"/>
            <w:gridSpan w:val="2"/>
            <w:vAlign w:val="bottom"/>
            <w:hideMark/>
          </w:tcPr>
          <w:p w14:paraId="73115D5A" w14:textId="77777777" w:rsidR="00000000" w:rsidRDefault="00847163">
            <w:pPr>
              <w:pStyle w:val="a3"/>
              <w:spacing w:before="0" w:beforeAutospacing="0" w:after="0" w:afterAutospacing="0"/>
              <w:jc w:val="center"/>
              <w:rPr>
                <w:sz w:val="16"/>
                <w:szCs w:val="16"/>
              </w:rPr>
            </w:pPr>
            <w:r>
              <w:rPr>
                <w:b/>
                <w:bCs/>
                <w:sz w:val="16"/>
                <w:szCs w:val="16"/>
              </w:rPr>
              <w:t>Distributions in</w:t>
            </w:r>
          </w:p>
        </w:tc>
        <w:tc>
          <w:tcPr>
            <w:tcW w:w="50" w:type="pct"/>
            <w:vAlign w:val="bottom"/>
            <w:hideMark/>
          </w:tcPr>
          <w:p w14:paraId="7C372CDE" w14:textId="77777777" w:rsidR="00000000" w:rsidRDefault="00847163">
            <w:pPr>
              <w:rPr>
                <w:rFonts w:eastAsia="Times New Roman"/>
                <w:sz w:val="16"/>
                <w:szCs w:val="16"/>
              </w:rPr>
            </w:pPr>
            <w:r>
              <w:rPr>
                <w:rFonts w:eastAsia="Times New Roman"/>
                <w:sz w:val="16"/>
                <w:szCs w:val="16"/>
              </w:rPr>
              <w:t> </w:t>
            </w:r>
          </w:p>
        </w:tc>
        <w:tc>
          <w:tcPr>
            <w:tcW w:w="50" w:type="pct"/>
            <w:vAlign w:val="bottom"/>
            <w:hideMark/>
          </w:tcPr>
          <w:p w14:paraId="6BC1457E" w14:textId="77777777" w:rsidR="00000000" w:rsidRDefault="00847163">
            <w:pPr>
              <w:rPr>
                <w:rFonts w:eastAsia="Times New Roman"/>
                <w:sz w:val="16"/>
                <w:szCs w:val="16"/>
              </w:rPr>
            </w:pPr>
            <w:r>
              <w:rPr>
                <w:rFonts w:eastAsia="Times New Roman"/>
                <w:sz w:val="16"/>
                <w:szCs w:val="16"/>
              </w:rPr>
              <w:t> </w:t>
            </w:r>
          </w:p>
        </w:tc>
        <w:tc>
          <w:tcPr>
            <w:tcW w:w="400" w:type="pct"/>
            <w:gridSpan w:val="6"/>
            <w:tcBorders>
              <w:bottom w:val="single" w:sz="6" w:space="0" w:color="000000"/>
            </w:tcBorders>
            <w:vAlign w:val="bottom"/>
            <w:hideMark/>
          </w:tcPr>
          <w:p w14:paraId="7093F4EC" w14:textId="77777777" w:rsidR="00000000" w:rsidRDefault="00847163">
            <w:pPr>
              <w:pStyle w:val="a3"/>
              <w:spacing w:before="0" w:beforeAutospacing="0" w:after="0" w:afterAutospacing="0"/>
              <w:jc w:val="center"/>
              <w:rPr>
                <w:sz w:val="16"/>
                <w:szCs w:val="16"/>
              </w:rPr>
            </w:pPr>
            <w:r>
              <w:rPr>
                <w:b/>
                <w:bCs/>
                <w:sz w:val="16"/>
                <w:szCs w:val="16"/>
              </w:rPr>
              <w:t>Preferred Stock</w:t>
            </w:r>
          </w:p>
        </w:tc>
        <w:tc>
          <w:tcPr>
            <w:tcW w:w="50" w:type="pct"/>
            <w:tcBorders>
              <w:bottom w:val="single" w:sz="6" w:space="0" w:color="000000"/>
            </w:tcBorders>
            <w:vAlign w:val="bottom"/>
            <w:hideMark/>
          </w:tcPr>
          <w:p w14:paraId="7727EF34" w14:textId="77777777" w:rsidR="00000000" w:rsidRDefault="00847163">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14:paraId="52108644" w14:textId="77777777" w:rsidR="00000000" w:rsidRDefault="00847163">
            <w:pPr>
              <w:rPr>
                <w:rFonts w:eastAsia="Times New Roman"/>
                <w:sz w:val="16"/>
                <w:szCs w:val="16"/>
              </w:rPr>
            </w:pPr>
            <w:r>
              <w:rPr>
                <w:rFonts w:eastAsia="Times New Roman"/>
                <w:sz w:val="16"/>
                <w:szCs w:val="16"/>
              </w:rPr>
              <w:t> </w:t>
            </w:r>
          </w:p>
        </w:tc>
        <w:tc>
          <w:tcPr>
            <w:tcW w:w="400" w:type="pct"/>
            <w:gridSpan w:val="6"/>
            <w:tcBorders>
              <w:bottom w:val="single" w:sz="6" w:space="0" w:color="000000"/>
            </w:tcBorders>
            <w:vAlign w:val="bottom"/>
            <w:hideMark/>
          </w:tcPr>
          <w:p w14:paraId="5EFBB997" w14:textId="77777777" w:rsidR="00000000" w:rsidRDefault="00847163">
            <w:pPr>
              <w:pStyle w:val="a3"/>
              <w:spacing w:before="0" w:beforeAutospacing="0" w:after="0" w:afterAutospacing="0"/>
              <w:jc w:val="center"/>
              <w:rPr>
                <w:sz w:val="16"/>
                <w:szCs w:val="16"/>
              </w:rPr>
            </w:pPr>
            <w:r>
              <w:rPr>
                <w:b/>
                <w:bCs/>
                <w:sz w:val="16"/>
                <w:szCs w:val="16"/>
              </w:rPr>
              <w:t>Common Stock</w:t>
            </w:r>
          </w:p>
        </w:tc>
        <w:tc>
          <w:tcPr>
            <w:tcW w:w="50" w:type="pct"/>
            <w:vAlign w:val="bottom"/>
            <w:hideMark/>
          </w:tcPr>
          <w:p w14:paraId="7A0BBC5B" w14:textId="77777777" w:rsidR="00000000" w:rsidRDefault="00847163">
            <w:pPr>
              <w:rPr>
                <w:rFonts w:eastAsia="Times New Roman"/>
                <w:sz w:val="16"/>
                <w:szCs w:val="16"/>
              </w:rPr>
            </w:pPr>
            <w:r>
              <w:rPr>
                <w:rFonts w:eastAsia="Times New Roman"/>
                <w:sz w:val="16"/>
                <w:szCs w:val="16"/>
              </w:rPr>
              <w:t> </w:t>
            </w:r>
          </w:p>
        </w:tc>
        <w:tc>
          <w:tcPr>
            <w:tcW w:w="50" w:type="pct"/>
            <w:vAlign w:val="bottom"/>
            <w:hideMark/>
          </w:tcPr>
          <w:p w14:paraId="2F45DB7B" w14:textId="77777777" w:rsidR="00000000" w:rsidRDefault="00847163">
            <w:pPr>
              <w:rPr>
                <w:rFonts w:eastAsia="Times New Roman"/>
                <w:sz w:val="16"/>
                <w:szCs w:val="16"/>
              </w:rPr>
            </w:pPr>
            <w:r>
              <w:rPr>
                <w:rFonts w:eastAsia="Times New Roman"/>
                <w:sz w:val="16"/>
                <w:szCs w:val="16"/>
              </w:rPr>
              <w:t> </w:t>
            </w:r>
          </w:p>
        </w:tc>
        <w:tc>
          <w:tcPr>
            <w:tcW w:w="50" w:type="pct"/>
            <w:gridSpan w:val="2"/>
            <w:vAlign w:val="bottom"/>
            <w:hideMark/>
          </w:tcPr>
          <w:p w14:paraId="2601D13B" w14:textId="77777777" w:rsidR="00000000" w:rsidRDefault="00847163">
            <w:pPr>
              <w:pStyle w:val="a3"/>
              <w:spacing w:before="0" w:beforeAutospacing="0" w:after="0" w:afterAutospacing="0"/>
              <w:jc w:val="center"/>
              <w:rPr>
                <w:sz w:val="16"/>
                <w:szCs w:val="16"/>
              </w:rPr>
            </w:pPr>
            <w:r>
              <w:rPr>
                <w:b/>
                <w:bCs/>
                <w:sz w:val="16"/>
                <w:szCs w:val="16"/>
              </w:rPr>
              <w:t>Paid-in</w:t>
            </w:r>
          </w:p>
        </w:tc>
        <w:tc>
          <w:tcPr>
            <w:tcW w:w="50" w:type="pct"/>
            <w:vAlign w:val="bottom"/>
            <w:hideMark/>
          </w:tcPr>
          <w:p w14:paraId="2EC48C37" w14:textId="77777777" w:rsidR="00000000" w:rsidRDefault="00847163">
            <w:pPr>
              <w:rPr>
                <w:rFonts w:eastAsia="Times New Roman"/>
                <w:sz w:val="16"/>
                <w:szCs w:val="16"/>
              </w:rPr>
            </w:pPr>
            <w:r>
              <w:rPr>
                <w:rFonts w:eastAsia="Times New Roman"/>
                <w:sz w:val="16"/>
                <w:szCs w:val="16"/>
              </w:rPr>
              <w:t> </w:t>
            </w:r>
          </w:p>
        </w:tc>
        <w:tc>
          <w:tcPr>
            <w:tcW w:w="50" w:type="pct"/>
            <w:vAlign w:val="bottom"/>
            <w:hideMark/>
          </w:tcPr>
          <w:p w14:paraId="4543F445" w14:textId="77777777" w:rsidR="00000000" w:rsidRDefault="00847163">
            <w:pPr>
              <w:rPr>
                <w:rFonts w:eastAsia="Times New Roman"/>
                <w:sz w:val="16"/>
                <w:szCs w:val="16"/>
              </w:rPr>
            </w:pPr>
            <w:r>
              <w:rPr>
                <w:rFonts w:eastAsia="Times New Roman"/>
                <w:sz w:val="16"/>
                <w:szCs w:val="16"/>
              </w:rPr>
              <w:t> </w:t>
            </w:r>
          </w:p>
        </w:tc>
        <w:tc>
          <w:tcPr>
            <w:tcW w:w="50" w:type="pct"/>
            <w:gridSpan w:val="2"/>
            <w:vAlign w:val="bottom"/>
            <w:hideMark/>
          </w:tcPr>
          <w:p w14:paraId="5AFED02F" w14:textId="77777777" w:rsidR="00000000" w:rsidRDefault="00847163">
            <w:pPr>
              <w:pStyle w:val="a3"/>
              <w:spacing w:before="0" w:beforeAutospacing="0" w:after="0" w:afterAutospacing="0"/>
              <w:jc w:val="center"/>
              <w:rPr>
                <w:sz w:val="16"/>
                <w:szCs w:val="16"/>
              </w:rPr>
            </w:pPr>
            <w:r>
              <w:rPr>
                <w:b/>
                <w:bCs/>
                <w:sz w:val="16"/>
                <w:szCs w:val="16"/>
              </w:rPr>
              <w:t>Stockholders'</w:t>
            </w:r>
          </w:p>
        </w:tc>
        <w:tc>
          <w:tcPr>
            <w:tcW w:w="50" w:type="pct"/>
            <w:vAlign w:val="bottom"/>
            <w:hideMark/>
          </w:tcPr>
          <w:p w14:paraId="7C858219" w14:textId="77777777" w:rsidR="00000000" w:rsidRDefault="00847163">
            <w:pPr>
              <w:rPr>
                <w:rFonts w:eastAsia="Times New Roman"/>
                <w:sz w:val="16"/>
                <w:szCs w:val="16"/>
              </w:rPr>
            </w:pPr>
            <w:r>
              <w:rPr>
                <w:rFonts w:eastAsia="Times New Roman"/>
                <w:sz w:val="16"/>
                <w:szCs w:val="16"/>
              </w:rPr>
              <w:t> </w:t>
            </w:r>
          </w:p>
        </w:tc>
        <w:tc>
          <w:tcPr>
            <w:tcW w:w="50" w:type="pct"/>
            <w:vAlign w:val="bottom"/>
            <w:hideMark/>
          </w:tcPr>
          <w:p w14:paraId="28DCEFEC" w14:textId="77777777" w:rsidR="00000000" w:rsidRDefault="00847163">
            <w:pPr>
              <w:rPr>
                <w:rFonts w:eastAsia="Times New Roman"/>
                <w:sz w:val="16"/>
                <w:szCs w:val="16"/>
              </w:rPr>
            </w:pPr>
            <w:r>
              <w:rPr>
                <w:rFonts w:eastAsia="Times New Roman"/>
                <w:sz w:val="16"/>
                <w:szCs w:val="16"/>
              </w:rPr>
              <w:t> </w:t>
            </w:r>
          </w:p>
        </w:tc>
        <w:tc>
          <w:tcPr>
            <w:tcW w:w="50" w:type="pct"/>
            <w:gridSpan w:val="2"/>
            <w:vAlign w:val="bottom"/>
            <w:hideMark/>
          </w:tcPr>
          <w:p w14:paraId="3EECE782" w14:textId="77777777" w:rsidR="00000000" w:rsidRDefault="00847163">
            <w:pPr>
              <w:pStyle w:val="a3"/>
              <w:spacing w:before="0" w:beforeAutospacing="0" w:after="0" w:afterAutospacing="0"/>
              <w:jc w:val="center"/>
              <w:rPr>
                <w:sz w:val="16"/>
                <w:szCs w:val="16"/>
              </w:rPr>
            </w:pPr>
            <w:r>
              <w:rPr>
                <w:b/>
                <w:bCs/>
                <w:sz w:val="16"/>
                <w:szCs w:val="16"/>
              </w:rPr>
              <w:t>Noncontrolling</w:t>
            </w:r>
          </w:p>
        </w:tc>
        <w:tc>
          <w:tcPr>
            <w:tcW w:w="50" w:type="pct"/>
            <w:vAlign w:val="bottom"/>
            <w:hideMark/>
          </w:tcPr>
          <w:p w14:paraId="217A379A" w14:textId="77777777" w:rsidR="00000000" w:rsidRDefault="00847163">
            <w:pPr>
              <w:rPr>
                <w:rFonts w:eastAsia="Times New Roman"/>
                <w:sz w:val="16"/>
                <w:szCs w:val="16"/>
              </w:rPr>
            </w:pPr>
            <w:r>
              <w:rPr>
                <w:rFonts w:eastAsia="Times New Roman"/>
                <w:sz w:val="16"/>
                <w:szCs w:val="16"/>
              </w:rPr>
              <w:t> </w:t>
            </w:r>
          </w:p>
        </w:tc>
        <w:tc>
          <w:tcPr>
            <w:tcW w:w="50" w:type="pct"/>
            <w:vAlign w:val="bottom"/>
            <w:hideMark/>
          </w:tcPr>
          <w:p w14:paraId="68B3CC76" w14:textId="77777777" w:rsidR="00000000" w:rsidRDefault="00847163">
            <w:pPr>
              <w:rPr>
                <w:rFonts w:eastAsia="Times New Roman"/>
                <w:sz w:val="16"/>
                <w:szCs w:val="16"/>
              </w:rPr>
            </w:pPr>
            <w:r>
              <w:rPr>
                <w:rFonts w:eastAsia="Times New Roman"/>
                <w:sz w:val="16"/>
                <w:szCs w:val="16"/>
              </w:rPr>
              <w:t> </w:t>
            </w:r>
          </w:p>
        </w:tc>
        <w:tc>
          <w:tcPr>
            <w:tcW w:w="50" w:type="pct"/>
            <w:gridSpan w:val="2"/>
            <w:vAlign w:val="bottom"/>
            <w:hideMark/>
          </w:tcPr>
          <w:p w14:paraId="54B7A993" w14:textId="77777777" w:rsidR="00000000" w:rsidRDefault="00847163">
            <w:pPr>
              <w:pStyle w:val="a3"/>
              <w:spacing w:before="0" w:beforeAutospacing="0" w:after="0" w:afterAutospacing="0"/>
              <w:jc w:val="center"/>
              <w:rPr>
                <w:sz w:val="16"/>
                <w:szCs w:val="16"/>
              </w:rPr>
            </w:pPr>
            <w:r>
              <w:rPr>
                <w:b/>
                <w:bCs/>
                <w:sz w:val="16"/>
                <w:szCs w:val="16"/>
              </w:rPr>
              <w:t>Total</w:t>
            </w:r>
          </w:p>
        </w:tc>
        <w:tc>
          <w:tcPr>
            <w:tcW w:w="50" w:type="pct"/>
            <w:vAlign w:val="bottom"/>
            <w:hideMark/>
          </w:tcPr>
          <w:p w14:paraId="24F15D06" w14:textId="77777777" w:rsidR="00000000" w:rsidRDefault="00847163">
            <w:pPr>
              <w:rPr>
                <w:rFonts w:eastAsia="Times New Roman"/>
                <w:sz w:val="16"/>
                <w:szCs w:val="16"/>
              </w:rPr>
            </w:pPr>
            <w:r>
              <w:rPr>
                <w:rFonts w:eastAsia="Times New Roman"/>
                <w:sz w:val="16"/>
                <w:szCs w:val="16"/>
              </w:rPr>
              <w:t> </w:t>
            </w:r>
          </w:p>
        </w:tc>
      </w:tr>
      <w:tr w:rsidR="00000000" w14:paraId="3C44F6D9" w14:textId="77777777">
        <w:trPr>
          <w:divId w:val="323124837"/>
          <w:tblCellSpacing w:w="0" w:type="dxa"/>
        </w:trPr>
        <w:tc>
          <w:tcPr>
            <w:tcW w:w="1500" w:type="pct"/>
            <w:vAlign w:val="bottom"/>
            <w:hideMark/>
          </w:tcPr>
          <w:p w14:paraId="0A003852" w14:textId="77777777" w:rsidR="00000000" w:rsidRDefault="00847163">
            <w:pPr>
              <w:rPr>
                <w:rFonts w:eastAsia="Times New Roman"/>
                <w:sz w:val="16"/>
                <w:szCs w:val="16"/>
              </w:rPr>
            </w:pPr>
            <w:r>
              <w:rPr>
                <w:rFonts w:eastAsia="Times New Roman"/>
                <w:sz w:val="16"/>
                <w:szCs w:val="16"/>
              </w:rPr>
              <w:t> </w:t>
            </w:r>
          </w:p>
        </w:tc>
        <w:tc>
          <w:tcPr>
            <w:tcW w:w="50" w:type="pct"/>
            <w:vAlign w:val="bottom"/>
            <w:hideMark/>
          </w:tcPr>
          <w:p w14:paraId="457D4874" w14:textId="77777777" w:rsidR="00000000" w:rsidRDefault="00847163">
            <w:pPr>
              <w:rPr>
                <w:rFonts w:eastAsia="Times New Roman"/>
                <w:sz w:val="16"/>
                <w:szCs w:val="16"/>
              </w:rPr>
            </w:pPr>
            <w:r>
              <w:rPr>
                <w:rFonts w:eastAsia="Times New Roman"/>
                <w:sz w:val="16"/>
                <w:szCs w:val="16"/>
              </w:rPr>
              <w:t> </w:t>
            </w:r>
          </w:p>
        </w:tc>
        <w:tc>
          <w:tcPr>
            <w:tcW w:w="100" w:type="pct"/>
            <w:gridSpan w:val="2"/>
            <w:tcBorders>
              <w:bottom w:val="single" w:sz="6" w:space="0" w:color="000000"/>
            </w:tcBorders>
            <w:vAlign w:val="bottom"/>
            <w:hideMark/>
          </w:tcPr>
          <w:p w14:paraId="7251597D" w14:textId="77777777" w:rsidR="00000000" w:rsidRDefault="00847163">
            <w:pPr>
              <w:pStyle w:val="a3"/>
              <w:spacing w:before="0" w:beforeAutospacing="0" w:after="0" w:afterAutospacing="0"/>
              <w:jc w:val="center"/>
              <w:rPr>
                <w:sz w:val="16"/>
                <w:szCs w:val="16"/>
              </w:rPr>
            </w:pPr>
            <w:r>
              <w:rPr>
                <w:b/>
                <w:bCs/>
                <w:sz w:val="16"/>
                <w:szCs w:val="16"/>
              </w:rPr>
              <w:t>Excess of Net Income</w:t>
            </w:r>
          </w:p>
        </w:tc>
        <w:tc>
          <w:tcPr>
            <w:tcW w:w="50" w:type="pct"/>
            <w:tcBorders>
              <w:bottom w:val="single" w:sz="6" w:space="0" w:color="000000"/>
            </w:tcBorders>
            <w:vAlign w:val="bottom"/>
            <w:hideMark/>
          </w:tcPr>
          <w:p w14:paraId="35E2F7F6" w14:textId="77777777" w:rsidR="00000000" w:rsidRDefault="00847163">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14:paraId="5F4F7367" w14:textId="77777777" w:rsidR="00000000" w:rsidRDefault="00847163">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14:paraId="060B2ADC" w14:textId="77777777" w:rsidR="00000000" w:rsidRDefault="00847163">
            <w:pPr>
              <w:pStyle w:val="a3"/>
              <w:spacing w:before="0" w:beforeAutospacing="0" w:after="0" w:afterAutospacing="0"/>
              <w:jc w:val="center"/>
              <w:rPr>
                <w:sz w:val="16"/>
                <w:szCs w:val="16"/>
              </w:rPr>
            </w:pPr>
            <w:r>
              <w:rPr>
                <w:b/>
                <w:bCs/>
                <w:sz w:val="16"/>
                <w:szCs w:val="16"/>
              </w:rPr>
              <w:t>Issued</w:t>
            </w:r>
          </w:p>
        </w:tc>
        <w:tc>
          <w:tcPr>
            <w:tcW w:w="50" w:type="pct"/>
            <w:tcBorders>
              <w:bottom w:val="single" w:sz="6" w:space="0" w:color="000000"/>
            </w:tcBorders>
            <w:vAlign w:val="bottom"/>
            <w:hideMark/>
          </w:tcPr>
          <w:p w14:paraId="7577F7BC" w14:textId="77777777" w:rsidR="00000000" w:rsidRDefault="00847163">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14:paraId="1667E1E2" w14:textId="77777777" w:rsidR="00000000" w:rsidRDefault="00847163">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14:paraId="2A5154DF" w14:textId="77777777" w:rsidR="00000000" w:rsidRDefault="00847163">
            <w:pPr>
              <w:pStyle w:val="a3"/>
              <w:spacing w:before="0" w:beforeAutospacing="0" w:after="0" w:afterAutospacing="0"/>
              <w:jc w:val="center"/>
              <w:rPr>
                <w:sz w:val="16"/>
                <w:szCs w:val="16"/>
              </w:rPr>
            </w:pPr>
            <w:r>
              <w:rPr>
                <w:b/>
                <w:bCs/>
                <w:sz w:val="16"/>
                <w:szCs w:val="16"/>
              </w:rPr>
              <w:t>Amount</w:t>
            </w:r>
          </w:p>
        </w:tc>
        <w:tc>
          <w:tcPr>
            <w:tcW w:w="50" w:type="pct"/>
            <w:tcBorders>
              <w:bottom w:val="single" w:sz="6" w:space="0" w:color="000000"/>
            </w:tcBorders>
            <w:vAlign w:val="bottom"/>
            <w:hideMark/>
          </w:tcPr>
          <w:p w14:paraId="0D31CA94" w14:textId="77777777" w:rsidR="00000000" w:rsidRDefault="00847163">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14:paraId="4A3541E4" w14:textId="77777777" w:rsidR="00000000" w:rsidRDefault="00847163">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14:paraId="782DB585" w14:textId="77777777" w:rsidR="00000000" w:rsidRDefault="00847163">
            <w:pPr>
              <w:pStyle w:val="a3"/>
              <w:spacing w:before="0" w:beforeAutospacing="0" w:after="0" w:afterAutospacing="0"/>
              <w:jc w:val="center"/>
              <w:rPr>
                <w:sz w:val="16"/>
                <w:szCs w:val="16"/>
              </w:rPr>
            </w:pPr>
            <w:r>
              <w:rPr>
                <w:b/>
                <w:bCs/>
                <w:sz w:val="16"/>
                <w:szCs w:val="16"/>
              </w:rPr>
              <w:t>Issued</w:t>
            </w:r>
          </w:p>
        </w:tc>
        <w:tc>
          <w:tcPr>
            <w:tcW w:w="50" w:type="pct"/>
            <w:tcBorders>
              <w:bottom w:val="single" w:sz="6" w:space="0" w:color="000000"/>
            </w:tcBorders>
            <w:vAlign w:val="bottom"/>
            <w:hideMark/>
          </w:tcPr>
          <w:p w14:paraId="0C99AC86" w14:textId="77777777" w:rsidR="00000000" w:rsidRDefault="00847163">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14:paraId="7E7C583C" w14:textId="77777777" w:rsidR="00000000" w:rsidRDefault="00847163">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14:paraId="0351E18C" w14:textId="77777777" w:rsidR="00000000" w:rsidRDefault="00847163">
            <w:pPr>
              <w:pStyle w:val="a3"/>
              <w:spacing w:before="0" w:beforeAutospacing="0" w:after="0" w:afterAutospacing="0"/>
              <w:jc w:val="center"/>
              <w:rPr>
                <w:sz w:val="16"/>
                <w:szCs w:val="16"/>
              </w:rPr>
            </w:pPr>
            <w:r>
              <w:rPr>
                <w:b/>
                <w:bCs/>
                <w:sz w:val="16"/>
                <w:szCs w:val="16"/>
              </w:rPr>
              <w:t>Amount</w:t>
            </w:r>
          </w:p>
        </w:tc>
        <w:tc>
          <w:tcPr>
            <w:tcW w:w="50" w:type="pct"/>
            <w:tcBorders>
              <w:bottom w:val="single" w:sz="6" w:space="0" w:color="000000"/>
            </w:tcBorders>
            <w:vAlign w:val="bottom"/>
            <w:hideMark/>
          </w:tcPr>
          <w:p w14:paraId="77467320" w14:textId="77777777" w:rsidR="00000000" w:rsidRDefault="00847163">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14:paraId="64BB8677" w14:textId="77777777" w:rsidR="00000000" w:rsidRDefault="00847163">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14:paraId="09226D1C" w14:textId="77777777" w:rsidR="00000000" w:rsidRDefault="00847163">
            <w:pPr>
              <w:pStyle w:val="a3"/>
              <w:spacing w:before="0" w:beforeAutospacing="0" w:after="0" w:afterAutospacing="0"/>
              <w:jc w:val="center"/>
              <w:rPr>
                <w:sz w:val="16"/>
                <w:szCs w:val="16"/>
              </w:rPr>
            </w:pPr>
            <w:r>
              <w:rPr>
                <w:b/>
                <w:bCs/>
                <w:sz w:val="16"/>
                <w:szCs w:val="16"/>
              </w:rPr>
              <w:t>Capital</w:t>
            </w:r>
          </w:p>
        </w:tc>
        <w:tc>
          <w:tcPr>
            <w:tcW w:w="50" w:type="pct"/>
            <w:tcBorders>
              <w:bottom w:val="single" w:sz="6" w:space="0" w:color="000000"/>
            </w:tcBorders>
            <w:vAlign w:val="bottom"/>
            <w:hideMark/>
          </w:tcPr>
          <w:p w14:paraId="08C0718A" w14:textId="77777777" w:rsidR="00000000" w:rsidRDefault="00847163">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14:paraId="59D06E9B" w14:textId="77777777" w:rsidR="00000000" w:rsidRDefault="00847163">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14:paraId="2C302858" w14:textId="77777777" w:rsidR="00000000" w:rsidRDefault="00847163">
            <w:pPr>
              <w:pStyle w:val="a3"/>
              <w:spacing w:before="0" w:beforeAutospacing="0" w:after="0" w:afterAutospacing="0"/>
              <w:jc w:val="center"/>
              <w:rPr>
                <w:sz w:val="16"/>
                <w:szCs w:val="16"/>
              </w:rPr>
            </w:pPr>
            <w:r>
              <w:rPr>
                <w:b/>
                <w:bCs/>
                <w:sz w:val="16"/>
                <w:szCs w:val="16"/>
              </w:rPr>
              <w:t>Equity</w:t>
            </w:r>
          </w:p>
        </w:tc>
        <w:tc>
          <w:tcPr>
            <w:tcW w:w="50" w:type="pct"/>
            <w:tcBorders>
              <w:bottom w:val="single" w:sz="6" w:space="0" w:color="000000"/>
            </w:tcBorders>
            <w:vAlign w:val="bottom"/>
            <w:hideMark/>
          </w:tcPr>
          <w:p w14:paraId="4E88915C" w14:textId="77777777" w:rsidR="00000000" w:rsidRDefault="00847163">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14:paraId="683D44A5" w14:textId="77777777" w:rsidR="00000000" w:rsidRDefault="00847163">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14:paraId="117F600F" w14:textId="77777777" w:rsidR="00000000" w:rsidRDefault="00847163">
            <w:pPr>
              <w:pStyle w:val="a3"/>
              <w:spacing w:before="0" w:beforeAutospacing="0" w:after="0" w:afterAutospacing="0"/>
              <w:jc w:val="center"/>
              <w:rPr>
                <w:sz w:val="16"/>
                <w:szCs w:val="16"/>
              </w:rPr>
            </w:pPr>
            <w:r>
              <w:rPr>
                <w:b/>
                <w:bCs/>
                <w:sz w:val="16"/>
                <w:szCs w:val="16"/>
              </w:rPr>
              <w:t>Interests</w:t>
            </w:r>
          </w:p>
        </w:tc>
        <w:tc>
          <w:tcPr>
            <w:tcW w:w="50" w:type="pct"/>
            <w:tcBorders>
              <w:bottom w:val="single" w:sz="6" w:space="0" w:color="000000"/>
            </w:tcBorders>
            <w:vAlign w:val="bottom"/>
            <w:hideMark/>
          </w:tcPr>
          <w:p w14:paraId="5E94EB6D" w14:textId="77777777" w:rsidR="00000000" w:rsidRDefault="00847163">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14:paraId="1218957C" w14:textId="77777777" w:rsidR="00000000" w:rsidRDefault="00847163">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14:paraId="542B6434" w14:textId="77777777" w:rsidR="00000000" w:rsidRDefault="00847163">
            <w:pPr>
              <w:pStyle w:val="a3"/>
              <w:spacing w:before="0" w:beforeAutospacing="0" w:after="0" w:afterAutospacing="0"/>
              <w:jc w:val="center"/>
              <w:rPr>
                <w:sz w:val="16"/>
                <w:szCs w:val="16"/>
              </w:rPr>
            </w:pPr>
            <w:r>
              <w:rPr>
                <w:b/>
                <w:bCs/>
                <w:sz w:val="16"/>
                <w:szCs w:val="16"/>
              </w:rPr>
              <w:t>Equity</w:t>
            </w:r>
          </w:p>
        </w:tc>
        <w:tc>
          <w:tcPr>
            <w:tcW w:w="50" w:type="pct"/>
            <w:tcMar>
              <w:top w:w="0" w:type="dxa"/>
              <w:left w:w="0" w:type="dxa"/>
              <w:bottom w:w="15" w:type="dxa"/>
              <w:right w:w="0" w:type="dxa"/>
            </w:tcMar>
            <w:vAlign w:val="bottom"/>
            <w:hideMark/>
          </w:tcPr>
          <w:p w14:paraId="1FAFF489" w14:textId="77777777" w:rsidR="00000000" w:rsidRDefault="00847163">
            <w:pPr>
              <w:rPr>
                <w:rFonts w:eastAsia="Times New Roman"/>
                <w:sz w:val="16"/>
                <w:szCs w:val="16"/>
              </w:rPr>
            </w:pPr>
            <w:r>
              <w:rPr>
                <w:rFonts w:eastAsia="Times New Roman"/>
                <w:sz w:val="16"/>
                <w:szCs w:val="16"/>
              </w:rPr>
              <w:t> </w:t>
            </w:r>
          </w:p>
        </w:tc>
      </w:tr>
      <w:tr w:rsidR="00847163" w14:paraId="575D392A" w14:textId="77777777">
        <w:trPr>
          <w:divId w:val="323124837"/>
          <w:tblCellSpacing w:w="0" w:type="dxa"/>
        </w:trPr>
        <w:tc>
          <w:tcPr>
            <w:tcW w:w="1500" w:type="pct"/>
            <w:shd w:val="clear" w:color="auto" w:fill="CCEEFF"/>
            <w:vAlign w:val="bottom"/>
            <w:hideMark/>
          </w:tcPr>
          <w:p w14:paraId="3CBEBCD2" w14:textId="77777777" w:rsidR="00000000" w:rsidRDefault="00847163">
            <w:pPr>
              <w:pStyle w:val="a3"/>
              <w:spacing w:before="0" w:beforeAutospacing="0" w:after="0" w:afterAutospacing="0"/>
              <w:rPr>
                <w:sz w:val="16"/>
                <w:szCs w:val="16"/>
              </w:rPr>
            </w:pPr>
            <w:r>
              <w:rPr>
                <w:sz w:val="16"/>
                <w:szCs w:val="16"/>
              </w:rPr>
              <w:t>Balance at January 1, 2019</w:t>
            </w:r>
          </w:p>
        </w:tc>
        <w:tc>
          <w:tcPr>
            <w:tcW w:w="50" w:type="pct"/>
            <w:shd w:val="clear" w:color="auto" w:fill="CCEEFF"/>
            <w:vAlign w:val="bottom"/>
            <w:hideMark/>
          </w:tcPr>
          <w:p w14:paraId="7C5EA3E5" w14:textId="77777777" w:rsidR="00000000" w:rsidRDefault="00847163">
            <w:pPr>
              <w:rPr>
                <w:rFonts w:eastAsia="Times New Roman"/>
                <w:sz w:val="16"/>
                <w:szCs w:val="16"/>
              </w:rPr>
            </w:pPr>
            <w:r>
              <w:rPr>
                <w:rFonts w:eastAsia="Times New Roman"/>
                <w:sz w:val="16"/>
                <w:szCs w:val="16"/>
              </w:rPr>
              <w:t> </w:t>
            </w:r>
          </w:p>
        </w:tc>
        <w:tc>
          <w:tcPr>
            <w:tcW w:w="100" w:type="pct"/>
            <w:shd w:val="clear" w:color="auto" w:fill="CCEEFF"/>
            <w:vAlign w:val="bottom"/>
            <w:hideMark/>
          </w:tcPr>
          <w:p w14:paraId="55C27FB3" w14:textId="77777777" w:rsidR="00000000" w:rsidRDefault="00847163">
            <w:pPr>
              <w:rPr>
                <w:rFonts w:eastAsia="Times New Roman"/>
                <w:sz w:val="16"/>
                <w:szCs w:val="16"/>
              </w:rPr>
            </w:pPr>
            <w:r>
              <w:rPr>
                <w:rFonts w:eastAsia="Times New Roman"/>
                <w:sz w:val="16"/>
                <w:szCs w:val="16"/>
              </w:rPr>
              <w:t>$</w:t>
            </w:r>
          </w:p>
        </w:tc>
        <w:tc>
          <w:tcPr>
            <w:tcW w:w="400" w:type="pct"/>
            <w:shd w:val="clear" w:color="auto" w:fill="CCEEFF"/>
            <w:vAlign w:val="bottom"/>
            <w:hideMark/>
          </w:tcPr>
          <w:p w14:paraId="21A9EB71" w14:textId="77777777" w:rsidR="00000000" w:rsidRDefault="00847163">
            <w:pPr>
              <w:jc w:val="right"/>
              <w:rPr>
                <w:rFonts w:eastAsia="Times New Roman"/>
                <w:sz w:val="16"/>
                <w:szCs w:val="16"/>
              </w:rPr>
            </w:pPr>
            <w:r>
              <w:rPr>
                <w:rFonts w:eastAsia="Times New Roman"/>
                <w:sz w:val="16"/>
                <w:szCs w:val="16"/>
              </w:rPr>
              <w:t>(787,707</w:t>
            </w:r>
          </w:p>
        </w:tc>
        <w:tc>
          <w:tcPr>
            <w:tcW w:w="50" w:type="pct"/>
            <w:shd w:val="clear" w:color="auto" w:fill="CCEEFF"/>
            <w:vAlign w:val="bottom"/>
            <w:hideMark/>
          </w:tcPr>
          <w:p w14:paraId="0EBA19BB" w14:textId="77777777" w:rsidR="00000000" w:rsidRDefault="00847163">
            <w:pPr>
              <w:rPr>
                <w:rFonts w:eastAsia="Times New Roman"/>
                <w:sz w:val="16"/>
                <w:szCs w:val="16"/>
              </w:rPr>
            </w:pPr>
            <w:r>
              <w:rPr>
                <w:rFonts w:eastAsia="Times New Roman"/>
                <w:sz w:val="16"/>
                <w:szCs w:val="16"/>
              </w:rPr>
              <w:t>)</w:t>
            </w:r>
          </w:p>
        </w:tc>
        <w:tc>
          <w:tcPr>
            <w:tcW w:w="50" w:type="pct"/>
            <w:shd w:val="clear" w:color="auto" w:fill="CCEEFF"/>
            <w:vAlign w:val="bottom"/>
            <w:hideMark/>
          </w:tcPr>
          <w:p w14:paraId="1479DFF2"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2291058E" w14:textId="77777777" w:rsidR="00000000" w:rsidRDefault="00847163">
            <w:pPr>
              <w:rPr>
                <w:rFonts w:eastAsia="Times New Roman"/>
                <w:sz w:val="16"/>
                <w:szCs w:val="16"/>
              </w:rPr>
            </w:pPr>
            <w:r>
              <w:rPr>
                <w:rFonts w:eastAsia="Times New Roman"/>
                <w:sz w:val="16"/>
                <w:szCs w:val="16"/>
              </w:rPr>
              <w:t> </w:t>
            </w:r>
          </w:p>
        </w:tc>
        <w:tc>
          <w:tcPr>
            <w:tcW w:w="200" w:type="pct"/>
            <w:shd w:val="clear" w:color="auto" w:fill="CCEEFF"/>
            <w:vAlign w:val="bottom"/>
            <w:hideMark/>
          </w:tcPr>
          <w:p w14:paraId="308EECBB" w14:textId="77777777" w:rsidR="00000000" w:rsidRDefault="00847163">
            <w:pPr>
              <w:jc w:val="right"/>
              <w:rPr>
                <w:rFonts w:eastAsia="Times New Roman"/>
                <w:sz w:val="16"/>
                <w:szCs w:val="16"/>
              </w:rPr>
            </w:pPr>
            <w:r>
              <w:rPr>
                <w:rFonts w:eastAsia="Times New Roman"/>
                <w:sz w:val="16"/>
                <w:szCs w:val="16"/>
              </w:rPr>
              <w:t>43</w:t>
            </w:r>
          </w:p>
        </w:tc>
        <w:tc>
          <w:tcPr>
            <w:tcW w:w="50" w:type="pct"/>
            <w:shd w:val="clear" w:color="auto" w:fill="CCEEFF"/>
            <w:vAlign w:val="bottom"/>
            <w:hideMark/>
          </w:tcPr>
          <w:p w14:paraId="761C9B18"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4276EDC4"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678C5064" w14:textId="77777777" w:rsidR="00000000" w:rsidRDefault="00847163">
            <w:pPr>
              <w:rPr>
                <w:rFonts w:eastAsia="Times New Roman"/>
                <w:sz w:val="16"/>
                <w:szCs w:val="16"/>
              </w:rPr>
            </w:pPr>
            <w:r>
              <w:rPr>
                <w:rFonts w:eastAsia="Times New Roman"/>
                <w:sz w:val="16"/>
                <w:szCs w:val="16"/>
              </w:rPr>
              <w:t>$</w:t>
            </w:r>
          </w:p>
        </w:tc>
        <w:tc>
          <w:tcPr>
            <w:tcW w:w="200" w:type="pct"/>
            <w:shd w:val="clear" w:color="auto" w:fill="CCEEFF"/>
            <w:vAlign w:val="bottom"/>
            <w:hideMark/>
          </w:tcPr>
          <w:p w14:paraId="0CF50484" w14:textId="77777777" w:rsidR="00000000" w:rsidRDefault="00847163">
            <w:pPr>
              <w:jc w:val="right"/>
              <w:rPr>
                <w:rFonts w:eastAsia="Times New Roman"/>
                <w:sz w:val="16"/>
                <w:szCs w:val="16"/>
              </w:rPr>
            </w:pPr>
            <w:r>
              <w:rPr>
                <w:rFonts w:eastAsia="Times New Roman"/>
                <w:sz w:val="16"/>
                <w:szCs w:val="16"/>
              </w:rPr>
              <w:t>43</w:t>
            </w:r>
          </w:p>
        </w:tc>
        <w:tc>
          <w:tcPr>
            <w:tcW w:w="50" w:type="pct"/>
            <w:shd w:val="clear" w:color="auto" w:fill="CCEEFF"/>
            <w:vAlign w:val="bottom"/>
            <w:hideMark/>
          </w:tcPr>
          <w:p w14:paraId="2EBAFCEB"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5685895A"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5BF3348F" w14:textId="77777777" w:rsidR="00000000" w:rsidRDefault="00847163">
            <w:pPr>
              <w:rPr>
                <w:rFonts w:eastAsia="Times New Roman"/>
                <w:sz w:val="16"/>
                <w:szCs w:val="16"/>
              </w:rPr>
            </w:pPr>
            <w:r>
              <w:rPr>
                <w:rFonts w:eastAsia="Times New Roman"/>
                <w:sz w:val="16"/>
                <w:szCs w:val="16"/>
              </w:rPr>
              <w:t> </w:t>
            </w:r>
          </w:p>
        </w:tc>
        <w:tc>
          <w:tcPr>
            <w:tcW w:w="200" w:type="pct"/>
            <w:shd w:val="clear" w:color="auto" w:fill="CCEEFF"/>
            <w:vAlign w:val="bottom"/>
            <w:hideMark/>
          </w:tcPr>
          <w:p w14:paraId="1C343D40" w14:textId="77777777" w:rsidR="00000000" w:rsidRDefault="00847163">
            <w:pPr>
              <w:jc w:val="right"/>
              <w:rPr>
                <w:rFonts w:eastAsia="Times New Roman"/>
                <w:sz w:val="16"/>
                <w:szCs w:val="16"/>
              </w:rPr>
            </w:pPr>
            <w:r>
              <w:rPr>
                <w:rFonts w:eastAsia="Times New Roman"/>
                <w:sz w:val="16"/>
                <w:szCs w:val="16"/>
              </w:rPr>
              <w:t>421,389</w:t>
            </w:r>
          </w:p>
        </w:tc>
        <w:tc>
          <w:tcPr>
            <w:tcW w:w="50" w:type="pct"/>
            <w:shd w:val="clear" w:color="auto" w:fill="CCEEFF"/>
            <w:vAlign w:val="bottom"/>
            <w:hideMark/>
          </w:tcPr>
          <w:p w14:paraId="1B1E77ED"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7AEB70FF"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355AE5CA" w14:textId="77777777" w:rsidR="00000000" w:rsidRDefault="00847163">
            <w:pPr>
              <w:rPr>
                <w:rFonts w:eastAsia="Times New Roman"/>
                <w:sz w:val="16"/>
                <w:szCs w:val="16"/>
              </w:rPr>
            </w:pPr>
            <w:r>
              <w:rPr>
                <w:rFonts w:eastAsia="Times New Roman"/>
                <w:sz w:val="16"/>
                <w:szCs w:val="16"/>
              </w:rPr>
              <w:t>$</w:t>
            </w:r>
          </w:p>
        </w:tc>
        <w:tc>
          <w:tcPr>
            <w:tcW w:w="200" w:type="pct"/>
            <w:shd w:val="clear" w:color="auto" w:fill="CCEEFF"/>
            <w:vAlign w:val="bottom"/>
            <w:hideMark/>
          </w:tcPr>
          <w:p w14:paraId="7B2E59A9" w14:textId="77777777" w:rsidR="00000000" w:rsidRDefault="00847163">
            <w:pPr>
              <w:jc w:val="right"/>
              <w:rPr>
                <w:rFonts w:eastAsia="Times New Roman"/>
                <w:sz w:val="16"/>
                <w:szCs w:val="16"/>
              </w:rPr>
            </w:pPr>
            <w:r>
              <w:rPr>
                <w:rFonts w:eastAsia="Times New Roman"/>
                <w:sz w:val="16"/>
                <w:szCs w:val="16"/>
              </w:rPr>
              <w:t>4,214</w:t>
            </w:r>
          </w:p>
        </w:tc>
        <w:tc>
          <w:tcPr>
            <w:tcW w:w="50" w:type="pct"/>
            <w:shd w:val="clear" w:color="auto" w:fill="CCEEFF"/>
            <w:vAlign w:val="bottom"/>
            <w:hideMark/>
          </w:tcPr>
          <w:p w14:paraId="3C329C16"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7C9ABCD9"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574BCE43" w14:textId="77777777" w:rsidR="00000000" w:rsidRDefault="00847163">
            <w:pPr>
              <w:rPr>
                <w:rFonts w:eastAsia="Times New Roman"/>
                <w:sz w:val="16"/>
                <w:szCs w:val="16"/>
              </w:rPr>
            </w:pPr>
            <w:r>
              <w:rPr>
                <w:rFonts w:eastAsia="Times New Roman"/>
                <w:sz w:val="16"/>
                <w:szCs w:val="16"/>
              </w:rPr>
              <w:t>$</w:t>
            </w:r>
          </w:p>
        </w:tc>
        <w:tc>
          <w:tcPr>
            <w:tcW w:w="200" w:type="pct"/>
            <w:shd w:val="clear" w:color="auto" w:fill="CCEEFF"/>
            <w:vAlign w:val="bottom"/>
            <w:hideMark/>
          </w:tcPr>
          <w:p w14:paraId="1234BCE1" w14:textId="77777777" w:rsidR="00000000" w:rsidRDefault="00847163">
            <w:pPr>
              <w:jc w:val="right"/>
              <w:rPr>
                <w:rFonts w:eastAsia="Times New Roman"/>
                <w:sz w:val="16"/>
                <w:szCs w:val="16"/>
              </w:rPr>
            </w:pPr>
            <w:r>
              <w:rPr>
                <w:rFonts w:eastAsia="Times New Roman"/>
                <w:sz w:val="16"/>
                <w:szCs w:val="16"/>
              </w:rPr>
              <w:t>6,117,254</w:t>
            </w:r>
          </w:p>
        </w:tc>
        <w:tc>
          <w:tcPr>
            <w:tcW w:w="50" w:type="pct"/>
            <w:shd w:val="clear" w:color="auto" w:fill="CCEEFF"/>
            <w:vAlign w:val="bottom"/>
            <w:hideMark/>
          </w:tcPr>
          <w:p w14:paraId="0C3EC3BB"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5EE7950E"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754E15CC" w14:textId="77777777" w:rsidR="00000000" w:rsidRDefault="00847163">
            <w:pPr>
              <w:rPr>
                <w:rFonts w:eastAsia="Times New Roman"/>
                <w:sz w:val="16"/>
                <w:szCs w:val="16"/>
              </w:rPr>
            </w:pPr>
            <w:r>
              <w:rPr>
                <w:rFonts w:eastAsia="Times New Roman"/>
                <w:sz w:val="16"/>
                <w:szCs w:val="16"/>
              </w:rPr>
              <w:t>$</w:t>
            </w:r>
          </w:p>
        </w:tc>
        <w:tc>
          <w:tcPr>
            <w:tcW w:w="250" w:type="pct"/>
            <w:shd w:val="clear" w:color="auto" w:fill="CCEEFF"/>
            <w:vAlign w:val="bottom"/>
            <w:hideMark/>
          </w:tcPr>
          <w:p w14:paraId="4FA71989" w14:textId="77777777" w:rsidR="00000000" w:rsidRDefault="00847163">
            <w:pPr>
              <w:jc w:val="right"/>
              <w:rPr>
                <w:rFonts w:eastAsia="Times New Roman"/>
                <w:sz w:val="16"/>
                <w:szCs w:val="16"/>
              </w:rPr>
            </w:pPr>
            <w:r>
              <w:rPr>
                <w:rFonts w:eastAsia="Times New Roman"/>
                <w:sz w:val="16"/>
                <w:szCs w:val="16"/>
              </w:rPr>
              <w:t>5,333,804</w:t>
            </w:r>
          </w:p>
        </w:tc>
        <w:tc>
          <w:tcPr>
            <w:tcW w:w="50" w:type="pct"/>
            <w:shd w:val="clear" w:color="auto" w:fill="CCEEFF"/>
            <w:vAlign w:val="bottom"/>
            <w:hideMark/>
          </w:tcPr>
          <w:p w14:paraId="588B824C"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7B127C2A"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0F32604E" w14:textId="77777777" w:rsidR="00000000" w:rsidRDefault="00847163">
            <w:pPr>
              <w:rPr>
                <w:rFonts w:eastAsia="Times New Roman"/>
                <w:sz w:val="16"/>
                <w:szCs w:val="16"/>
              </w:rPr>
            </w:pPr>
            <w:r>
              <w:rPr>
                <w:rFonts w:eastAsia="Times New Roman"/>
                <w:sz w:val="16"/>
                <w:szCs w:val="16"/>
              </w:rPr>
              <w:t>$</w:t>
            </w:r>
          </w:p>
        </w:tc>
        <w:tc>
          <w:tcPr>
            <w:tcW w:w="250" w:type="pct"/>
            <w:shd w:val="clear" w:color="auto" w:fill="CCEEFF"/>
            <w:vAlign w:val="bottom"/>
            <w:hideMark/>
          </w:tcPr>
          <w:p w14:paraId="1AA54C5B" w14:textId="77777777" w:rsidR="00000000" w:rsidRDefault="00847163">
            <w:pPr>
              <w:jc w:val="right"/>
              <w:rPr>
                <w:rFonts w:eastAsia="Times New Roman"/>
                <w:sz w:val="16"/>
                <w:szCs w:val="16"/>
              </w:rPr>
            </w:pPr>
            <w:r>
              <w:rPr>
                <w:rFonts w:eastAsia="Times New Roman"/>
                <w:sz w:val="16"/>
                <w:szCs w:val="16"/>
              </w:rPr>
              <w:t>77,249</w:t>
            </w:r>
          </w:p>
        </w:tc>
        <w:tc>
          <w:tcPr>
            <w:tcW w:w="50" w:type="pct"/>
            <w:shd w:val="clear" w:color="auto" w:fill="CCEEFF"/>
            <w:vAlign w:val="bottom"/>
            <w:hideMark/>
          </w:tcPr>
          <w:p w14:paraId="526F057E"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083282BA"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14CDC5C8" w14:textId="77777777" w:rsidR="00000000" w:rsidRDefault="00847163">
            <w:pPr>
              <w:rPr>
                <w:rFonts w:eastAsia="Times New Roman"/>
                <w:sz w:val="16"/>
                <w:szCs w:val="16"/>
              </w:rPr>
            </w:pPr>
            <w:r>
              <w:rPr>
                <w:rFonts w:eastAsia="Times New Roman"/>
                <w:sz w:val="16"/>
                <w:szCs w:val="16"/>
              </w:rPr>
              <w:t>$</w:t>
            </w:r>
          </w:p>
        </w:tc>
        <w:tc>
          <w:tcPr>
            <w:tcW w:w="200" w:type="pct"/>
            <w:shd w:val="clear" w:color="auto" w:fill="CCEEFF"/>
            <w:vAlign w:val="bottom"/>
            <w:hideMark/>
          </w:tcPr>
          <w:p w14:paraId="35294394" w14:textId="77777777" w:rsidR="00000000" w:rsidRDefault="00847163">
            <w:pPr>
              <w:jc w:val="right"/>
              <w:rPr>
                <w:rFonts w:eastAsia="Times New Roman"/>
                <w:sz w:val="16"/>
                <w:szCs w:val="16"/>
              </w:rPr>
            </w:pPr>
            <w:r>
              <w:rPr>
                <w:rFonts w:eastAsia="Times New Roman"/>
                <w:sz w:val="16"/>
                <w:szCs w:val="16"/>
              </w:rPr>
              <w:t>5,411,053</w:t>
            </w:r>
          </w:p>
        </w:tc>
        <w:tc>
          <w:tcPr>
            <w:tcW w:w="50" w:type="pct"/>
            <w:shd w:val="clear" w:color="auto" w:fill="CCEEFF"/>
            <w:vAlign w:val="bottom"/>
            <w:hideMark/>
          </w:tcPr>
          <w:p w14:paraId="0B1247E8" w14:textId="77777777" w:rsidR="00000000" w:rsidRDefault="00847163">
            <w:pPr>
              <w:rPr>
                <w:rFonts w:eastAsia="Times New Roman"/>
                <w:sz w:val="16"/>
                <w:szCs w:val="16"/>
              </w:rPr>
            </w:pPr>
            <w:r>
              <w:rPr>
                <w:rFonts w:eastAsia="Times New Roman"/>
                <w:sz w:val="16"/>
                <w:szCs w:val="16"/>
              </w:rPr>
              <w:t> </w:t>
            </w:r>
          </w:p>
        </w:tc>
      </w:tr>
      <w:tr w:rsidR="00847163" w14:paraId="36D0A2D3" w14:textId="77777777">
        <w:trPr>
          <w:divId w:val="323124837"/>
          <w:tblCellSpacing w:w="0" w:type="dxa"/>
        </w:trPr>
        <w:tc>
          <w:tcPr>
            <w:tcW w:w="1500" w:type="pct"/>
            <w:shd w:val="clear" w:color="auto" w:fill="FFFFFF"/>
            <w:vAlign w:val="bottom"/>
            <w:hideMark/>
          </w:tcPr>
          <w:p w14:paraId="2E66EEB4" w14:textId="77777777" w:rsidR="00000000" w:rsidRDefault="00847163">
            <w:pPr>
              <w:pStyle w:val="a3"/>
              <w:spacing w:before="0" w:beforeAutospacing="0" w:after="0" w:afterAutospacing="0"/>
              <w:rPr>
                <w:sz w:val="16"/>
                <w:szCs w:val="16"/>
              </w:rPr>
            </w:pPr>
            <w:r>
              <w:rPr>
                <w:sz w:val="16"/>
                <w:szCs w:val="16"/>
              </w:rPr>
              <w:t>Net income</w:t>
            </w:r>
          </w:p>
        </w:tc>
        <w:tc>
          <w:tcPr>
            <w:tcW w:w="50" w:type="pct"/>
            <w:shd w:val="clear" w:color="auto" w:fill="FFFFFF"/>
            <w:vAlign w:val="bottom"/>
            <w:hideMark/>
          </w:tcPr>
          <w:p w14:paraId="3DE03F31" w14:textId="77777777" w:rsidR="00000000" w:rsidRDefault="00847163">
            <w:pPr>
              <w:rPr>
                <w:rFonts w:eastAsia="Times New Roman"/>
                <w:sz w:val="16"/>
                <w:szCs w:val="16"/>
              </w:rPr>
            </w:pPr>
            <w:r>
              <w:rPr>
                <w:rFonts w:eastAsia="Times New Roman"/>
                <w:sz w:val="16"/>
                <w:szCs w:val="16"/>
              </w:rPr>
              <w:t> </w:t>
            </w:r>
          </w:p>
        </w:tc>
        <w:tc>
          <w:tcPr>
            <w:tcW w:w="100" w:type="pct"/>
            <w:shd w:val="clear" w:color="auto" w:fill="FFFFFF"/>
            <w:vAlign w:val="bottom"/>
            <w:hideMark/>
          </w:tcPr>
          <w:p w14:paraId="5EE4FF6F" w14:textId="77777777" w:rsidR="00000000" w:rsidRDefault="00847163">
            <w:pPr>
              <w:rPr>
                <w:rFonts w:eastAsia="Times New Roman"/>
                <w:sz w:val="16"/>
                <w:szCs w:val="16"/>
              </w:rPr>
            </w:pPr>
            <w:r>
              <w:rPr>
                <w:rFonts w:eastAsia="Times New Roman"/>
                <w:sz w:val="16"/>
                <w:szCs w:val="16"/>
              </w:rPr>
              <w:t> </w:t>
            </w:r>
          </w:p>
        </w:tc>
        <w:tc>
          <w:tcPr>
            <w:tcW w:w="400" w:type="pct"/>
            <w:shd w:val="clear" w:color="auto" w:fill="FFFFFF"/>
            <w:vAlign w:val="bottom"/>
            <w:hideMark/>
          </w:tcPr>
          <w:p w14:paraId="12282DDA" w14:textId="77777777" w:rsidR="00000000" w:rsidRDefault="00847163">
            <w:pPr>
              <w:jc w:val="right"/>
              <w:rPr>
                <w:rFonts w:eastAsia="Times New Roman"/>
                <w:sz w:val="16"/>
                <w:szCs w:val="16"/>
              </w:rPr>
            </w:pPr>
            <w:r>
              <w:rPr>
                <w:rFonts w:eastAsia="Times New Roman"/>
                <w:sz w:val="16"/>
                <w:szCs w:val="16"/>
              </w:rPr>
              <w:t>116,169</w:t>
            </w:r>
          </w:p>
        </w:tc>
        <w:tc>
          <w:tcPr>
            <w:tcW w:w="50" w:type="pct"/>
            <w:shd w:val="clear" w:color="auto" w:fill="FFFFFF"/>
            <w:vAlign w:val="bottom"/>
            <w:hideMark/>
          </w:tcPr>
          <w:p w14:paraId="2A73C695"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3696196C"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375A0F2A" w14:textId="77777777" w:rsidR="00000000" w:rsidRDefault="00847163">
            <w:pPr>
              <w:rPr>
                <w:rFonts w:eastAsia="Times New Roman"/>
                <w:sz w:val="16"/>
                <w:szCs w:val="16"/>
              </w:rPr>
            </w:pPr>
            <w:r>
              <w:rPr>
                <w:rFonts w:eastAsia="Times New Roman"/>
                <w:sz w:val="16"/>
                <w:szCs w:val="16"/>
              </w:rPr>
              <w:t> </w:t>
            </w:r>
          </w:p>
        </w:tc>
        <w:tc>
          <w:tcPr>
            <w:tcW w:w="200" w:type="pct"/>
            <w:shd w:val="clear" w:color="auto" w:fill="FFFFFF"/>
            <w:vAlign w:val="bottom"/>
            <w:hideMark/>
          </w:tcPr>
          <w:p w14:paraId="15048A50" w14:textId="77777777" w:rsidR="00000000" w:rsidRDefault="00847163">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14:paraId="6A3AE08C"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6FC5519E"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7FD916C7" w14:textId="77777777" w:rsidR="00000000" w:rsidRDefault="00847163">
            <w:pPr>
              <w:rPr>
                <w:rFonts w:eastAsia="Times New Roman"/>
                <w:sz w:val="16"/>
                <w:szCs w:val="16"/>
              </w:rPr>
            </w:pPr>
            <w:r>
              <w:rPr>
                <w:rFonts w:eastAsia="Times New Roman"/>
                <w:sz w:val="16"/>
                <w:szCs w:val="16"/>
              </w:rPr>
              <w:t> </w:t>
            </w:r>
          </w:p>
        </w:tc>
        <w:tc>
          <w:tcPr>
            <w:tcW w:w="200" w:type="pct"/>
            <w:shd w:val="clear" w:color="auto" w:fill="FFFFFF"/>
            <w:vAlign w:val="bottom"/>
            <w:hideMark/>
          </w:tcPr>
          <w:p w14:paraId="464BBE36" w14:textId="77777777" w:rsidR="00000000" w:rsidRDefault="00847163">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62CD0970"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6EEFF623"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06C27E80" w14:textId="77777777" w:rsidR="00000000" w:rsidRDefault="00847163">
            <w:pPr>
              <w:rPr>
                <w:rFonts w:eastAsia="Times New Roman"/>
                <w:sz w:val="16"/>
                <w:szCs w:val="16"/>
              </w:rPr>
            </w:pPr>
            <w:r>
              <w:rPr>
                <w:rFonts w:eastAsia="Times New Roman"/>
                <w:sz w:val="16"/>
                <w:szCs w:val="16"/>
              </w:rPr>
              <w:t> </w:t>
            </w:r>
          </w:p>
        </w:tc>
        <w:tc>
          <w:tcPr>
            <w:tcW w:w="200" w:type="pct"/>
            <w:shd w:val="clear" w:color="auto" w:fill="FFFFFF"/>
            <w:vAlign w:val="bottom"/>
            <w:hideMark/>
          </w:tcPr>
          <w:p w14:paraId="6E7BA99F" w14:textId="77777777" w:rsidR="00000000" w:rsidRDefault="00847163">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14:paraId="192730A6"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0F821BC3"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0D6FB7F2" w14:textId="77777777" w:rsidR="00000000" w:rsidRDefault="00847163">
            <w:pPr>
              <w:rPr>
                <w:rFonts w:eastAsia="Times New Roman"/>
                <w:sz w:val="16"/>
                <w:szCs w:val="16"/>
              </w:rPr>
            </w:pPr>
            <w:r>
              <w:rPr>
                <w:rFonts w:eastAsia="Times New Roman"/>
                <w:sz w:val="16"/>
                <w:szCs w:val="16"/>
              </w:rPr>
              <w:t> </w:t>
            </w:r>
          </w:p>
        </w:tc>
        <w:tc>
          <w:tcPr>
            <w:tcW w:w="200" w:type="pct"/>
            <w:shd w:val="clear" w:color="auto" w:fill="FFFFFF"/>
            <w:vAlign w:val="bottom"/>
            <w:hideMark/>
          </w:tcPr>
          <w:p w14:paraId="11F089EC" w14:textId="77777777" w:rsidR="00000000" w:rsidRDefault="00847163">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53E7CF64"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7F0C130E"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0D43F73A" w14:textId="77777777" w:rsidR="00000000" w:rsidRDefault="00847163">
            <w:pPr>
              <w:rPr>
                <w:rFonts w:eastAsia="Times New Roman"/>
                <w:sz w:val="16"/>
                <w:szCs w:val="16"/>
              </w:rPr>
            </w:pPr>
            <w:r>
              <w:rPr>
                <w:rFonts w:eastAsia="Times New Roman"/>
                <w:sz w:val="16"/>
                <w:szCs w:val="16"/>
              </w:rPr>
              <w:t> </w:t>
            </w:r>
          </w:p>
        </w:tc>
        <w:tc>
          <w:tcPr>
            <w:tcW w:w="200" w:type="pct"/>
            <w:shd w:val="clear" w:color="auto" w:fill="FFFFFF"/>
            <w:vAlign w:val="bottom"/>
            <w:hideMark/>
          </w:tcPr>
          <w:p w14:paraId="0370185B" w14:textId="77777777" w:rsidR="00000000" w:rsidRDefault="00847163">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7E631BF1"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3B33F84B"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53C925F1" w14:textId="77777777" w:rsidR="00000000" w:rsidRDefault="00847163">
            <w:pPr>
              <w:rPr>
                <w:rFonts w:eastAsia="Times New Roman"/>
                <w:sz w:val="16"/>
                <w:szCs w:val="16"/>
              </w:rPr>
            </w:pPr>
            <w:r>
              <w:rPr>
                <w:rFonts w:eastAsia="Times New Roman"/>
                <w:sz w:val="16"/>
                <w:szCs w:val="16"/>
              </w:rPr>
              <w:t> </w:t>
            </w:r>
          </w:p>
        </w:tc>
        <w:tc>
          <w:tcPr>
            <w:tcW w:w="250" w:type="pct"/>
            <w:shd w:val="clear" w:color="auto" w:fill="FFFFFF"/>
            <w:vAlign w:val="bottom"/>
            <w:hideMark/>
          </w:tcPr>
          <w:p w14:paraId="66C18071" w14:textId="77777777" w:rsidR="00000000" w:rsidRDefault="00847163">
            <w:pPr>
              <w:jc w:val="right"/>
              <w:rPr>
                <w:rFonts w:eastAsia="Times New Roman"/>
                <w:sz w:val="16"/>
                <w:szCs w:val="16"/>
              </w:rPr>
            </w:pPr>
            <w:r>
              <w:rPr>
                <w:rFonts w:eastAsia="Times New Roman"/>
                <w:sz w:val="16"/>
                <w:szCs w:val="16"/>
              </w:rPr>
              <w:t>116,169</w:t>
            </w:r>
          </w:p>
        </w:tc>
        <w:tc>
          <w:tcPr>
            <w:tcW w:w="50" w:type="pct"/>
            <w:shd w:val="clear" w:color="auto" w:fill="FFFFFF"/>
            <w:vAlign w:val="bottom"/>
            <w:hideMark/>
          </w:tcPr>
          <w:p w14:paraId="28694C7D"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6AA81E4A"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4E9EF6A4" w14:textId="77777777" w:rsidR="00000000" w:rsidRDefault="00847163">
            <w:pPr>
              <w:rPr>
                <w:rFonts w:eastAsia="Times New Roman"/>
                <w:sz w:val="16"/>
                <w:szCs w:val="16"/>
              </w:rPr>
            </w:pPr>
            <w:r>
              <w:rPr>
                <w:rFonts w:eastAsia="Times New Roman"/>
                <w:sz w:val="16"/>
                <w:szCs w:val="16"/>
              </w:rPr>
              <w:t> </w:t>
            </w:r>
          </w:p>
        </w:tc>
        <w:tc>
          <w:tcPr>
            <w:tcW w:w="250" w:type="pct"/>
            <w:shd w:val="clear" w:color="auto" w:fill="FFFFFF"/>
            <w:vAlign w:val="bottom"/>
            <w:hideMark/>
          </w:tcPr>
          <w:p w14:paraId="4368D1C9" w14:textId="77777777" w:rsidR="00000000" w:rsidRDefault="00847163">
            <w:pPr>
              <w:jc w:val="right"/>
              <w:rPr>
                <w:rFonts w:eastAsia="Times New Roman"/>
                <w:sz w:val="16"/>
                <w:szCs w:val="16"/>
              </w:rPr>
            </w:pPr>
            <w:r>
              <w:rPr>
                <w:rFonts w:eastAsia="Times New Roman"/>
                <w:sz w:val="16"/>
                <w:szCs w:val="16"/>
              </w:rPr>
              <w:t>509</w:t>
            </w:r>
          </w:p>
        </w:tc>
        <w:tc>
          <w:tcPr>
            <w:tcW w:w="50" w:type="pct"/>
            <w:shd w:val="clear" w:color="auto" w:fill="FFFFFF"/>
            <w:vAlign w:val="bottom"/>
            <w:hideMark/>
          </w:tcPr>
          <w:p w14:paraId="2744EE8D"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1A806B98"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4BAC6DED" w14:textId="77777777" w:rsidR="00000000" w:rsidRDefault="00847163">
            <w:pPr>
              <w:rPr>
                <w:rFonts w:eastAsia="Times New Roman"/>
                <w:sz w:val="16"/>
                <w:szCs w:val="16"/>
              </w:rPr>
            </w:pPr>
            <w:r>
              <w:rPr>
                <w:rFonts w:eastAsia="Times New Roman"/>
                <w:sz w:val="16"/>
                <w:szCs w:val="16"/>
              </w:rPr>
              <w:t> </w:t>
            </w:r>
          </w:p>
        </w:tc>
        <w:tc>
          <w:tcPr>
            <w:tcW w:w="200" w:type="pct"/>
            <w:shd w:val="clear" w:color="auto" w:fill="FFFFFF"/>
            <w:vAlign w:val="bottom"/>
            <w:hideMark/>
          </w:tcPr>
          <w:p w14:paraId="3101F06B" w14:textId="77777777" w:rsidR="00000000" w:rsidRDefault="00847163">
            <w:pPr>
              <w:jc w:val="right"/>
              <w:rPr>
                <w:rFonts w:eastAsia="Times New Roman"/>
                <w:sz w:val="16"/>
                <w:szCs w:val="16"/>
              </w:rPr>
            </w:pPr>
            <w:r>
              <w:rPr>
                <w:rFonts w:eastAsia="Times New Roman"/>
                <w:sz w:val="16"/>
                <w:szCs w:val="16"/>
              </w:rPr>
              <w:t>116,678</w:t>
            </w:r>
          </w:p>
        </w:tc>
        <w:tc>
          <w:tcPr>
            <w:tcW w:w="50" w:type="pct"/>
            <w:shd w:val="clear" w:color="auto" w:fill="FFFFFF"/>
            <w:vAlign w:val="bottom"/>
            <w:hideMark/>
          </w:tcPr>
          <w:p w14:paraId="3271121D" w14:textId="77777777" w:rsidR="00000000" w:rsidRDefault="00847163">
            <w:pPr>
              <w:rPr>
                <w:rFonts w:eastAsia="Times New Roman"/>
                <w:sz w:val="16"/>
                <w:szCs w:val="16"/>
              </w:rPr>
            </w:pPr>
            <w:r>
              <w:rPr>
                <w:rFonts w:eastAsia="Times New Roman"/>
                <w:sz w:val="16"/>
                <w:szCs w:val="16"/>
              </w:rPr>
              <w:t> </w:t>
            </w:r>
          </w:p>
        </w:tc>
      </w:tr>
      <w:tr w:rsidR="00847163" w14:paraId="1DB85A45" w14:textId="77777777">
        <w:trPr>
          <w:divId w:val="323124837"/>
          <w:tblCellSpacing w:w="0" w:type="dxa"/>
        </w:trPr>
        <w:tc>
          <w:tcPr>
            <w:tcW w:w="1500" w:type="pct"/>
            <w:shd w:val="clear" w:color="auto" w:fill="CCEEFF"/>
            <w:vAlign w:val="bottom"/>
            <w:hideMark/>
          </w:tcPr>
          <w:p w14:paraId="7D034CA5" w14:textId="77777777" w:rsidR="00000000" w:rsidRDefault="00847163">
            <w:pPr>
              <w:pStyle w:val="a3"/>
              <w:spacing w:before="0" w:beforeAutospacing="0" w:after="0" w:afterAutospacing="0"/>
              <w:ind w:left="180" w:hanging="180"/>
              <w:rPr>
                <w:sz w:val="16"/>
                <w:szCs w:val="16"/>
              </w:rPr>
            </w:pPr>
            <w:r>
              <w:rPr>
                <w:sz w:val="16"/>
                <w:szCs w:val="16"/>
              </w:rPr>
              <w:t>Redeemable noncontrolling interests income</w:t>
            </w:r>
          </w:p>
        </w:tc>
        <w:tc>
          <w:tcPr>
            <w:tcW w:w="50" w:type="pct"/>
            <w:shd w:val="clear" w:color="auto" w:fill="CCEEFF"/>
            <w:vAlign w:val="bottom"/>
            <w:hideMark/>
          </w:tcPr>
          <w:p w14:paraId="02A04789" w14:textId="77777777" w:rsidR="00000000" w:rsidRDefault="00847163">
            <w:pPr>
              <w:rPr>
                <w:rFonts w:eastAsia="Times New Roman"/>
                <w:sz w:val="16"/>
                <w:szCs w:val="16"/>
              </w:rPr>
            </w:pPr>
            <w:r>
              <w:rPr>
                <w:rFonts w:eastAsia="Times New Roman"/>
                <w:sz w:val="16"/>
                <w:szCs w:val="16"/>
              </w:rPr>
              <w:t> </w:t>
            </w:r>
          </w:p>
        </w:tc>
        <w:tc>
          <w:tcPr>
            <w:tcW w:w="100" w:type="pct"/>
            <w:shd w:val="clear" w:color="auto" w:fill="CCEEFF"/>
            <w:vAlign w:val="bottom"/>
            <w:hideMark/>
          </w:tcPr>
          <w:p w14:paraId="59E51455" w14:textId="77777777" w:rsidR="00000000" w:rsidRDefault="00847163">
            <w:pPr>
              <w:rPr>
                <w:rFonts w:eastAsia="Times New Roman"/>
                <w:sz w:val="16"/>
                <w:szCs w:val="16"/>
              </w:rPr>
            </w:pPr>
            <w:r>
              <w:rPr>
                <w:rFonts w:eastAsia="Times New Roman"/>
                <w:sz w:val="16"/>
                <w:szCs w:val="16"/>
              </w:rPr>
              <w:t> </w:t>
            </w:r>
          </w:p>
        </w:tc>
        <w:tc>
          <w:tcPr>
            <w:tcW w:w="400" w:type="pct"/>
            <w:shd w:val="clear" w:color="auto" w:fill="CCEEFF"/>
            <w:vAlign w:val="bottom"/>
            <w:hideMark/>
          </w:tcPr>
          <w:p w14:paraId="4449D83F" w14:textId="77777777" w:rsidR="00000000" w:rsidRDefault="00847163">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5FF9D1C9"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0DF1F140"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15C0E6F0" w14:textId="77777777" w:rsidR="00000000" w:rsidRDefault="00847163">
            <w:pPr>
              <w:rPr>
                <w:rFonts w:eastAsia="Times New Roman"/>
                <w:sz w:val="16"/>
                <w:szCs w:val="16"/>
              </w:rPr>
            </w:pPr>
            <w:r>
              <w:rPr>
                <w:rFonts w:eastAsia="Times New Roman"/>
                <w:sz w:val="16"/>
                <w:szCs w:val="16"/>
              </w:rPr>
              <w:t> </w:t>
            </w:r>
          </w:p>
        </w:tc>
        <w:tc>
          <w:tcPr>
            <w:tcW w:w="200" w:type="pct"/>
            <w:shd w:val="clear" w:color="auto" w:fill="CCEEFF"/>
            <w:vAlign w:val="bottom"/>
            <w:hideMark/>
          </w:tcPr>
          <w:p w14:paraId="246851FE" w14:textId="77777777" w:rsidR="00000000" w:rsidRDefault="00847163">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14:paraId="511E37B7"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0F4C5B66"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7F5B0B74" w14:textId="77777777" w:rsidR="00000000" w:rsidRDefault="00847163">
            <w:pPr>
              <w:rPr>
                <w:rFonts w:eastAsia="Times New Roman"/>
                <w:sz w:val="16"/>
                <w:szCs w:val="16"/>
              </w:rPr>
            </w:pPr>
            <w:r>
              <w:rPr>
                <w:rFonts w:eastAsia="Times New Roman"/>
                <w:sz w:val="16"/>
                <w:szCs w:val="16"/>
              </w:rPr>
              <w:t> </w:t>
            </w:r>
          </w:p>
        </w:tc>
        <w:tc>
          <w:tcPr>
            <w:tcW w:w="200" w:type="pct"/>
            <w:shd w:val="clear" w:color="auto" w:fill="CCEEFF"/>
            <w:vAlign w:val="bottom"/>
            <w:hideMark/>
          </w:tcPr>
          <w:p w14:paraId="62D35235" w14:textId="77777777" w:rsidR="00000000" w:rsidRDefault="00847163">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600598D6"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51C544EC"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17F20341" w14:textId="77777777" w:rsidR="00000000" w:rsidRDefault="00847163">
            <w:pPr>
              <w:rPr>
                <w:rFonts w:eastAsia="Times New Roman"/>
                <w:sz w:val="16"/>
                <w:szCs w:val="16"/>
              </w:rPr>
            </w:pPr>
            <w:r>
              <w:rPr>
                <w:rFonts w:eastAsia="Times New Roman"/>
                <w:sz w:val="16"/>
                <w:szCs w:val="16"/>
              </w:rPr>
              <w:t> </w:t>
            </w:r>
          </w:p>
        </w:tc>
        <w:tc>
          <w:tcPr>
            <w:tcW w:w="200" w:type="pct"/>
            <w:shd w:val="clear" w:color="auto" w:fill="CCEEFF"/>
            <w:vAlign w:val="bottom"/>
            <w:hideMark/>
          </w:tcPr>
          <w:p w14:paraId="3A738F35" w14:textId="77777777" w:rsidR="00000000" w:rsidRDefault="00847163">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14:paraId="7E49BFBD"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6E4DAD8B"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35079F50" w14:textId="77777777" w:rsidR="00000000" w:rsidRDefault="00847163">
            <w:pPr>
              <w:rPr>
                <w:rFonts w:eastAsia="Times New Roman"/>
                <w:sz w:val="16"/>
                <w:szCs w:val="16"/>
              </w:rPr>
            </w:pPr>
            <w:r>
              <w:rPr>
                <w:rFonts w:eastAsia="Times New Roman"/>
                <w:sz w:val="16"/>
                <w:szCs w:val="16"/>
              </w:rPr>
              <w:t> </w:t>
            </w:r>
          </w:p>
        </w:tc>
        <w:tc>
          <w:tcPr>
            <w:tcW w:w="200" w:type="pct"/>
            <w:shd w:val="clear" w:color="auto" w:fill="CCEEFF"/>
            <w:vAlign w:val="bottom"/>
            <w:hideMark/>
          </w:tcPr>
          <w:p w14:paraId="0077969C" w14:textId="77777777" w:rsidR="00000000" w:rsidRDefault="00847163">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06D98A49"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629ABB0E"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6506F7B1" w14:textId="77777777" w:rsidR="00000000" w:rsidRDefault="00847163">
            <w:pPr>
              <w:rPr>
                <w:rFonts w:eastAsia="Times New Roman"/>
                <w:sz w:val="16"/>
                <w:szCs w:val="16"/>
              </w:rPr>
            </w:pPr>
            <w:r>
              <w:rPr>
                <w:rFonts w:eastAsia="Times New Roman"/>
                <w:sz w:val="16"/>
                <w:szCs w:val="16"/>
              </w:rPr>
              <w:t> </w:t>
            </w:r>
          </w:p>
        </w:tc>
        <w:tc>
          <w:tcPr>
            <w:tcW w:w="200" w:type="pct"/>
            <w:shd w:val="clear" w:color="auto" w:fill="CCEEFF"/>
            <w:vAlign w:val="bottom"/>
            <w:hideMark/>
          </w:tcPr>
          <w:p w14:paraId="57591D29" w14:textId="77777777" w:rsidR="00000000" w:rsidRDefault="00847163">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10C0A243"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491D9B30"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0FD758C8" w14:textId="77777777" w:rsidR="00000000" w:rsidRDefault="00847163">
            <w:pPr>
              <w:rPr>
                <w:rFonts w:eastAsia="Times New Roman"/>
                <w:sz w:val="16"/>
                <w:szCs w:val="16"/>
              </w:rPr>
            </w:pPr>
            <w:r>
              <w:rPr>
                <w:rFonts w:eastAsia="Times New Roman"/>
                <w:sz w:val="16"/>
                <w:szCs w:val="16"/>
              </w:rPr>
              <w:t> </w:t>
            </w:r>
          </w:p>
        </w:tc>
        <w:tc>
          <w:tcPr>
            <w:tcW w:w="250" w:type="pct"/>
            <w:shd w:val="clear" w:color="auto" w:fill="CCEEFF"/>
            <w:vAlign w:val="bottom"/>
            <w:hideMark/>
          </w:tcPr>
          <w:p w14:paraId="5375AA0D" w14:textId="77777777" w:rsidR="00000000" w:rsidRDefault="00847163">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640993CE"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5E7832EE"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4446C048" w14:textId="77777777" w:rsidR="00000000" w:rsidRDefault="00847163">
            <w:pPr>
              <w:rPr>
                <w:rFonts w:eastAsia="Times New Roman"/>
                <w:sz w:val="16"/>
                <w:szCs w:val="16"/>
              </w:rPr>
            </w:pPr>
            <w:r>
              <w:rPr>
                <w:rFonts w:eastAsia="Times New Roman"/>
                <w:sz w:val="16"/>
                <w:szCs w:val="16"/>
              </w:rPr>
              <w:t> </w:t>
            </w:r>
          </w:p>
        </w:tc>
        <w:tc>
          <w:tcPr>
            <w:tcW w:w="250" w:type="pct"/>
            <w:shd w:val="clear" w:color="auto" w:fill="CCEEFF"/>
            <w:vAlign w:val="bottom"/>
            <w:hideMark/>
          </w:tcPr>
          <w:p w14:paraId="694B729B" w14:textId="77777777" w:rsidR="00000000" w:rsidRDefault="00847163">
            <w:pPr>
              <w:jc w:val="right"/>
              <w:rPr>
                <w:rFonts w:eastAsia="Times New Roman"/>
                <w:sz w:val="16"/>
                <w:szCs w:val="16"/>
              </w:rPr>
            </w:pPr>
            <w:r>
              <w:rPr>
                <w:rFonts w:eastAsia="Times New Roman"/>
                <w:sz w:val="16"/>
                <w:szCs w:val="16"/>
              </w:rPr>
              <w:t>(92</w:t>
            </w:r>
          </w:p>
        </w:tc>
        <w:tc>
          <w:tcPr>
            <w:tcW w:w="50" w:type="pct"/>
            <w:shd w:val="clear" w:color="auto" w:fill="CCEEFF"/>
            <w:vAlign w:val="bottom"/>
            <w:hideMark/>
          </w:tcPr>
          <w:p w14:paraId="0E788618" w14:textId="77777777" w:rsidR="00000000" w:rsidRDefault="00847163">
            <w:pPr>
              <w:rPr>
                <w:rFonts w:eastAsia="Times New Roman"/>
                <w:sz w:val="16"/>
                <w:szCs w:val="16"/>
              </w:rPr>
            </w:pPr>
            <w:r>
              <w:rPr>
                <w:rFonts w:eastAsia="Times New Roman"/>
                <w:sz w:val="16"/>
                <w:szCs w:val="16"/>
              </w:rPr>
              <w:t>)</w:t>
            </w:r>
          </w:p>
        </w:tc>
        <w:tc>
          <w:tcPr>
            <w:tcW w:w="50" w:type="pct"/>
            <w:shd w:val="clear" w:color="auto" w:fill="CCEEFF"/>
            <w:vAlign w:val="bottom"/>
            <w:hideMark/>
          </w:tcPr>
          <w:p w14:paraId="40BCFBC5"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2D137F1F" w14:textId="77777777" w:rsidR="00000000" w:rsidRDefault="00847163">
            <w:pPr>
              <w:rPr>
                <w:rFonts w:eastAsia="Times New Roman"/>
                <w:sz w:val="16"/>
                <w:szCs w:val="16"/>
              </w:rPr>
            </w:pPr>
            <w:r>
              <w:rPr>
                <w:rFonts w:eastAsia="Times New Roman"/>
                <w:sz w:val="16"/>
                <w:szCs w:val="16"/>
              </w:rPr>
              <w:t> </w:t>
            </w:r>
          </w:p>
        </w:tc>
        <w:tc>
          <w:tcPr>
            <w:tcW w:w="200" w:type="pct"/>
            <w:shd w:val="clear" w:color="auto" w:fill="CCEEFF"/>
            <w:vAlign w:val="bottom"/>
            <w:hideMark/>
          </w:tcPr>
          <w:p w14:paraId="600097D5" w14:textId="77777777" w:rsidR="00000000" w:rsidRDefault="00847163">
            <w:pPr>
              <w:jc w:val="right"/>
              <w:rPr>
                <w:rFonts w:eastAsia="Times New Roman"/>
                <w:sz w:val="16"/>
                <w:szCs w:val="16"/>
              </w:rPr>
            </w:pPr>
            <w:r>
              <w:rPr>
                <w:rFonts w:eastAsia="Times New Roman"/>
                <w:sz w:val="16"/>
                <w:szCs w:val="16"/>
              </w:rPr>
              <w:t>(92</w:t>
            </w:r>
          </w:p>
        </w:tc>
        <w:tc>
          <w:tcPr>
            <w:tcW w:w="50" w:type="pct"/>
            <w:shd w:val="clear" w:color="auto" w:fill="CCEEFF"/>
            <w:vAlign w:val="bottom"/>
            <w:hideMark/>
          </w:tcPr>
          <w:p w14:paraId="11CDC2D7" w14:textId="77777777" w:rsidR="00000000" w:rsidRDefault="00847163">
            <w:pPr>
              <w:rPr>
                <w:rFonts w:eastAsia="Times New Roman"/>
                <w:sz w:val="16"/>
                <w:szCs w:val="16"/>
              </w:rPr>
            </w:pPr>
            <w:r>
              <w:rPr>
                <w:rFonts w:eastAsia="Times New Roman"/>
                <w:sz w:val="16"/>
                <w:szCs w:val="16"/>
              </w:rPr>
              <w:t>)</w:t>
            </w:r>
          </w:p>
        </w:tc>
      </w:tr>
      <w:tr w:rsidR="00847163" w14:paraId="6B5CEFA8" w14:textId="77777777">
        <w:trPr>
          <w:divId w:val="323124837"/>
          <w:tblCellSpacing w:w="0" w:type="dxa"/>
        </w:trPr>
        <w:tc>
          <w:tcPr>
            <w:tcW w:w="1500" w:type="pct"/>
            <w:shd w:val="clear" w:color="auto" w:fill="FFFFFF"/>
            <w:vAlign w:val="bottom"/>
            <w:hideMark/>
          </w:tcPr>
          <w:p w14:paraId="446BCA54" w14:textId="77777777" w:rsidR="00000000" w:rsidRDefault="00847163">
            <w:pPr>
              <w:pStyle w:val="a3"/>
              <w:spacing w:before="0" w:beforeAutospacing="0" w:after="0" w:afterAutospacing="0"/>
              <w:ind w:left="180" w:hanging="180"/>
              <w:rPr>
                <w:sz w:val="16"/>
                <w:szCs w:val="16"/>
              </w:rPr>
            </w:pPr>
            <w:r>
              <w:rPr>
                <w:sz w:val="16"/>
                <w:szCs w:val="16"/>
              </w:rPr>
              <w:t>Dividends declared to common and preferred shares</w:t>
            </w:r>
          </w:p>
        </w:tc>
        <w:tc>
          <w:tcPr>
            <w:tcW w:w="50" w:type="pct"/>
            <w:shd w:val="clear" w:color="auto" w:fill="FFFFFF"/>
            <w:vAlign w:val="bottom"/>
            <w:hideMark/>
          </w:tcPr>
          <w:p w14:paraId="763DDA5E" w14:textId="77777777" w:rsidR="00000000" w:rsidRDefault="00847163">
            <w:pPr>
              <w:rPr>
                <w:rFonts w:eastAsia="Times New Roman"/>
                <w:sz w:val="16"/>
                <w:szCs w:val="16"/>
              </w:rPr>
            </w:pPr>
            <w:r>
              <w:rPr>
                <w:rFonts w:eastAsia="Times New Roman"/>
                <w:sz w:val="16"/>
                <w:szCs w:val="16"/>
              </w:rPr>
              <w:t> </w:t>
            </w:r>
          </w:p>
        </w:tc>
        <w:tc>
          <w:tcPr>
            <w:tcW w:w="100" w:type="pct"/>
            <w:shd w:val="clear" w:color="auto" w:fill="FFFFFF"/>
            <w:vAlign w:val="bottom"/>
            <w:hideMark/>
          </w:tcPr>
          <w:p w14:paraId="3DEF50E5" w14:textId="77777777" w:rsidR="00000000" w:rsidRDefault="00847163">
            <w:pPr>
              <w:rPr>
                <w:rFonts w:eastAsia="Times New Roman"/>
                <w:sz w:val="16"/>
                <w:szCs w:val="16"/>
              </w:rPr>
            </w:pPr>
            <w:r>
              <w:rPr>
                <w:rFonts w:eastAsia="Times New Roman"/>
                <w:sz w:val="16"/>
                <w:szCs w:val="16"/>
              </w:rPr>
              <w:t> </w:t>
            </w:r>
          </w:p>
        </w:tc>
        <w:tc>
          <w:tcPr>
            <w:tcW w:w="400" w:type="pct"/>
            <w:shd w:val="clear" w:color="auto" w:fill="FFFFFF"/>
            <w:vAlign w:val="bottom"/>
            <w:hideMark/>
          </w:tcPr>
          <w:p w14:paraId="20FF27B3" w14:textId="77777777" w:rsidR="00000000" w:rsidRDefault="00847163">
            <w:pPr>
              <w:jc w:val="right"/>
              <w:rPr>
                <w:rFonts w:eastAsia="Times New Roman"/>
                <w:sz w:val="16"/>
                <w:szCs w:val="16"/>
              </w:rPr>
            </w:pPr>
            <w:r>
              <w:rPr>
                <w:rFonts w:eastAsia="Times New Roman"/>
                <w:sz w:val="16"/>
                <w:szCs w:val="16"/>
              </w:rPr>
              <w:t>(132,703</w:t>
            </w:r>
          </w:p>
        </w:tc>
        <w:tc>
          <w:tcPr>
            <w:tcW w:w="50" w:type="pct"/>
            <w:shd w:val="clear" w:color="auto" w:fill="FFFFFF"/>
            <w:vAlign w:val="bottom"/>
            <w:hideMark/>
          </w:tcPr>
          <w:p w14:paraId="77A2D4F1" w14:textId="77777777" w:rsidR="00000000" w:rsidRDefault="00847163">
            <w:pPr>
              <w:rPr>
                <w:rFonts w:eastAsia="Times New Roman"/>
                <w:sz w:val="16"/>
                <w:szCs w:val="16"/>
              </w:rPr>
            </w:pPr>
            <w:r>
              <w:rPr>
                <w:rFonts w:eastAsia="Times New Roman"/>
                <w:sz w:val="16"/>
                <w:szCs w:val="16"/>
              </w:rPr>
              <w:t>)</w:t>
            </w:r>
          </w:p>
        </w:tc>
        <w:tc>
          <w:tcPr>
            <w:tcW w:w="50" w:type="pct"/>
            <w:shd w:val="clear" w:color="auto" w:fill="FFFFFF"/>
            <w:vAlign w:val="bottom"/>
            <w:hideMark/>
          </w:tcPr>
          <w:p w14:paraId="3CD0165D"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15F6CE85" w14:textId="77777777" w:rsidR="00000000" w:rsidRDefault="00847163">
            <w:pPr>
              <w:rPr>
                <w:rFonts w:eastAsia="Times New Roman"/>
                <w:sz w:val="16"/>
                <w:szCs w:val="16"/>
              </w:rPr>
            </w:pPr>
            <w:r>
              <w:rPr>
                <w:rFonts w:eastAsia="Times New Roman"/>
                <w:sz w:val="16"/>
                <w:szCs w:val="16"/>
              </w:rPr>
              <w:t> </w:t>
            </w:r>
          </w:p>
        </w:tc>
        <w:tc>
          <w:tcPr>
            <w:tcW w:w="200" w:type="pct"/>
            <w:shd w:val="clear" w:color="auto" w:fill="FFFFFF"/>
            <w:vAlign w:val="bottom"/>
            <w:hideMark/>
          </w:tcPr>
          <w:p w14:paraId="385D8AE6" w14:textId="77777777" w:rsidR="00000000" w:rsidRDefault="00847163">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14:paraId="77A67770"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4840F461"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7EEC0E44" w14:textId="77777777" w:rsidR="00000000" w:rsidRDefault="00847163">
            <w:pPr>
              <w:rPr>
                <w:rFonts w:eastAsia="Times New Roman"/>
                <w:sz w:val="16"/>
                <w:szCs w:val="16"/>
              </w:rPr>
            </w:pPr>
            <w:r>
              <w:rPr>
                <w:rFonts w:eastAsia="Times New Roman"/>
                <w:sz w:val="16"/>
                <w:szCs w:val="16"/>
              </w:rPr>
              <w:t> </w:t>
            </w:r>
          </w:p>
        </w:tc>
        <w:tc>
          <w:tcPr>
            <w:tcW w:w="200" w:type="pct"/>
            <w:shd w:val="clear" w:color="auto" w:fill="FFFFFF"/>
            <w:vAlign w:val="bottom"/>
            <w:hideMark/>
          </w:tcPr>
          <w:p w14:paraId="40EC4F86" w14:textId="77777777" w:rsidR="00000000" w:rsidRDefault="00847163">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44B3953B"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3870D233"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5B3CB93B" w14:textId="77777777" w:rsidR="00000000" w:rsidRDefault="00847163">
            <w:pPr>
              <w:rPr>
                <w:rFonts w:eastAsia="Times New Roman"/>
                <w:sz w:val="16"/>
                <w:szCs w:val="16"/>
              </w:rPr>
            </w:pPr>
            <w:r>
              <w:rPr>
                <w:rFonts w:eastAsia="Times New Roman"/>
                <w:sz w:val="16"/>
                <w:szCs w:val="16"/>
              </w:rPr>
              <w:t> </w:t>
            </w:r>
          </w:p>
        </w:tc>
        <w:tc>
          <w:tcPr>
            <w:tcW w:w="200" w:type="pct"/>
            <w:shd w:val="clear" w:color="auto" w:fill="FFFFFF"/>
            <w:vAlign w:val="bottom"/>
            <w:hideMark/>
          </w:tcPr>
          <w:p w14:paraId="439AE9F2" w14:textId="77777777" w:rsidR="00000000" w:rsidRDefault="00847163">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14:paraId="290DB6C4"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0E294C7B"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6167C4E7" w14:textId="77777777" w:rsidR="00000000" w:rsidRDefault="00847163">
            <w:pPr>
              <w:rPr>
                <w:rFonts w:eastAsia="Times New Roman"/>
                <w:sz w:val="16"/>
                <w:szCs w:val="16"/>
              </w:rPr>
            </w:pPr>
            <w:r>
              <w:rPr>
                <w:rFonts w:eastAsia="Times New Roman"/>
                <w:sz w:val="16"/>
                <w:szCs w:val="16"/>
              </w:rPr>
              <w:t> </w:t>
            </w:r>
          </w:p>
        </w:tc>
        <w:tc>
          <w:tcPr>
            <w:tcW w:w="200" w:type="pct"/>
            <w:shd w:val="clear" w:color="auto" w:fill="FFFFFF"/>
            <w:vAlign w:val="bottom"/>
            <w:hideMark/>
          </w:tcPr>
          <w:p w14:paraId="64F9B0ED" w14:textId="77777777" w:rsidR="00000000" w:rsidRDefault="00847163">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5A055A39"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1A632CA7"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69B4C461" w14:textId="77777777" w:rsidR="00000000" w:rsidRDefault="00847163">
            <w:pPr>
              <w:rPr>
                <w:rFonts w:eastAsia="Times New Roman"/>
                <w:sz w:val="16"/>
                <w:szCs w:val="16"/>
              </w:rPr>
            </w:pPr>
            <w:r>
              <w:rPr>
                <w:rFonts w:eastAsia="Times New Roman"/>
                <w:sz w:val="16"/>
                <w:szCs w:val="16"/>
              </w:rPr>
              <w:t> </w:t>
            </w:r>
          </w:p>
        </w:tc>
        <w:tc>
          <w:tcPr>
            <w:tcW w:w="200" w:type="pct"/>
            <w:shd w:val="clear" w:color="auto" w:fill="FFFFFF"/>
            <w:vAlign w:val="bottom"/>
            <w:hideMark/>
          </w:tcPr>
          <w:p w14:paraId="56DEA28A" w14:textId="77777777" w:rsidR="00000000" w:rsidRDefault="00847163">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360E7827"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642438D9"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5CA5BE03" w14:textId="77777777" w:rsidR="00000000" w:rsidRDefault="00847163">
            <w:pPr>
              <w:rPr>
                <w:rFonts w:eastAsia="Times New Roman"/>
                <w:sz w:val="16"/>
                <w:szCs w:val="16"/>
              </w:rPr>
            </w:pPr>
            <w:r>
              <w:rPr>
                <w:rFonts w:eastAsia="Times New Roman"/>
                <w:sz w:val="16"/>
                <w:szCs w:val="16"/>
              </w:rPr>
              <w:t> </w:t>
            </w:r>
          </w:p>
        </w:tc>
        <w:tc>
          <w:tcPr>
            <w:tcW w:w="250" w:type="pct"/>
            <w:shd w:val="clear" w:color="auto" w:fill="FFFFFF"/>
            <w:vAlign w:val="bottom"/>
            <w:hideMark/>
          </w:tcPr>
          <w:p w14:paraId="5D77697B" w14:textId="77777777" w:rsidR="00000000" w:rsidRDefault="00847163">
            <w:pPr>
              <w:jc w:val="right"/>
              <w:rPr>
                <w:rFonts w:eastAsia="Times New Roman"/>
                <w:sz w:val="16"/>
                <w:szCs w:val="16"/>
              </w:rPr>
            </w:pPr>
            <w:r>
              <w:rPr>
                <w:rFonts w:eastAsia="Times New Roman"/>
                <w:sz w:val="16"/>
                <w:szCs w:val="16"/>
              </w:rPr>
              <w:t>(132,703</w:t>
            </w:r>
          </w:p>
        </w:tc>
        <w:tc>
          <w:tcPr>
            <w:tcW w:w="50" w:type="pct"/>
            <w:shd w:val="clear" w:color="auto" w:fill="FFFFFF"/>
            <w:vAlign w:val="bottom"/>
            <w:hideMark/>
          </w:tcPr>
          <w:p w14:paraId="49167F35" w14:textId="77777777" w:rsidR="00000000" w:rsidRDefault="00847163">
            <w:pPr>
              <w:rPr>
                <w:rFonts w:eastAsia="Times New Roman"/>
                <w:sz w:val="16"/>
                <w:szCs w:val="16"/>
              </w:rPr>
            </w:pPr>
            <w:r>
              <w:rPr>
                <w:rFonts w:eastAsia="Times New Roman"/>
                <w:sz w:val="16"/>
                <w:szCs w:val="16"/>
              </w:rPr>
              <w:t>)</w:t>
            </w:r>
          </w:p>
        </w:tc>
        <w:tc>
          <w:tcPr>
            <w:tcW w:w="50" w:type="pct"/>
            <w:shd w:val="clear" w:color="auto" w:fill="FFFFFF"/>
            <w:vAlign w:val="bottom"/>
            <w:hideMark/>
          </w:tcPr>
          <w:p w14:paraId="7F1AE0D4"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45301748" w14:textId="77777777" w:rsidR="00000000" w:rsidRDefault="00847163">
            <w:pPr>
              <w:rPr>
                <w:rFonts w:eastAsia="Times New Roman"/>
                <w:sz w:val="16"/>
                <w:szCs w:val="16"/>
              </w:rPr>
            </w:pPr>
            <w:r>
              <w:rPr>
                <w:rFonts w:eastAsia="Times New Roman"/>
                <w:sz w:val="16"/>
                <w:szCs w:val="16"/>
              </w:rPr>
              <w:t> </w:t>
            </w:r>
          </w:p>
        </w:tc>
        <w:tc>
          <w:tcPr>
            <w:tcW w:w="250" w:type="pct"/>
            <w:shd w:val="clear" w:color="auto" w:fill="FFFFFF"/>
            <w:vAlign w:val="bottom"/>
            <w:hideMark/>
          </w:tcPr>
          <w:p w14:paraId="60F9FF25" w14:textId="77777777" w:rsidR="00000000" w:rsidRDefault="00847163">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71BE0E0C"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232DD9DF"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310C0F10" w14:textId="77777777" w:rsidR="00000000" w:rsidRDefault="00847163">
            <w:pPr>
              <w:rPr>
                <w:rFonts w:eastAsia="Times New Roman"/>
                <w:sz w:val="16"/>
                <w:szCs w:val="16"/>
              </w:rPr>
            </w:pPr>
            <w:r>
              <w:rPr>
                <w:rFonts w:eastAsia="Times New Roman"/>
                <w:sz w:val="16"/>
                <w:szCs w:val="16"/>
              </w:rPr>
              <w:t> </w:t>
            </w:r>
          </w:p>
        </w:tc>
        <w:tc>
          <w:tcPr>
            <w:tcW w:w="200" w:type="pct"/>
            <w:shd w:val="clear" w:color="auto" w:fill="FFFFFF"/>
            <w:vAlign w:val="bottom"/>
            <w:hideMark/>
          </w:tcPr>
          <w:p w14:paraId="36AAA47E" w14:textId="77777777" w:rsidR="00000000" w:rsidRDefault="00847163">
            <w:pPr>
              <w:jc w:val="right"/>
              <w:rPr>
                <w:rFonts w:eastAsia="Times New Roman"/>
                <w:sz w:val="16"/>
                <w:szCs w:val="16"/>
              </w:rPr>
            </w:pPr>
            <w:r>
              <w:rPr>
                <w:rFonts w:eastAsia="Times New Roman"/>
                <w:sz w:val="16"/>
                <w:szCs w:val="16"/>
              </w:rPr>
              <w:t>(132,703</w:t>
            </w:r>
          </w:p>
        </w:tc>
        <w:tc>
          <w:tcPr>
            <w:tcW w:w="50" w:type="pct"/>
            <w:shd w:val="clear" w:color="auto" w:fill="FFFFFF"/>
            <w:vAlign w:val="bottom"/>
            <w:hideMark/>
          </w:tcPr>
          <w:p w14:paraId="4B753AC8" w14:textId="77777777" w:rsidR="00000000" w:rsidRDefault="00847163">
            <w:pPr>
              <w:rPr>
                <w:rFonts w:eastAsia="Times New Roman"/>
                <w:sz w:val="16"/>
                <w:szCs w:val="16"/>
              </w:rPr>
            </w:pPr>
            <w:r>
              <w:rPr>
                <w:rFonts w:eastAsia="Times New Roman"/>
                <w:sz w:val="16"/>
                <w:szCs w:val="16"/>
              </w:rPr>
              <w:t>)</w:t>
            </w:r>
          </w:p>
        </w:tc>
      </w:tr>
      <w:tr w:rsidR="00847163" w14:paraId="78D66FC3" w14:textId="77777777">
        <w:trPr>
          <w:divId w:val="323124837"/>
          <w:tblCellSpacing w:w="0" w:type="dxa"/>
        </w:trPr>
        <w:tc>
          <w:tcPr>
            <w:tcW w:w="1500" w:type="pct"/>
            <w:shd w:val="clear" w:color="auto" w:fill="CCEEFF"/>
            <w:vAlign w:val="bottom"/>
            <w:hideMark/>
          </w:tcPr>
          <w:p w14:paraId="6762FA89" w14:textId="77777777" w:rsidR="00000000" w:rsidRDefault="00847163">
            <w:pPr>
              <w:pStyle w:val="a3"/>
              <w:spacing w:before="0" w:beforeAutospacing="0" w:after="0" w:afterAutospacing="0"/>
              <w:ind w:left="180" w:hanging="180"/>
              <w:rPr>
                <w:sz w:val="16"/>
                <w:szCs w:val="16"/>
              </w:rPr>
            </w:pPr>
            <w:r>
              <w:rPr>
                <w:sz w:val="16"/>
                <w:szCs w:val="16"/>
              </w:rPr>
              <w:t>Distributions to noncontrolling interests</w:t>
            </w:r>
          </w:p>
        </w:tc>
        <w:tc>
          <w:tcPr>
            <w:tcW w:w="50" w:type="pct"/>
            <w:shd w:val="clear" w:color="auto" w:fill="CCEEFF"/>
            <w:vAlign w:val="bottom"/>
            <w:hideMark/>
          </w:tcPr>
          <w:p w14:paraId="5B32595F" w14:textId="77777777" w:rsidR="00000000" w:rsidRDefault="00847163">
            <w:pPr>
              <w:rPr>
                <w:rFonts w:eastAsia="Times New Roman"/>
                <w:sz w:val="16"/>
                <w:szCs w:val="16"/>
              </w:rPr>
            </w:pPr>
            <w:r>
              <w:rPr>
                <w:rFonts w:eastAsia="Times New Roman"/>
                <w:sz w:val="16"/>
                <w:szCs w:val="16"/>
              </w:rPr>
              <w:t> </w:t>
            </w:r>
          </w:p>
        </w:tc>
        <w:tc>
          <w:tcPr>
            <w:tcW w:w="100" w:type="pct"/>
            <w:shd w:val="clear" w:color="auto" w:fill="CCEEFF"/>
            <w:vAlign w:val="bottom"/>
            <w:hideMark/>
          </w:tcPr>
          <w:p w14:paraId="359B782A" w14:textId="77777777" w:rsidR="00000000" w:rsidRDefault="00847163">
            <w:pPr>
              <w:rPr>
                <w:rFonts w:eastAsia="Times New Roman"/>
                <w:sz w:val="16"/>
                <w:szCs w:val="16"/>
              </w:rPr>
            </w:pPr>
            <w:r>
              <w:rPr>
                <w:rFonts w:eastAsia="Times New Roman"/>
                <w:sz w:val="16"/>
                <w:szCs w:val="16"/>
              </w:rPr>
              <w:t> </w:t>
            </w:r>
          </w:p>
        </w:tc>
        <w:tc>
          <w:tcPr>
            <w:tcW w:w="400" w:type="pct"/>
            <w:shd w:val="clear" w:color="auto" w:fill="CCEEFF"/>
            <w:vAlign w:val="bottom"/>
            <w:hideMark/>
          </w:tcPr>
          <w:p w14:paraId="285DB741" w14:textId="77777777" w:rsidR="00000000" w:rsidRDefault="00847163">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2E4C03D8"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353C3708"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62180545" w14:textId="77777777" w:rsidR="00000000" w:rsidRDefault="00847163">
            <w:pPr>
              <w:rPr>
                <w:rFonts w:eastAsia="Times New Roman"/>
                <w:sz w:val="16"/>
                <w:szCs w:val="16"/>
              </w:rPr>
            </w:pPr>
            <w:r>
              <w:rPr>
                <w:rFonts w:eastAsia="Times New Roman"/>
                <w:sz w:val="16"/>
                <w:szCs w:val="16"/>
              </w:rPr>
              <w:t> </w:t>
            </w:r>
          </w:p>
        </w:tc>
        <w:tc>
          <w:tcPr>
            <w:tcW w:w="200" w:type="pct"/>
            <w:shd w:val="clear" w:color="auto" w:fill="CCEEFF"/>
            <w:vAlign w:val="bottom"/>
            <w:hideMark/>
          </w:tcPr>
          <w:p w14:paraId="4E8F2053" w14:textId="77777777" w:rsidR="00000000" w:rsidRDefault="00847163">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14:paraId="63D7FE72"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704943A3"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45B4B774" w14:textId="77777777" w:rsidR="00000000" w:rsidRDefault="00847163">
            <w:pPr>
              <w:rPr>
                <w:rFonts w:eastAsia="Times New Roman"/>
                <w:sz w:val="16"/>
                <w:szCs w:val="16"/>
              </w:rPr>
            </w:pPr>
            <w:r>
              <w:rPr>
                <w:rFonts w:eastAsia="Times New Roman"/>
                <w:sz w:val="16"/>
                <w:szCs w:val="16"/>
              </w:rPr>
              <w:t> </w:t>
            </w:r>
          </w:p>
        </w:tc>
        <w:tc>
          <w:tcPr>
            <w:tcW w:w="200" w:type="pct"/>
            <w:shd w:val="clear" w:color="auto" w:fill="CCEEFF"/>
            <w:vAlign w:val="bottom"/>
            <w:hideMark/>
          </w:tcPr>
          <w:p w14:paraId="40EEC511" w14:textId="77777777" w:rsidR="00000000" w:rsidRDefault="00847163">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230AF48B"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76544A64"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1AB6CCA0" w14:textId="77777777" w:rsidR="00000000" w:rsidRDefault="00847163">
            <w:pPr>
              <w:rPr>
                <w:rFonts w:eastAsia="Times New Roman"/>
                <w:sz w:val="16"/>
                <w:szCs w:val="16"/>
              </w:rPr>
            </w:pPr>
            <w:r>
              <w:rPr>
                <w:rFonts w:eastAsia="Times New Roman"/>
                <w:sz w:val="16"/>
                <w:szCs w:val="16"/>
              </w:rPr>
              <w:t> </w:t>
            </w:r>
          </w:p>
        </w:tc>
        <w:tc>
          <w:tcPr>
            <w:tcW w:w="200" w:type="pct"/>
            <w:shd w:val="clear" w:color="auto" w:fill="CCEEFF"/>
            <w:vAlign w:val="bottom"/>
            <w:hideMark/>
          </w:tcPr>
          <w:p w14:paraId="71D4D7FC" w14:textId="77777777" w:rsidR="00000000" w:rsidRDefault="00847163">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14:paraId="0D6ED1CA"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6F72F3F1"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28056248" w14:textId="77777777" w:rsidR="00000000" w:rsidRDefault="00847163">
            <w:pPr>
              <w:rPr>
                <w:rFonts w:eastAsia="Times New Roman"/>
                <w:sz w:val="16"/>
                <w:szCs w:val="16"/>
              </w:rPr>
            </w:pPr>
            <w:r>
              <w:rPr>
                <w:rFonts w:eastAsia="Times New Roman"/>
                <w:sz w:val="16"/>
                <w:szCs w:val="16"/>
              </w:rPr>
              <w:t> </w:t>
            </w:r>
          </w:p>
        </w:tc>
        <w:tc>
          <w:tcPr>
            <w:tcW w:w="200" w:type="pct"/>
            <w:shd w:val="clear" w:color="auto" w:fill="CCEEFF"/>
            <w:vAlign w:val="bottom"/>
            <w:hideMark/>
          </w:tcPr>
          <w:p w14:paraId="71983633" w14:textId="77777777" w:rsidR="00000000" w:rsidRDefault="00847163">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77643EC1"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5BC8789C"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34C7D44F" w14:textId="77777777" w:rsidR="00000000" w:rsidRDefault="00847163">
            <w:pPr>
              <w:rPr>
                <w:rFonts w:eastAsia="Times New Roman"/>
                <w:sz w:val="16"/>
                <w:szCs w:val="16"/>
              </w:rPr>
            </w:pPr>
            <w:r>
              <w:rPr>
                <w:rFonts w:eastAsia="Times New Roman"/>
                <w:sz w:val="16"/>
                <w:szCs w:val="16"/>
              </w:rPr>
              <w:t> </w:t>
            </w:r>
          </w:p>
        </w:tc>
        <w:tc>
          <w:tcPr>
            <w:tcW w:w="200" w:type="pct"/>
            <w:shd w:val="clear" w:color="auto" w:fill="CCEEFF"/>
            <w:vAlign w:val="bottom"/>
            <w:hideMark/>
          </w:tcPr>
          <w:p w14:paraId="7128BA28" w14:textId="77777777" w:rsidR="00000000" w:rsidRDefault="00847163">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427A7A1B"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6FAB3519"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1620F160" w14:textId="77777777" w:rsidR="00000000" w:rsidRDefault="00847163">
            <w:pPr>
              <w:rPr>
                <w:rFonts w:eastAsia="Times New Roman"/>
                <w:sz w:val="16"/>
                <w:szCs w:val="16"/>
              </w:rPr>
            </w:pPr>
            <w:r>
              <w:rPr>
                <w:rFonts w:eastAsia="Times New Roman"/>
                <w:sz w:val="16"/>
                <w:szCs w:val="16"/>
              </w:rPr>
              <w:t> </w:t>
            </w:r>
          </w:p>
        </w:tc>
        <w:tc>
          <w:tcPr>
            <w:tcW w:w="250" w:type="pct"/>
            <w:shd w:val="clear" w:color="auto" w:fill="CCEEFF"/>
            <w:vAlign w:val="bottom"/>
            <w:hideMark/>
          </w:tcPr>
          <w:p w14:paraId="08D8BBEE" w14:textId="77777777" w:rsidR="00000000" w:rsidRDefault="00847163">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7DAE5AF2"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24E3ECAD"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56FB7EF0" w14:textId="77777777" w:rsidR="00000000" w:rsidRDefault="00847163">
            <w:pPr>
              <w:rPr>
                <w:rFonts w:eastAsia="Times New Roman"/>
                <w:sz w:val="16"/>
                <w:szCs w:val="16"/>
              </w:rPr>
            </w:pPr>
            <w:r>
              <w:rPr>
                <w:rFonts w:eastAsia="Times New Roman"/>
                <w:sz w:val="16"/>
                <w:szCs w:val="16"/>
              </w:rPr>
              <w:t> </w:t>
            </w:r>
          </w:p>
        </w:tc>
        <w:tc>
          <w:tcPr>
            <w:tcW w:w="250" w:type="pct"/>
            <w:shd w:val="clear" w:color="auto" w:fill="CCEEFF"/>
            <w:vAlign w:val="bottom"/>
            <w:hideMark/>
          </w:tcPr>
          <w:p w14:paraId="0941B214" w14:textId="77777777" w:rsidR="00000000" w:rsidRDefault="00847163">
            <w:pPr>
              <w:jc w:val="right"/>
              <w:rPr>
                <w:rFonts w:eastAsia="Times New Roman"/>
                <w:sz w:val="16"/>
                <w:szCs w:val="16"/>
              </w:rPr>
            </w:pPr>
            <w:r>
              <w:rPr>
                <w:rFonts w:eastAsia="Times New Roman"/>
                <w:sz w:val="16"/>
                <w:szCs w:val="16"/>
              </w:rPr>
              <w:t>(685</w:t>
            </w:r>
          </w:p>
        </w:tc>
        <w:tc>
          <w:tcPr>
            <w:tcW w:w="50" w:type="pct"/>
            <w:shd w:val="clear" w:color="auto" w:fill="CCEEFF"/>
            <w:vAlign w:val="bottom"/>
            <w:hideMark/>
          </w:tcPr>
          <w:p w14:paraId="38596A87" w14:textId="77777777" w:rsidR="00000000" w:rsidRDefault="00847163">
            <w:pPr>
              <w:rPr>
                <w:rFonts w:eastAsia="Times New Roman"/>
                <w:sz w:val="16"/>
                <w:szCs w:val="16"/>
              </w:rPr>
            </w:pPr>
            <w:r>
              <w:rPr>
                <w:rFonts w:eastAsia="Times New Roman"/>
                <w:sz w:val="16"/>
                <w:szCs w:val="16"/>
              </w:rPr>
              <w:t>)</w:t>
            </w:r>
          </w:p>
        </w:tc>
        <w:tc>
          <w:tcPr>
            <w:tcW w:w="50" w:type="pct"/>
            <w:shd w:val="clear" w:color="auto" w:fill="CCEEFF"/>
            <w:vAlign w:val="bottom"/>
            <w:hideMark/>
          </w:tcPr>
          <w:p w14:paraId="59589EE6"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37D4BFF0" w14:textId="77777777" w:rsidR="00000000" w:rsidRDefault="00847163">
            <w:pPr>
              <w:rPr>
                <w:rFonts w:eastAsia="Times New Roman"/>
                <w:sz w:val="16"/>
                <w:szCs w:val="16"/>
              </w:rPr>
            </w:pPr>
            <w:r>
              <w:rPr>
                <w:rFonts w:eastAsia="Times New Roman"/>
                <w:sz w:val="16"/>
                <w:szCs w:val="16"/>
              </w:rPr>
              <w:t> </w:t>
            </w:r>
          </w:p>
        </w:tc>
        <w:tc>
          <w:tcPr>
            <w:tcW w:w="200" w:type="pct"/>
            <w:shd w:val="clear" w:color="auto" w:fill="CCEEFF"/>
            <w:vAlign w:val="bottom"/>
            <w:hideMark/>
          </w:tcPr>
          <w:p w14:paraId="77D4209E" w14:textId="77777777" w:rsidR="00000000" w:rsidRDefault="00847163">
            <w:pPr>
              <w:jc w:val="right"/>
              <w:rPr>
                <w:rFonts w:eastAsia="Times New Roman"/>
                <w:sz w:val="16"/>
                <w:szCs w:val="16"/>
              </w:rPr>
            </w:pPr>
            <w:r>
              <w:rPr>
                <w:rFonts w:eastAsia="Times New Roman"/>
                <w:sz w:val="16"/>
                <w:szCs w:val="16"/>
              </w:rPr>
              <w:t>(685</w:t>
            </w:r>
          </w:p>
        </w:tc>
        <w:tc>
          <w:tcPr>
            <w:tcW w:w="50" w:type="pct"/>
            <w:shd w:val="clear" w:color="auto" w:fill="CCEEFF"/>
            <w:vAlign w:val="bottom"/>
            <w:hideMark/>
          </w:tcPr>
          <w:p w14:paraId="1FF443B6" w14:textId="77777777" w:rsidR="00000000" w:rsidRDefault="00847163">
            <w:pPr>
              <w:rPr>
                <w:rFonts w:eastAsia="Times New Roman"/>
                <w:sz w:val="16"/>
                <w:szCs w:val="16"/>
              </w:rPr>
            </w:pPr>
            <w:r>
              <w:rPr>
                <w:rFonts w:eastAsia="Times New Roman"/>
                <w:sz w:val="16"/>
                <w:szCs w:val="16"/>
              </w:rPr>
              <w:t>)</w:t>
            </w:r>
          </w:p>
        </w:tc>
      </w:tr>
      <w:tr w:rsidR="00847163" w14:paraId="0664366E" w14:textId="77777777">
        <w:trPr>
          <w:divId w:val="323124837"/>
          <w:tblCellSpacing w:w="0" w:type="dxa"/>
        </w:trPr>
        <w:tc>
          <w:tcPr>
            <w:tcW w:w="1500" w:type="pct"/>
            <w:shd w:val="clear" w:color="auto" w:fill="FFFFFF"/>
            <w:vAlign w:val="bottom"/>
            <w:hideMark/>
          </w:tcPr>
          <w:p w14:paraId="558A7317" w14:textId="77777777" w:rsidR="00000000" w:rsidRDefault="00847163">
            <w:pPr>
              <w:pStyle w:val="a3"/>
              <w:spacing w:before="0" w:beforeAutospacing="0" w:after="0" w:afterAutospacing="0"/>
              <w:rPr>
                <w:sz w:val="16"/>
                <w:szCs w:val="16"/>
              </w:rPr>
            </w:pPr>
            <w:r>
              <w:rPr>
                <w:sz w:val="16"/>
                <w:szCs w:val="16"/>
              </w:rPr>
              <w:t>Issuance of common stock</w:t>
            </w:r>
          </w:p>
        </w:tc>
        <w:tc>
          <w:tcPr>
            <w:tcW w:w="50" w:type="pct"/>
            <w:shd w:val="clear" w:color="auto" w:fill="FFFFFF"/>
            <w:vAlign w:val="bottom"/>
            <w:hideMark/>
          </w:tcPr>
          <w:p w14:paraId="3B6E1EE2" w14:textId="77777777" w:rsidR="00000000" w:rsidRDefault="00847163">
            <w:pPr>
              <w:rPr>
                <w:rFonts w:eastAsia="Times New Roman"/>
                <w:sz w:val="16"/>
                <w:szCs w:val="16"/>
              </w:rPr>
            </w:pPr>
            <w:r>
              <w:rPr>
                <w:rFonts w:eastAsia="Times New Roman"/>
                <w:sz w:val="16"/>
                <w:szCs w:val="16"/>
              </w:rPr>
              <w:t> </w:t>
            </w:r>
          </w:p>
        </w:tc>
        <w:tc>
          <w:tcPr>
            <w:tcW w:w="100" w:type="pct"/>
            <w:shd w:val="clear" w:color="auto" w:fill="FFFFFF"/>
            <w:vAlign w:val="bottom"/>
            <w:hideMark/>
          </w:tcPr>
          <w:p w14:paraId="0AA3A2AA" w14:textId="77777777" w:rsidR="00000000" w:rsidRDefault="00847163">
            <w:pPr>
              <w:rPr>
                <w:rFonts w:eastAsia="Times New Roman"/>
                <w:sz w:val="16"/>
                <w:szCs w:val="16"/>
              </w:rPr>
            </w:pPr>
            <w:r>
              <w:rPr>
                <w:rFonts w:eastAsia="Times New Roman"/>
                <w:sz w:val="16"/>
                <w:szCs w:val="16"/>
              </w:rPr>
              <w:t> </w:t>
            </w:r>
          </w:p>
        </w:tc>
        <w:tc>
          <w:tcPr>
            <w:tcW w:w="400" w:type="pct"/>
            <w:shd w:val="clear" w:color="auto" w:fill="FFFFFF"/>
            <w:vAlign w:val="bottom"/>
            <w:hideMark/>
          </w:tcPr>
          <w:p w14:paraId="42A41013" w14:textId="77777777" w:rsidR="00000000" w:rsidRDefault="00847163">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2B098B36"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282E5615"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14A937B4" w14:textId="77777777" w:rsidR="00000000" w:rsidRDefault="00847163">
            <w:pPr>
              <w:rPr>
                <w:rFonts w:eastAsia="Times New Roman"/>
                <w:sz w:val="16"/>
                <w:szCs w:val="16"/>
              </w:rPr>
            </w:pPr>
            <w:r>
              <w:rPr>
                <w:rFonts w:eastAsia="Times New Roman"/>
                <w:sz w:val="16"/>
                <w:szCs w:val="16"/>
              </w:rPr>
              <w:t> </w:t>
            </w:r>
          </w:p>
        </w:tc>
        <w:tc>
          <w:tcPr>
            <w:tcW w:w="200" w:type="pct"/>
            <w:shd w:val="clear" w:color="auto" w:fill="FFFFFF"/>
            <w:vAlign w:val="bottom"/>
            <w:hideMark/>
          </w:tcPr>
          <w:p w14:paraId="3ACAA039" w14:textId="77777777" w:rsidR="00000000" w:rsidRDefault="00847163">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0A718E84"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41750F55"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42D9FE41" w14:textId="77777777" w:rsidR="00000000" w:rsidRDefault="00847163">
            <w:pPr>
              <w:rPr>
                <w:rFonts w:eastAsia="Times New Roman"/>
                <w:sz w:val="16"/>
                <w:szCs w:val="16"/>
              </w:rPr>
            </w:pPr>
            <w:r>
              <w:rPr>
                <w:rFonts w:eastAsia="Times New Roman"/>
                <w:sz w:val="16"/>
                <w:szCs w:val="16"/>
              </w:rPr>
              <w:t> </w:t>
            </w:r>
          </w:p>
        </w:tc>
        <w:tc>
          <w:tcPr>
            <w:tcW w:w="200" w:type="pct"/>
            <w:shd w:val="clear" w:color="auto" w:fill="FFFFFF"/>
            <w:vAlign w:val="bottom"/>
            <w:hideMark/>
          </w:tcPr>
          <w:p w14:paraId="3FFBDD4E" w14:textId="77777777" w:rsidR="00000000" w:rsidRDefault="00847163">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3C65BD12"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26133D2C"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4B1E8E76" w14:textId="77777777" w:rsidR="00000000" w:rsidRDefault="00847163">
            <w:pPr>
              <w:rPr>
                <w:rFonts w:eastAsia="Times New Roman"/>
                <w:sz w:val="16"/>
                <w:szCs w:val="16"/>
              </w:rPr>
            </w:pPr>
            <w:r>
              <w:rPr>
                <w:rFonts w:eastAsia="Times New Roman"/>
                <w:sz w:val="16"/>
                <w:szCs w:val="16"/>
              </w:rPr>
              <w:t> </w:t>
            </w:r>
          </w:p>
        </w:tc>
        <w:tc>
          <w:tcPr>
            <w:tcW w:w="200" w:type="pct"/>
            <w:shd w:val="clear" w:color="auto" w:fill="FFFFFF"/>
            <w:vAlign w:val="bottom"/>
            <w:hideMark/>
          </w:tcPr>
          <w:p w14:paraId="6E4C17A9" w14:textId="77777777" w:rsidR="00000000" w:rsidRDefault="00847163">
            <w:pPr>
              <w:jc w:val="right"/>
              <w:rPr>
                <w:rFonts w:eastAsia="Times New Roman"/>
                <w:sz w:val="16"/>
                <w:szCs w:val="16"/>
              </w:rPr>
            </w:pPr>
            <w:r>
              <w:rPr>
                <w:rFonts w:eastAsia="Times New Roman"/>
                <w:sz w:val="16"/>
                <w:szCs w:val="16"/>
              </w:rPr>
              <w:t>783</w:t>
            </w:r>
          </w:p>
        </w:tc>
        <w:tc>
          <w:tcPr>
            <w:tcW w:w="50" w:type="pct"/>
            <w:shd w:val="clear" w:color="auto" w:fill="FFFFFF"/>
            <w:vAlign w:val="bottom"/>
            <w:hideMark/>
          </w:tcPr>
          <w:p w14:paraId="7834A394"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16746845"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0AD0CA27" w14:textId="77777777" w:rsidR="00000000" w:rsidRDefault="00847163">
            <w:pPr>
              <w:rPr>
                <w:rFonts w:eastAsia="Times New Roman"/>
                <w:sz w:val="16"/>
                <w:szCs w:val="16"/>
              </w:rPr>
            </w:pPr>
            <w:r>
              <w:rPr>
                <w:rFonts w:eastAsia="Times New Roman"/>
                <w:sz w:val="16"/>
                <w:szCs w:val="16"/>
              </w:rPr>
              <w:t> </w:t>
            </w:r>
          </w:p>
        </w:tc>
        <w:tc>
          <w:tcPr>
            <w:tcW w:w="200" w:type="pct"/>
            <w:shd w:val="clear" w:color="auto" w:fill="FFFFFF"/>
            <w:vAlign w:val="bottom"/>
            <w:hideMark/>
          </w:tcPr>
          <w:p w14:paraId="06E7FEA8" w14:textId="77777777" w:rsidR="00000000" w:rsidRDefault="00847163">
            <w:pPr>
              <w:jc w:val="right"/>
              <w:rPr>
                <w:rFonts w:eastAsia="Times New Roman"/>
                <w:sz w:val="16"/>
                <w:szCs w:val="16"/>
              </w:rPr>
            </w:pPr>
            <w:r>
              <w:rPr>
                <w:rFonts w:eastAsia="Times New Roman"/>
                <w:sz w:val="16"/>
                <w:szCs w:val="16"/>
              </w:rPr>
              <w:t>8</w:t>
            </w:r>
          </w:p>
        </w:tc>
        <w:tc>
          <w:tcPr>
            <w:tcW w:w="50" w:type="pct"/>
            <w:shd w:val="clear" w:color="auto" w:fill="FFFFFF"/>
            <w:vAlign w:val="bottom"/>
            <w:hideMark/>
          </w:tcPr>
          <w:p w14:paraId="0D212742"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4BEBD99B"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3207E5DA" w14:textId="77777777" w:rsidR="00000000" w:rsidRDefault="00847163">
            <w:pPr>
              <w:rPr>
                <w:rFonts w:eastAsia="Times New Roman"/>
                <w:sz w:val="16"/>
                <w:szCs w:val="16"/>
              </w:rPr>
            </w:pPr>
            <w:r>
              <w:rPr>
                <w:rFonts w:eastAsia="Times New Roman"/>
                <w:sz w:val="16"/>
                <w:szCs w:val="16"/>
              </w:rPr>
              <w:t> </w:t>
            </w:r>
          </w:p>
        </w:tc>
        <w:tc>
          <w:tcPr>
            <w:tcW w:w="200" w:type="pct"/>
            <w:shd w:val="clear" w:color="auto" w:fill="FFFFFF"/>
            <w:vAlign w:val="bottom"/>
            <w:hideMark/>
          </w:tcPr>
          <w:p w14:paraId="7409AE2A" w14:textId="77777777" w:rsidR="00000000" w:rsidRDefault="00847163">
            <w:pPr>
              <w:jc w:val="right"/>
              <w:rPr>
                <w:rFonts w:eastAsia="Times New Roman"/>
                <w:sz w:val="16"/>
                <w:szCs w:val="16"/>
              </w:rPr>
            </w:pPr>
            <w:r>
              <w:rPr>
                <w:rFonts w:eastAsia="Times New Roman"/>
                <w:sz w:val="16"/>
                <w:szCs w:val="16"/>
              </w:rPr>
              <w:t>(8</w:t>
            </w:r>
          </w:p>
        </w:tc>
        <w:tc>
          <w:tcPr>
            <w:tcW w:w="50" w:type="pct"/>
            <w:shd w:val="clear" w:color="auto" w:fill="FFFFFF"/>
            <w:vAlign w:val="bottom"/>
            <w:hideMark/>
          </w:tcPr>
          <w:p w14:paraId="326B7686" w14:textId="77777777" w:rsidR="00000000" w:rsidRDefault="00847163">
            <w:pPr>
              <w:rPr>
                <w:rFonts w:eastAsia="Times New Roman"/>
                <w:sz w:val="16"/>
                <w:szCs w:val="16"/>
              </w:rPr>
            </w:pPr>
            <w:r>
              <w:rPr>
                <w:rFonts w:eastAsia="Times New Roman"/>
                <w:sz w:val="16"/>
                <w:szCs w:val="16"/>
              </w:rPr>
              <w:t>)</w:t>
            </w:r>
          </w:p>
        </w:tc>
        <w:tc>
          <w:tcPr>
            <w:tcW w:w="50" w:type="pct"/>
            <w:shd w:val="clear" w:color="auto" w:fill="FFFFFF"/>
            <w:vAlign w:val="bottom"/>
            <w:hideMark/>
          </w:tcPr>
          <w:p w14:paraId="5FAEB07E"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4BB5CC5B" w14:textId="77777777" w:rsidR="00000000" w:rsidRDefault="00847163">
            <w:pPr>
              <w:rPr>
                <w:rFonts w:eastAsia="Times New Roman"/>
                <w:sz w:val="16"/>
                <w:szCs w:val="16"/>
              </w:rPr>
            </w:pPr>
            <w:r>
              <w:rPr>
                <w:rFonts w:eastAsia="Times New Roman"/>
                <w:sz w:val="16"/>
                <w:szCs w:val="16"/>
              </w:rPr>
              <w:t> </w:t>
            </w:r>
          </w:p>
        </w:tc>
        <w:tc>
          <w:tcPr>
            <w:tcW w:w="250" w:type="pct"/>
            <w:shd w:val="clear" w:color="auto" w:fill="FFFFFF"/>
            <w:vAlign w:val="bottom"/>
            <w:hideMark/>
          </w:tcPr>
          <w:p w14:paraId="186D9F32" w14:textId="77777777" w:rsidR="00000000" w:rsidRDefault="00847163">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4080F65D"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2E782647"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52613920" w14:textId="77777777" w:rsidR="00000000" w:rsidRDefault="00847163">
            <w:pPr>
              <w:rPr>
                <w:rFonts w:eastAsia="Times New Roman"/>
                <w:sz w:val="16"/>
                <w:szCs w:val="16"/>
              </w:rPr>
            </w:pPr>
            <w:r>
              <w:rPr>
                <w:rFonts w:eastAsia="Times New Roman"/>
                <w:sz w:val="16"/>
                <w:szCs w:val="16"/>
              </w:rPr>
              <w:t> </w:t>
            </w:r>
          </w:p>
        </w:tc>
        <w:tc>
          <w:tcPr>
            <w:tcW w:w="250" w:type="pct"/>
            <w:shd w:val="clear" w:color="auto" w:fill="FFFFFF"/>
            <w:vAlign w:val="bottom"/>
            <w:hideMark/>
          </w:tcPr>
          <w:p w14:paraId="76D95777" w14:textId="77777777" w:rsidR="00000000" w:rsidRDefault="00847163">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0AFD5E14"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350EE3D5"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17472F8F" w14:textId="77777777" w:rsidR="00000000" w:rsidRDefault="00847163">
            <w:pPr>
              <w:rPr>
                <w:rFonts w:eastAsia="Times New Roman"/>
                <w:sz w:val="16"/>
                <w:szCs w:val="16"/>
              </w:rPr>
            </w:pPr>
            <w:r>
              <w:rPr>
                <w:rFonts w:eastAsia="Times New Roman"/>
                <w:sz w:val="16"/>
                <w:szCs w:val="16"/>
              </w:rPr>
              <w:t> </w:t>
            </w:r>
          </w:p>
        </w:tc>
        <w:tc>
          <w:tcPr>
            <w:tcW w:w="200" w:type="pct"/>
            <w:shd w:val="clear" w:color="auto" w:fill="FFFFFF"/>
            <w:vAlign w:val="bottom"/>
            <w:hideMark/>
          </w:tcPr>
          <w:p w14:paraId="20F837E0" w14:textId="77777777" w:rsidR="00000000" w:rsidRDefault="00847163">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6D844551" w14:textId="77777777" w:rsidR="00000000" w:rsidRDefault="00847163">
            <w:pPr>
              <w:rPr>
                <w:rFonts w:eastAsia="Times New Roman"/>
                <w:sz w:val="16"/>
                <w:szCs w:val="16"/>
              </w:rPr>
            </w:pPr>
            <w:r>
              <w:rPr>
                <w:rFonts w:eastAsia="Times New Roman"/>
                <w:sz w:val="16"/>
                <w:szCs w:val="16"/>
              </w:rPr>
              <w:t> </w:t>
            </w:r>
          </w:p>
        </w:tc>
      </w:tr>
      <w:tr w:rsidR="00847163" w14:paraId="78938DCC" w14:textId="77777777">
        <w:trPr>
          <w:divId w:val="323124837"/>
          <w:tblCellSpacing w:w="0" w:type="dxa"/>
        </w:trPr>
        <w:tc>
          <w:tcPr>
            <w:tcW w:w="1500" w:type="pct"/>
            <w:shd w:val="clear" w:color="auto" w:fill="CCEEFF"/>
            <w:vAlign w:val="bottom"/>
            <w:hideMark/>
          </w:tcPr>
          <w:p w14:paraId="4D88D321" w14:textId="77777777" w:rsidR="00000000" w:rsidRDefault="00847163">
            <w:pPr>
              <w:pStyle w:val="a3"/>
              <w:spacing w:before="0" w:beforeAutospacing="0" w:after="0" w:afterAutospacing="0"/>
              <w:rPr>
                <w:sz w:val="16"/>
                <w:szCs w:val="16"/>
              </w:rPr>
            </w:pPr>
            <w:r>
              <w:rPr>
                <w:sz w:val="16"/>
                <w:szCs w:val="16"/>
              </w:rPr>
              <w:t>Surrender of restricted stock</w:t>
            </w:r>
          </w:p>
        </w:tc>
        <w:tc>
          <w:tcPr>
            <w:tcW w:w="50" w:type="pct"/>
            <w:shd w:val="clear" w:color="auto" w:fill="CCEEFF"/>
            <w:vAlign w:val="bottom"/>
            <w:hideMark/>
          </w:tcPr>
          <w:p w14:paraId="15188989" w14:textId="77777777" w:rsidR="00000000" w:rsidRDefault="00847163">
            <w:pPr>
              <w:rPr>
                <w:rFonts w:eastAsia="Times New Roman"/>
                <w:sz w:val="16"/>
                <w:szCs w:val="16"/>
              </w:rPr>
            </w:pPr>
            <w:r>
              <w:rPr>
                <w:rFonts w:eastAsia="Times New Roman"/>
                <w:sz w:val="16"/>
                <w:szCs w:val="16"/>
              </w:rPr>
              <w:t> </w:t>
            </w:r>
          </w:p>
        </w:tc>
        <w:tc>
          <w:tcPr>
            <w:tcW w:w="100" w:type="pct"/>
            <w:shd w:val="clear" w:color="auto" w:fill="CCEEFF"/>
            <w:vAlign w:val="bottom"/>
            <w:hideMark/>
          </w:tcPr>
          <w:p w14:paraId="6960F980" w14:textId="77777777" w:rsidR="00000000" w:rsidRDefault="00847163">
            <w:pPr>
              <w:rPr>
                <w:rFonts w:eastAsia="Times New Roman"/>
                <w:sz w:val="16"/>
                <w:szCs w:val="16"/>
              </w:rPr>
            </w:pPr>
            <w:r>
              <w:rPr>
                <w:rFonts w:eastAsia="Times New Roman"/>
                <w:sz w:val="16"/>
                <w:szCs w:val="16"/>
              </w:rPr>
              <w:t> </w:t>
            </w:r>
          </w:p>
        </w:tc>
        <w:tc>
          <w:tcPr>
            <w:tcW w:w="400" w:type="pct"/>
            <w:shd w:val="clear" w:color="auto" w:fill="CCEEFF"/>
            <w:vAlign w:val="bottom"/>
            <w:hideMark/>
          </w:tcPr>
          <w:p w14:paraId="48508E33" w14:textId="77777777" w:rsidR="00000000" w:rsidRDefault="00847163">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556C072E"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2C5C4295"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6A7323EB" w14:textId="77777777" w:rsidR="00000000" w:rsidRDefault="00847163">
            <w:pPr>
              <w:rPr>
                <w:rFonts w:eastAsia="Times New Roman"/>
                <w:sz w:val="16"/>
                <w:szCs w:val="16"/>
              </w:rPr>
            </w:pPr>
            <w:r>
              <w:rPr>
                <w:rFonts w:eastAsia="Times New Roman"/>
                <w:sz w:val="16"/>
                <w:szCs w:val="16"/>
              </w:rPr>
              <w:t> </w:t>
            </w:r>
          </w:p>
        </w:tc>
        <w:tc>
          <w:tcPr>
            <w:tcW w:w="200" w:type="pct"/>
            <w:shd w:val="clear" w:color="auto" w:fill="CCEEFF"/>
            <w:vAlign w:val="bottom"/>
            <w:hideMark/>
          </w:tcPr>
          <w:p w14:paraId="5E35EDBF" w14:textId="77777777" w:rsidR="00000000" w:rsidRDefault="00847163">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55EEB07F"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40F5D87F"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327F4A3E" w14:textId="77777777" w:rsidR="00000000" w:rsidRDefault="00847163">
            <w:pPr>
              <w:rPr>
                <w:rFonts w:eastAsia="Times New Roman"/>
                <w:sz w:val="16"/>
                <w:szCs w:val="16"/>
              </w:rPr>
            </w:pPr>
            <w:r>
              <w:rPr>
                <w:rFonts w:eastAsia="Times New Roman"/>
                <w:sz w:val="16"/>
                <w:szCs w:val="16"/>
              </w:rPr>
              <w:t> </w:t>
            </w:r>
          </w:p>
        </w:tc>
        <w:tc>
          <w:tcPr>
            <w:tcW w:w="200" w:type="pct"/>
            <w:shd w:val="clear" w:color="auto" w:fill="CCEEFF"/>
            <w:vAlign w:val="bottom"/>
            <w:hideMark/>
          </w:tcPr>
          <w:p w14:paraId="584FF8A6" w14:textId="77777777" w:rsidR="00000000" w:rsidRDefault="00847163">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0F02E720"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7D6982E6"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53CFAE4F" w14:textId="77777777" w:rsidR="00000000" w:rsidRDefault="00847163">
            <w:pPr>
              <w:rPr>
                <w:rFonts w:eastAsia="Times New Roman"/>
                <w:sz w:val="16"/>
                <w:szCs w:val="16"/>
              </w:rPr>
            </w:pPr>
            <w:r>
              <w:rPr>
                <w:rFonts w:eastAsia="Times New Roman"/>
                <w:sz w:val="16"/>
                <w:szCs w:val="16"/>
              </w:rPr>
              <w:t> </w:t>
            </w:r>
          </w:p>
        </w:tc>
        <w:tc>
          <w:tcPr>
            <w:tcW w:w="200" w:type="pct"/>
            <w:shd w:val="clear" w:color="auto" w:fill="CCEEFF"/>
            <w:vAlign w:val="bottom"/>
            <w:hideMark/>
          </w:tcPr>
          <w:p w14:paraId="615EF72C" w14:textId="77777777" w:rsidR="00000000" w:rsidRDefault="00847163">
            <w:pPr>
              <w:jc w:val="right"/>
              <w:rPr>
                <w:rFonts w:eastAsia="Times New Roman"/>
                <w:sz w:val="16"/>
                <w:szCs w:val="16"/>
              </w:rPr>
            </w:pPr>
            <w:r>
              <w:rPr>
                <w:rFonts w:eastAsia="Times New Roman"/>
                <w:sz w:val="16"/>
                <w:szCs w:val="16"/>
              </w:rPr>
              <w:t>(187</w:t>
            </w:r>
          </w:p>
        </w:tc>
        <w:tc>
          <w:tcPr>
            <w:tcW w:w="50" w:type="pct"/>
            <w:shd w:val="clear" w:color="auto" w:fill="CCEEFF"/>
            <w:vAlign w:val="bottom"/>
            <w:hideMark/>
          </w:tcPr>
          <w:p w14:paraId="133D3119" w14:textId="77777777" w:rsidR="00000000" w:rsidRDefault="00847163">
            <w:pPr>
              <w:rPr>
                <w:rFonts w:eastAsia="Times New Roman"/>
                <w:sz w:val="16"/>
                <w:szCs w:val="16"/>
              </w:rPr>
            </w:pPr>
            <w:r>
              <w:rPr>
                <w:rFonts w:eastAsia="Times New Roman"/>
                <w:sz w:val="16"/>
                <w:szCs w:val="16"/>
              </w:rPr>
              <w:t>)</w:t>
            </w:r>
          </w:p>
        </w:tc>
        <w:tc>
          <w:tcPr>
            <w:tcW w:w="50" w:type="pct"/>
            <w:shd w:val="clear" w:color="auto" w:fill="CCEEFF"/>
            <w:vAlign w:val="bottom"/>
            <w:hideMark/>
          </w:tcPr>
          <w:p w14:paraId="2D9144F4"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390F194F" w14:textId="77777777" w:rsidR="00000000" w:rsidRDefault="00847163">
            <w:pPr>
              <w:rPr>
                <w:rFonts w:eastAsia="Times New Roman"/>
                <w:sz w:val="16"/>
                <w:szCs w:val="16"/>
              </w:rPr>
            </w:pPr>
            <w:r>
              <w:rPr>
                <w:rFonts w:eastAsia="Times New Roman"/>
                <w:sz w:val="16"/>
                <w:szCs w:val="16"/>
              </w:rPr>
              <w:t> </w:t>
            </w:r>
          </w:p>
        </w:tc>
        <w:tc>
          <w:tcPr>
            <w:tcW w:w="200" w:type="pct"/>
            <w:shd w:val="clear" w:color="auto" w:fill="CCEEFF"/>
            <w:vAlign w:val="bottom"/>
            <w:hideMark/>
          </w:tcPr>
          <w:p w14:paraId="134ACF48" w14:textId="77777777" w:rsidR="00000000" w:rsidRDefault="00847163">
            <w:pPr>
              <w:jc w:val="right"/>
              <w:rPr>
                <w:rFonts w:eastAsia="Times New Roman"/>
                <w:sz w:val="16"/>
                <w:szCs w:val="16"/>
              </w:rPr>
            </w:pPr>
            <w:r>
              <w:rPr>
                <w:rFonts w:eastAsia="Times New Roman"/>
                <w:sz w:val="16"/>
                <w:szCs w:val="16"/>
              </w:rPr>
              <w:t>(2</w:t>
            </w:r>
          </w:p>
        </w:tc>
        <w:tc>
          <w:tcPr>
            <w:tcW w:w="50" w:type="pct"/>
            <w:shd w:val="clear" w:color="auto" w:fill="CCEEFF"/>
            <w:vAlign w:val="bottom"/>
            <w:hideMark/>
          </w:tcPr>
          <w:p w14:paraId="37FEBFFE" w14:textId="77777777" w:rsidR="00000000" w:rsidRDefault="00847163">
            <w:pPr>
              <w:rPr>
                <w:rFonts w:eastAsia="Times New Roman"/>
                <w:sz w:val="16"/>
                <w:szCs w:val="16"/>
              </w:rPr>
            </w:pPr>
            <w:r>
              <w:rPr>
                <w:rFonts w:eastAsia="Times New Roman"/>
                <w:sz w:val="16"/>
                <w:szCs w:val="16"/>
              </w:rPr>
              <w:t>)</w:t>
            </w:r>
          </w:p>
        </w:tc>
        <w:tc>
          <w:tcPr>
            <w:tcW w:w="50" w:type="pct"/>
            <w:shd w:val="clear" w:color="auto" w:fill="CCEEFF"/>
            <w:vAlign w:val="bottom"/>
            <w:hideMark/>
          </w:tcPr>
          <w:p w14:paraId="43184E03"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1675A1A8" w14:textId="77777777" w:rsidR="00000000" w:rsidRDefault="00847163">
            <w:pPr>
              <w:rPr>
                <w:rFonts w:eastAsia="Times New Roman"/>
                <w:sz w:val="16"/>
                <w:szCs w:val="16"/>
              </w:rPr>
            </w:pPr>
            <w:r>
              <w:rPr>
                <w:rFonts w:eastAsia="Times New Roman"/>
                <w:sz w:val="16"/>
                <w:szCs w:val="16"/>
              </w:rPr>
              <w:t> </w:t>
            </w:r>
          </w:p>
        </w:tc>
        <w:tc>
          <w:tcPr>
            <w:tcW w:w="200" w:type="pct"/>
            <w:shd w:val="clear" w:color="auto" w:fill="CCEEFF"/>
            <w:vAlign w:val="bottom"/>
            <w:hideMark/>
          </w:tcPr>
          <w:p w14:paraId="39C77855" w14:textId="77777777" w:rsidR="00000000" w:rsidRDefault="00847163">
            <w:pPr>
              <w:jc w:val="right"/>
              <w:rPr>
                <w:rFonts w:eastAsia="Times New Roman"/>
                <w:sz w:val="16"/>
                <w:szCs w:val="16"/>
              </w:rPr>
            </w:pPr>
            <w:r>
              <w:rPr>
                <w:rFonts w:eastAsia="Times New Roman"/>
                <w:sz w:val="16"/>
                <w:szCs w:val="16"/>
              </w:rPr>
              <w:t>(3,250</w:t>
            </w:r>
          </w:p>
        </w:tc>
        <w:tc>
          <w:tcPr>
            <w:tcW w:w="50" w:type="pct"/>
            <w:shd w:val="clear" w:color="auto" w:fill="CCEEFF"/>
            <w:vAlign w:val="bottom"/>
            <w:hideMark/>
          </w:tcPr>
          <w:p w14:paraId="3460279A" w14:textId="77777777" w:rsidR="00000000" w:rsidRDefault="00847163">
            <w:pPr>
              <w:rPr>
                <w:rFonts w:eastAsia="Times New Roman"/>
                <w:sz w:val="16"/>
                <w:szCs w:val="16"/>
              </w:rPr>
            </w:pPr>
            <w:r>
              <w:rPr>
                <w:rFonts w:eastAsia="Times New Roman"/>
                <w:sz w:val="16"/>
                <w:szCs w:val="16"/>
              </w:rPr>
              <w:t>)</w:t>
            </w:r>
          </w:p>
        </w:tc>
        <w:tc>
          <w:tcPr>
            <w:tcW w:w="50" w:type="pct"/>
            <w:shd w:val="clear" w:color="auto" w:fill="CCEEFF"/>
            <w:vAlign w:val="bottom"/>
            <w:hideMark/>
          </w:tcPr>
          <w:p w14:paraId="67DC06CD"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7EFDC7BA" w14:textId="77777777" w:rsidR="00000000" w:rsidRDefault="00847163">
            <w:pPr>
              <w:rPr>
                <w:rFonts w:eastAsia="Times New Roman"/>
                <w:sz w:val="16"/>
                <w:szCs w:val="16"/>
              </w:rPr>
            </w:pPr>
            <w:r>
              <w:rPr>
                <w:rFonts w:eastAsia="Times New Roman"/>
                <w:sz w:val="16"/>
                <w:szCs w:val="16"/>
              </w:rPr>
              <w:t> </w:t>
            </w:r>
          </w:p>
        </w:tc>
        <w:tc>
          <w:tcPr>
            <w:tcW w:w="250" w:type="pct"/>
            <w:shd w:val="clear" w:color="auto" w:fill="CCEEFF"/>
            <w:vAlign w:val="bottom"/>
            <w:hideMark/>
          </w:tcPr>
          <w:p w14:paraId="68E421EE" w14:textId="77777777" w:rsidR="00000000" w:rsidRDefault="00847163">
            <w:pPr>
              <w:jc w:val="right"/>
              <w:rPr>
                <w:rFonts w:eastAsia="Times New Roman"/>
                <w:sz w:val="16"/>
                <w:szCs w:val="16"/>
              </w:rPr>
            </w:pPr>
            <w:r>
              <w:rPr>
                <w:rFonts w:eastAsia="Times New Roman"/>
                <w:sz w:val="16"/>
                <w:szCs w:val="16"/>
              </w:rPr>
              <w:t>(3,252</w:t>
            </w:r>
          </w:p>
        </w:tc>
        <w:tc>
          <w:tcPr>
            <w:tcW w:w="50" w:type="pct"/>
            <w:shd w:val="clear" w:color="auto" w:fill="CCEEFF"/>
            <w:vAlign w:val="bottom"/>
            <w:hideMark/>
          </w:tcPr>
          <w:p w14:paraId="12F68EF1" w14:textId="77777777" w:rsidR="00000000" w:rsidRDefault="00847163">
            <w:pPr>
              <w:rPr>
                <w:rFonts w:eastAsia="Times New Roman"/>
                <w:sz w:val="16"/>
                <w:szCs w:val="16"/>
              </w:rPr>
            </w:pPr>
            <w:r>
              <w:rPr>
                <w:rFonts w:eastAsia="Times New Roman"/>
                <w:sz w:val="16"/>
                <w:szCs w:val="16"/>
              </w:rPr>
              <w:t>)</w:t>
            </w:r>
          </w:p>
        </w:tc>
        <w:tc>
          <w:tcPr>
            <w:tcW w:w="50" w:type="pct"/>
            <w:shd w:val="clear" w:color="auto" w:fill="CCEEFF"/>
            <w:vAlign w:val="bottom"/>
            <w:hideMark/>
          </w:tcPr>
          <w:p w14:paraId="17D6611C"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1658336F" w14:textId="77777777" w:rsidR="00000000" w:rsidRDefault="00847163">
            <w:pPr>
              <w:rPr>
                <w:rFonts w:eastAsia="Times New Roman"/>
                <w:sz w:val="16"/>
                <w:szCs w:val="16"/>
              </w:rPr>
            </w:pPr>
            <w:r>
              <w:rPr>
                <w:rFonts w:eastAsia="Times New Roman"/>
                <w:sz w:val="16"/>
                <w:szCs w:val="16"/>
              </w:rPr>
              <w:t> </w:t>
            </w:r>
          </w:p>
        </w:tc>
        <w:tc>
          <w:tcPr>
            <w:tcW w:w="250" w:type="pct"/>
            <w:shd w:val="clear" w:color="auto" w:fill="CCEEFF"/>
            <w:vAlign w:val="bottom"/>
            <w:hideMark/>
          </w:tcPr>
          <w:p w14:paraId="50B9EF02" w14:textId="77777777" w:rsidR="00000000" w:rsidRDefault="00847163">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0812F6B9"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5A8FC643"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58B5D4E0" w14:textId="77777777" w:rsidR="00000000" w:rsidRDefault="00847163">
            <w:pPr>
              <w:rPr>
                <w:rFonts w:eastAsia="Times New Roman"/>
                <w:sz w:val="16"/>
                <w:szCs w:val="16"/>
              </w:rPr>
            </w:pPr>
            <w:r>
              <w:rPr>
                <w:rFonts w:eastAsia="Times New Roman"/>
                <w:sz w:val="16"/>
                <w:szCs w:val="16"/>
              </w:rPr>
              <w:t> </w:t>
            </w:r>
          </w:p>
        </w:tc>
        <w:tc>
          <w:tcPr>
            <w:tcW w:w="200" w:type="pct"/>
            <w:shd w:val="clear" w:color="auto" w:fill="CCEEFF"/>
            <w:vAlign w:val="bottom"/>
            <w:hideMark/>
          </w:tcPr>
          <w:p w14:paraId="52B47BBA" w14:textId="77777777" w:rsidR="00000000" w:rsidRDefault="00847163">
            <w:pPr>
              <w:jc w:val="right"/>
              <w:rPr>
                <w:rFonts w:eastAsia="Times New Roman"/>
                <w:sz w:val="16"/>
                <w:szCs w:val="16"/>
              </w:rPr>
            </w:pPr>
            <w:r>
              <w:rPr>
                <w:rFonts w:eastAsia="Times New Roman"/>
                <w:sz w:val="16"/>
                <w:szCs w:val="16"/>
              </w:rPr>
              <w:t>(3,252</w:t>
            </w:r>
          </w:p>
        </w:tc>
        <w:tc>
          <w:tcPr>
            <w:tcW w:w="50" w:type="pct"/>
            <w:shd w:val="clear" w:color="auto" w:fill="CCEEFF"/>
            <w:vAlign w:val="bottom"/>
            <w:hideMark/>
          </w:tcPr>
          <w:p w14:paraId="70FB6D0D" w14:textId="77777777" w:rsidR="00000000" w:rsidRDefault="00847163">
            <w:pPr>
              <w:rPr>
                <w:rFonts w:eastAsia="Times New Roman"/>
                <w:sz w:val="16"/>
                <w:szCs w:val="16"/>
              </w:rPr>
            </w:pPr>
            <w:r>
              <w:rPr>
                <w:rFonts w:eastAsia="Times New Roman"/>
                <w:sz w:val="16"/>
                <w:szCs w:val="16"/>
              </w:rPr>
              <w:t>)</w:t>
            </w:r>
          </w:p>
        </w:tc>
      </w:tr>
      <w:tr w:rsidR="00847163" w14:paraId="560069D1" w14:textId="77777777">
        <w:trPr>
          <w:divId w:val="323124837"/>
          <w:tblCellSpacing w:w="0" w:type="dxa"/>
        </w:trPr>
        <w:tc>
          <w:tcPr>
            <w:tcW w:w="1500" w:type="pct"/>
            <w:shd w:val="clear" w:color="auto" w:fill="FFFFFF"/>
            <w:vAlign w:val="bottom"/>
            <w:hideMark/>
          </w:tcPr>
          <w:p w14:paraId="4FB3B189" w14:textId="77777777" w:rsidR="00000000" w:rsidRDefault="00847163">
            <w:pPr>
              <w:pStyle w:val="a3"/>
              <w:spacing w:before="0" w:beforeAutospacing="0" w:after="0" w:afterAutospacing="0"/>
              <w:ind w:left="180" w:hanging="180"/>
              <w:rPr>
                <w:sz w:val="16"/>
                <w:szCs w:val="16"/>
              </w:rPr>
            </w:pPr>
            <w:r>
              <w:rPr>
                <w:sz w:val="16"/>
                <w:szCs w:val="16"/>
              </w:rPr>
              <w:t>Exercise of common stock options</w:t>
            </w:r>
          </w:p>
        </w:tc>
        <w:tc>
          <w:tcPr>
            <w:tcW w:w="50" w:type="pct"/>
            <w:shd w:val="clear" w:color="auto" w:fill="FFFFFF"/>
            <w:vAlign w:val="bottom"/>
            <w:hideMark/>
          </w:tcPr>
          <w:p w14:paraId="3BAEBA4C" w14:textId="77777777" w:rsidR="00000000" w:rsidRDefault="00847163">
            <w:pPr>
              <w:rPr>
                <w:rFonts w:eastAsia="Times New Roman"/>
                <w:sz w:val="16"/>
                <w:szCs w:val="16"/>
              </w:rPr>
            </w:pPr>
            <w:r>
              <w:rPr>
                <w:rFonts w:eastAsia="Times New Roman"/>
                <w:sz w:val="16"/>
                <w:szCs w:val="16"/>
              </w:rPr>
              <w:t> </w:t>
            </w:r>
          </w:p>
        </w:tc>
        <w:tc>
          <w:tcPr>
            <w:tcW w:w="100" w:type="pct"/>
            <w:shd w:val="clear" w:color="auto" w:fill="FFFFFF"/>
            <w:vAlign w:val="bottom"/>
            <w:hideMark/>
          </w:tcPr>
          <w:p w14:paraId="392DD42B" w14:textId="77777777" w:rsidR="00000000" w:rsidRDefault="00847163">
            <w:pPr>
              <w:rPr>
                <w:rFonts w:eastAsia="Times New Roman"/>
                <w:sz w:val="16"/>
                <w:szCs w:val="16"/>
              </w:rPr>
            </w:pPr>
            <w:r>
              <w:rPr>
                <w:rFonts w:eastAsia="Times New Roman"/>
                <w:sz w:val="16"/>
                <w:szCs w:val="16"/>
              </w:rPr>
              <w:t> </w:t>
            </w:r>
          </w:p>
        </w:tc>
        <w:tc>
          <w:tcPr>
            <w:tcW w:w="400" w:type="pct"/>
            <w:shd w:val="clear" w:color="auto" w:fill="FFFFFF"/>
            <w:vAlign w:val="bottom"/>
            <w:hideMark/>
          </w:tcPr>
          <w:p w14:paraId="2E31584E" w14:textId="77777777" w:rsidR="00000000" w:rsidRDefault="00847163">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36156448"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6DB4DD9E"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4EA6F0D5" w14:textId="77777777" w:rsidR="00000000" w:rsidRDefault="00847163">
            <w:pPr>
              <w:rPr>
                <w:rFonts w:eastAsia="Times New Roman"/>
                <w:sz w:val="16"/>
                <w:szCs w:val="16"/>
              </w:rPr>
            </w:pPr>
            <w:r>
              <w:rPr>
                <w:rFonts w:eastAsia="Times New Roman"/>
                <w:sz w:val="16"/>
                <w:szCs w:val="16"/>
              </w:rPr>
              <w:t> </w:t>
            </w:r>
          </w:p>
        </w:tc>
        <w:tc>
          <w:tcPr>
            <w:tcW w:w="200" w:type="pct"/>
            <w:shd w:val="clear" w:color="auto" w:fill="FFFFFF"/>
            <w:vAlign w:val="bottom"/>
            <w:hideMark/>
          </w:tcPr>
          <w:p w14:paraId="7571EDB9" w14:textId="77777777" w:rsidR="00000000" w:rsidRDefault="00847163">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2EB9C3F3"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279F10EE"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1C593129" w14:textId="77777777" w:rsidR="00000000" w:rsidRDefault="00847163">
            <w:pPr>
              <w:rPr>
                <w:rFonts w:eastAsia="Times New Roman"/>
                <w:sz w:val="16"/>
                <w:szCs w:val="16"/>
              </w:rPr>
            </w:pPr>
            <w:r>
              <w:rPr>
                <w:rFonts w:eastAsia="Times New Roman"/>
                <w:sz w:val="16"/>
                <w:szCs w:val="16"/>
              </w:rPr>
              <w:t> </w:t>
            </w:r>
          </w:p>
        </w:tc>
        <w:tc>
          <w:tcPr>
            <w:tcW w:w="200" w:type="pct"/>
            <w:shd w:val="clear" w:color="auto" w:fill="FFFFFF"/>
            <w:vAlign w:val="bottom"/>
            <w:hideMark/>
          </w:tcPr>
          <w:p w14:paraId="24BFBC4D" w14:textId="77777777" w:rsidR="00000000" w:rsidRDefault="00847163">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6AA7979C"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3A701A02"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79A28C80" w14:textId="77777777" w:rsidR="00000000" w:rsidRDefault="00847163">
            <w:pPr>
              <w:rPr>
                <w:rFonts w:eastAsia="Times New Roman"/>
                <w:sz w:val="16"/>
                <w:szCs w:val="16"/>
              </w:rPr>
            </w:pPr>
            <w:r>
              <w:rPr>
                <w:rFonts w:eastAsia="Times New Roman"/>
                <w:sz w:val="16"/>
                <w:szCs w:val="16"/>
              </w:rPr>
              <w:t> </w:t>
            </w:r>
          </w:p>
        </w:tc>
        <w:tc>
          <w:tcPr>
            <w:tcW w:w="200" w:type="pct"/>
            <w:shd w:val="clear" w:color="auto" w:fill="FFFFFF"/>
            <w:vAlign w:val="bottom"/>
            <w:hideMark/>
          </w:tcPr>
          <w:p w14:paraId="6BF4F92B" w14:textId="77777777" w:rsidR="00000000" w:rsidRDefault="00847163">
            <w:pPr>
              <w:jc w:val="right"/>
              <w:rPr>
                <w:rFonts w:eastAsia="Times New Roman"/>
                <w:sz w:val="16"/>
                <w:szCs w:val="16"/>
              </w:rPr>
            </w:pPr>
            <w:r>
              <w:rPr>
                <w:rFonts w:eastAsia="Times New Roman"/>
                <w:sz w:val="16"/>
                <w:szCs w:val="16"/>
              </w:rPr>
              <w:t>52</w:t>
            </w:r>
          </w:p>
        </w:tc>
        <w:tc>
          <w:tcPr>
            <w:tcW w:w="50" w:type="pct"/>
            <w:shd w:val="clear" w:color="auto" w:fill="FFFFFF"/>
            <w:vAlign w:val="bottom"/>
            <w:hideMark/>
          </w:tcPr>
          <w:p w14:paraId="3007CB67"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3612EDBC"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0F370B6F" w14:textId="77777777" w:rsidR="00000000" w:rsidRDefault="00847163">
            <w:pPr>
              <w:rPr>
                <w:rFonts w:eastAsia="Times New Roman"/>
                <w:sz w:val="16"/>
                <w:szCs w:val="16"/>
              </w:rPr>
            </w:pPr>
            <w:r>
              <w:rPr>
                <w:rFonts w:eastAsia="Times New Roman"/>
                <w:sz w:val="16"/>
                <w:szCs w:val="16"/>
              </w:rPr>
              <w:t> </w:t>
            </w:r>
          </w:p>
        </w:tc>
        <w:tc>
          <w:tcPr>
            <w:tcW w:w="200" w:type="pct"/>
            <w:shd w:val="clear" w:color="auto" w:fill="FFFFFF"/>
            <w:vAlign w:val="bottom"/>
            <w:hideMark/>
          </w:tcPr>
          <w:p w14:paraId="4DBE5566" w14:textId="77777777" w:rsidR="00000000" w:rsidRDefault="00847163">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19DF0D1D"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1D06C9F5"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287E8D3A" w14:textId="77777777" w:rsidR="00000000" w:rsidRDefault="00847163">
            <w:pPr>
              <w:rPr>
                <w:rFonts w:eastAsia="Times New Roman"/>
                <w:sz w:val="16"/>
                <w:szCs w:val="16"/>
              </w:rPr>
            </w:pPr>
            <w:r>
              <w:rPr>
                <w:rFonts w:eastAsia="Times New Roman"/>
                <w:sz w:val="16"/>
                <w:szCs w:val="16"/>
              </w:rPr>
              <w:t> </w:t>
            </w:r>
          </w:p>
        </w:tc>
        <w:tc>
          <w:tcPr>
            <w:tcW w:w="200" w:type="pct"/>
            <w:shd w:val="clear" w:color="auto" w:fill="FFFFFF"/>
            <w:vAlign w:val="bottom"/>
            <w:hideMark/>
          </w:tcPr>
          <w:p w14:paraId="19FCC004" w14:textId="77777777" w:rsidR="00000000" w:rsidRDefault="00847163">
            <w:pPr>
              <w:jc w:val="right"/>
              <w:rPr>
                <w:rFonts w:eastAsia="Times New Roman"/>
                <w:sz w:val="16"/>
                <w:szCs w:val="16"/>
              </w:rPr>
            </w:pPr>
            <w:r>
              <w:rPr>
                <w:rFonts w:eastAsia="Times New Roman"/>
                <w:sz w:val="16"/>
                <w:szCs w:val="16"/>
              </w:rPr>
              <w:t>681</w:t>
            </w:r>
          </w:p>
        </w:tc>
        <w:tc>
          <w:tcPr>
            <w:tcW w:w="50" w:type="pct"/>
            <w:shd w:val="clear" w:color="auto" w:fill="FFFFFF"/>
            <w:vAlign w:val="bottom"/>
            <w:hideMark/>
          </w:tcPr>
          <w:p w14:paraId="105F1A0B"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2B76E181"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0AB5CC9C" w14:textId="77777777" w:rsidR="00000000" w:rsidRDefault="00847163">
            <w:pPr>
              <w:rPr>
                <w:rFonts w:eastAsia="Times New Roman"/>
                <w:sz w:val="16"/>
                <w:szCs w:val="16"/>
              </w:rPr>
            </w:pPr>
            <w:r>
              <w:rPr>
                <w:rFonts w:eastAsia="Times New Roman"/>
                <w:sz w:val="16"/>
                <w:szCs w:val="16"/>
              </w:rPr>
              <w:t> </w:t>
            </w:r>
          </w:p>
        </w:tc>
        <w:tc>
          <w:tcPr>
            <w:tcW w:w="250" w:type="pct"/>
            <w:shd w:val="clear" w:color="auto" w:fill="FFFFFF"/>
            <w:vAlign w:val="bottom"/>
            <w:hideMark/>
          </w:tcPr>
          <w:p w14:paraId="7B773FBB" w14:textId="77777777" w:rsidR="00000000" w:rsidRDefault="00847163">
            <w:pPr>
              <w:jc w:val="right"/>
              <w:rPr>
                <w:rFonts w:eastAsia="Times New Roman"/>
                <w:sz w:val="16"/>
                <w:szCs w:val="16"/>
              </w:rPr>
            </w:pPr>
            <w:r>
              <w:rPr>
                <w:rFonts w:eastAsia="Times New Roman"/>
                <w:sz w:val="16"/>
                <w:szCs w:val="16"/>
              </w:rPr>
              <w:t>681</w:t>
            </w:r>
          </w:p>
        </w:tc>
        <w:tc>
          <w:tcPr>
            <w:tcW w:w="50" w:type="pct"/>
            <w:shd w:val="clear" w:color="auto" w:fill="FFFFFF"/>
            <w:vAlign w:val="bottom"/>
            <w:hideMark/>
          </w:tcPr>
          <w:p w14:paraId="28D4D894"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0885721F"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0277C643" w14:textId="77777777" w:rsidR="00000000" w:rsidRDefault="00847163">
            <w:pPr>
              <w:rPr>
                <w:rFonts w:eastAsia="Times New Roman"/>
                <w:sz w:val="16"/>
                <w:szCs w:val="16"/>
              </w:rPr>
            </w:pPr>
            <w:r>
              <w:rPr>
                <w:rFonts w:eastAsia="Times New Roman"/>
                <w:sz w:val="16"/>
                <w:szCs w:val="16"/>
              </w:rPr>
              <w:t> </w:t>
            </w:r>
          </w:p>
        </w:tc>
        <w:tc>
          <w:tcPr>
            <w:tcW w:w="250" w:type="pct"/>
            <w:shd w:val="clear" w:color="auto" w:fill="FFFFFF"/>
            <w:vAlign w:val="bottom"/>
            <w:hideMark/>
          </w:tcPr>
          <w:p w14:paraId="47FDB841" w14:textId="77777777" w:rsidR="00000000" w:rsidRDefault="00847163">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6B926D21"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6B7181D2"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7C8E58C9" w14:textId="77777777" w:rsidR="00000000" w:rsidRDefault="00847163">
            <w:pPr>
              <w:rPr>
                <w:rFonts w:eastAsia="Times New Roman"/>
                <w:sz w:val="16"/>
                <w:szCs w:val="16"/>
              </w:rPr>
            </w:pPr>
            <w:r>
              <w:rPr>
                <w:rFonts w:eastAsia="Times New Roman"/>
                <w:sz w:val="16"/>
                <w:szCs w:val="16"/>
              </w:rPr>
              <w:t> </w:t>
            </w:r>
          </w:p>
        </w:tc>
        <w:tc>
          <w:tcPr>
            <w:tcW w:w="200" w:type="pct"/>
            <w:shd w:val="clear" w:color="auto" w:fill="FFFFFF"/>
            <w:vAlign w:val="bottom"/>
            <w:hideMark/>
          </w:tcPr>
          <w:p w14:paraId="7BF10ED4" w14:textId="77777777" w:rsidR="00000000" w:rsidRDefault="00847163">
            <w:pPr>
              <w:jc w:val="right"/>
              <w:rPr>
                <w:rFonts w:eastAsia="Times New Roman"/>
                <w:sz w:val="16"/>
                <w:szCs w:val="16"/>
              </w:rPr>
            </w:pPr>
            <w:r>
              <w:rPr>
                <w:rFonts w:eastAsia="Times New Roman"/>
                <w:sz w:val="16"/>
                <w:szCs w:val="16"/>
              </w:rPr>
              <w:t>681</w:t>
            </w:r>
          </w:p>
        </w:tc>
        <w:tc>
          <w:tcPr>
            <w:tcW w:w="50" w:type="pct"/>
            <w:shd w:val="clear" w:color="auto" w:fill="FFFFFF"/>
            <w:vAlign w:val="bottom"/>
            <w:hideMark/>
          </w:tcPr>
          <w:p w14:paraId="69D2C5F0" w14:textId="77777777" w:rsidR="00000000" w:rsidRDefault="00847163">
            <w:pPr>
              <w:rPr>
                <w:rFonts w:eastAsia="Times New Roman"/>
                <w:sz w:val="16"/>
                <w:szCs w:val="16"/>
              </w:rPr>
            </w:pPr>
            <w:r>
              <w:rPr>
                <w:rFonts w:eastAsia="Times New Roman"/>
                <w:sz w:val="16"/>
                <w:szCs w:val="16"/>
              </w:rPr>
              <w:t> </w:t>
            </w:r>
          </w:p>
        </w:tc>
      </w:tr>
      <w:tr w:rsidR="00847163" w14:paraId="5986F408" w14:textId="77777777">
        <w:trPr>
          <w:divId w:val="323124837"/>
          <w:tblCellSpacing w:w="0" w:type="dxa"/>
        </w:trPr>
        <w:tc>
          <w:tcPr>
            <w:tcW w:w="1500" w:type="pct"/>
            <w:shd w:val="clear" w:color="auto" w:fill="CCEEFF"/>
            <w:vAlign w:val="bottom"/>
            <w:hideMark/>
          </w:tcPr>
          <w:p w14:paraId="68E86AC3" w14:textId="77777777" w:rsidR="00000000" w:rsidRDefault="00847163">
            <w:pPr>
              <w:pStyle w:val="a3"/>
              <w:spacing w:before="0" w:beforeAutospacing="0" w:after="0" w:afterAutospacing="0"/>
              <w:rPr>
                <w:sz w:val="16"/>
                <w:szCs w:val="16"/>
              </w:rPr>
            </w:pPr>
            <w:r>
              <w:rPr>
                <w:sz w:val="16"/>
                <w:szCs w:val="16"/>
              </w:rPr>
              <w:t>Amortization of equity awards</w:t>
            </w:r>
          </w:p>
        </w:tc>
        <w:tc>
          <w:tcPr>
            <w:tcW w:w="50" w:type="pct"/>
            <w:shd w:val="clear" w:color="auto" w:fill="CCEEFF"/>
            <w:tcMar>
              <w:top w:w="0" w:type="dxa"/>
              <w:left w:w="0" w:type="dxa"/>
              <w:bottom w:w="15" w:type="dxa"/>
              <w:right w:w="0" w:type="dxa"/>
            </w:tcMar>
            <w:vAlign w:val="bottom"/>
            <w:hideMark/>
          </w:tcPr>
          <w:p w14:paraId="3754B400" w14:textId="77777777" w:rsidR="00000000" w:rsidRDefault="00847163">
            <w:pPr>
              <w:rPr>
                <w:rFonts w:eastAsia="Times New Roman"/>
                <w:sz w:val="16"/>
                <w:szCs w:val="16"/>
              </w:rPr>
            </w:pPr>
            <w:r>
              <w:rPr>
                <w:rFonts w:eastAsia="Times New Roman"/>
                <w:sz w:val="16"/>
                <w:szCs w:val="16"/>
              </w:rPr>
              <w:t> </w:t>
            </w:r>
          </w:p>
        </w:tc>
        <w:tc>
          <w:tcPr>
            <w:tcW w:w="100" w:type="pct"/>
            <w:tcBorders>
              <w:bottom w:val="single" w:sz="6" w:space="0" w:color="000000"/>
            </w:tcBorders>
            <w:shd w:val="clear" w:color="auto" w:fill="CCEEFF"/>
            <w:vAlign w:val="bottom"/>
            <w:hideMark/>
          </w:tcPr>
          <w:p w14:paraId="478A32D3" w14:textId="77777777" w:rsidR="00000000" w:rsidRDefault="00847163">
            <w:pPr>
              <w:rPr>
                <w:rFonts w:eastAsia="Times New Roman"/>
                <w:sz w:val="16"/>
                <w:szCs w:val="16"/>
              </w:rPr>
            </w:pPr>
            <w:r>
              <w:rPr>
                <w:rFonts w:eastAsia="Times New Roman"/>
                <w:sz w:val="16"/>
                <w:szCs w:val="16"/>
              </w:rPr>
              <w:t> </w:t>
            </w:r>
          </w:p>
        </w:tc>
        <w:tc>
          <w:tcPr>
            <w:tcW w:w="400" w:type="pct"/>
            <w:tcBorders>
              <w:bottom w:val="single" w:sz="6" w:space="0" w:color="000000"/>
            </w:tcBorders>
            <w:shd w:val="clear" w:color="auto" w:fill="CCEEFF"/>
            <w:vAlign w:val="bottom"/>
            <w:hideMark/>
          </w:tcPr>
          <w:p w14:paraId="1BCCA5CA" w14:textId="77777777" w:rsidR="00000000" w:rsidRDefault="00847163">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14:paraId="150107C2" w14:textId="77777777" w:rsidR="00000000" w:rsidRDefault="00847163">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63935AFE" w14:textId="77777777" w:rsidR="00000000" w:rsidRDefault="00847163">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2716A0FC" w14:textId="77777777" w:rsidR="00000000" w:rsidRDefault="00847163">
            <w:pPr>
              <w:rPr>
                <w:rFonts w:eastAsia="Times New Roman"/>
                <w:sz w:val="16"/>
                <w:szCs w:val="16"/>
              </w:rPr>
            </w:pPr>
            <w:r>
              <w:rPr>
                <w:rFonts w:eastAsia="Times New Roman"/>
                <w:sz w:val="16"/>
                <w:szCs w:val="16"/>
              </w:rPr>
              <w:t> </w:t>
            </w:r>
          </w:p>
        </w:tc>
        <w:tc>
          <w:tcPr>
            <w:tcW w:w="200" w:type="pct"/>
            <w:tcBorders>
              <w:bottom w:val="single" w:sz="6" w:space="0" w:color="000000"/>
            </w:tcBorders>
            <w:shd w:val="clear" w:color="auto" w:fill="CCEEFF"/>
            <w:vAlign w:val="bottom"/>
            <w:hideMark/>
          </w:tcPr>
          <w:p w14:paraId="2A2AADCD" w14:textId="77777777" w:rsidR="00000000" w:rsidRDefault="00847163">
            <w:pPr>
              <w:jc w:val="right"/>
              <w:rPr>
                <w:rFonts w:eastAsia="Times New Roman"/>
                <w:sz w:val="16"/>
                <w:szCs w:val="16"/>
              </w:rPr>
            </w:pPr>
            <w:r>
              <w:rPr>
                <w:rStyle w:val="a6"/>
                <w:rFonts w:eastAsia="Times New Roman"/>
                <w:sz w:val="16"/>
                <w:szCs w:val="16"/>
              </w:rPr>
              <w:t>-</w:t>
            </w:r>
          </w:p>
        </w:tc>
        <w:tc>
          <w:tcPr>
            <w:tcW w:w="50" w:type="pct"/>
            <w:tcBorders>
              <w:bottom w:val="single" w:sz="6" w:space="0" w:color="000000"/>
            </w:tcBorders>
            <w:shd w:val="clear" w:color="auto" w:fill="CCEEFF"/>
            <w:vAlign w:val="bottom"/>
            <w:hideMark/>
          </w:tcPr>
          <w:p w14:paraId="425A6B89" w14:textId="77777777" w:rsidR="00000000" w:rsidRDefault="00847163">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21DC4D59" w14:textId="77777777" w:rsidR="00000000" w:rsidRDefault="00847163">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1B901C5C" w14:textId="77777777" w:rsidR="00000000" w:rsidRDefault="00847163">
            <w:pPr>
              <w:rPr>
                <w:rFonts w:eastAsia="Times New Roman"/>
                <w:sz w:val="16"/>
                <w:szCs w:val="16"/>
              </w:rPr>
            </w:pPr>
            <w:r>
              <w:rPr>
                <w:rFonts w:eastAsia="Times New Roman"/>
                <w:sz w:val="16"/>
                <w:szCs w:val="16"/>
              </w:rPr>
              <w:t> </w:t>
            </w:r>
          </w:p>
        </w:tc>
        <w:tc>
          <w:tcPr>
            <w:tcW w:w="200" w:type="pct"/>
            <w:tcBorders>
              <w:bottom w:val="single" w:sz="6" w:space="0" w:color="000000"/>
            </w:tcBorders>
            <w:shd w:val="clear" w:color="auto" w:fill="CCEEFF"/>
            <w:vAlign w:val="bottom"/>
            <w:hideMark/>
          </w:tcPr>
          <w:p w14:paraId="029CC4C6" w14:textId="77777777" w:rsidR="00000000" w:rsidRDefault="00847163">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14:paraId="5335A11E" w14:textId="77777777" w:rsidR="00000000" w:rsidRDefault="00847163">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4B72D6CA" w14:textId="77777777" w:rsidR="00000000" w:rsidRDefault="00847163">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0FA6DA87" w14:textId="77777777" w:rsidR="00000000" w:rsidRDefault="00847163">
            <w:pPr>
              <w:rPr>
                <w:rFonts w:eastAsia="Times New Roman"/>
                <w:sz w:val="16"/>
                <w:szCs w:val="16"/>
              </w:rPr>
            </w:pPr>
            <w:r>
              <w:rPr>
                <w:rFonts w:eastAsia="Times New Roman"/>
                <w:sz w:val="16"/>
                <w:szCs w:val="16"/>
              </w:rPr>
              <w:t> </w:t>
            </w:r>
          </w:p>
        </w:tc>
        <w:tc>
          <w:tcPr>
            <w:tcW w:w="200" w:type="pct"/>
            <w:tcBorders>
              <w:bottom w:val="single" w:sz="6" w:space="0" w:color="000000"/>
            </w:tcBorders>
            <w:shd w:val="clear" w:color="auto" w:fill="CCEEFF"/>
            <w:vAlign w:val="bottom"/>
            <w:hideMark/>
          </w:tcPr>
          <w:p w14:paraId="0F1A2A0A" w14:textId="77777777" w:rsidR="00000000" w:rsidRDefault="00847163">
            <w:pPr>
              <w:jc w:val="right"/>
              <w:rPr>
                <w:rFonts w:eastAsia="Times New Roman"/>
                <w:sz w:val="16"/>
                <w:szCs w:val="16"/>
              </w:rPr>
            </w:pPr>
            <w:r>
              <w:rPr>
                <w:rStyle w:val="a6"/>
                <w:rFonts w:eastAsia="Times New Roman"/>
                <w:sz w:val="16"/>
                <w:szCs w:val="16"/>
              </w:rPr>
              <w:t>-</w:t>
            </w:r>
          </w:p>
        </w:tc>
        <w:tc>
          <w:tcPr>
            <w:tcW w:w="50" w:type="pct"/>
            <w:tcBorders>
              <w:bottom w:val="single" w:sz="6" w:space="0" w:color="000000"/>
            </w:tcBorders>
            <w:shd w:val="clear" w:color="auto" w:fill="CCEEFF"/>
            <w:vAlign w:val="bottom"/>
            <w:hideMark/>
          </w:tcPr>
          <w:p w14:paraId="79CB6F90" w14:textId="77777777" w:rsidR="00000000" w:rsidRDefault="00847163">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0C83CE6B" w14:textId="77777777" w:rsidR="00000000" w:rsidRDefault="00847163">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37928FF3" w14:textId="77777777" w:rsidR="00000000" w:rsidRDefault="00847163">
            <w:pPr>
              <w:rPr>
                <w:rFonts w:eastAsia="Times New Roman"/>
                <w:sz w:val="16"/>
                <w:szCs w:val="16"/>
              </w:rPr>
            </w:pPr>
            <w:r>
              <w:rPr>
                <w:rFonts w:eastAsia="Times New Roman"/>
                <w:sz w:val="16"/>
                <w:szCs w:val="16"/>
              </w:rPr>
              <w:t> </w:t>
            </w:r>
          </w:p>
        </w:tc>
        <w:tc>
          <w:tcPr>
            <w:tcW w:w="200" w:type="pct"/>
            <w:tcBorders>
              <w:bottom w:val="single" w:sz="6" w:space="0" w:color="000000"/>
            </w:tcBorders>
            <w:shd w:val="clear" w:color="auto" w:fill="CCEEFF"/>
            <w:vAlign w:val="bottom"/>
            <w:hideMark/>
          </w:tcPr>
          <w:p w14:paraId="0CA93625" w14:textId="77777777" w:rsidR="00000000" w:rsidRDefault="00847163">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14:paraId="528EED40" w14:textId="77777777" w:rsidR="00000000" w:rsidRDefault="00847163">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503098D9" w14:textId="77777777" w:rsidR="00000000" w:rsidRDefault="00847163">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7364AC8C" w14:textId="77777777" w:rsidR="00000000" w:rsidRDefault="00847163">
            <w:pPr>
              <w:rPr>
                <w:rFonts w:eastAsia="Times New Roman"/>
                <w:sz w:val="16"/>
                <w:szCs w:val="16"/>
              </w:rPr>
            </w:pPr>
            <w:r>
              <w:rPr>
                <w:rFonts w:eastAsia="Times New Roman"/>
                <w:sz w:val="16"/>
                <w:szCs w:val="16"/>
              </w:rPr>
              <w:t> </w:t>
            </w:r>
          </w:p>
        </w:tc>
        <w:tc>
          <w:tcPr>
            <w:tcW w:w="200" w:type="pct"/>
            <w:tcBorders>
              <w:bottom w:val="single" w:sz="6" w:space="0" w:color="000000"/>
            </w:tcBorders>
            <w:shd w:val="clear" w:color="auto" w:fill="CCEEFF"/>
            <w:vAlign w:val="bottom"/>
            <w:hideMark/>
          </w:tcPr>
          <w:p w14:paraId="783C7064" w14:textId="77777777" w:rsidR="00000000" w:rsidRDefault="00847163">
            <w:pPr>
              <w:jc w:val="right"/>
              <w:rPr>
                <w:rFonts w:eastAsia="Times New Roman"/>
                <w:sz w:val="16"/>
                <w:szCs w:val="16"/>
              </w:rPr>
            </w:pPr>
            <w:r>
              <w:rPr>
                <w:rFonts w:eastAsia="Times New Roman"/>
                <w:sz w:val="16"/>
                <w:szCs w:val="16"/>
              </w:rPr>
              <w:t>5,178</w:t>
            </w:r>
          </w:p>
        </w:tc>
        <w:tc>
          <w:tcPr>
            <w:tcW w:w="50" w:type="pct"/>
            <w:tcBorders>
              <w:bottom w:val="single" w:sz="6" w:space="0" w:color="000000"/>
            </w:tcBorders>
            <w:shd w:val="clear" w:color="auto" w:fill="CCEEFF"/>
            <w:vAlign w:val="bottom"/>
            <w:hideMark/>
          </w:tcPr>
          <w:p w14:paraId="41B09E25" w14:textId="77777777" w:rsidR="00000000" w:rsidRDefault="00847163">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2FAFC7FC" w14:textId="77777777" w:rsidR="00000000" w:rsidRDefault="00847163">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0597E086" w14:textId="77777777" w:rsidR="00000000" w:rsidRDefault="00847163">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14:paraId="2E8D1D38" w14:textId="77777777" w:rsidR="00000000" w:rsidRDefault="00847163">
            <w:pPr>
              <w:jc w:val="right"/>
              <w:rPr>
                <w:rFonts w:eastAsia="Times New Roman"/>
                <w:sz w:val="16"/>
                <w:szCs w:val="16"/>
              </w:rPr>
            </w:pPr>
            <w:r>
              <w:rPr>
                <w:rFonts w:eastAsia="Times New Roman"/>
                <w:sz w:val="16"/>
                <w:szCs w:val="16"/>
              </w:rPr>
              <w:t>5,178</w:t>
            </w:r>
          </w:p>
        </w:tc>
        <w:tc>
          <w:tcPr>
            <w:tcW w:w="50" w:type="pct"/>
            <w:tcBorders>
              <w:bottom w:val="single" w:sz="6" w:space="0" w:color="000000"/>
            </w:tcBorders>
            <w:shd w:val="clear" w:color="auto" w:fill="CCEEFF"/>
            <w:vAlign w:val="bottom"/>
            <w:hideMark/>
          </w:tcPr>
          <w:p w14:paraId="76A6AB15" w14:textId="77777777" w:rsidR="00000000" w:rsidRDefault="00847163">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72FE383E" w14:textId="77777777" w:rsidR="00000000" w:rsidRDefault="00847163">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1DC086DB" w14:textId="77777777" w:rsidR="00000000" w:rsidRDefault="00847163">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14:paraId="7E023B6C" w14:textId="77777777" w:rsidR="00000000" w:rsidRDefault="00847163">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14:paraId="36AEA375" w14:textId="77777777" w:rsidR="00000000" w:rsidRDefault="00847163">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64C197D8" w14:textId="77777777" w:rsidR="00000000" w:rsidRDefault="00847163">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71EB1939" w14:textId="77777777" w:rsidR="00000000" w:rsidRDefault="00847163">
            <w:pPr>
              <w:rPr>
                <w:rFonts w:eastAsia="Times New Roman"/>
                <w:sz w:val="16"/>
                <w:szCs w:val="16"/>
              </w:rPr>
            </w:pPr>
            <w:r>
              <w:rPr>
                <w:rFonts w:eastAsia="Times New Roman"/>
                <w:sz w:val="16"/>
                <w:szCs w:val="16"/>
              </w:rPr>
              <w:t> </w:t>
            </w:r>
          </w:p>
        </w:tc>
        <w:tc>
          <w:tcPr>
            <w:tcW w:w="200" w:type="pct"/>
            <w:tcBorders>
              <w:bottom w:val="single" w:sz="6" w:space="0" w:color="000000"/>
            </w:tcBorders>
            <w:shd w:val="clear" w:color="auto" w:fill="CCEEFF"/>
            <w:vAlign w:val="bottom"/>
            <w:hideMark/>
          </w:tcPr>
          <w:p w14:paraId="6333A527" w14:textId="77777777" w:rsidR="00000000" w:rsidRDefault="00847163">
            <w:pPr>
              <w:jc w:val="right"/>
              <w:rPr>
                <w:rFonts w:eastAsia="Times New Roman"/>
                <w:sz w:val="16"/>
                <w:szCs w:val="16"/>
              </w:rPr>
            </w:pPr>
            <w:r>
              <w:rPr>
                <w:rFonts w:eastAsia="Times New Roman"/>
                <w:sz w:val="16"/>
                <w:szCs w:val="16"/>
              </w:rPr>
              <w:t>5,178</w:t>
            </w:r>
          </w:p>
        </w:tc>
        <w:tc>
          <w:tcPr>
            <w:tcW w:w="50" w:type="pct"/>
            <w:shd w:val="clear" w:color="auto" w:fill="CCEEFF"/>
            <w:tcMar>
              <w:top w:w="0" w:type="dxa"/>
              <w:left w:w="0" w:type="dxa"/>
              <w:bottom w:w="15" w:type="dxa"/>
              <w:right w:w="0" w:type="dxa"/>
            </w:tcMar>
            <w:vAlign w:val="bottom"/>
            <w:hideMark/>
          </w:tcPr>
          <w:p w14:paraId="4F53B656" w14:textId="77777777" w:rsidR="00000000" w:rsidRDefault="00847163">
            <w:pPr>
              <w:rPr>
                <w:rFonts w:eastAsia="Times New Roman"/>
                <w:sz w:val="16"/>
                <w:szCs w:val="16"/>
              </w:rPr>
            </w:pPr>
            <w:r>
              <w:rPr>
                <w:rFonts w:eastAsia="Times New Roman"/>
                <w:sz w:val="16"/>
                <w:szCs w:val="16"/>
              </w:rPr>
              <w:t> </w:t>
            </w:r>
          </w:p>
        </w:tc>
      </w:tr>
      <w:tr w:rsidR="00847163" w14:paraId="26B7ADB5" w14:textId="77777777">
        <w:trPr>
          <w:divId w:val="323124837"/>
          <w:tblCellSpacing w:w="0" w:type="dxa"/>
        </w:trPr>
        <w:tc>
          <w:tcPr>
            <w:tcW w:w="1500" w:type="pct"/>
            <w:shd w:val="clear" w:color="auto" w:fill="FFFFFF"/>
            <w:vAlign w:val="bottom"/>
            <w:hideMark/>
          </w:tcPr>
          <w:p w14:paraId="294CBB3D" w14:textId="77777777" w:rsidR="00000000" w:rsidRDefault="00847163">
            <w:pPr>
              <w:pStyle w:val="a3"/>
              <w:spacing w:before="0" w:beforeAutospacing="0" w:after="0" w:afterAutospacing="0"/>
              <w:rPr>
                <w:sz w:val="16"/>
                <w:szCs w:val="16"/>
              </w:rPr>
            </w:pPr>
            <w:r>
              <w:rPr>
                <w:sz w:val="16"/>
                <w:szCs w:val="16"/>
              </w:rPr>
              <w:t>Balance at March 31, 2019</w:t>
            </w:r>
          </w:p>
        </w:tc>
        <w:tc>
          <w:tcPr>
            <w:tcW w:w="50" w:type="pct"/>
            <w:shd w:val="clear" w:color="auto" w:fill="FFFFFF"/>
            <w:vAlign w:val="bottom"/>
            <w:hideMark/>
          </w:tcPr>
          <w:p w14:paraId="7FB7CEF3" w14:textId="77777777" w:rsidR="00000000" w:rsidRDefault="00847163">
            <w:pPr>
              <w:rPr>
                <w:rFonts w:eastAsia="Times New Roman"/>
                <w:sz w:val="16"/>
                <w:szCs w:val="16"/>
              </w:rPr>
            </w:pPr>
            <w:r>
              <w:rPr>
                <w:rFonts w:eastAsia="Times New Roman"/>
                <w:sz w:val="16"/>
                <w:szCs w:val="16"/>
              </w:rPr>
              <w:t> </w:t>
            </w:r>
          </w:p>
        </w:tc>
        <w:tc>
          <w:tcPr>
            <w:tcW w:w="100" w:type="pct"/>
            <w:tcBorders>
              <w:bottom w:val="double" w:sz="6" w:space="0" w:color="000000"/>
            </w:tcBorders>
            <w:shd w:val="clear" w:color="auto" w:fill="FFFFFF"/>
            <w:vAlign w:val="bottom"/>
            <w:hideMark/>
          </w:tcPr>
          <w:p w14:paraId="498B3E88" w14:textId="77777777" w:rsidR="00000000" w:rsidRDefault="00847163">
            <w:pPr>
              <w:rPr>
                <w:rFonts w:eastAsia="Times New Roman"/>
                <w:sz w:val="16"/>
                <w:szCs w:val="16"/>
              </w:rPr>
            </w:pPr>
            <w:r>
              <w:rPr>
                <w:rFonts w:eastAsia="Times New Roman"/>
                <w:sz w:val="16"/>
                <w:szCs w:val="16"/>
              </w:rPr>
              <w:t>$</w:t>
            </w:r>
          </w:p>
        </w:tc>
        <w:tc>
          <w:tcPr>
            <w:tcW w:w="400" w:type="pct"/>
            <w:tcBorders>
              <w:bottom w:val="double" w:sz="6" w:space="0" w:color="000000"/>
            </w:tcBorders>
            <w:shd w:val="clear" w:color="auto" w:fill="FFFFFF"/>
            <w:vAlign w:val="bottom"/>
            <w:hideMark/>
          </w:tcPr>
          <w:p w14:paraId="7DEAC3CA" w14:textId="77777777" w:rsidR="00000000" w:rsidRDefault="00847163">
            <w:pPr>
              <w:jc w:val="right"/>
              <w:rPr>
                <w:rFonts w:eastAsia="Times New Roman"/>
                <w:sz w:val="16"/>
                <w:szCs w:val="16"/>
              </w:rPr>
            </w:pPr>
            <w:r>
              <w:rPr>
                <w:rFonts w:eastAsia="Times New Roman"/>
                <w:sz w:val="16"/>
                <w:szCs w:val="16"/>
              </w:rPr>
              <w:t>(804,241</w:t>
            </w:r>
          </w:p>
        </w:tc>
        <w:tc>
          <w:tcPr>
            <w:tcW w:w="50" w:type="pct"/>
            <w:tcBorders>
              <w:bottom w:val="double" w:sz="6" w:space="0" w:color="000000"/>
            </w:tcBorders>
            <w:shd w:val="clear" w:color="auto" w:fill="FFFFFF"/>
            <w:vAlign w:val="bottom"/>
            <w:hideMark/>
          </w:tcPr>
          <w:p w14:paraId="32661B2A" w14:textId="77777777" w:rsidR="00000000" w:rsidRDefault="00847163">
            <w:pPr>
              <w:rPr>
                <w:rFonts w:eastAsia="Times New Roman"/>
                <w:sz w:val="16"/>
                <w:szCs w:val="16"/>
              </w:rPr>
            </w:pPr>
            <w:r>
              <w:rPr>
                <w:rFonts w:eastAsia="Times New Roman"/>
                <w:sz w:val="16"/>
                <w:szCs w:val="16"/>
              </w:rPr>
              <w:t>)</w:t>
            </w:r>
          </w:p>
        </w:tc>
        <w:tc>
          <w:tcPr>
            <w:tcW w:w="50" w:type="pct"/>
            <w:tcBorders>
              <w:bottom w:val="double" w:sz="6" w:space="0" w:color="000000"/>
            </w:tcBorders>
            <w:shd w:val="clear" w:color="auto" w:fill="FFFFFF"/>
            <w:vAlign w:val="bottom"/>
            <w:hideMark/>
          </w:tcPr>
          <w:p w14:paraId="122CDAA0" w14:textId="77777777" w:rsidR="00000000" w:rsidRDefault="00847163">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5DCBE0B9" w14:textId="77777777" w:rsidR="00000000" w:rsidRDefault="00847163">
            <w:pPr>
              <w:rPr>
                <w:rFonts w:eastAsia="Times New Roman"/>
                <w:sz w:val="16"/>
                <w:szCs w:val="16"/>
              </w:rPr>
            </w:pPr>
            <w:r>
              <w:rPr>
                <w:rFonts w:eastAsia="Times New Roman"/>
                <w:sz w:val="16"/>
                <w:szCs w:val="16"/>
              </w:rPr>
              <w:t> </w:t>
            </w:r>
          </w:p>
        </w:tc>
        <w:tc>
          <w:tcPr>
            <w:tcW w:w="200" w:type="pct"/>
            <w:tcBorders>
              <w:bottom w:val="double" w:sz="6" w:space="0" w:color="000000"/>
            </w:tcBorders>
            <w:shd w:val="clear" w:color="auto" w:fill="FFFFFF"/>
            <w:vAlign w:val="bottom"/>
            <w:hideMark/>
          </w:tcPr>
          <w:p w14:paraId="717906AD" w14:textId="77777777" w:rsidR="00000000" w:rsidRDefault="00847163">
            <w:pPr>
              <w:jc w:val="right"/>
              <w:rPr>
                <w:rFonts w:eastAsia="Times New Roman"/>
                <w:sz w:val="16"/>
                <w:szCs w:val="16"/>
              </w:rPr>
            </w:pPr>
            <w:r>
              <w:rPr>
                <w:rFonts w:eastAsia="Times New Roman"/>
                <w:sz w:val="16"/>
                <w:szCs w:val="16"/>
              </w:rPr>
              <w:t>43</w:t>
            </w:r>
          </w:p>
        </w:tc>
        <w:tc>
          <w:tcPr>
            <w:tcW w:w="50" w:type="pct"/>
            <w:tcBorders>
              <w:bottom w:val="double" w:sz="6" w:space="0" w:color="000000"/>
            </w:tcBorders>
            <w:shd w:val="clear" w:color="auto" w:fill="FFFFFF"/>
            <w:vAlign w:val="bottom"/>
            <w:hideMark/>
          </w:tcPr>
          <w:p w14:paraId="4B020326" w14:textId="77777777" w:rsidR="00000000" w:rsidRDefault="00847163">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273F9CA7" w14:textId="77777777" w:rsidR="00000000" w:rsidRDefault="00847163">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4E696FF5" w14:textId="77777777" w:rsidR="00000000" w:rsidRDefault="00847163">
            <w:pPr>
              <w:rPr>
                <w:rFonts w:eastAsia="Times New Roman"/>
                <w:sz w:val="16"/>
                <w:szCs w:val="16"/>
              </w:rPr>
            </w:pPr>
            <w:r>
              <w:rPr>
                <w:rFonts w:eastAsia="Times New Roman"/>
                <w:sz w:val="16"/>
                <w:szCs w:val="16"/>
              </w:rPr>
              <w:t>$</w:t>
            </w:r>
          </w:p>
        </w:tc>
        <w:tc>
          <w:tcPr>
            <w:tcW w:w="200" w:type="pct"/>
            <w:tcBorders>
              <w:bottom w:val="double" w:sz="6" w:space="0" w:color="000000"/>
            </w:tcBorders>
            <w:shd w:val="clear" w:color="auto" w:fill="FFFFFF"/>
            <w:vAlign w:val="bottom"/>
            <w:hideMark/>
          </w:tcPr>
          <w:p w14:paraId="3DF8FA2C" w14:textId="77777777" w:rsidR="00000000" w:rsidRDefault="00847163">
            <w:pPr>
              <w:jc w:val="right"/>
              <w:rPr>
                <w:rFonts w:eastAsia="Times New Roman"/>
                <w:sz w:val="16"/>
                <w:szCs w:val="16"/>
              </w:rPr>
            </w:pPr>
            <w:r>
              <w:rPr>
                <w:rFonts w:eastAsia="Times New Roman"/>
                <w:sz w:val="16"/>
                <w:szCs w:val="16"/>
              </w:rPr>
              <w:t>43</w:t>
            </w:r>
          </w:p>
        </w:tc>
        <w:tc>
          <w:tcPr>
            <w:tcW w:w="50" w:type="pct"/>
            <w:tcBorders>
              <w:bottom w:val="double" w:sz="6" w:space="0" w:color="000000"/>
            </w:tcBorders>
            <w:shd w:val="clear" w:color="auto" w:fill="FFFFFF"/>
            <w:vAlign w:val="bottom"/>
            <w:hideMark/>
          </w:tcPr>
          <w:p w14:paraId="13A2409B" w14:textId="77777777" w:rsidR="00000000" w:rsidRDefault="00847163">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52952CE2" w14:textId="77777777" w:rsidR="00000000" w:rsidRDefault="00847163">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3FE7CB3E" w14:textId="77777777" w:rsidR="00000000" w:rsidRDefault="00847163">
            <w:pPr>
              <w:rPr>
                <w:rFonts w:eastAsia="Times New Roman"/>
                <w:sz w:val="16"/>
                <w:szCs w:val="16"/>
              </w:rPr>
            </w:pPr>
            <w:r>
              <w:rPr>
                <w:rFonts w:eastAsia="Times New Roman"/>
                <w:sz w:val="16"/>
                <w:szCs w:val="16"/>
              </w:rPr>
              <w:t> </w:t>
            </w:r>
          </w:p>
        </w:tc>
        <w:tc>
          <w:tcPr>
            <w:tcW w:w="200" w:type="pct"/>
            <w:tcBorders>
              <w:bottom w:val="double" w:sz="6" w:space="0" w:color="000000"/>
            </w:tcBorders>
            <w:shd w:val="clear" w:color="auto" w:fill="FFFFFF"/>
            <w:vAlign w:val="bottom"/>
            <w:hideMark/>
          </w:tcPr>
          <w:p w14:paraId="3A6CEE01" w14:textId="77777777" w:rsidR="00000000" w:rsidRDefault="00847163">
            <w:pPr>
              <w:jc w:val="right"/>
              <w:rPr>
                <w:rFonts w:eastAsia="Times New Roman"/>
                <w:sz w:val="16"/>
                <w:szCs w:val="16"/>
              </w:rPr>
            </w:pPr>
            <w:r>
              <w:rPr>
                <w:rFonts w:eastAsia="Times New Roman"/>
                <w:sz w:val="16"/>
                <w:szCs w:val="16"/>
              </w:rPr>
              <w:t>422,037</w:t>
            </w:r>
          </w:p>
        </w:tc>
        <w:tc>
          <w:tcPr>
            <w:tcW w:w="50" w:type="pct"/>
            <w:tcBorders>
              <w:bottom w:val="double" w:sz="6" w:space="0" w:color="000000"/>
            </w:tcBorders>
            <w:shd w:val="clear" w:color="auto" w:fill="FFFFFF"/>
            <w:vAlign w:val="bottom"/>
            <w:hideMark/>
          </w:tcPr>
          <w:p w14:paraId="7FF36617" w14:textId="77777777" w:rsidR="00000000" w:rsidRDefault="00847163">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37A0765E" w14:textId="77777777" w:rsidR="00000000" w:rsidRDefault="00847163">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21E9D149" w14:textId="77777777" w:rsidR="00000000" w:rsidRDefault="00847163">
            <w:pPr>
              <w:rPr>
                <w:rFonts w:eastAsia="Times New Roman"/>
                <w:sz w:val="16"/>
                <w:szCs w:val="16"/>
              </w:rPr>
            </w:pPr>
            <w:r>
              <w:rPr>
                <w:rFonts w:eastAsia="Times New Roman"/>
                <w:sz w:val="16"/>
                <w:szCs w:val="16"/>
              </w:rPr>
              <w:t>$</w:t>
            </w:r>
          </w:p>
        </w:tc>
        <w:tc>
          <w:tcPr>
            <w:tcW w:w="200" w:type="pct"/>
            <w:tcBorders>
              <w:bottom w:val="double" w:sz="6" w:space="0" w:color="000000"/>
            </w:tcBorders>
            <w:shd w:val="clear" w:color="auto" w:fill="FFFFFF"/>
            <w:vAlign w:val="bottom"/>
            <w:hideMark/>
          </w:tcPr>
          <w:p w14:paraId="220EAEE5" w14:textId="77777777" w:rsidR="00000000" w:rsidRDefault="00847163">
            <w:pPr>
              <w:jc w:val="right"/>
              <w:rPr>
                <w:rFonts w:eastAsia="Times New Roman"/>
                <w:sz w:val="16"/>
                <w:szCs w:val="16"/>
              </w:rPr>
            </w:pPr>
            <w:r>
              <w:rPr>
                <w:rFonts w:eastAsia="Times New Roman"/>
                <w:sz w:val="16"/>
                <w:szCs w:val="16"/>
              </w:rPr>
              <w:t>4,220</w:t>
            </w:r>
          </w:p>
        </w:tc>
        <w:tc>
          <w:tcPr>
            <w:tcW w:w="50" w:type="pct"/>
            <w:tcBorders>
              <w:bottom w:val="double" w:sz="6" w:space="0" w:color="000000"/>
            </w:tcBorders>
            <w:shd w:val="clear" w:color="auto" w:fill="FFFFFF"/>
            <w:vAlign w:val="bottom"/>
            <w:hideMark/>
          </w:tcPr>
          <w:p w14:paraId="285844B6" w14:textId="77777777" w:rsidR="00000000" w:rsidRDefault="00847163">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5D50B276" w14:textId="77777777" w:rsidR="00000000" w:rsidRDefault="00847163">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7BDB497B" w14:textId="77777777" w:rsidR="00000000" w:rsidRDefault="00847163">
            <w:pPr>
              <w:rPr>
                <w:rFonts w:eastAsia="Times New Roman"/>
                <w:sz w:val="16"/>
                <w:szCs w:val="16"/>
              </w:rPr>
            </w:pPr>
            <w:r>
              <w:rPr>
                <w:rFonts w:eastAsia="Times New Roman"/>
                <w:sz w:val="16"/>
                <w:szCs w:val="16"/>
              </w:rPr>
              <w:t>$</w:t>
            </w:r>
          </w:p>
        </w:tc>
        <w:tc>
          <w:tcPr>
            <w:tcW w:w="200" w:type="pct"/>
            <w:tcBorders>
              <w:bottom w:val="double" w:sz="6" w:space="0" w:color="000000"/>
            </w:tcBorders>
            <w:shd w:val="clear" w:color="auto" w:fill="FFFFFF"/>
            <w:vAlign w:val="bottom"/>
            <w:hideMark/>
          </w:tcPr>
          <w:p w14:paraId="269EF41D" w14:textId="77777777" w:rsidR="00000000" w:rsidRDefault="00847163">
            <w:pPr>
              <w:jc w:val="right"/>
              <w:rPr>
                <w:rFonts w:eastAsia="Times New Roman"/>
                <w:sz w:val="16"/>
                <w:szCs w:val="16"/>
              </w:rPr>
            </w:pPr>
            <w:r>
              <w:rPr>
                <w:rFonts w:eastAsia="Times New Roman"/>
                <w:sz w:val="16"/>
                <w:szCs w:val="16"/>
              </w:rPr>
              <w:t>6,119,855</w:t>
            </w:r>
          </w:p>
        </w:tc>
        <w:tc>
          <w:tcPr>
            <w:tcW w:w="50" w:type="pct"/>
            <w:tcBorders>
              <w:bottom w:val="double" w:sz="6" w:space="0" w:color="000000"/>
            </w:tcBorders>
            <w:shd w:val="clear" w:color="auto" w:fill="FFFFFF"/>
            <w:vAlign w:val="bottom"/>
            <w:hideMark/>
          </w:tcPr>
          <w:p w14:paraId="3B07BCE6" w14:textId="77777777" w:rsidR="00000000" w:rsidRDefault="00847163">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32E69E85" w14:textId="77777777" w:rsidR="00000000" w:rsidRDefault="00847163">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545C1B6C" w14:textId="77777777" w:rsidR="00000000" w:rsidRDefault="00847163">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FFFFFF"/>
            <w:vAlign w:val="bottom"/>
            <w:hideMark/>
          </w:tcPr>
          <w:p w14:paraId="6C94E688" w14:textId="77777777" w:rsidR="00000000" w:rsidRDefault="00847163">
            <w:pPr>
              <w:jc w:val="right"/>
              <w:rPr>
                <w:rFonts w:eastAsia="Times New Roman"/>
                <w:sz w:val="16"/>
                <w:szCs w:val="16"/>
              </w:rPr>
            </w:pPr>
            <w:r>
              <w:rPr>
                <w:rFonts w:eastAsia="Times New Roman"/>
                <w:sz w:val="16"/>
                <w:szCs w:val="16"/>
              </w:rPr>
              <w:t>5,319,877</w:t>
            </w:r>
          </w:p>
        </w:tc>
        <w:tc>
          <w:tcPr>
            <w:tcW w:w="50" w:type="pct"/>
            <w:tcBorders>
              <w:bottom w:val="double" w:sz="6" w:space="0" w:color="000000"/>
            </w:tcBorders>
            <w:shd w:val="clear" w:color="auto" w:fill="FFFFFF"/>
            <w:vAlign w:val="bottom"/>
            <w:hideMark/>
          </w:tcPr>
          <w:p w14:paraId="275CE99E" w14:textId="77777777" w:rsidR="00000000" w:rsidRDefault="00847163">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327B0FC4" w14:textId="77777777" w:rsidR="00000000" w:rsidRDefault="00847163">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3618A2FA" w14:textId="77777777" w:rsidR="00000000" w:rsidRDefault="00847163">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FFFFFF"/>
            <w:vAlign w:val="bottom"/>
            <w:hideMark/>
          </w:tcPr>
          <w:p w14:paraId="6A312350" w14:textId="77777777" w:rsidR="00000000" w:rsidRDefault="00847163">
            <w:pPr>
              <w:jc w:val="right"/>
              <w:rPr>
                <w:rFonts w:eastAsia="Times New Roman"/>
                <w:sz w:val="16"/>
                <w:szCs w:val="16"/>
              </w:rPr>
            </w:pPr>
            <w:r>
              <w:rPr>
                <w:rFonts w:eastAsia="Times New Roman"/>
                <w:sz w:val="16"/>
                <w:szCs w:val="16"/>
              </w:rPr>
              <w:t>76,981</w:t>
            </w:r>
          </w:p>
        </w:tc>
        <w:tc>
          <w:tcPr>
            <w:tcW w:w="50" w:type="pct"/>
            <w:tcBorders>
              <w:bottom w:val="double" w:sz="6" w:space="0" w:color="000000"/>
            </w:tcBorders>
            <w:shd w:val="clear" w:color="auto" w:fill="FFFFFF"/>
            <w:vAlign w:val="bottom"/>
            <w:hideMark/>
          </w:tcPr>
          <w:p w14:paraId="7A24B3BD" w14:textId="77777777" w:rsidR="00000000" w:rsidRDefault="00847163">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6D104747" w14:textId="77777777" w:rsidR="00000000" w:rsidRDefault="00847163">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248B651B" w14:textId="77777777" w:rsidR="00000000" w:rsidRDefault="00847163">
            <w:pPr>
              <w:rPr>
                <w:rFonts w:eastAsia="Times New Roman"/>
                <w:sz w:val="16"/>
                <w:szCs w:val="16"/>
              </w:rPr>
            </w:pPr>
            <w:r>
              <w:rPr>
                <w:rFonts w:eastAsia="Times New Roman"/>
                <w:sz w:val="16"/>
                <w:szCs w:val="16"/>
              </w:rPr>
              <w:t>$</w:t>
            </w:r>
          </w:p>
        </w:tc>
        <w:tc>
          <w:tcPr>
            <w:tcW w:w="200" w:type="pct"/>
            <w:tcBorders>
              <w:bottom w:val="double" w:sz="6" w:space="0" w:color="000000"/>
            </w:tcBorders>
            <w:shd w:val="clear" w:color="auto" w:fill="FFFFFF"/>
            <w:vAlign w:val="bottom"/>
            <w:hideMark/>
          </w:tcPr>
          <w:p w14:paraId="12B28F75" w14:textId="77777777" w:rsidR="00000000" w:rsidRDefault="00847163">
            <w:pPr>
              <w:jc w:val="right"/>
              <w:rPr>
                <w:rFonts w:eastAsia="Times New Roman"/>
                <w:sz w:val="16"/>
                <w:szCs w:val="16"/>
              </w:rPr>
            </w:pPr>
            <w:r>
              <w:rPr>
                <w:rFonts w:eastAsia="Times New Roman"/>
                <w:sz w:val="16"/>
                <w:szCs w:val="16"/>
              </w:rPr>
              <w:t>5,396,858</w:t>
            </w:r>
          </w:p>
        </w:tc>
        <w:tc>
          <w:tcPr>
            <w:tcW w:w="50" w:type="pct"/>
            <w:shd w:val="clear" w:color="auto" w:fill="FFFFFF"/>
            <w:tcMar>
              <w:top w:w="0" w:type="dxa"/>
              <w:left w:w="0" w:type="dxa"/>
              <w:bottom w:w="45" w:type="dxa"/>
              <w:right w:w="0" w:type="dxa"/>
            </w:tcMar>
            <w:vAlign w:val="bottom"/>
            <w:hideMark/>
          </w:tcPr>
          <w:p w14:paraId="67363C64" w14:textId="77777777" w:rsidR="00000000" w:rsidRDefault="00847163">
            <w:pPr>
              <w:rPr>
                <w:rFonts w:eastAsia="Times New Roman"/>
                <w:sz w:val="16"/>
                <w:szCs w:val="16"/>
              </w:rPr>
            </w:pPr>
            <w:r>
              <w:rPr>
                <w:rFonts w:eastAsia="Times New Roman"/>
                <w:sz w:val="16"/>
                <w:szCs w:val="16"/>
              </w:rPr>
              <w:t> </w:t>
            </w:r>
          </w:p>
        </w:tc>
      </w:tr>
      <w:tr w:rsidR="00847163" w14:paraId="340014D9" w14:textId="77777777">
        <w:trPr>
          <w:divId w:val="323124837"/>
          <w:tblCellSpacing w:w="0" w:type="dxa"/>
        </w:trPr>
        <w:tc>
          <w:tcPr>
            <w:tcW w:w="1500" w:type="pct"/>
            <w:shd w:val="clear" w:color="auto" w:fill="CCEEFF"/>
            <w:vAlign w:val="bottom"/>
            <w:hideMark/>
          </w:tcPr>
          <w:p w14:paraId="6F8FC960"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7A2D52CB" w14:textId="77777777" w:rsidR="00000000" w:rsidRDefault="00847163">
            <w:pPr>
              <w:rPr>
                <w:rFonts w:eastAsia="Times New Roman"/>
                <w:sz w:val="16"/>
                <w:szCs w:val="16"/>
              </w:rPr>
            </w:pPr>
            <w:r>
              <w:rPr>
                <w:rFonts w:eastAsia="Times New Roman"/>
                <w:sz w:val="16"/>
                <w:szCs w:val="16"/>
              </w:rPr>
              <w:t> </w:t>
            </w:r>
          </w:p>
        </w:tc>
        <w:tc>
          <w:tcPr>
            <w:tcW w:w="100" w:type="pct"/>
            <w:shd w:val="clear" w:color="auto" w:fill="CCEEFF"/>
            <w:vAlign w:val="bottom"/>
            <w:hideMark/>
          </w:tcPr>
          <w:p w14:paraId="37CE3DBE" w14:textId="77777777" w:rsidR="00000000" w:rsidRDefault="00847163">
            <w:pPr>
              <w:rPr>
                <w:rFonts w:eastAsia="Times New Roman"/>
                <w:sz w:val="16"/>
                <w:szCs w:val="16"/>
              </w:rPr>
            </w:pPr>
            <w:r>
              <w:rPr>
                <w:rFonts w:eastAsia="Times New Roman"/>
                <w:sz w:val="16"/>
                <w:szCs w:val="16"/>
              </w:rPr>
              <w:t> </w:t>
            </w:r>
          </w:p>
        </w:tc>
        <w:tc>
          <w:tcPr>
            <w:tcW w:w="400" w:type="pct"/>
            <w:shd w:val="clear" w:color="auto" w:fill="CCEEFF"/>
            <w:vAlign w:val="bottom"/>
            <w:hideMark/>
          </w:tcPr>
          <w:p w14:paraId="7E236F92"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307C342B"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27EA207A"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5BECAD67" w14:textId="77777777" w:rsidR="00000000" w:rsidRDefault="00847163">
            <w:pPr>
              <w:rPr>
                <w:rFonts w:eastAsia="Times New Roman"/>
                <w:sz w:val="16"/>
                <w:szCs w:val="16"/>
              </w:rPr>
            </w:pPr>
            <w:r>
              <w:rPr>
                <w:rFonts w:eastAsia="Times New Roman"/>
                <w:sz w:val="16"/>
                <w:szCs w:val="16"/>
              </w:rPr>
              <w:t> </w:t>
            </w:r>
          </w:p>
        </w:tc>
        <w:tc>
          <w:tcPr>
            <w:tcW w:w="200" w:type="pct"/>
            <w:shd w:val="clear" w:color="auto" w:fill="CCEEFF"/>
            <w:vAlign w:val="bottom"/>
            <w:hideMark/>
          </w:tcPr>
          <w:p w14:paraId="21C53464"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2577B05A"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7BB5463B"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745447F5" w14:textId="77777777" w:rsidR="00000000" w:rsidRDefault="00847163">
            <w:pPr>
              <w:rPr>
                <w:rFonts w:eastAsia="Times New Roman"/>
                <w:sz w:val="16"/>
                <w:szCs w:val="16"/>
              </w:rPr>
            </w:pPr>
            <w:r>
              <w:rPr>
                <w:rFonts w:eastAsia="Times New Roman"/>
                <w:sz w:val="16"/>
                <w:szCs w:val="16"/>
              </w:rPr>
              <w:t> </w:t>
            </w:r>
          </w:p>
        </w:tc>
        <w:tc>
          <w:tcPr>
            <w:tcW w:w="200" w:type="pct"/>
            <w:shd w:val="clear" w:color="auto" w:fill="CCEEFF"/>
            <w:vAlign w:val="bottom"/>
            <w:hideMark/>
          </w:tcPr>
          <w:p w14:paraId="60596C07"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61922348"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3E6059B9"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115EDC83" w14:textId="77777777" w:rsidR="00000000" w:rsidRDefault="00847163">
            <w:pPr>
              <w:rPr>
                <w:rFonts w:eastAsia="Times New Roman"/>
                <w:sz w:val="16"/>
                <w:szCs w:val="16"/>
              </w:rPr>
            </w:pPr>
            <w:r>
              <w:rPr>
                <w:rFonts w:eastAsia="Times New Roman"/>
                <w:sz w:val="16"/>
                <w:szCs w:val="16"/>
              </w:rPr>
              <w:t> </w:t>
            </w:r>
          </w:p>
        </w:tc>
        <w:tc>
          <w:tcPr>
            <w:tcW w:w="200" w:type="pct"/>
            <w:shd w:val="clear" w:color="auto" w:fill="CCEEFF"/>
            <w:vAlign w:val="bottom"/>
            <w:hideMark/>
          </w:tcPr>
          <w:p w14:paraId="7F3E39F2"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1141E723"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284CE4AF"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28EDE58B" w14:textId="77777777" w:rsidR="00000000" w:rsidRDefault="00847163">
            <w:pPr>
              <w:rPr>
                <w:rFonts w:eastAsia="Times New Roman"/>
                <w:sz w:val="16"/>
                <w:szCs w:val="16"/>
              </w:rPr>
            </w:pPr>
            <w:r>
              <w:rPr>
                <w:rFonts w:eastAsia="Times New Roman"/>
                <w:sz w:val="16"/>
                <w:szCs w:val="16"/>
              </w:rPr>
              <w:t> </w:t>
            </w:r>
          </w:p>
        </w:tc>
        <w:tc>
          <w:tcPr>
            <w:tcW w:w="200" w:type="pct"/>
            <w:shd w:val="clear" w:color="auto" w:fill="CCEEFF"/>
            <w:vAlign w:val="bottom"/>
            <w:hideMark/>
          </w:tcPr>
          <w:p w14:paraId="498BC26A"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11AE29D6"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6187BB99"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2F34DA03" w14:textId="77777777" w:rsidR="00000000" w:rsidRDefault="00847163">
            <w:pPr>
              <w:rPr>
                <w:rFonts w:eastAsia="Times New Roman"/>
                <w:sz w:val="16"/>
                <w:szCs w:val="16"/>
              </w:rPr>
            </w:pPr>
            <w:r>
              <w:rPr>
                <w:rFonts w:eastAsia="Times New Roman"/>
                <w:sz w:val="16"/>
                <w:szCs w:val="16"/>
              </w:rPr>
              <w:t> </w:t>
            </w:r>
          </w:p>
        </w:tc>
        <w:tc>
          <w:tcPr>
            <w:tcW w:w="200" w:type="pct"/>
            <w:shd w:val="clear" w:color="auto" w:fill="CCEEFF"/>
            <w:vAlign w:val="bottom"/>
            <w:hideMark/>
          </w:tcPr>
          <w:p w14:paraId="199C817B"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241FFDBD"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7A55FC05"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4FB24D24" w14:textId="77777777" w:rsidR="00000000" w:rsidRDefault="00847163">
            <w:pPr>
              <w:rPr>
                <w:rFonts w:eastAsia="Times New Roman"/>
                <w:sz w:val="16"/>
                <w:szCs w:val="16"/>
              </w:rPr>
            </w:pPr>
            <w:r>
              <w:rPr>
                <w:rFonts w:eastAsia="Times New Roman"/>
                <w:sz w:val="16"/>
                <w:szCs w:val="16"/>
              </w:rPr>
              <w:t> </w:t>
            </w:r>
          </w:p>
        </w:tc>
        <w:tc>
          <w:tcPr>
            <w:tcW w:w="250" w:type="pct"/>
            <w:shd w:val="clear" w:color="auto" w:fill="CCEEFF"/>
            <w:vAlign w:val="bottom"/>
            <w:hideMark/>
          </w:tcPr>
          <w:p w14:paraId="06464BB4"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51D2E1E6"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22312686"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529FA0B8" w14:textId="77777777" w:rsidR="00000000" w:rsidRDefault="00847163">
            <w:pPr>
              <w:rPr>
                <w:rFonts w:eastAsia="Times New Roman"/>
                <w:sz w:val="16"/>
                <w:szCs w:val="16"/>
              </w:rPr>
            </w:pPr>
            <w:r>
              <w:rPr>
                <w:rFonts w:eastAsia="Times New Roman"/>
                <w:sz w:val="16"/>
                <w:szCs w:val="16"/>
              </w:rPr>
              <w:t> </w:t>
            </w:r>
          </w:p>
        </w:tc>
        <w:tc>
          <w:tcPr>
            <w:tcW w:w="250" w:type="pct"/>
            <w:shd w:val="clear" w:color="auto" w:fill="CCEEFF"/>
            <w:vAlign w:val="bottom"/>
            <w:hideMark/>
          </w:tcPr>
          <w:p w14:paraId="50E59BF8"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139D4CDE"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149A96F9"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099E9C63" w14:textId="77777777" w:rsidR="00000000" w:rsidRDefault="00847163">
            <w:pPr>
              <w:rPr>
                <w:rFonts w:eastAsia="Times New Roman"/>
                <w:sz w:val="16"/>
                <w:szCs w:val="16"/>
              </w:rPr>
            </w:pPr>
            <w:r>
              <w:rPr>
                <w:rFonts w:eastAsia="Times New Roman"/>
                <w:sz w:val="16"/>
                <w:szCs w:val="16"/>
              </w:rPr>
              <w:t> </w:t>
            </w:r>
          </w:p>
        </w:tc>
        <w:tc>
          <w:tcPr>
            <w:tcW w:w="200" w:type="pct"/>
            <w:shd w:val="clear" w:color="auto" w:fill="CCEEFF"/>
            <w:vAlign w:val="bottom"/>
            <w:hideMark/>
          </w:tcPr>
          <w:p w14:paraId="24E231D9"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149F07EF" w14:textId="77777777" w:rsidR="00000000" w:rsidRDefault="00847163">
            <w:pPr>
              <w:rPr>
                <w:rFonts w:eastAsia="Times New Roman"/>
                <w:sz w:val="16"/>
                <w:szCs w:val="16"/>
              </w:rPr>
            </w:pPr>
            <w:r>
              <w:rPr>
                <w:rFonts w:eastAsia="Times New Roman"/>
                <w:sz w:val="16"/>
                <w:szCs w:val="16"/>
              </w:rPr>
              <w:t> </w:t>
            </w:r>
          </w:p>
        </w:tc>
      </w:tr>
      <w:tr w:rsidR="00847163" w14:paraId="413FEBA6" w14:textId="77777777">
        <w:trPr>
          <w:divId w:val="323124837"/>
          <w:tblCellSpacing w:w="0" w:type="dxa"/>
        </w:trPr>
        <w:tc>
          <w:tcPr>
            <w:tcW w:w="1500" w:type="pct"/>
            <w:shd w:val="clear" w:color="auto" w:fill="FFFFFF"/>
            <w:vAlign w:val="bottom"/>
            <w:hideMark/>
          </w:tcPr>
          <w:p w14:paraId="022C8514" w14:textId="77777777" w:rsidR="00000000" w:rsidRDefault="00847163">
            <w:pPr>
              <w:pStyle w:val="a3"/>
              <w:spacing w:before="0" w:beforeAutospacing="0" w:after="0" w:afterAutospacing="0"/>
              <w:rPr>
                <w:sz w:val="16"/>
                <w:szCs w:val="16"/>
              </w:rPr>
            </w:pPr>
            <w:r>
              <w:rPr>
                <w:sz w:val="16"/>
                <w:szCs w:val="16"/>
              </w:rPr>
              <w:t>Balance at January 1, 2020</w:t>
            </w:r>
          </w:p>
        </w:tc>
        <w:tc>
          <w:tcPr>
            <w:tcW w:w="50" w:type="pct"/>
            <w:shd w:val="clear" w:color="auto" w:fill="FFFFFF"/>
            <w:vAlign w:val="bottom"/>
            <w:hideMark/>
          </w:tcPr>
          <w:p w14:paraId="00FA053E" w14:textId="77777777" w:rsidR="00000000" w:rsidRDefault="00847163">
            <w:pPr>
              <w:rPr>
                <w:rFonts w:eastAsia="Times New Roman"/>
                <w:sz w:val="16"/>
                <w:szCs w:val="16"/>
              </w:rPr>
            </w:pPr>
            <w:r>
              <w:rPr>
                <w:rFonts w:eastAsia="Times New Roman"/>
                <w:sz w:val="16"/>
                <w:szCs w:val="16"/>
              </w:rPr>
              <w:t> </w:t>
            </w:r>
          </w:p>
        </w:tc>
        <w:tc>
          <w:tcPr>
            <w:tcW w:w="100" w:type="pct"/>
            <w:shd w:val="clear" w:color="auto" w:fill="FFFFFF"/>
            <w:vAlign w:val="bottom"/>
            <w:hideMark/>
          </w:tcPr>
          <w:p w14:paraId="12A7DF1D" w14:textId="77777777" w:rsidR="00000000" w:rsidRDefault="00847163">
            <w:pPr>
              <w:rPr>
                <w:rFonts w:eastAsia="Times New Roman"/>
                <w:sz w:val="16"/>
                <w:szCs w:val="16"/>
              </w:rPr>
            </w:pPr>
            <w:r>
              <w:rPr>
                <w:rFonts w:eastAsia="Times New Roman"/>
                <w:sz w:val="16"/>
                <w:szCs w:val="16"/>
              </w:rPr>
              <w:t>$</w:t>
            </w:r>
          </w:p>
        </w:tc>
        <w:tc>
          <w:tcPr>
            <w:tcW w:w="400" w:type="pct"/>
            <w:shd w:val="clear" w:color="auto" w:fill="FFFFFF"/>
            <w:vAlign w:val="bottom"/>
            <w:hideMark/>
          </w:tcPr>
          <w:p w14:paraId="4D271FDD" w14:textId="77777777" w:rsidR="00000000" w:rsidRDefault="00847163">
            <w:pPr>
              <w:jc w:val="right"/>
              <w:rPr>
                <w:rFonts w:eastAsia="Times New Roman"/>
                <w:sz w:val="16"/>
                <w:szCs w:val="16"/>
              </w:rPr>
            </w:pPr>
            <w:r>
              <w:rPr>
                <w:rFonts w:eastAsia="Times New Roman"/>
                <w:sz w:val="16"/>
                <w:szCs w:val="16"/>
              </w:rPr>
              <w:t>(904,679</w:t>
            </w:r>
          </w:p>
        </w:tc>
        <w:tc>
          <w:tcPr>
            <w:tcW w:w="50" w:type="pct"/>
            <w:shd w:val="clear" w:color="auto" w:fill="FFFFFF"/>
            <w:vAlign w:val="bottom"/>
            <w:hideMark/>
          </w:tcPr>
          <w:p w14:paraId="70FE412C" w14:textId="77777777" w:rsidR="00000000" w:rsidRDefault="00847163">
            <w:pPr>
              <w:rPr>
                <w:rFonts w:eastAsia="Times New Roman"/>
                <w:sz w:val="16"/>
                <w:szCs w:val="16"/>
              </w:rPr>
            </w:pPr>
            <w:r>
              <w:rPr>
                <w:rFonts w:eastAsia="Times New Roman"/>
                <w:sz w:val="16"/>
                <w:szCs w:val="16"/>
              </w:rPr>
              <w:t>)</w:t>
            </w:r>
          </w:p>
        </w:tc>
        <w:tc>
          <w:tcPr>
            <w:tcW w:w="50" w:type="pct"/>
            <w:shd w:val="clear" w:color="auto" w:fill="FFFFFF"/>
            <w:vAlign w:val="bottom"/>
            <w:hideMark/>
          </w:tcPr>
          <w:p w14:paraId="651729DF"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44AE37A3" w14:textId="77777777" w:rsidR="00000000" w:rsidRDefault="00847163">
            <w:pPr>
              <w:rPr>
                <w:rFonts w:eastAsia="Times New Roman"/>
                <w:sz w:val="16"/>
                <w:szCs w:val="16"/>
              </w:rPr>
            </w:pPr>
            <w:r>
              <w:rPr>
                <w:rFonts w:eastAsia="Times New Roman"/>
                <w:sz w:val="16"/>
                <w:szCs w:val="16"/>
              </w:rPr>
              <w:t> </w:t>
            </w:r>
          </w:p>
        </w:tc>
        <w:tc>
          <w:tcPr>
            <w:tcW w:w="200" w:type="pct"/>
            <w:shd w:val="clear" w:color="auto" w:fill="FFFFFF"/>
            <w:vAlign w:val="bottom"/>
            <w:hideMark/>
          </w:tcPr>
          <w:p w14:paraId="6A994A12" w14:textId="77777777" w:rsidR="00000000" w:rsidRDefault="00847163">
            <w:pPr>
              <w:jc w:val="right"/>
              <w:rPr>
                <w:rFonts w:eastAsia="Times New Roman"/>
                <w:sz w:val="16"/>
                <w:szCs w:val="16"/>
              </w:rPr>
            </w:pPr>
            <w:r>
              <w:rPr>
                <w:rFonts w:eastAsia="Times New Roman"/>
                <w:sz w:val="16"/>
                <w:szCs w:val="16"/>
              </w:rPr>
              <w:t>20</w:t>
            </w:r>
          </w:p>
        </w:tc>
        <w:tc>
          <w:tcPr>
            <w:tcW w:w="50" w:type="pct"/>
            <w:shd w:val="clear" w:color="auto" w:fill="FFFFFF"/>
            <w:vAlign w:val="bottom"/>
            <w:hideMark/>
          </w:tcPr>
          <w:p w14:paraId="15BB76EC"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53CE022B"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2135FB92" w14:textId="77777777" w:rsidR="00000000" w:rsidRDefault="00847163">
            <w:pPr>
              <w:rPr>
                <w:rFonts w:eastAsia="Times New Roman"/>
                <w:sz w:val="16"/>
                <w:szCs w:val="16"/>
              </w:rPr>
            </w:pPr>
            <w:r>
              <w:rPr>
                <w:rFonts w:eastAsia="Times New Roman"/>
                <w:sz w:val="16"/>
                <w:szCs w:val="16"/>
              </w:rPr>
              <w:t>$</w:t>
            </w:r>
          </w:p>
        </w:tc>
        <w:tc>
          <w:tcPr>
            <w:tcW w:w="200" w:type="pct"/>
            <w:shd w:val="clear" w:color="auto" w:fill="FFFFFF"/>
            <w:vAlign w:val="bottom"/>
            <w:hideMark/>
          </w:tcPr>
          <w:p w14:paraId="2F00E29D" w14:textId="77777777" w:rsidR="00000000" w:rsidRDefault="00847163">
            <w:pPr>
              <w:jc w:val="right"/>
              <w:rPr>
                <w:rFonts w:eastAsia="Times New Roman"/>
                <w:sz w:val="16"/>
                <w:szCs w:val="16"/>
              </w:rPr>
            </w:pPr>
            <w:r>
              <w:rPr>
                <w:rFonts w:eastAsia="Times New Roman"/>
                <w:sz w:val="16"/>
                <w:szCs w:val="16"/>
              </w:rPr>
              <w:t>20</w:t>
            </w:r>
          </w:p>
        </w:tc>
        <w:tc>
          <w:tcPr>
            <w:tcW w:w="50" w:type="pct"/>
            <w:shd w:val="clear" w:color="auto" w:fill="FFFFFF"/>
            <w:vAlign w:val="bottom"/>
            <w:hideMark/>
          </w:tcPr>
          <w:p w14:paraId="50025AF4"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05682C25"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08723154" w14:textId="77777777" w:rsidR="00000000" w:rsidRDefault="00847163">
            <w:pPr>
              <w:rPr>
                <w:rFonts w:eastAsia="Times New Roman"/>
                <w:sz w:val="16"/>
                <w:szCs w:val="16"/>
              </w:rPr>
            </w:pPr>
            <w:r>
              <w:rPr>
                <w:rFonts w:eastAsia="Times New Roman"/>
                <w:sz w:val="16"/>
                <w:szCs w:val="16"/>
              </w:rPr>
              <w:t> </w:t>
            </w:r>
          </w:p>
        </w:tc>
        <w:tc>
          <w:tcPr>
            <w:tcW w:w="200" w:type="pct"/>
            <w:shd w:val="clear" w:color="auto" w:fill="FFFFFF"/>
            <w:vAlign w:val="bottom"/>
            <w:hideMark/>
          </w:tcPr>
          <w:p w14:paraId="1FDB2B99" w14:textId="77777777" w:rsidR="00000000" w:rsidRDefault="00847163">
            <w:pPr>
              <w:jc w:val="right"/>
              <w:rPr>
                <w:rFonts w:eastAsia="Times New Roman"/>
                <w:sz w:val="16"/>
                <w:szCs w:val="16"/>
              </w:rPr>
            </w:pPr>
            <w:r>
              <w:rPr>
                <w:rFonts w:eastAsia="Times New Roman"/>
                <w:sz w:val="16"/>
                <w:szCs w:val="16"/>
              </w:rPr>
              <w:t>431,815</w:t>
            </w:r>
          </w:p>
        </w:tc>
        <w:tc>
          <w:tcPr>
            <w:tcW w:w="50" w:type="pct"/>
            <w:shd w:val="clear" w:color="auto" w:fill="FFFFFF"/>
            <w:vAlign w:val="bottom"/>
            <w:hideMark/>
          </w:tcPr>
          <w:p w14:paraId="36245C62"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2BF8E03D"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05BF4653" w14:textId="77777777" w:rsidR="00000000" w:rsidRDefault="00847163">
            <w:pPr>
              <w:rPr>
                <w:rFonts w:eastAsia="Times New Roman"/>
                <w:sz w:val="16"/>
                <w:szCs w:val="16"/>
              </w:rPr>
            </w:pPr>
            <w:r>
              <w:rPr>
                <w:rFonts w:eastAsia="Times New Roman"/>
                <w:sz w:val="16"/>
                <w:szCs w:val="16"/>
              </w:rPr>
              <w:t>$</w:t>
            </w:r>
          </w:p>
        </w:tc>
        <w:tc>
          <w:tcPr>
            <w:tcW w:w="200" w:type="pct"/>
            <w:shd w:val="clear" w:color="auto" w:fill="FFFFFF"/>
            <w:vAlign w:val="bottom"/>
            <w:hideMark/>
          </w:tcPr>
          <w:p w14:paraId="15F9A08B" w14:textId="77777777" w:rsidR="00000000" w:rsidRDefault="00847163">
            <w:pPr>
              <w:jc w:val="right"/>
              <w:rPr>
                <w:rFonts w:eastAsia="Times New Roman"/>
                <w:sz w:val="16"/>
                <w:szCs w:val="16"/>
              </w:rPr>
            </w:pPr>
            <w:r>
              <w:rPr>
                <w:rFonts w:eastAsia="Times New Roman"/>
                <w:sz w:val="16"/>
                <w:szCs w:val="16"/>
              </w:rPr>
              <w:t>4,318</w:t>
            </w:r>
          </w:p>
        </w:tc>
        <w:tc>
          <w:tcPr>
            <w:tcW w:w="50" w:type="pct"/>
            <w:shd w:val="clear" w:color="auto" w:fill="FFFFFF"/>
            <w:vAlign w:val="bottom"/>
            <w:hideMark/>
          </w:tcPr>
          <w:p w14:paraId="2490A56D"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5C271186"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61D83418" w14:textId="77777777" w:rsidR="00000000" w:rsidRDefault="00847163">
            <w:pPr>
              <w:rPr>
                <w:rFonts w:eastAsia="Times New Roman"/>
                <w:sz w:val="16"/>
                <w:szCs w:val="16"/>
              </w:rPr>
            </w:pPr>
            <w:r>
              <w:rPr>
                <w:rFonts w:eastAsia="Times New Roman"/>
                <w:sz w:val="16"/>
                <w:szCs w:val="16"/>
              </w:rPr>
              <w:t>$</w:t>
            </w:r>
          </w:p>
        </w:tc>
        <w:tc>
          <w:tcPr>
            <w:tcW w:w="200" w:type="pct"/>
            <w:shd w:val="clear" w:color="auto" w:fill="FFFFFF"/>
            <w:vAlign w:val="bottom"/>
            <w:hideMark/>
          </w:tcPr>
          <w:p w14:paraId="3E536492" w14:textId="77777777" w:rsidR="00000000" w:rsidRDefault="00847163">
            <w:pPr>
              <w:jc w:val="right"/>
              <w:rPr>
                <w:rFonts w:eastAsia="Times New Roman"/>
                <w:sz w:val="16"/>
                <w:szCs w:val="16"/>
              </w:rPr>
            </w:pPr>
            <w:r>
              <w:rPr>
                <w:rFonts w:eastAsia="Times New Roman"/>
                <w:sz w:val="16"/>
                <w:szCs w:val="16"/>
              </w:rPr>
              <w:t>5,765,233</w:t>
            </w:r>
          </w:p>
        </w:tc>
        <w:tc>
          <w:tcPr>
            <w:tcW w:w="50" w:type="pct"/>
            <w:shd w:val="clear" w:color="auto" w:fill="FFFFFF"/>
            <w:vAlign w:val="bottom"/>
            <w:hideMark/>
          </w:tcPr>
          <w:p w14:paraId="20460570"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394B6FB5"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1E093A50" w14:textId="77777777" w:rsidR="00000000" w:rsidRDefault="00847163">
            <w:pPr>
              <w:rPr>
                <w:rFonts w:eastAsia="Times New Roman"/>
                <w:sz w:val="16"/>
                <w:szCs w:val="16"/>
              </w:rPr>
            </w:pPr>
            <w:r>
              <w:rPr>
                <w:rFonts w:eastAsia="Times New Roman"/>
                <w:sz w:val="16"/>
                <w:szCs w:val="16"/>
              </w:rPr>
              <w:t>$</w:t>
            </w:r>
          </w:p>
        </w:tc>
        <w:tc>
          <w:tcPr>
            <w:tcW w:w="250" w:type="pct"/>
            <w:shd w:val="clear" w:color="auto" w:fill="FFFFFF"/>
            <w:vAlign w:val="bottom"/>
            <w:hideMark/>
          </w:tcPr>
          <w:p w14:paraId="630ED472" w14:textId="77777777" w:rsidR="00000000" w:rsidRDefault="00847163">
            <w:pPr>
              <w:jc w:val="right"/>
              <w:rPr>
                <w:rFonts w:eastAsia="Times New Roman"/>
                <w:sz w:val="16"/>
                <w:szCs w:val="16"/>
              </w:rPr>
            </w:pPr>
            <w:r>
              <w:rPr>
                <w:rFonts w:eastAsia="Times New Roman"/>
                <w:sz w:val="16"/>
                <w:szCs w:val="16"/>
              </w:rPr>
              <w:t>4,864,892</w:t>
            </w:r>
          </w:p>
        </w:tc>
        <w:tc>
          <w:tcPr>
            <w:tcW w:w="50" w:type="pct"/>
            <w:shd w:val="clear" w:color="auto" w:fill="FFFFFF"/>
            <w:vAlign w:val="bottom"/>
            <w:hideMark/>
          </w:tcPr>
          <w:p w14:paraId="4AF8FAE5"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4CBE0918"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316FB8C2" w14:textId="77777777" w:rsidR="00000000" w:rsidRDefault="00847163">
            <w:pPr>
              <w:rPr>
                <w:rFonts w:eastAsia="Times New Roman"/>
                <w:sz w:val="16"/>
                <w:szCs w:val="16"/>
              </w:rPr>
            </w:pPr>
            <w:r>
              <w:rPr>
                <w:rFonts w:eastAsia="Times New Roman"/>
                <w:sz w:val="16"/>
                <w:szCs w:val="16"/>
              </w:rPr>
              <w:t>$</w:t>
            </w:r>
          </w:p>
        </w:tc>
        <w:tc>
          <w:tcPr>
            <w:tcW w:w="250" w:type="pct"/>
            <w:shd w:val="clear" w:color="auto" w:fill="FFFFFF"/>
            <w:vAlign w:val="bottom"/>
            <w:hideMark/>
          </w:tcPr>
          <w:p w14:paraId="260FB88E" w14:textId="77777777" w:rsidR="00000000" w:rsidRDefault="00847163">
            <w:pPr>
              <w:jc w:val="right"/>
              <w:rPr>
                <w:rFonts w:eastAsia="Times New Roman"/>
                <w:sz w:val="16"/>
                <w:szCs w:val="16"/>
              </w:rPr>
            </w:pPr>
            <w:r>
              <w:rPr>
                <w:rFonts w:eastAsia="Times New Roman"/>
                <w:sz w:val="16"/>
                <w:szCs w:val="16"/>
              </w:rPr>
              <w:t>64,015</w:t>
            </w:r>
          </w:p>
        </w:tc>
        <w:tc>
          <w:tcPr>
            <w:tcW w:w="50" w:type="pct"/>
            <w:shd w:val="clear" w:color="auto" w:fill="FFFFFF"/>
            <w:vAlign w:val="bottom"/>
            <w:hideMark/>
          </w:tcPr>
          <w:p w14:paraId="4427DD67"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48658CA3"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7AD12958" w14:textId="77777777" w:rsidR="00000000" w:rsidRDefault="00847163">
            <w:pPr>
              <w:rPr>
                <w:rFonts w:eastAsia="Times New Roman"/>
                <w:sz w:val="16"/>
                <w:szCs w:val="16"/>
              </w:rPr>
            </w:pPr>
            <w:r>
              <w:rPr>
                <w:rFonts w:eastAsia="Times New Roman"/>
                <w:sz w:val="16"/>
                <w:szCs w:val="16"/>
              </w:rPr>
              <w:t>$</w:t>
            </w:r>
          </w:p>
        </w:tc>
        <w:tc>
          <w:tcPr>
            <w:tcW w:w="200" w:type="pct"/>
            <w:shd w:val="clear" w:color="auto" w:fill="FFFFFF"/>
            <w:vAlign w:val="bottom"/>
            <w:hideMark/>
          </w:tcPr>
          <w:p w14:paraId="452C16E5" w14:textId="77777777" w:rsidR="00000000" w:rsidRDefault="00847163">
            <w:pPr>
              <w:jc w:val="right"/>
              <w:rPr>
                <w:rFonts w:eastAsia="Times New Roman"/>
                <w:sz w:val="16"/>
                <w:szCs w:val="16"/>
              </w:rPr>
            </w:pPr>
            <w:r>
              <w:rPr>
                <w:rFonts w:eastAsia="Times New Roman"/>
                <w:sz w:val="16"/>
                <w:szCs w:val="16"/>
              </w:rPr>
              <w:t>4,928,907</w:t>
            </w:r>
          </w:p>
        </w:tc>
        <w:tc>
          <w:tcPr>
            <w:tcW w:w="50" w:type="pct"/>
            <w:shd w:val="clear" w:color="auto" w:fill="FFFFFF"/>
            <w:vAlign w:val="bottom"/>
            <w:hideMark/>
          </w:tcPr>
          <w:p w14:paraId="477727D5" w14:textId="77777777" w:rsidR="00000000" w:rsidRDefault="00847163">
            <w:pPr>
              <w:rPr>
                <w:rFonts w:eastAsia="Times New Roman"/>
                <w:sz w:val="16"/>
                <w:szCs w:val="16"/>
              </w:rPr>
            </w:pPr>
            <w:r>
              <w:rPr>
                <w:rFonts w:eastAsia="Times New Roman"/>
                <w:sz w:val="16"/>
                <w:szCs w:val="16"/>
              </w:rPr>
              <w:t> </w:t>
            </w:r>
          </w:p>
        </w:tc>
      </w:tr>
      <w:tr w:rsidR="00847163" w14:paraId="224E1032" w14:textId="77777777">
        <w:trPr>
          <w:divId w:val="323124837"/>
          <w:tblCellSpacing w:w="0" w:type="dxa"/>
        </w:trPr>
        <w:tc>
          <w:tcPr>
            <w:tcW w:w="1500" w:type="pct"/>
            <w:shd w:val="clear" w:color="auto" w:fill="CCEEFF"/>
            <w:vAlign w:val="bottom"/>
            <w:hideMark/>
          </w:tcPr>
          <w:p w14:paraId="4C400DE7" w14:textId="77777777" w:rsidR="00000000" w:rsidRDefault="00847163">
            <w:pPr>
              <w:pStyle w:val="a3"/>
              <w:spacing w:before="0" w:beforeAutospacing="0" w:after="0" w:afterAutospacing="0"/>
              <w:rPr>
                <w:sz w:val="16"/>
                <w:szCs w:val="16"/>
              </w:rPr>
            </w:pPr>
            <w:r>
              <w:rPr>
                <w:sz w:val="16"/>
                <w:szCs w:val="16"/>
              </w:rPr>
              <w:t>Net income</w:t>
            </w:r>
          </w:p>
        </w:tc>
        <w:tc>
          <w:tcPr>
            <w:tcW w:w="50" w:type="pct"/>
            <w:shd w:val="clear" w:color="auto" w:fill="CCEEFF"/>
            <w:vAlign w:val="bottom"/>
            <w:hideMark/>
          </w:tcPr>
          <w:p w14:paraId="50624583" w14:textId="77777777" w:rsidR="00000000" w:rsidRDefault="00847163">
            <w:pPr>
              <w:rPr>
                <w:rFonts w:eastAsia="Times New Roman"/>
                <w:sz w:val="16"/>
                <w:szCs w:val="16"/>
              </w:rPr>
            </w:pPr>
            <w:r>
              <w:rPr>
                <w:rFonts w:eastAsia="Times New Roman"/>
                <w:sz w:val="16"/>
                <w:szCs w:val="16"/>
              </w:rPr>
              <w:t> </w:t>
            </w:r>
          </w:p>
        </w:tc>
        <w:tc>
          <w:tcPr>
            <w:tcW w:w="100" w:type="pct"/>
            <w:shd w:val="clear" w:color="auto" w:fill="CCEEFF"/>
            <w:vAlign w:val="bottom"/>
            <w:hideMark/>
          </w:tcPr>
          <w:p w14:paraId="65119053" w14:textId="77777777" w:rsidR="00000000" w:rsidRDefault="00847163">
            <w:pPr>
              <w:rPr>
                <w:rFonts w:eastAsia="Times New Roman"/>
                <w:sz w:val="16"/>
                <w:szCs w:val="16"/>
              </w:rPr>
            </w:pPr>
            <w:r>
              <w:rPr>
                <w:rFonts w:eastAsia="Times New Roman"/>
                <w:sz w:val="16"/>
                <w:szCs w:val="16"/>
              </w:rPr>
              <w:t> </w:t>
            </w:r>
          </w:p>
        </w:tc>
        <w:tc>
          <w:tcPr>
            <w:tcW w:w="400" w:type="pct"/>
            <w:shd w:val="clear" w:color="auto" w:fill="CCEEFF"/>
            <w:vAlign w:val="bottom"/>
            <w:hideMark/>
          </w:tcPr>
          <w:p w14:paraId="6DDAA2E8" w14:textId="77777777" w:rsidR="00000000" w:rsidRDefault="00847163">
            <w:pPr>
              <w:jc w:val="right"/>
              <w:rPr>
                <w:rFonts w:eastAsia="Times New Roman"/>
                <w:sz w:val="16"/>
                <w:szCs w:val="16"/>
              </w:rPr>
            </w:pPr>
            <w:r>
              <w:rPr>
                <w:rFonts w:eastAsia="Times New Roman"/>
                <w:sz w:val="16"/>
                <w:szCs w:val="16"/>
              </w:rPr>
              <w:t>90,100</w:t>
            </w:r>
          </w:p>
        </w:tc>
        <w:tc>
          <w:tcPr>
            <w:tcW w:w="50" w:type="pct"/>
            <w:shd w:val="clear" w:color="auto" w:fill="CCEEFF"/>
            <w:vAlign w:val="bottom"/>
            <w:hideMark/>
          </w:tcPr>
          <w:p w14:paraId="77A8878D"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1765345F"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2096D5A3" w14:textId="77777777" w:rsidR="00000000" w:rsidRDefault="00847163">
            <w:pPr>
              <w:rPr>
                <w:rFonts w:eastAsia="Times New Roman"/>
                <w:sz w:val="16"/>
                <w:szCs w:val="16"/>
              </w:rPr>
            </w:pPr>
            <w:r>
              <w:rPr>
                <w:rFonts w:eastAsia="Times New Roman"/>
                <w:sz w:val="16"/>
                <w:szCs w:val="16"/>
              </w:rPr>
              <w:t> </w:t>
            </w:r>
          </w:p>
        </w:tc>
        <w:tc>
          <w:tcPr>
            <w:tcW w:w="200" w:type="pct"/>
            <w:shd w:val="clear" w:color="auto" w:fill="CCEEFF"/>
            <w:vAlign w:val="bottom"/>
            <w:hideMark/>
          </w:tcPr>
          <w:p w14:paraId="558E9FBC" w14:textId="77777777" w:rsidR="00000000" w:rsidRDefault="00847163">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14:paraId="5B92E11D"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2CD2EC01"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32B4AD5E" w14:textId="77777777" w:rsidR="00000000" w:rsidRDefault="00847163">
            <w:pPr>
              <w:rPr>
                <w:rFonts w:eastAsia="Times New Roman"/>
                <w:sz w:val="16"/>
                <w:szCs w:val="16"/>
              </w:rPr>
            </w:pPr>
            <w:r>
              <w:rPr>
                <w:rFonts w:eastAsia="Times New Roman"/>
                <w:sz w:val="16"/>
                <w:szCs w:val="16"/>
              </w:rPr>
              <w:t> </w:t>
            </w:r>
          </w:p>
        </w:tc>
        <w:tc>
          <w:tcPr>
            <w:tcW w:w="200" w:type="pct"/>
            <w:shd w:val="clear" w:color="auto" w:fill="CCEEFF"/>
            <w:vAlign w:val="bottom"/>
            <w:hideMark/>
          </w:tcPr>
          <w:p w14:paraId="586BC22B" w14:textId="77777777" w:rsidR="00000000" w:rsidRDefault="00847163">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3904CF5A"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08938079"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1DB44E18" w14:textId="77777777" w:rsidR="00000000" w:rsidRDefault="00847163">
            <w:pPr>
              <w:rPr>
                <w:rFonts w:eastAsia="Times New Roman"/>
                <w:sz w:val="16"/>
                <w:szCs w:val="16"/>
              </w:rPr>
            </w:pPr>
            <w:r>
              <w:rPr>
                <w:rFonts w:eastAsia="Times New Roman"/>
                <w:sz w:val="16"/>
                <w:szCs w:val="16"/>
              </w:rPr>
              <w:t> </w:t>
            </w:r>
          </w:p>
        </w:tc>
        <w:tc>
          <w:tcPr>
            <w:tcW w:w="200" w:type="pct"/>
            <w:shd w:val="clear" w:color="auto" w:fill="CCEEFF"/>
            <w:vAlign w:val="bottom"/>
            <w:hideMark/>
          </w:tcPr>
          <w:p w14:paraId="2924A1AC" w14:textId="77777777" w:rsidR="00000000" w:rsidRDefault="00847163">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14:paraId="7D5B0ABD"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28B7EAE6"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32BB454F" w14:textId="77777777" w:rsidR="00000000" w:rsidRDefault="00847163">
            <w:pPr>
              <w:rPr>
                <w:rFonts w:eastAsia="Times New Roman"/>
                <w:sz w:val="16"/>
                <w:szCs w:val="16"/>
              </w:rPr>
            </w:pPr>
            <w:r>
              <w:rPr>
                <w:rFonts w:eastAsia="Times New Roman"/>
                <w:sz w:val="16"/>
                <w:szCs w:val="16"/>
              </w:rPr>
              <w:t> </w:t>
            </w:r>
          </w:p>
        </w:tc>
        <w:tc>
          <w:tcPr>
            <w:tcW w:w="200" w:type="pct"/>
            <w:shd w:val="clear" w:color="auto" w:fill="CCEEFF"/>
            <w:vAlign w:val="bottom"/>
            <w:hideMark/>
          </w:tcPr>
          <w:p w14:paraId="555EB3AD" w14:textId="77777777" w:rsidR="00000000" w:rsidRDefault="00847163">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2D1FD4BB"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3930DE74"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22D2DDC9" w14:textId="77777777" w:rsidR="00000000" w:rsidRDefault="00847163">
            <w:pPr>
              <w:rPr>
                <w:rFonts w:eastAsia="Times New Roman"/>
                <w:sz w:val="16"/>
                <w:szCs w:val="16"/>
              </w:rPr>
            </w:pPr>
            <w:r>
              <w:rPr>
                <w:rFonts w:eastAsia="Times New Roman"/>
                <w:sz w:val="16"/>
                <w:szCs w:val="16"/>
              </w:rPr>
              <w:t> </w:t>
            </w:r>
          </w:p>
        </w:tc>
        <w:tc>
          <w:tcPr>
            <w:tcW w:w="200" w:type="pct"/>
            <w:shd w:val="clear" w:color="auto" w:fill="CCEEFF"/>
            <w:vAlign w:val="bottom"/>
            <w:hideMark/>
          </w:tcPr>
          <w:p w14:paraId="0E93331A" w14:textId="77777777" w:rsidR="00000000" w:rsidRDefault="00847163">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401C2012"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12073227"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391BACF4" w14:textId="77777777" w:rsidR="00000000" w:rsidRDefault="00847163">
            <w:pPr>
              <w:rPr>
                <w:rFonts w:eastAsia="Times New Roman"/>
                <w:sz w:val="16"/>
                <w:szCs w:val="16"/>
              </w:rPr>
            </w:pPr>
            <w:r>
              <w:rPr>
                <w:rFonts w:eastAsia="Times New Roman"/>
                <w:sz w:val="16"/>
                <w:szCs w:val="16"/>
              </w:rPr>
              <w:t> </w:t>
            </w:r>
          </w:p>
        </w:tc>
        <w:tc>
          <w:tcPr>
            <w:tcW w:w="250" w:type="pct"/>
            <w:shd w:val="clear" w:color="auto" w:fill="CCEEFF"/>
            <w:vAlign w:val="bottom"/>
            <w:hideMark/>
          </w:tcPr>
          <w:p w14:paraId="75C6DB9D" w14:textId="77777777" w:rsidR="00000000" w:rsidRDefault="00847163">
            <w:pPr>
              <w:jc w:val="right"/>
              <w:rPr>
                <w:rFonts w:eastAsia="Times New Roman"/>
                <w:sz w:val="16"/>
                <w:szCs w:val="16"/>
              </w:rPr>
            </w:pPr>
            <w:r>
              <w:rPr>
                <w:rFonts w:eastAsia="Times New Roman"/>
                <w:sz w:val="16"/>
                <w:szCs w:val="16"/>
              </w:rPr>
              <w:t>90,100</w:t>
            </w:r>
          </w:p>
        </w:tc>
        <w:tc>
          <w:tcPr>
            <w:tcW w:w="50" w:type="pct"/>
            <w:shd w:val="clear" w:color="auto" w:fill="CCEEFF"/>
            <w:vAlign w:val="bottom"/>
            <w:hideMark/>
          </w:tcPr>
          <w:p w14:paraId="68E4011B"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0E0B5861"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644A4678" w14:textId="77777777" w:rsidR="00000000" w:rsidRDefault="00847163">
            <w:pPr>
              <w:rPr>
                <w:rFonts w:eastAsia="Times New Roman"/>
                <w:sz w:val="16"/>
                <w:szCs w:val="16"/>
              </w:rPr>
            </w:pPr>
            <w:r>
              <w:rPr>
                <w:rFonts w:eastAsia="Times New Roman"/>
                <w:sz w:val="16"/>
                <w:szCs w:val="16"/>
              </w:rPr>
              <w:t> </w:t>
            </w:r>
          </w:p>
        </w:tc>
        <w:tc>
          <w:tcPr>
            <w:tcW w:w="250" w:type="pct"/>
            <w:shd w:val="clear" w:color="auto" w:fill="CCEEFF"/>
            <w:vAlign w:val="bottom"/>
            <w:hideMark/>
          </w:tcPr>
          <w:p w14:paraId="107E6381" w14:textId="77777777" w:rsidR="00000000" w:rsidRDefault="00847163">
            <w:pPr>
              <w:jc w:val="right"/>
              <w:rPr>
                <w:rFonts w:eastAsia="Times New Roman"/>
                <w:sz w:val="16"/>
                <w:szCs w:val="16"/>
              </w:rPr>
            </w:pPr>
            <w:r>
              <w:rPr>
                <w:rFonts w:eastAsia="Times New Roman"/>
                <w:sz w:val="16"/>
                <w:szCs w:val="16"/>
              </w:rPr>
              <w:t>289</w:t>
            </w:r>
          </w:p>
        </w:tc>
        <w:tc>
          <w:tcPr>
            <w:tcW w:w="50" w:type="pct"/>
            <w:shd w:val="clear" w:color="auto" w:fill="CCEEFF"/>
            <w:vAlign w:val="bottom"/>
            <w:hideMark/>
          </w:tcPr>
          <w:p w14:paraId="5BBC13A5"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594A7B3B"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19665B8E" w14:textId="77777777" w:rsidR="00000000" w:rsidRDefault="00847163">
            <w:pPr>
              <w:rPr>
                <w:rFonts w:eastAsia="Times New Roman"/>
                <w:sz w:val="16"/>
                <w:szCs w:val="16"/>
              </w:rPr>
            </w:pPr>
            <w:r>
              <w:rPr>
                <w:rFonts w:eastAsia="Times New Roman"/>
                <w:sz w:val="16"/>
                <w:szCs w:val="16"/>
              </w:rPr>
              <w:t> </w:t>
            </w:r>
          </w:p>
        </w:tc>
        <w:tc>
          <w:tcPr>
            <w:tcW w:w="200" w:type="pct"/>
            <w:shd w:val="clear" w:color="auto" w:fill="CCEEFF"/>
            <w:vAlign w:val="bottom"/>
            <w:hideMark/>
          </w:tcPr>
          <w:p w14:paraId="06D31741" w14:textId="77777777" w:rsidR="00000000" w:rsidRDefault="00847163">
            <w:pPr>
              <w:jc w:val="right"/>
              <w:rPr>
                <w:rFonts w:eastAsia="Times New Roman"/>
                <w:sz w:val="16"/>
                <w:szCs w:val="16"/>
              </w:rPr>
            </w:pPr>
            <w:r>
              <w:rPr>
                <w:rFonts w:eastAsia="Times New Roman"/>
                <w:sz w:val="16"/>
                <w:szCs w:val="16"/>
              </w:rPr>
              <w:t>90,389</w:t>
            </w:r>
          </w:p>
        </w:tc>
        <w:tc>
          <w:tcPr>
            <w:tcW w:w="50" w:type="pct"/>
            <w:shd w:val="clear" w:color="auto" w:fill="CCEEFF"/>
            <w:vAlign w:val="bottom"/>
            <w:hideMark/>
          </w:tcPr>
          <w:p w14:paraId="6B2FC2B8" w14:textId="77777777" w:rsidR="00000000" w:rsidRDefault="00847163">
            <w:pPr>
              <w:rPr>
                <w:rFonts w:eastAsia="Times New Roman"/>
                <w:sz w:val="16"/>
                <w:szCs w:val="16"/>
              </w:rPr>
            </w:pPr>
            <w:r>
              <w:rPr>
                <w:rFonts w:eastAsia="Times New Roman"/>
                <w:sz w:val="16"/>
                <w:szCs w:val="16"/>
              </w:rPr>
              <w:t> </w:t>
            </w:r>
          </w:p>
        </w:tc>
      </w:tr>
      <w:tr w:rsidR="00847163" w14:paraId="6218AB9D" w14:textId="77777777">
        <w:trPr>
          <w:divId w:val="323124837"/>
          <w:tblCellSpacing w:w="0" w:type="dxa"/>
        </w:trPr>
        <w:tc>
          <w:tcPr>
            <w:tcW w:w="1500" w:type="pct"/>
            <w:shd w:val="clear" w:color="auto" w:fill="FFFFFF"/>
            <w:vAlign w:val="bottom"/>
            <w:hideMark/>
          </w:tcPr>
          <w:p w14:paraId="27D011AD" w14:textId="77777777" w:rsidR="00000000" w:rsidRDefault="00847163">
            <w:pPr>
              <w:pStyle w:val="a3"/>
              <w:spacing w:before="0" w:beforeAutospacing="0" w:after="0" w:afterAutospacing="0"/>
              <w:ind w:left="180" w:hanging="180"/>
              <w:rPr>
                <w:sz w:val="16"/>
                <w:szCs w:val="16"/>
              </w:rPr>
            </w:pPr>
            <w:r>
              <w:rPr>
                <w:sz w:val="16"/>
                <w:szCs w:val="16"/>
              </w:rPr>
              <w:t xml:space="preserve">Redeemable noncontrolling </w:t>
            </w:r>
            <w:r>
              <w:rPr>
                <w:sz w:val="16"/>
                <w:szCs w:val="16"/>
              </w:rPr>
              <w:lastRenderedPageBreak/>
              <w:t>interests income</w:t>
            </w:r>
          </w:p>
        </w:tc>
        <w:tc>
          <w:tcPr>
            <w:tcW w:w="50" w:type="pct"/>
            <w:shd w:val="clear" w:color="auto" w:fill="FFFFFF"/>
            <w:vAlign w:val="bottom"/>
            <w:hideMark/>
          </w:tcPr>
          <w:p w14:paraId="7442E692" w14:textId="77777777" w:rsidR="00000000" w:rsidRDefault="00847163">
            <w:pPr>
              <w:rPr>
                <w:rFonts w:eastAsia="Times New Roman"/>
                <w:sz w:val="16"/>
                <w:szCs w:val="16"/>
              </w:rPr>
            </w:pPr>
            <w:r>
              <w:rPr>
                <w:rFonts w:eastAsia="Times New Roman"/>
                <w:sz w:val="16"/>
                <w:szCs w:val="16"/>
              </w:rPr>
              <w:lastRenderedPageBreak/>
              <w:t> </w:t>
            </w:r>
          </w:p>
        </w:tc>
        <w:tc>
          <w:tcPr>
            <w:tcW w:w="100" w:type="pct"/>
            <w:shd w:val="clear" w:color="auto" w:fill="FFFFFF"/>
            <w:vAlign w:val="bottom"/>
            <w:hideMark/>
          </w:tcPr>
          <w:p w14:paraId="45946F3E" w14:textId="77777777" w:rsidR="00000000" w:rsidRDefault="00847163">
            <w:pPr>
              <w:rPr>
                <w:rFonts w:eastAsia="Times New Roman"/>
                <w:sz w:val="16"/>
                <w:szCs w:val="16"/>
              </w:rPr>
            </w:pPr>
            <w:r>
              <w:rPr>
                <w:rFonts w:eastAsia="Times New Roman"/>
                <w:sz w:val="16"/>
                <w:szCs w:val="16"/>
              </w:rPr>
              <w:t> </w:t>
            </w:r>
          </w:p>
        </w:tc>
        <w:tc>
          <w:tcPr>
            <w:tcW w:w="400" w:type="pct"/>
            <w:shd w:val="clear" w:color="auto" w:fill="FFFFFF"/>
            <w:vAlign w:val="bottom"/>
            <w:hideMark/>
          </w:tcPr>
          <w:p w14:paraId="6A7C6F45" w14:textId="77777777" w:rsidR="00000000" w:rsidRDefault="00847163">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42C58A6D"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2F5C41B4"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01516286" w14:textId="77777777" w:rsidR="00000000" w:rsidRDefault="00847163">
            <w:pPr>
              <w:rPr>
                <w:rFonts w:eastAsia="Times New Roman"/>
                <w:sz w:val="16"/>
                <w:szCs w:val="16"/>
              </w:rPr>
            </w:pPr>
            <w:r>
              <w:rPr>
                <w:rFonts w:eastAsia="Times New Roman"/>
                <w:sz w:val="16"/>
                <w:szCs w:val="16"/>
              </w:rPr>
              <w:t> </w:t>
            </w:r>
          </w:p>
        </w:tc>
        <w:tc>
          <w:tcPr>
            <w:tcW w:w="200" w:type="pct"/>
            <w:shd w:val="clear" w:color="auto" w:fill="FFFFFF"/>
            <w:vAlign w:val="bottom"/>
            <w:hideMark/>
          </w:tcPr>
          <w:p w14:paraId="2A3D50C6" w14:textId="77777777" w:rsidR="00000000" w:rsidRDefault="00847163">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14:paraId="0D508836"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65863B25"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6997F37C" w14:textId="77777777" w:rsidR="00000000" w:rsidRDefault="00847163">
            <w:pPr>
              <w:rPr>
                <w:rFonts w:eastAsia="Times New Roman"/>
                <w:sz w:val="16"/>
                <w:szCs w:val="16"/>
              </w:rPr>
            </w:pPr>
            <w:r>
              <w:rPr>
                <w:rFonts w:eastAsia="Times New Roman"/>
                <w:sz w:val="16"/>
                <w:szCs w:val="16"/>
              </w:rPr>
              <w:t> </w:t>
            </w:r>
          </w:p>
        </w:tc>
        <w:tc>
          <w:tcPr>
            <w:tcW w:w="200" w:type="pct"/>
            <w:shd w:val="clear" w:color="auto" w:fill="FFFFFF"/>
            <w:vAlign w:val="bottom"/>
            <w:hideMark/>
          </w:tcPr>
          <w:p w14:paraId="0564D9EE" w14:textId="77777777" w:rsidR="00000000" w:rsidRDefault="00847163">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090938EF"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41D9E883"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5FB9D290" w14:textId="77777777" w:rsidR="00000000" w:rsidRDefault="00847163">
            <w:pPr>
              <w:rPr>
                <w:rFonts w:eastAsia="Times New Roman"/>
                <w:sz w:val="16"/>
                <w:szCs w:val="16"/>
              </w:rPr>
            </w:pPr>
            <w:r>
              <w:rPr>
                <w:rFonts w:eastAsia="Times New Roman"/>
                <w:sz w:val="16"/>
                <w:szCs w:val="16"/>
              </w:rPr>
              <w:t> </w:t>
            </w:r>
          </w:p>
        </w:tc>
        <w:tc>
          <w:tcPr>
            <w:tcW w:w="200" w:type="pct"/>
            <w:shd w:val="clear" w:color="auto" w:fill="FFFFFF"/>
            <w:vAlign w:val="bottom"/>
            <w:hideMark/>
          </w:tcPr>
          <w:p w14:paraId="76CFCA82" w14:textId="77777777" w:rsidR="00000000" w:rsidRDefault="00847163">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14:paraId="1C98C228"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2B5D45C9"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344AEDE9" w14:textId="77777777" w:rsidR="00000000" w:rsidRDefault="00847163">
            <w:pPr>
              <w:rPr>
                <w:rFonts w:eastAsia="Times New Roman"/>
                <w:sz w:val="16"/>
                <w:szCs w:val="16"/>
              </w:rPr>
            </w:pPr>
            <w:r>
              <w:rPr>
                <w:rFonts w:eastAsia="Times New Roman"/>
                <w:sz w:val="16"/>
                <w:szCs w:val="16"/>
              </w:rPr>
              <w:t> </w:t>
            </w:r>
          </w:p>
        </w:tc>
        <w:tc>
          <w:tcPr>
            <w:tcW w:w="200" w:type="pct"/>
            <w:shd w:val="clear" w:color="auto" w:fill="FFFFFF"/>
            <w:vAlign w:val="bottom"/>
            <w:hideMark/>
          </w:tcPr>
          <w:p w14:paraId="3995DED5" w14:textId="77777777" w:rsidR="00000000" w:rsidRDefault="00847163">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45926D64"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1D7B7144"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23B512AD" w14:textId="77777777" w:rsidR="00000000" w:rsidRDefault="00847163">
            <w:pPr>
              <w:rPr>
                <w:rFonts w:eastAsia="Times New Roman"/>
                <w:sz w:val="16"/>
                <w:szCs w:val="16"/>
              </w:rPr>
            </w:pPr>
            <w:r>
              <w:rPr>
                <w:rFonts w:eastAsia="Times New Roman"/>
                <w:sz w:val="16"/>
                <w:szCs w:val="16"/>
              </w:rPr>
              <w:t> </w:t>
            </w:r>
          </w:p>
        </w:tc>
        <w:tc>
          <w:tcPr>
            <w:tcW w:w="200" w:type="pct"/>
            <w:shd w:val="clear" w:color="auto" w:fill="FFFFFF"/>
            <w:vAlign w:val="bottom"/>
            <w:hideMark/>
          </w:tcPr>
          <w:p w14:paraId="749A2992" w14:textId="77777777" w:rsidR="00000000" w:rsidRDefault="00847163">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5939C51E"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184BEC23"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33AEC532" w14:textId="77777777" w:rsidR="00000000" w:rsidRDefault="00847163">
            <w:pPr>
              <w:rPr>
                <w:rFonts w:eastAsia="Times New Roman"/>
                <w:sz w:val="16"/>
                <w:szCs w:val="16"/>
              </w:rPr>
            </w:pPr>
            <w:r>
              <w:rPr>
                <w:rFonts w:eastAsia="Times New Roman"/>
                <w:sz w:val="16"/>
                <w:szCs w:val="16"/>
              </w:rPr>
              <w:t> </w:t>
            </w:r>
          </w:p>
        </w:tc>
        <w:tc>
          <w:tcPr>
            <w:tcW w:w="250" w:type="pct"/>
            <w:shd w:val="clear" w:color="auto" w:fill="FFFFFF"/>
            <w:vAlign w:val="bottom"/>
            <w:hideMark/>
          </w:tcPr>
          <w:p w14:paraId="52CFD7C5" w14:textId="77777777" w:rsidR="00000000" w:rsidRDefault="00847163">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0A957AC9"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239418CF"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038881FD" w14:textId="77777777" w:rsidR="00000000" w:rsidRDefault="00847163">
            <w:pPr>
              <w:rPr>
                <w:rFonts w:eastAsia="Times New Roman"/>
                <w:sz w:val="16"/>
                <w:szCs w:val="16"/>
              </w:rPr>
            </w:pPr>
            <w:r>
              <w:rPr>
                <w:rFonts w:eastAsia="Times New Roman"/>
                <w:sz w:val="16"/>
                <w:szCs w:val="16"/>
              </w:rPr>
              <w:t> </w:t>
            </w:r>
          </w:p>
        </w:tc>
        <w:tc>
          <w:tcPr>
            <w:tcW w:w="250" w:type="pct"/>
            <w:shd w:val="clear" w:color="auto" w:fill="FFFFFF"/>
            <w:vAlign w:val="bottom"/>
            <w:hideMark/>
          </w:tcPr>
          <w:p w14:paraId="26EF70A6" w14:textId="77777777" w:rsidR="00000000" w:rsidRDefault="00847163">
            <w:pPr>
              <w:jc w:val="right"/>
              <w:rPr>
                <w:rFonts w:eastAsia="Times New Roman"/>
                <w:sz w:val="16"/>
                <w:szCs w:val="16"/>
              </w:rPr>
            </w:pPr>
            <w:r>
              <w:rPr>
                <w:rFonts w:eastAsia="Times New Roman"/>
                <w:sz w:val="16"/>
                <w:szCs w:val="16"/>
              </w:rPr>
              <w:t>(262</w:t>
            </w:r>
          </w:p>
        </w:tc>
        <w:tc>
          <w:tcPr>
            <w:tcW w:w="50" w:type="pct"/>
            <w:shd w:val="clear" w:color="auto" w:fill="FFFFFF"/>
            <w:vAlign w:val="bottom"/>
            <w:hideMark/>
          </w:tcPr>
          <w:p w14:paraId="4AC14A73" w14:textId="77777777" w:rsidR="00000000" w:rsidRDefault="00847163">
            <w:pPr>
              <w:rPr>
                <w:rFonts w:eastAsia="Times New Roman"/>
                <w:sz w:val="16"/>
                <w:szCs w:val="16"/>
              </w:rPr>
            </w:pPr>
            <w:r>
              <w:rPr>
                <w:rFonts w:eastAsia="Times New Roman"/>
                <w:sz w:val="16"/>
                <w:szCs w:val="16"/>
              </w:rPr>
              <w:t>)</w:t>
            </w:r>
          </w:p>
        </w:tc>
        <w:tc>
          <w:tcPr>
            <w:tcW w:w="50" w:type="pct"/>
            <w:shd w:val="clear" w:color="auto" w:fill="FFFFFF"/>
            <w:vAlign w:val="bottom"/>
            <w:hideMark/>
          </w:tcPr>
          <w:p w14:paraId="7451F5D1"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07503D2E" w14:textId="77777777" w:rsidR="00000000" w:rsidRDefault="00847163">
            <w:pPr>
              <w:rPr>
                <w:rFonts w:eastAsia="Times New Roman"/>
                <w:sz w:val="16"/>
                <w:szCs w:val="16"/>
              </w:rPr>
            </w:pPr>
            <w:r>
              <w:rPr>
                <w:rFonts w:eastAsia="Times New Roman"/>
                <w:sz w:val="16"/>
                <w:szCs w:val="16"/>
              </w:rPr>
              <w:t> </w:t>
            </w:r>
          </w:p>
        </w:tc>
        <w:tc>
          <w:tcPr>
            <w:tcW w:w="200" w:type="pct"/>
            <w:shd w:val="clear" w:color="auto" w:fill="FFFFFF"/>
            <w:vAlign w:val="bottom"/>
            <w:hideMark/>
          </w:tcPr>
          <w:p w14:paraId="2C47B0B4" w14:textId="77777777" w:rsidR="00000000" w:rsidRDefault="00847163">
            <w:pPr>
              <w:jc w:val="right"/>
              <w:rPr>
                <w:rFonts w:eastAsia="Times New Roman"/>
                <w:sz w:val="16"/>
                <w:szCs w:val="16"/>
              </w:rPr>
            </w:pPr>
            <w:r>
              <w:rPr>
                <w:rFonts w:eastAsia="Times New Roman"/>
                <w:sz w:val="16"/>
                <w:szCs w:val="16"/>
              </w:rPr>
              <w:t>(262</w:t>
            </w:r>
          </w:p>
        </w:tc>
        <w:tc>
          <w:tcPr>
            <w:tcW w:w="50" w:type="pct"/>
            <w:shd w:val="clear" w:color="auto" w:fill="FFFFFF"/>
            <w:vAlign w:val="bottom"/>
            <w:hideMark/>
          </w:tcPr>
          <w:p w14:paraId="5552BC8F" w14:textId="77777777" w:rsidR="00000000" w:rsidRDefault="00847163">
            <w:pPr>
              <w:rPr>
                <w:rFonts w:eastAsia="Times New Roman"/>
                <w:sz w:val="16"/>
                <w:szCs w:val="16"/>
              </w:rPr>
            </w:pPr>
            <w:r>
              <w:rPr>
                <w:rFonts w:eastAsia="Times New Roman"/>
                <w:sz w:val="16"/>
                <w:szCs w:val="16"/>
              </w:rPr>
              <w:t>)</w:t>
            </w:r>
          </w:p>
        </w:tc>
      </w:tr>
      <w:tr w:rsidR="00847163" w14:paraId="3933CCD6" w14:textId="77777777">
        <w:trPr>
          <w:divId w:val="323124837"/>
          <w:tblCellSpacing w:w="0" w:type="dxa"/>
        </w:trPr>
        <w:tc>
          <w:tcPr>
            <w:tcW w:w="1500" w:type="pct"/>
            <w:shd w:val="clear" w:color="auto" w:fill="CCEEFF"/>
            <w:vAlign w:val="bottom"/>
            <w:hideMark/>
          </w:tcPr>
          <w:p w14:paraId="677C94ED" w14:textId="77777777" w:rsidR="00000000" w:rsidRDefault="00847163">
            <w:pPr>
              <w:pStyle w:val="a3"/>
              <w:spacing w:before="0" w:beforeAutospacing="0" w:after="0" w:afterAutospacing="0"/>
              <w:ind w:left="180" w:hanging="180"/>
              <w:rPr>
                <w:sz w:val="16"/>
                <w:szCs w:val="16"/>
              </w:rPr>
            </w:pPr>
            <w:r>
              <w:rPr>
                <w:sz w:val="16"/>
                <w:szCs w:val="16"/>
              </w:rPr>
              <w:t>Dividends declared to common and preferred shares</w:t>
            </w:r>
          </w:p>
        </w:tc>
        <w:tc>
          <w:tcPr>
            <w:tcW w:w="50" w:type="pct"/>
            <w:shd w:val="clear" w:color="auto" w:fill="CCEEFF"/>
            <w:vAlign w:val="bottom"/>
            <w:hideMark/>
          </w:tcPr>
          <w:p w14:paraId="316A41B5" w14:textId="77777777" w:rsidR="00000000" w:rsidRDefault="00847163">
            <w:pPr>
              <w:rPr>
                <w:rFonts w:eastAsia="Times New Roman"/>
                <w:sz w:val="16"/>
                <w:szCs w:val="16"/>
              </w:rPr>
            </w:pPr>
            <w:r>
              <w:rPr>
                <w:rFonts w:eastAsia="Times New Roman"/>
                <w:sz w:val="16"/>
                <w:szCs w:val="16"/>
              </w:rPr>
              <w:t> </w:t>
            </w:r>
          </w:p>
        </w:tc>
        <w:tc>
          <w:tcPr>
            <w:tcW w:w="100" w:type="pct"/>
            <w:shd w:val="clear" w:color="auto" w:fill="CCEEFF"/>
            <w:vAlign w:val="bottom"/>
            <w:hideMark/>
          </w:tcPr>
          <w:p w14:paraId="54678F06" w14:textId="77777777" w:rsidR="00000000" w:rsidRDefault="00847163">
            <w:pPr>
              <w:rPr>
                <w:rFonts w:eastAsia="Times New Roman"/>
                <w:sz w:val="16"/>
                <w:szCs w:val="16"/>
              </w:rPr>
            </w:pPr>
            <w:r>
              <w:rPr>
                <w:rFonts w:eastAsia="Times New Roman"/>
                <w:sz w:val="16"/>
                <w:szCs w:val="16"/>
              </w:rPr>
              <w:t> </w:t>
            </w:r>
          </w:p>
        </w:tc>
        <w:tc>
          <w:tcPr>
            <w:tcW w:w="400" w:type="pct"/>
            <w:shd w:val="clear" w:color="auto" w:fill="CCEEFF"/>
            <w:vAlign w:val="bottom"/>
            <w:hideMark/>
          </w:tcPr>
          <w:p w14:paraId="23E6C3F4" w14:textId="77777777" w:rsidR="00000000" w:rsidRDefault="00847163">
            <w:pPr>
              <w:jc w:val="right"/>
              <w:rPr>
                <w:rFonts w:eastAsia="Times New Roman"/>
                <w:sz w:val="16"/>
                <w:szCs w:val="16"/>
              </w:rPr>
            </w:pPr>
            <w:r>
              <w:rPr>
                <w:rFonts w:eastAsia="Times New Roman"/>
                <w:sz w:val="16"/>
                <w:szCs w:val="16"/>
              </w:rPr>
              <w:t>(127,452</w:t>
            </w:r>
          </w:p>
        </w:tc>
        <w:tc>
          <w:tcPr>
            <w:tcW w:w="50" w:type="pct"/>
            <w:shd w:val="clear" w:color="auto" w:fill="CCEEFF"/>
            <w:vAlign w:val="bottom"/>
            <w:hideMark/>
          </w:tcPr>
          <w:p w14:paraId="66F83B42" w14:textId="77777777" w:rsidR="00000000" w:rsidRDefault="00847163">
            <w:pPr>
              <w:rPr>
                <w:rFonts w:eastAsia="Times New Roman"/>
                <w:sz w:val="16"/>
                <w:szCs w:val="16"/>
              </w:rPr>
            </w:pPr>
            <w:r>
              <w:rPr>
                <w:rFonts w:eastAsia="Times New Roman"/>
                <w:sz w:val="16"/>
                <w:szCs w:val="16"/>
              </w:rPr>
              <w:t>)</w:t>
            </w:r>
          </w:p>
        </w:tc>
        <w:tc>
          <w:tcPr>
            <w:tcW w:w="50" w:type="pct"/>
            <w:shd w:val="clear" w:color="auto" w:fill="CCEEFF"/>
            <w:vAlign w:val="bottom"/>
            <w:hideMark/>
          </w:tcPr>
          <w:p w14:paraId="5C064817"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78087085" w14:textId="77777777" w:rsidR="00000000" w:rsidRDefault="00847163">
            <w:pPr>
              <w:rPr>
                <w:rFonts w:eastAsia="Times New Roman"/>
                <w:sz w:val="16"/>
                <w:szCs w:val="16"/>
              </w:rPr>
            </w:pPr>
            <w:r>
              <w:rPr>
                <w:rFonts w:eastAsia="Times New Roman"/>
                <w:sz w:val="16"/>
                <w:szCs w:val="16"/>
              </w:rPr>
              <w:t> </w:t>
            </w:r>
          </w:p>
        </w:tc>
        <w:tc>
          <w:tcPr>
            <w:tcW w:w="200" w:type="pct"/>
            <w:shd w:val="clear" w:color="auto" w:fill="CCEEFF"/>
            <w:vAlign w:val="bottom"/>
            <w:hideMark/>
          </w:tcPr>
          <w:p w14:paraId="76D19A2B" w14:textId="77777777" w:rsidR="00000000" w:rsidRDefault="00847163">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14:paraId="62146D90"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44BC1696"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7EBB5A32" w14:textId="77777777" w:rsidR="00000000" w:rsidRDefault="00847163">
            <w:pPr>
              <w:rPr>
                <w:rFonts w:eastAsia="Times New Roman"/>
                <w:sz w:val="16"/>
                <w:szCs w:val="16"/>
              </w:rPr>
            </w:pPr>
            <w:r>
              <w:rPr>
                <w:rFonts w:eastAsia="Times New Roman"/>
                <w:sz w:val="16"/>
                <w:szCs w:val="16"/>
              </w:rPr>
              <w:t> </w:t>
            </w:r>
          </w:p>
        </w:tc>
        <w:tc>
          <w:tcPr>
            <w:tcW w:w="200" w:type="pct"/>
            <w:shd w:val="clear" w:color="auto" w:fill="CCEEFF"/>
            <w:vAlign w:val="bottom"/>
            <w:hideMark/>
          </w:tcPr>
          <w:p w14:paraId="74802AF8" w14:textId="77777777" w:rsidR="00000000" w:rsidRDefault="00847163">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73FD6134"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5A87047F"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08C458AD" w14:textId="77777777" w:rsidR="00000000" w:rsidRDefault="00847163">
            <w:pPr>
              <w:rPr>
                <w:rFonts w:eastAsia="Times New Roman"/>
                <w:sz w:val="16"/>
                <w:szCs w:val="16"/>
              </w:rPr>
            </w:pPr>
            <w:r>
              <w:rPr>
                <w:rFonts w:eastAsia="Times New Roman"/>
                <w:sz w:val="16"/>
                <w:szCs w:val="16"/>
              </w:rPr>
              <w:t> </w:t>
            </w:r>
          </w:p>
        </w:tc>
        <w:tc>
          <w:tcPr>
            <w:tcW w:w="200" w:type="pct"/>
            <w:shd w:val="clear" w:color="auto" w:fill="CCEEFF"/>
            <w:vAlign w:val="bottom"/>
            <w:hideMark/>
          </w:tcPr>
          <w:p w14:paraId="6F8AA4D5" w14:textId="77777777" w:rsidR="00000000" w:rsidRDefault="00847163">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14:paraId="34E2843A"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70F780DB"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62173EF4" w14:textId="77777777" w:rsidR="00000000" w:rsidRDefault="00847163">
            <w:pPr>
              <w:rPr>
                <w:rFonts w:eastAsia="Times New Roman"/>
                <w:sz w:val="16"/>
                <w:szCs w:val="16"/>
              </w:rPr>
            </w:pPr>
            <w:r>
              <w:rPr>
                <w:rFonts w:eastAsia="Times New Roman"/>
                <w:sz w:val="16"/>
                <w:szCs w:val="16"/>
              </w:rPr>
              <w:t> </w:t>
            </w:r>
          </w:p>
        </w:tc>
        <w:tc>
          <w:tcPr>
            <w:tcW w:w="200" w:type="pct"/>
            <w:shd w:val="clear" w:color="auto" w:fill="CCEEFF"/>
            <w:vAlign w:val="bottom"/>
            <w:hideMark/>
          </w:tcPr>
          <w:p w14:paraId="30D6F7F9" w14:textId="77777777" w:rsidR="00000000" w:rsidRDefault="00847163">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41F3E36C"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44688984"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79705A47" w14:textId="77777777" w:rsidR="00000000" w:rsidRDefault="00847163">
            <w:pPr>
              <w:rPr>
                <w:rFonts w:eastAsia="Times New Roman"/>
                <w:sz w:val="16"/>
                <w:szCs w:val="16"/>
              </w:rPr>
            </w:pPr>
            <w:r>
              <w:rPr>
                <w:rFonts w:eastAsia="Times New Roman"/>
                <w:sz w:val="16"/>
                <w:szCs w:val="16"/>
              </w:rPr>
              <w:t> </w:t>
            </w:r>
          </w:p>
        </w:tc>
        <w:tc>
          <w:tcPr>
            <w:tcW w:w="200" w:type="pct"/>
            <w:shd w:val="clear" w:color="auto" w:fill="CCEEFF"/>
            <w:vAlign w:val="bottom"/>
            <w:hideMark/>
          </w:tcPr>
          <w:p w14:paraId="66444103" w14:textId="77777777" w:rsidR="00000000" w:rsidRDefault="00847163">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637F0D98"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1C396394"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60ADD2B2" w14:textId="77777777" w:rsidR="00000000" w:rsidRDefault="00847163">
            <w:pPr>
              <w:rPr>
                <w:rFonts w:eastAsia="Times New Roman"/>
                <w:sz w:val="16"/>
                <w:szCs w:val="16"/>
              </w:rPr>
            </w:pPr>
            <w:r>
              <w:rPr>
                <w:rFonts w:eastAsia="Times New Roman"/>
                <w:sz w:val="16"/>
                <w:szCs w:val="16"/>
              </w:rPr>
              <w:t> </w:t>
            </w:r>
          </w:p>
        </w:tc>
        <w:tc>
          <w:tcPr>
            <w:tcW w:w="250" w:type="pct"/>
            <w:shd w:val="clear" w:color="auto" w:fill="CCEEFF"/>
            <w:vAlign w:val="bottom"/>
            <w:hideMark/>
          </w:tcPr>
          <w:p w14:paraId="0778DDC5" w14:textId="77777777" w:rsidR="00000000" w:rsidRDefault="00847163">
            <w:pPr>
              <w:jc w:val="right"/>
              <w:rPr>
                <w:rFonts w:eastAsia="Times New Roman"/>
                <w:sz w:val="16"/>
                <w:szCs w:val="16"/>
              </w:rPr>
            </w:pPr>
            <w:r>
              <w:rPr>
                <w:rFonts w:eastAsia="Times New Roman"/>
                <w:sz w:val="16"/>
                <w:szCs w:val="16"/>
              </w:rPr>
              <w:t>(127,452</w:t>
            </w:r>
          </w:p>
        </w:tc>
        <w:tc>
          <w:tcPr>
            <w:tcW w:w="50" w:type="pct"/>
            <w:shd w:val="clear" w:color="auto" w:fill="CCEEFF"/>
            <w:vAlign w:val="bottom"/>
            <w:hideMark/>
          </w:tcPr>
          <w:p w14:paraId="42E07FA5" w14:textId="77777777" w:rsidR="00000000" w:rsidRDefault="00847163">
            <w:pPr>
              <w:rPr>
                <w:rFonts w:eastAsia="Times New Roman"/>
                <w:sz w:val="16"/>
                <w:szCs w:val="16"/>
              </w:rPr>
            </w:pPr>
            <w:r>
              <w:rPr>
                <w:rFonts w:eastAsia="Times New Roman"/>
                <w:sz w:val="16"/>
                <w:szCs w:val="16"/>
              </w:rPr>
              <w:t>)</w:t>
            </w:r>
          </w:p>
        </w:tc>
        <w:tc>
          <w:tcPr>
            <w:tcW w:w="50" w:type="pct"/>
            <w:shd w:val="clear" w:color="auto" w:fill="CCEEFF"/>
            <w:vAlign w:val="bottom"/>
            <w:hideMark/>
          </w:tcPr>
          <w:p w14:paraId="398DB5CF"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0C848A03" w14:textId="77777777" w:rsidR="00000000" w:rsidRDefault="00847163">
            <w:pPr>
              <w:rPr>
                <w:rFonts w:eastAsia="Times New Roman"/>
                <w:sz w:val="16"/>
                <w:szCs w:val="16"/>
              </w:rPr>
            </w:pPr>
            <w:r>
              <w:rPr>
                <w:rFonts w:eastAsia="Times New Roman"/>
                <w:sz w:val="16"/>
                <w:szCs w:val="16"/>
              </w:rPr>
              <w:t> </w:t>
            </w:r>
          </w:p>
        </w:tc>
        <w:tc>
          <w:tcPr>
            <w:tcW w:w="250" w:type="pct"/>
            <w:shd w:val="clear" w:color="auto" w:fill="CCEEFF"/>
            <w:vAlign w:val="bottom"/>
            <w:hideMark/>
          </w:tcPr>
          <w:p w14:paraId="53AF5753" w14:textId="77777777" w:rsidR="00000000" w:rsidRDefault="00847163">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08B5FAE0"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4866102F"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0E87A661" w14:textId="77777777" w:rsidR="00000000" w:rsidRDefault="00847163">
            <w:pPr>
              <w:rPr>
                <w:rFonts w:eastAsia="Times New Roman"/>
                <w:sz w:val="16"/>
                <w:szCs w:val="16"/>
              </w:rPr>
            </w:pPr>
            <w:r>
              <w:rPr>
                <w:rFonts w:eastAsia="Times New Roman"/>
                <w:sz w:val="16"/>
                <w:szCs w:val="16"/>
              </w:rPr>
              <w:t> </w:t>
            </w:r>
          </w:p>
        </w:tc>
        <w:tc>
          <w:tcPr>
            <w:tcW w:w="200" w:type="pct"/>
            <w:shd w:val="clear" w:color="auto" w:fill="CCEEFF"/>
            <w:vAlign w:val="bottom"/>
            <w:hideMark/>
          </w:tcPr>
          <w:p w14:paraId="05069FC6" w14:textId="77777777" w:rsidR="00000000" w:rsidRDefault="00847163">
            <w:pPr>
              <w:jc w:val="right"/>
              <w:rPr>
                <w:rFonts w:eastAsia="Times New Roman"/>
                <w:sz w:val="16"/>
                <w:szCs w:val="16"/>
              </w:rPr>
            </w:pPr>
            <w:r>
              <w:rPr>
                <w:rFonts w:eastAsia="Times New Roman"/>
                <w:sz w:val="16"/>
                <w:szCs w:val="16"/>
              </w:rPr>
              <w:t>(127,452</w:t>
            </w:r>
          </w:p>
        </w:tc>
        <w:tc>
          <w:tcPr>
            <w:tcW w:w="50" w:type="pct"/>
            <w:shd w:val="clear" w:color="auto" w:fill="CCEEFF"/>
            <w:vAlign w:val="bottom"/>
            <w:hideMark/>
          </w:tcPr>
          <w:p w14:paraId="6A2C1BCF" w14:textId="77777777" w:rsidR="00000000" w:rsidRDefault="00847163">
            <w:pPr>
              <w:rPr>
                <w:rFonts w:eastAsia="Times New Roman"/>
                <w:sz w:val="16"/>
                <w:szCs w:val="16"/>
              </w:rPr>
            </w:pPr>
            <w:r>
              <w:rPr>
                <w:rFonts w:eastAsia="Times New Roman"/>
                <w:sz w:val="16"/>
                <w:szCs w:val="16"/>
              </w:rPr>
              <w:t>)</w:t>
            </w:r>
          </w:p>
        </w:tc>
      </w:tr>
      <w:tr w:rsidR="00847163" w14:paraId="1CD3D976" w14:textId="77777777">
        <w:trPr>
          <w:divId w:val="323124837"/>
          <w:tblCellSpacing w:w="0" w:type="dxa"/>
        </w:trPr>
        <w:tc>
          <w:tcPr>
            <w:tcW w:w="1500" w:type="pct"/>
            <w:shd w:val="clear" w:color="auto" w:fill="FFFFFF"/>
            <w:vAlign w:val="bottom"/>
            <w:hideMark/>
          </w:tcPr>
          <w:p w14:paraId="1345F228" w14:textId="77777777" w:rsidR="00000000" w:rsidRDefault="00847163">
            <w:pPr>
              <w:pStyle w:val="a3"/>
              <w:spacing w:before="0" w:beforeAutospacing="0" w:after="0" w:afterAutospacing="0"/>
              <w:ind w:left="180" w:hanging="180"/>
              <w:rPr>
                <w:sz w:val="16"/>
                <w:szCs w:val="16"/>
              </w:rPr>
            </w:pPr>
            <w:r>
              <w:rPr>
                <w:sz w:val="16"/>
                <w:szCs w:val="16"/>
              </w:rPr>
              <w:t>Distributions to noncontrolling interests</w:t>
            </w:r>
          </w:p>
        </w:tc>
        <w:tc>
          <w:tcPr>
            <w:tcW w:w="50" w:type="pct"/>
            <w:shd w:val="clear" w:color="auto" w:fill="FFFFFF"/>
            <w:vAlign w:val="bottom"/>
            <w:hideMark/>
          </w:tcPr>
          <w:p w14:paraId="7D6795C9" w14:textId="77777777" w:rsidR="00000000" w:rsidRDefault="00847163">
            <w:pPr>
              <w:rPr>
                <w:rFonts w:eastAsia="Times New Roman"/>
                <w:sz w:val="16"/>
                <w:szCs w:val="16"/>
              </w:rPr>
            </w:pPr>
            <w:r>
              <w:rPr>
                <w:rFonts w:eastAsia="Times New Roman"/>
                <w:sz w:val="16"/>
                <w:szCs w:val="16"/>
              </w:rPr>
              <w:t> </w:t>
            </w:r>
          </w:p>
        </w:tc>
        <w:tc>
          <w:tcPr>
            <w:tcW w:w="100" w:type="pct"/>
            <w:shd w:val="clear" w:color="auto" w:fill="FFFFFF"/>
            <w:vAlign w:val="bottom"/>
            <w:hideMark/>
          </w:tcPr>
          <w:p w14:paraId="09EA3523" w14:textId="77777777" w:rsidR="00000000" w:rsidRDefault="00847163">
            <w:pPr>
              <w:rPr>
                <w:rFonts w:eastAsia="Times New Roman"/>
                <w:sz w:val="16"/>
                <w:szCs w:val="16"/>
              </w:rPr>
            </w:pPr>
            <w:r>
              <w:rPr>
                <w:rFonts w:eastAsia="Times New Roman"/>
                <w:sz w:val="16"/>
                <w:szCs w:val="16"/>
              </w:rPr>
              <w:t> </w:t>
            </w:r>
          </w:p>
        </w:tc>
        <w:tc>
          <w:tcPr>
            <w:tcW w:w="400" w:type="pct"/>
            <w:shd w:val="clear" w:color="auto" w:fill="FFFFFF"/>
            <w:vAlign w:val="bottom"/>
            <w:hideMark/>
          </w:tcPr>
          <w:p w14:paraId="79052F97" w14:textId="77777777" w:rsidR="00000000" w:rsidRDefault="00847163">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56FFB6AE"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2B1010BF"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225F3991" w14:textId="77777777" w:rsidR="00000000" w:rsidRDefault="00847163">
            <w:pPr>
              <w:rPr>
                <w:rFonts w:eastAsia="Times New Roman"/>
                <w:sz w:val="16"/>
                <w:szCs w:val="16"/>
              </w:rPr>
            </w:pPr>
            <w:r>
              <w:rPr>
                <w:rFonts w:eastAsia="Times New Roman"/>
                <w:sz w:val="16"/>
                <w:szCs w:val="16"/>
              </w:rPr>
              <w:t> </w:t>
            </w:r>
          </w:p>
        </w:tc>
        <w:tc>
          <w:tcPr>
            <w:tcW w:w="200" w:type="pct"/>
            <w:shd w:val="clear" w:color="auto" w:fill="FFFFFF"/>
            <w:vAlign w:val="bottom"/>
            <w:hideMark/>
          </w:tcPr>
          <w:p w14:paraId="3A3042C6" w14:textId="77777777" w:rsidR="00000000" w:rsidRDefault="00847163">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14:paraId="687E6A43"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54BF7F5B"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518598EE" w14:textId="77777777" w:rsidR="00000000" w:rsidRDefault="00847163">
            <w:pPr>
              <w:rPr>
                <w:rFonts w:eastAsia="Times New Roman"/>
                <w:sz w:val="16"/>
                <w:szCs w:val="16"/>
              </w:rPr>
            </w:pPr>
            <w:r>
              <w:rPr>
                <w:rFonts w:eastAsia="Times New Roman"/>
                <w:sz w:val="16"/>
                <w:szCs w:val="16"/>
              </w:rPr>
              <w:t> </w:t>
            </w:r>
          </w:p>
        </w:tc>
        <w:tc>
          <w:tcPr>
            <w:tcW w:w="200" w:type="pct"/>
            <w:shd w:val="clear" w:color="auto" w:fill="FFFFFF"/>
            <w:vAlign w:val="bottom"/>
            <w:hideMark/>
          </w:tcPr>
          <w:p w14:paraId="0D48B842" w14:textId="77777777" w:rsidR="00000000" w:rsidRDefault="00847163">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39D16EA1"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328DE83C"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09132629" w14:textId="77777777" w:rsidR="00000000" w:rsidRDefault="00847163">
            <w:pPr>
              <w:rPr>
                <w:rFonts w:eastAsia="Times New Roman"/>
                <w:sz w:val="16"/>
                <w:szCs w:val="16"/>
              </w:rPr>
            </w:pPr>
            <w:r>
              <w:rPr>
                <w:rFonts w:eastAsia="Times New Roman"/>
                <w:sz w:val="16"/>
                <w:szCs w:val="16"/>
              </w:rPr>
              <w:t> </w:t>
            </w:r>
          </w:p>
        </w:tc>
        <w:tc>
          <w:tcPr>
            <w:tcW w:w="200" w:type="pct"/>
            <w:shd w:val="clear" w:color="auto" w:fill="FFFFFF"/>
            <w:vAlign w:val="bottom"/>
            <w:hideMark/>
          </w:tcPr>
          <w:p w14:paraId="3EAB96A3" w14:textId="77777777" w:rsidR="00000000" w:rsidRDefault="00847163">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14:paraId="57BEB757"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4A8C736D"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0934E8E1" w14:textId="77777777" w:rsidR="00000000" w:rsidRDefault="00847163">
            <w:pPr>
              <w:rPr>
                <w:rFonts w:eastAsia="Times New Roman"/>
                <w:sz w:val="16"/>
                <w:szCs w:val="16"/>
              </w:rPr>
            </w:pPr>
            <w:r>
              <w:rPr>
                <w:rFonts w:eastAsia="Times New Roman"/>
                <w:sz w:val="16"/>
                <w:szCs w:val="16"/>
              </w:rPr>
              <w:t> </w:t>
            </w:r>
          </w:p>
        </w:tc>
        <w:tc>
          <w:tcPr>
            <w:tcW w:w="200" w:type="pct"/>
            <w:shd w:val="clear" w:color="auto" w:fill="FFFFFF"/>
            <w:vAlign w:val="bottom"/>
            <w:hideMark/>
          </w:tcPr>
          <w:p w14:paraId="4DD6AFC4" w14:textId="77777777" w:rsidR="00000000" w:rsidRDefault="00847163">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4021DC9A"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6E18D716"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4A004A59" w14:textId="77777777" w:rsidR="00000000" w:rsidRDefault="00847163">
            <w:pPr>
              <w:rPr>
                <w:rFonts w:eastAsia="Times New Roman"/>
                <w:sz w:val="16"/>
                <w:szCs w:val="16"/>
              </w:rPr>
            </w:pPr>
            <w:r>
              <w:rPr>
                <w:rFonts w:eastAsia="Times New Roman"/>
                <w:sz w:val="16"/>
                <w:szCs w:val="16"/>
              </w:rPr>
              <w:t> </w:t>
            </w:r>
          </w:p>
        </w:tc>
        <w:tc>
          <w:tcPr>
            <w:tcW w:w="200" w:type="pct"/>
            <w:shd w:val="clear" w:color="auto" w:fill="FFFFFF"/>
            <w:vAlign w:val="bottom"/>
            <w:hideMark/>
          </w:tcPr>
          <w:p w14:paraId="08310CC8" w14:textId="77777777" w:rsidR="00000000" w:rsidRDefault="00847163">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5CC3FCF7"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65CC854A"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722267DC" w14:textId="77777777" w:rsidR="00000000" w:rsidRDefault="00847163">
            <w:pPr>
              <w:rPr>
                <w:rFonts w:eastAsia="Times New Roman"/>
                <w:sz w:val="16"/>
                <w:szCs w:val="16"/>
              </w:rPr>
            </w:pPr>
            <w:r>
              <w:rPr>
                <w:rFonts w:eastAsia="Times New Roman"/>
                <w:sz w:val="16"/>
                <w:szCs w:val="16"/>
              </w:rPr>
              <w:t> </w:t>
            </w:r>
          </w:p>
        </w:tc>
        <w:tc>
          <w:tcPr>
            <w:tcW w:w="250" w:type="pct"/>
            <w:shd w:val="clear" w:color="auto" w:fill="FFFFFF"/>
            <w:vAlign w:val="bottom"/>
            <w:hideMark/>
          </w:tcPr>
          <w:p w14:paraId="2CF7460E" w14:textId="77777777" w:rsidR="00000000" w:rsidRDefault="00847163">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2547468D"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3A6A634B"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1E700672" w14:textId="77777777" w:rsidR="00000000" w:rsidRDefault="00847163">
            <w:pPr>
              <w:rPr>
                <w:rFonts w:eastAsia="Times New Roman"/>
                <w:sz w:val="16"/>
                <w:szCs w:val="16"/>
              </w:rPr>
            </w:pPr>
            <w:r>
              <w:rPr>
                <w:rFonts w:eastAsia="Times New Roman"/>
                <w:sz w:val="16"/>
                <w:szCs w:val="16"/>
              </w:rPr>
              <w:t> </w:t>
            </w:r>
          </w:p>
        </w:tc>
        <w:tc>
          <w:tcPr>
            <w:tcW w:w="250" w:type="pct"/>
            <w:shd w:val="clear" w:color="auto" w:fill="FFFFFF"/>
            <w:vAlign w:val="bottom"/>
            <w:hideMark/>
          </w:tcPr>
          <w:p w14:paraId="4AB400DB" w14:textId="77777777" w:rsidR="00000000" w:rsidRDefault="00847163">
            <w:pPr>
              <w:jc w:val="right"/>
              <w:rPr>
                <w:rFonts w:eastAsia="Times New Roman"/>
                <w:sz w:val="16"/>
                <w:szCs w:val="16"/>
              </w:rPr>
            </w:pPr>
            <w:r>
              <w:rPr>
                <w:rFonts w:eastAsia="Times New Roman"/>
                <w:sz w:val="16"/>
                <w:szCs w:val="16"/>
              </w:rPr>
              <w:t>(555</w:t>
            </w:r>
          </w:p>
        </w:tc>
        <w:tc>
          <w:tcPr>
            <w:tcW w:w="50" w:type="pct"/>
            <w:shd w:val="clear" w:color="auto" w:fill="FFFFFF"/>
            <w:vAlign w:val="bottom"/>
            <w:hideMark/>
          </w:tcPr>
          <w:p w14:paraId="7691A94C" w14:textId="77777777" w:rsidR="00000000" w:rsidRDefault="00847163">
            <w:pPr>
              <w:rPr>
                <w:rFonts w:eastAsia="Times New Roman"/>
                <w:sz w:val="16"/>
                <w:szCs w:val="16"/>
              </w:rPr>
            </w:pPr>
            <w:r>
              <w:rPr>
                <w:rFonts w:eastAsia="Times New Roman"/>
                <w:sz w:val="16"/>
                <w:szCs w:val="16"/>
              </w:rPr>
              <w:t>)</w:t>
            </w:r>
          </w:p>
        </w:tc>
        <w:tc>
          <w:tcPr>
            <w:tcW w:w="50" w:type="pct"/>
            <w:shd w:val="clear" w:color="auto" w:fill="FFFFFF"/>
            <w:vAlign w:val="bottom"/>
            <w:hideMark/>
          </w:tcPr>
          <w:p w14:paraId="4D18BD59"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4924D92C" w14:textId="77777777" w:rsidR="00000000" w:rsidRDefault="00847163">
            <w:pPr>
              <w:rPr>
                <w:rFonts w:eastAsia="Times New Roman"/>
                <w:sz w:val="16"/>
                <w:szCs w:val="16"/>
              </w:rPr>
            </w:pPr>
            <w:r>
              <w:rPr>
                <w:rFonts w:eastAsia="Times New Roman"/>
                <w:sz w:val="16"/>
                <w:szCs w:val="16"/>
              </w:rPr>
              <w:t> </w:t>
            </w:r>
          </w:p>
        </w:tc>
        <w:tc>
          <w:tcPr>
            <w:tcW w:w="200" w:type="pct"/>
            <w:shd w:val="clear" w:color="auto" w:fill="FFFFFF"/>
            <w:vAlign w:val="bottom"/>
            <w:hideMark/>
          </w:tcPr>
          <w:p w14:paraId="25AC3EA8" w14:textId="77777777" w:rsidR="00000000" w:rsidRDefault="00847163">
            <w:pPr>
              <w:jc w:val="right"/>
              <w:rPr>
                <w:rFonts w:eastAsia="Times New Roman"/>
                <w:sz w:val="16"/>
                <w:szCs w:val="16"/>
              </w:rPr>
            </w:pPr>
            <w:r>
              <w:rPr>
                <w:rFonts w:eastAsia="Times New Roman"/>
                <w:sz w:val="16"/>
                <w:szCs w:val="16"/>
              </w:rPr>
              <w:t>(555</w:t>
            </w:r>
          </w:p>
        </w:tc>
        <w:tc>
          <w:tcPr>
            <w:tcW w:w="50" w:type="pct"/>
            <w:shd w:val="clear" w:color="auto" w:fill="FFFFFF"/>
            <w:vAlign w:val="bottom"/>
            <w:hideMark/>
          </w:tcPr>
          <w:p w14:paraId="5BEC8C6B" w14:textId="77777777" w:rsidR="00000000" w:rsidRDefault="00847163">
            <w:pPr>
              <w:rPr>
                <w:rFonts w:eastAsia="Times New Roman"/>
                <w:sz w:val="16"/>
                <w:szCs w:val="16"/>
              </w:rPr>
            </w:pPr>
            <w:r>
              <w:rPr>
                <w:rFonts w:eastAsia="Times New Roman"/>
                <w:sz w:val="16"/>
                <w:szCs w:val="16"/>
              </w:rPr>
              <w:t>)</w:t>
            </w:r>
          </w:p>
        </w:tc>
      </w:tr>
      <w:tr w:rsidR="00847163" w14:paraId="0977B195" w14:textId="77777777">
        <w:trPr>
          <w:divId w:val="323124837"/>
          <w:tblCellSpacing w:w="0" w:type="dxa"/>
        </w:trPr>
        <w:tc>
          <w:tcPr>
            <w:tcW w:w="1500" w:type="pct"/>
            <w:shd w:val="clear" w:color="auto" w:fill="CCEEFF"/>
            <w:vAlign w:val="bottom"/>
            <w:hideMark/>
          </w:tcPr>
          <w:p w14:paraId="064A4FA0" w14:textId="77777777" w:rsidR="00000000" w:rsidRDefault="00847163">
            <w:pPr>
              <w:pStyle w:val="a3"/>
              <w:spacing w:before="0" w:beforeAutospacing="0" w:after="0" w:afterAutospacing="0"/>
              <w:rPr>
                <w:sz w:val="16"/>
                <w:szCs w:val="16"/>
              </w:rPr>
            </w:pPr>
            <w:r>
              <w:rPr>
                <w:sz w:val="16"/>
                <w:szCs w:val="16"/>
              </w:rPr>
              <w:t>Issuance of common stock</w:t>
            </w:r>
          </w:p>
        </w:tc>
        <w:tc>
          <w:tcPr>
            <w:tcW w:w="50" w:type="pct"/>
            <w:shd w:val="clear" w:color="auto" w:fill="CCEEFF"/>
            <w:vAlign w:val="bottom"/>
            <w:hideMark/>
          </w:tcPr>
          <w:p w14:paraId="6BDD52BD" w14:textId="77777777" w:rsidR="00000000" w:rsidRDefault="00847163">
            <w:pPr>
              <w:rPr>
                <w:rFonts w:eastAsia="Times New Roman"/>
                <w:sz w:val="16"/>
                <w:szCs w:val="16"/>
              </w:rPr>
            </w:pPr>
            <w:r>
              <w:rPr>
                <w:rFonts w:eastAsia="Times New Roman"/>
                <w:sz w:val="16"/>
                <w:szCs w:val="16"/>
              </w:rPr>
              <w:t> </w:t>
            </w:r>
          </w:p>
        </w:tc>
        <w:tc>
          <w:tcPr>
            <w:tcW w:w="100" w:type="pct"/>
            <w:shd w:val="clear" w:color="auto" w:fill="CCEEFF"/>
            <w:vAlign w:val="bottom"/>
            <w:hideMark/>
          </w:tcPr>
          <w:p w14:paraId="24BBFD8B" w14:textId="77777777" w:rsidR="00000000" w:rsidRDefault="00847163">
            <w:pPr>
              <w:rPr>
                <w:rFonts w:eastAsia="Times New Roman"/>
                <w:sz w:val="16"/>
                <w:szCs w:val="16"/>
              </w:rPr>
            </w:pPr>
            <w:r>
              <w:rPr>
                <w:rFonts w:eastAsia="Times New Roman"/>
                <w:sz w:val="16"/>
                <w:szCs w:val="16"/>
              </w:rPr>
              <w:t> </w:t>
            </w:r>
          </w:p>
        </w:tc>
        <w:tc>
          <w:tcPr>
            <w:tcW w:w="400" w:type="pct"/>
            <w:shd w:val="clear" w:color="auto" w:fill="CCEEFF"/>
            <w:vAlign w:val="bottom"/>
            <w:hideMark/>
          </w:tcPr>
          <w:p w14:paraId="5AFA9217" w14:textId="77777777" w:rsidR="00000000" w:rsidRDefault="00847163">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59C358F7"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3638E90D"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40517216" w14:textId="77777777" w:rsidR="00000000" w:rsidRDefault="00847163">
            <w:pPr>
              <w:rPr>
                <w:rFonts w:eastAsia="Times New Roman"/>
                <w:sz w:val="16"/>
                <w:szCs w:val="16"/>
              </w:rPr>
            </w:pPr>
            <w:r>
              <w:rPr>
                <w:rFonts w:eastAsia="Times New Roman"/>
                <w:sz w:val="16"/>
                <w:szCs w:val="16"/>
              </w:rPr>
              <w:t> </w:t>
            </w:r>
          </w:p>
        </w:tc>
        <w:tc>
          <w:tcPr>
            <w:tcW w:w="200" w:type="pct"/>
            <w:shd w:val="clear" w:color="auto" w:fill="CCEEFF"/>
            <w:vAlign w:val="bottom"/>
            <w:hideMark/>
          </w:tcPr>
          <w:p w14:paraId="0F929215" w14:textId="77777777" w:rsidR="00000000" w:rsidRDefault="00847163">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04FAEC2D"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294324D5"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0FE8D8D9" w14:textId="77777777" w:rsidR="00000000" w:rsidRDefault="00847163">
            <w:pPr>
              <w:rPr>
                <w:rFonts w:eastAsia="Times New Roman"/>
                <w:sz w:val="16"/>
                <w:szCs w:val="16"/>
              </w:rPr>
            </w:pPr>
            <w:r>
              <w:rPr>
                <w:rFonts w:eastAsia="Times New Roman"/>
                <w:sz w:val="16"/>
                <w:szCs w:val="16"/>
              </w:rPr>
              <w:t> </w:t>
            </w:r>
          </w:p>
        </w:tc>
        <w:tc>
          <w:tcPr>
            <w:tcW w:w="200" w:type="pct"/>
            <w:shd w:val="clear" w:color="auto" w:fill="CCEEFF"/>
            <w:vAlign w:val="bottom"/>
            <w:hideMark/>
          </w:tcPr>
          <w:p w14:paraId="72D3ABA9" w14:textId="77777777" w:rsidR="00000000" w:rsidRDefault="00847163">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3D6D6064"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2817A8AF"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2EAEF893" w14:textId="77777777" w:rsidR="00000000" w:rsidRDefault="00847163">
            <w:pPr>
              <w:rPr>
                <w:rFonts w:eastAsia="Times New Roman"/>
                <w:sz w:val="16"/>
                <w:szCs w:val="16"/>
              </w:rPr>
            </w:pPr>
            <w:r>
              <w:rPr>
                <w:rFonts w:eastAsia="Times New Roman"/>
                <w:sz w:val="16"/>
                <w:szCs w:val="16"/>
              </w:rPr>
              <w:t> </w:t>
            </w:r>
          </w:p>
        </w:tc>
        <w:tc>
          <w:tcPr>
            <w:tcW w:w="200" w:type="pct"/>
            <w:shd w:val="clear" w:color="auto" w:fill="CCEEFF"/>
            <w:vAlign w:val="bottom"/>
            <w:hideMark/>
          </w:tcPr>
          <w:p w14:paraId="0982DF52" w14:textId="77777777" w:rsidR="00000000" w:rsidRDefault="00847163">
            <w:pPr>
              <w:jc w:val="right"/>
              <w:rPr>
                <w:rFonts w:eastAsia="Times New Roman"/>
                <w:sz w:val="16"/>
                <w:szCs w:val="16"/>
              </w:rPr>
            </w:pPr>
            <w:r>
              <w:rPr>
                <w:rFonts w:eastAsia="Times New Roman"/>
                <w:sz w:val="16"/>
                <w:szCs w:val="16"/>
              </w:rPr>
              <w:t>921</w:t>
            </w:r>
          </w:p>
        </w:tc>
        <w:tc>
          <w:tcPr>
            <w:tcW w:w="50" w:type="pct"/>
            <w:shd w:val="clear" w:color="auto" w:fill="CCEEFF"/>
            <w:vAlign w:val="bottom"/>
            <w:hideMark/>
          </w:tcPr>
          <w:p w14:paraId="7CBDFDF0"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1FC3E663"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396A23BB" w14:textId="77777777" w:rsidR="00000000" w:rsidRDefault="00847163">
            <w:pPr>
              <w:rPr>
                <w:rFonts w:eastAsia="Times New Roman"/>
                <w:sz w:val="16"/>
                <w:szCs w:val="16"/>
              </w:rPr>
            </w:pPr>
            <w:r>
              <w:rPr>
                <w:rFonts w:eastAsia="Times New Roman"/>
                <w:sz w:val="16"/>
                <w:szCs w:val="16"/>
              </w:rPr>
              <w:t> </w:t>
            </w:r>
          </w:p>
        </w:tc>
        <w:tc>
          <w:tcPr>
            <w:tcW w:w="200" w:type="pct"/>
            <w:shd w:val="clear" w:color="auto" w:fill="CCEEFF"/>
            <w:vAlign w:val="bottom"/>
            <w:hideMark/>
          </w:tcPr>
          <w:p w14:paraId="37E98684" w14:textId="77777777" w:rsidR="00000000" w:rsidRDefault="00847163">
            <w:pPr>
              <w:jc w:val="right"/>
              <w:rPr>
                <w:rFonts w:eastAsia="Times New Roman"/>
                <w:sz w:val="16"/>
                <w:szCs w:val="16"/>
              </w:rPr>
            </w:pPr>
            <w:r>
              <w:rPr>
                <w:rFonts w:eastAsia="Times New Roman"/>
                <w:sz w:val="16"/>
                <w:szCs w:val="16"/>
              </w:rPr>
              <w:t>9</w:t>
            </w:r>
          </w:p>
        </w:tc>
        <w:tc>
          <w:tcPr>
            <w:tcW w:w="50" w:type="pct"/>
            <w:shd w:val="clear" w:color="auto" w:fill="CCEEFF"/>
            <w:vAlign w:val="bottom"/>
            <w:hideMark/>
          </w:tcPr>
          <w:p w14:paraId="14DA37AB"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12965A10"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2D09E178" w14:textId="77777777" w:rsidR="00000000" w:rsidRDefault="00847163">
            <w:pPr>
              <w:rPr>
                <w:rFonts w:eastAsia="Times New Roman"/>
                <w:sz w:val="16"/>
                <w:szCs w:val="16"/>
              </w:rPr>
            </w:pPr>
            <w:r>
              <w:rPr>
                <w:rFonts w:eastAsia="Times New Roman"/>
                <w:sz w:val="16"/>
                <w:szCs w:val="16"/>
              </w:rPr>
              <w:t> </w:t>
            </w:r>
          </w:p>
        </w:tc>
        <w:tc>
          <w:tcPr>
            <w:tcW w:w="200" w:type="pct"/>
            <w:shd w:val="clear" w:color="auto" w:fill="CCEEFF"/>
            <w:vAlign w:val="bottom"/>
            <w:hideMark/>
          </w:tcPr>
          <w:p w14:paraId="6F1B8146" w14:textId="77777777" w:rsidR="00000000" w:rsidRDefault="00847163">
            <w:pPr>
              <w:jc w:val="right"/>
              <w:rPr>
                <w:rFonts w:eastAsia="Times New Roman"/>
                <w:sz w:val="16"/>
                <w:szCs w:val="16"/>
              </w:rPr>
            </w:pPr>
            <w:r>
              <w:rPr>
                <w:rFonts w:eastAsia="Times New Roman"/>
                <w:sz w:val="16"/>
                <w:szCs w:val="16"/>
              </w:rPr>
              <w:t>(9</w:t>
            </w:r>
          </w:p>
        </w:tc>
        <w:tc>
          <w:tcPr>
            <w:tcW w:w="50" w:type="pct"/>
            <w:shd w:val="clear" w:color="auto" w:fill="CCEEFF"/>
            <w:vAlign w:val="bottom"/>
            <w:hideMark/>
          </w:tcPr>
          <w:p w14:paraId="0D3B3B9D" w14:textId="77777777" w:rsidR="00000000" w:rsidRDefault="00847163">
            <w:pPr>
              <w:rPr>
                <w:rFonts w:eastAsia="Times New Roman"/>
                <w:sz w:val="16"/>
                <w:szCs w:val="16"/>
              </w:rPr>
            </w:pPr>
            <w:r>
              <w:rPr>
                <w:rFonts w:eastAsia="Times New Roman"/>
                <w:sz w:val="16"/>
                <w:szCs w:val="16"/>
              </w:rPr>
              <w:t>)</w:t>
            </w:r>
          </w:p>
        </w:tc>
        <w:tc>
          <w:tcPr>
            <w:tcW w:w="50" w:type="pct"/>
            <w:shd w:val="clear" w:color="auto" w:fill="CCEEFF"/>
            <w:vAlign w:val="bottom"/>
            <w:hideMark/>
          </w:tcPr>
          <w:p w14:paraId="346AC024"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7E59F134" w14:textId="77777777" w:rsidR="00000000" w:rsidRDefault="00847163">
            <w:pPr>
              <w:rPr>
                <w:rFonts w:eastAsia="Times New Roman"/>
                <w:sz w:val="16"/>
                <w:szCs w:val="16"/>
              </w:rPr>
            </w:pPr>
            <w:r>
              <w:rPr>
                <w:rFonts w:eastAsia="Times New Roman"/>
                <w:sz w:val="16"/>
                <w:szCs w:val="16"/>
              </w:rPr>
              <w:t> </w:t>
            </w:r>
          </w:p>
        </w:tc>
        <w:tc>
          <w:tcPr>
            <w:tcW w:w="250" w:type="pct"/>
            <w:shd w:val="clear" w:color="auto" w:fill="CCEEFF"/>
            <w:vAlign w:val="bottom"/>
            <w:hideMark/>
          </w:tcPr>
          <w:p w14:paraId="5B8746B5" w14:textId="77777777" w:rsidR="00000000" w:rsidRDefault="00847163">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6FB08077"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613D58F4"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098A6F12" w14:textId="77777777" w:rsidR="00000000" w:rsidRDefault="00847163">
            <w:pPr>
              <w:rPr>
                <w:rFonts w:eastAsia="Times New Roman"/>
                <w:sz w:val="16"/>
                <w:szCs w:val="16"/>
              </w:rPr>
            </w:pPr>
            <w:r>
              <w:rPr>
                <w:rFonts w:eastAsia="Times New Roman"/>
                <w:sz w:val="16"/>
                <w:szCs w:val="16"/>
              </w:rPr>
              <w:t> </w:t>
            </w:r>
          </w:p>
        </w:tc>
        <w:tc>
          <w:tcPr>
            <w:tcW w:w="250" w:type="pct"/>
            <w:shd w:val="clear" w:color="auto" w:fill="CCEEFF"/>
            <w:vAlign w:val="bottom"/>
            <w:hideMark/>
          </w:tcPr>
          <w:p w14:paraId="1ED3C4A2" w14:textId="77777777" w:rsidR="00000000" w:rsidRDefault="00847163">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3D2B2C14"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3C46E211"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065B881C" w14:textId="77777777" w:rsidR="00000000" w:rsidRDefault="00847163">
            <w:pPr>
              <w:rPr>
                <w:rFonts w:eastAsia="Times New Roman"/>
                <w:sz w:val="16"/>
                <w:szCs w:val="16"/>
              </w:rPr>
            </w:pPr>
            <w:r>
              <w:rPr>
                <w:rFonts w:eastAsia="Times New Roman"/>
                <w:sz w:val="16"/>
                <w:szCs w:val="16"/>
              </w:rPr>
              <w:t> </w:t>
            </w:r>
          </w:p>
        </w:tc>
        <w:tc>
          <w:tcPr>
            <w:tcW w:w="200" w:type="pct"/>
            <w:shd w:val="clear" w:color="auto" w:fill="CCEEFF"/>
            <w:vAlign w:val="bottom"/>
            <w:hideMark/>
          </w:tcPr>
          <w:p w14:paraId="00815D29" w14:textId="77777777" w:rsidR="00000000" w:rsidRDefault="00847163">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7DDFB034" w14:textId="77777777" w:rsidR="00000000" w:rsidRDefault="00847163">
            <w:pPr>
              <w:rPr>
                <w:rFonts w:eastAsia="Times New Roman"/>
                <w:sz w:val="16"/>
                <w:szCs w:val="16"/>
              </w:rPr>
            </w:pPr>
            <w:r>
              <w:rPr>
                <w:rFonts w:eastAsia="Times New Roman"/>
                <w:sz w:val="16"/>
                <w:szCs w:val="16"/>
              </w:rPr>
              <w:t> </w:t>
            </w:r>
          </w:p>
        </w:tc>
      </w:tr>
      <w:tr w:rsidR="00847163" w14:paraId="0534DE0B" w14:textId="77777777">
        <w:trPr>
          <w:divId w:val="323124837"/>
          <w:tblCellSpacing w:w="0" w:type="dxa"/>
        </w:trPr>
        <w:tc>
          <w:tcPr>
            <w:tcW w:w="1500" w:type="pct"/>
            <w:shd w:val="clear" w:color="auto" w:fill="FFFFFF"/>
            <w:vAlign w:val="bottom"/>
            <w:hideMark/>
          </w:tcPr>
          <w:p w14:paraId="4FE4555A" w14:textId="77777777" w:rsidR="00000000" w:rsidRDefault="00847163">
            <w:pPr>
              <w:pStyle w:val="a3"/>
              <w:spacing w:before="0" w:beforeAutospacing="0" w:after="0" w:afterAutospacing="0"/>
              <w:ind w:left="180" w:hanging="180"/>
              <w:rPr>
                <w:sz w:val="16"/>
                <w:szCs w:val="16"/>
              </w:rPr>
            </w:pPr>
            <w:r>
              <w:rPr>
                <w:sz w:val="16"/>
                <w:szCs w:val="16"/>
              </w:rPr>
              <w:t>Surrender of restricted common stock</w:t>
            </w:r>
          </w:p>
        </w:tc>
        <w:tc>
          <w:tcPr>
            <w:tcW w:w="50" w:type="pct"/>
            <w:shd w:val="clear" w:color="auto" w:fill="FFFFFF"/>
            <w:vAlign w:val="bottom"/>
            <w:hideMark/>
          </w:tcPr>
          <w:p w14:paraId="05AB4EB1" w14:textId="77777777" w:rsidR="00000000" w:rsidRDefault="00847163">
            <w:pPr>
              <w:rPr>
                <w:rFonts w:eastAsia="Times New Roman"/>
                <w:sz w:val="16"/>
                <w:szCs w:val="16"/>
              </w:rPr>
            </w:pPr>
            <w:r>
              <w:rPr>
                <w:rFonts w:eastAsia="Times New Roman"/>
                <w:sz w:val="16"/>
                <w:szCs w:val="16"/>
              </w:rPr>
              <w:t> </w:t>
            </w:r>
          </w:p>
        </w:tc>
        <w:tc>
          <w:tcPr>
            <w:tcW w:w="100" w:type="pct"/>
            <w:shd w:val="clear" w:color="auto" w:fill="FFFFFF"/>
            <w:vAlign w:val="bottom"/>
            <w:hideMark/>
          </w:tcPr>
          <w:p w14:paraId="17F68C7C" w14:textId="77777777" w:rsidR="00000000" w:rsidRDefault="00847163">
            <w:pPr>
              <w:rPr>
                <w:rFonts w:eastAsia="Times New Roman"/>
                <w:sz w:val="16"/>
                <w:szCs w:val="16"/>
              </w:rPr>
            </w:pPr>
            <w:r>
              <w:rPr>
                <w:rFonts w:eastAsia="Times New Roman"/>
                <w:sz w:val="16"/>
                <w:szCs w:val="16"/>
              </w:rPr>
              <w:t> </w:t>
            </w:r>
          </w:p>
        </w:tc>
        <w:tc>
          <w:tcPr>
            <w:tcW w:w="400" w:type="pct"/>
            <w:shd w:val="clear" w:color="auto" w:fill="FFFFFF"/>
            <w:vAlign w:val="bottom"/>
            <w:hideMark/>
          </w:tcPr>
          <w:p w14:paraId="68781CA7" w14:textId="77777777" w:rsidR="00000000" w:rsidRDefault="00847163">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62F027EE"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3238B991"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4533BCED" w14:textId="77777777" w:rsidR="00000000" w:rsidRDefault="00847163">
            <w:pPr>
              <w:rPr>
                <w:rFonts w:eastAsia="Times New Roman"/>
                <w:sz w:val="16"/>
                <w:szCs w:val="16"/>
              </w:rPr>
            </w:pPr>
            <w:r>
              <w:rPr>
                <w:rFonts w:eastAsia="Times New Roman"/>
                <w:sz w:val="16"/>
                <w:szCs w:val="16"/>
              </w:rPr>
              <w:t> </w:t>
            </w:r>
          </w:p>
        </w:tc>
        <w:tc>
          <w:tcPr>
            <w:tcW w:w="200" w:type="pct"/>
            <w:shd w:val="clear" w:color="auto" w:fill="FFFFFF"/>
            <w:vAlign w:val="bottom"/>
            <w:hideMark/>
          </w:tcPr>
          <w:p w14:paraId="6CE3B459" w14:textId="77777777" w:rsidR="00000000" w:rsidRDefault="00847163">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768ABBE1"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4356A930"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6EA5796A" w14:textId="77777777" w:rsidR="00000000" w:rsidRDefault="00847163">
            <w:pPr>
              <w:rPr>
                <w:rFonts w:eastAsia="Times New Roman"/>
                <w:sz w:val="16"/>
                <w:szCs w:val="16"/>
              </w:rPr>
            </w:pPr>
            <w:r>
              <w:rPr>
                <w:rFonts w:eastAsia="Times New Roman"/>
                <w:sz w:val="16"/>
                <w:szCs w:val="16"/>
              </w:rPr>
              <w:t> </w:t>
            </w:r>
          </w:p>
        </w:tc>
        <w:tc>
          <w:tcPr>
            <w:tcW w:w="200" w:type="pct"/>
            <w:shd w:val="clear" w:color="auto" w:fill="FFFFFF"/>
            <w:vAlign w:val="bottom"/>
            <w:hideMark/>
          </w:tcPr>
          <w:p w14:paraId="5D2FD5B0" w14:textId="77777777" w:rsidR="00000000" w:rsidRDefault="00847163">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0F259649"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30031DBA"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02982CAF" w14:textId="77777777" w:rsidR="00000000" w:rsidRDefault="00847163">
            <w:pPr>
              <w:rPr>
                <w:rFonts w:eastAsia="Times New Roman"/>
                <w:sz w:val="16"/>
                <w:szCs w:val="16"/>
              </w:rPr>
            </w:pPr>
            <w:r>
              <w:rPr>
                <w:rFonts w:eastAsia="Times New Roman"/>
                <w:sz w:val="16"/>
                <w:szCs w:val="16"/>
              </w:rPr>
              <w:t> </w:t>
            </w:r>
          </w:p>
        </w:tc>
        <w:tc>
          <w:tcPr>
            <w:tcW w:w="200" w:type="pct"/>
            <w:shd w:val="clear" w:color="auto" w:fill="FFFFFF"/>
            <w:vAlign w:val="bottom"/>
            <w:hideMark/>
          </w:tcPr>
          <w:p w14:paraId="22F6ED53" w14:textId="77777777" w:rsidR="00000000" w:rsidRDefault="00847163">
            <w:pPr>
              <w:jc w:val="right"/>
              <w:rPr>
                <w:rFonts w:eastAsia="Times New Roman"/>
                <w:sz w:val="16"/>
                <w:szCs w:val="16"/>
              </w:rPr>
            </w:pPr>
            <w:r>
              <w:rPr>
                <w:rFonts w:eastAsia="Times New Roman"/>
                <w:sz w:val="16"/>
                <w:szCs w:val="16"/>
              </w:rPr>
              <w:t>(274</w:t>
            </w:r>
          </w:p>
        </w:tc>
        <w:tc>
          <w:tcPr>
            <w:tcW w:w="50" w:type="pct"/>
            <w:shd w:val="clear" w:color="auto" w:fill="FFFFFF"/>
            <w:vAlign w:val="bottom"/>
            <w:hideMark/>
          </w:tcPr>
          <w:p w14:paraId="75FB4206" w14:textId="77777777" w:rsidR="00000000" w:rsidRDefault="00847163">
            <w:pPr>
              <w:rPr>
                <w:rFonts w:eastAsia="Times New Roman"/>
                <w:sz w:val="16"/>
                <w:szCs w:val="16"/>
              </w:rPr>
            </w:pPr>
            <w:r>
              <w:rPr>
                <w:rFonts w:eastAsia="Times New Roman"/>
                <w:sz w:val="16"/>
                <w:szCs w:val="16"/>
              </w:rPr>
              <w:t>)</w:t>
            </w:r>
          </w:p>
        </w:tc>
        <w:tc>
          <w:tcPr>
            <w:tcW w:w="50" w:type="pct"/>
            <w:shd w:val="clear" w:color="auto" w:fill="FFFFFF"/>
            <w:vAlign w:val="bottom"/>
            <w:hideMark/>
          </w:tcPr>
          <w:p w14:paraId="4320CBDA"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5C3944C8" w14:textId="77777777" w:rsidR="00000000" w:rsidRDefault="00847163">
            <w:pPr>
              <w:rPr>
                <w:rFonts w:eastAsia="Times New Roman"/>
                <w:sz w:val="16"/>
                <w:szCs w:val="16"/>
              </w:rPr>
            </w:pPr>
            <w:r>
              <w:rPr>
                <w:rFonts w:eastAsia="Times New Roman"/>
                <w:sz w:val="16"/>
                <w:szCs w:val="16"/>
              </w:rPr>
              <w:t> </w:t>
            </w:r>
          </w:p>
        </w:tc>
        <w:tc>
          <w:tcPr>
            <w:tcW w:w="200" w:type="pct"/>
            <w:shd w:val="clear" w:color="auto" w:fill="FFFFFF"/>
            <w:vAlign w:val="bottom"/>
            <w:hideMark/>
          </w:tcPr>
          <w:p w14:paraId="1C109DA7" w14:textId="77777777" w:rsidR="00000000" w:rsidRDefault="00847163">
            <w:pPr>
              <w:jc w:val="right"/>
              <w:rPr>
                <w:rFonts w:eastAsia="Times New Roman"/>
                <w:sz w:val="16"/>
                <w:szCs w:val="16"/>
              </w:rPr>
            </w:pPr>
            <w:r>
              <w:rPr>
                <w:rFonts w:eastAsia="Times New Roman"/>
                <w:sz w:val="16"/>
                <w:szCs w:val="16"/>
              </w:rPr>
              <w:t>(3</w:t>
            </w:r>
          </w:p>
        </w:tc>
        <w:tc>
          <w:tcPr>
            <w:tcW w:w="50" w:type="pct"/>
            <w:shd w:val="clear" w:color="auto" w:fill="FFFFFF"/>
            <w:vAlign w:val="bottom"/>
            <w:hideMark/>
          </w:tcPr>
          <w:p w14:paraId="447CBFD9" w14:textId="77777777" w:rsidR="00000000" w:rsidRDefault="00847163">
            <w:pPr>
              <w:rPr>
                <w:rFonts w:eastAsia="Times New Roman"/>
                <w:sz w:val="16"/>
                <w:szCs w:val="16"/>
              </w:rPr>
            </w:pPr>
            <w:r>
              <w:rPr>
                <w:rFonts w:eastAsia="Times New Roman"/>
                <w:sz w:val="16"/>
                <w:szCs w:val="16"/>
              </w:rPr>
              <w:t>)</w:t>
            </w:r>
          </w:p>
        </w:tc>
        <w:tc>
          <w:tcPr>
            <w:tcW w:w="50" w:type="pct"/>
            <w:shd w:val="clear" w:color="auto" w:fill="FFFFFF"/>
            <w:vAlign w:val="bottom"/>
            <w:hideMark/>
          </w:tcPr>
          <w:p w14:paraId="00D8B9CF"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155CE2BD" w14:textId="77777777" w:rsidR="00000000" w:rsidRDefault="00847163">
            <w:pPr>
              <w:rPr>
                <w:rFonts w:eastAsia="Times New Roman"/>
                <w:sz w:val="16"/>
                <w:szCs w:val="16"/>
              </w:rPr>
            </w:pPr>
            <w:r>
              <w:rPr>
                <w:rFonts w:eastAsia="Times New Roman"/>
                <w:sz w:val="16"/>
                <w:szCs w:val="16"/>
              </w:rPr>
              <w:t> </w:t>
            </w:r>
          </w:p>
        </w:tc>
        <w:tc>
          <w:tcPr>
            <w:tcW w:w="200" w:type="pct"/>
            <w:shd w:val="clear" w:color="auto" w:fill="FFFFFF"/>
            <w:vAlign w:val="bottom"/>
            <w:hideMark/>
          </w:tcPr>
          <w:p w14:paraId="27732A67" w14:textId="77777777" w:rsidR="00000000" w:rsidRDefault="00847163">
            <w:pPr>
              <w:jc w:val="right"/>
              <w:rPr>
                <w:rFonts w:eastAsia="Times New Roman"/>
                <w:sz w:val="16"/>
                <w:szCs w:val="16"/>
              </w:rPr>
            </w:pPr>
            <w:r>
              <w:rPr>
                <w:rFonts w:eastAsia="Times New Roman"/>
                <w:sz w:val="16"/>
                <w:szCs w:val="16"/>
              </w:rPr>
              <w:t>(5,156</w:t>
            </w:r>
          </w:p>
        </w:tc>
        <w:tc>
          <w:tcPr>
            <w:tcW w:w="50" w:type="pct"/>
            <w:shd w:val="clear" w:color="auto" w:fill="FFFFFF"/>
            <w:vAlign w:val="bottom"/>
            <w:hideMark/>
          </w:tcPr>
          <w:p w14:paraId="082E8A2D" w14:textId="77777777" w:rsidR="00000000" w:rsidRDefault="00847163">
            <w:pPr>
              <w:rPr>
                <w:rFonts w:eastAsia="Times New Roman"/>
                <w:sz w:val="16"/>
                <w:szCs w:val="16"/>
              </w:rPr>
            </w:pPr>
            <w:r>
              <w:rPr>
                <w:rFonts w:eastAsia="Times New Roman"/>
                <w:sz w:val="16"/>
                <w:szCs w:val="16"/>
              </w:rPr>
              <w:t>)</w:t>
            </w:r>
          </w:p>
        </w:tc>
        <w:tc>
          <w:tcPr>
            <w:tcW w:w="50" w:type="pct"/>
            <w:shd w:val="clear" w:color="auto" w:fill="FFFFFF"/>
            <w:vAlign w:val="bottom"/>
            <w:hideMark/>
          </w:tcPr>
          <w:p w14:paraId="7C778685"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10709E48" w14:textId="77777777" w:rsidR="00000000" w:rsidRDefault="00847163">
            <w:pPr>
              <w:rPr>
                <w:rFonts w:eastAsia="Times New Roman"/>
                <w:sz w:val="16"/>
                <w:szCs w:val="16"/>
              </w:rPr>
            </w:pPr>
            <w:r>
              <w:rPr>
                <w:rFonts w:eastAsia="Times New Roman"/>
                <w:sz w:val="16"/>
                <w:szCs w:val="16"/>
              </w:rPr>
              <w:t> </w:t>
            </w:r>
          </w:p>
        </w:tc>
        <w:tc>
          <w:tcPr>
            <w:tcW w:w="250" w:type="pct"/>
            <w:shd w:val="clear" w:color="auto" w:fill="FFFFFF"/>
            <w:vAlign w:val="bottom"/>
            <w:hideMark/>
          </w:tcPr>
          <w:p w14:paraId="4B74F910" w14:textId="77777777" w:rsidR="00000000" w:rsidRDefault="00847163">
            <w:pPr>
              <w:jc w:val="right"/>
              <w:rPr>
                <w:rFonts w:eastAsia="Times New Roman"/>
                <w:sz w:val="16"/>
                <w:szCs w:val="16"/>
              </w:rPr>
            </w:pPr>
            <w:r>
              <w:rPr>
                <w:rFonts w:eastAsia="Times New Roman"/>
                <w:sz w:val="16"/>
                <w:szCs w:val="16"/>
              </w:rPr>
              <w:t>(5,159</w:t>
            </w:r>
          </w:p>
        </w:tc>
        <w:tc>
          <w:tcPr>
            <w:tcW w:w="50" w:type="pct"/>
            <w:shd w:val="clear" w:color="auto" w:fill="FFFFFF"/>
            <w:vAlign w:val="bottom"/>
            <w:hideMark/>
          </w:tcPr>
          <w:p w14:paraId="6183AA89" w14:textId="77777777" w:rsidR="00000000" w:rsidRDefault="00847163">
            <w:pPr>
              <w:rPr>
                <w:rFonts w:eastAsia="Times New Roman"/>
                <w:sz w:val="16"/>
                <w:szCs w:val="16"/>
              </w:rPr>
            </w:pPr>
            <w:r>
              <w:rPr>
                <w:rFonts w:eastAsia="Times New Roman"/>
                <w:sz w:val="16"/>
                <w:szCs w:val="16"/>
              </w:rPr>
              <w:t>)</w:t>
            </w:r>
          </w:p>
        </w:tc>
        <w:tc>
          <w:tcPr>
            <w:tcW w:w="50" w:type="pct"/>
            <w:shd w:val="clear" w:color="auto" w:fill="FFFFFF"/>
            <w:vAlign w:val="bottom"/>
            <w:hideMark/>
          </w:tcPr>
          <w:p w14:paraId="13322DCD"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0713D7C2" w14:textId="77777777" w:rsidR="00000000" w:rsidRDefault="00847163">
            <w:pPr>
              <w:rPr>
                <w:rFonts w:eastAsia="Times New Roman"/>
                <w:sz w:val="16"/>
                <w:szCs w:val="16"/>
              </w:rPr>
            </w:pPr>
            <w:r>
              <w:rPr>
                <w:rFonts w:eastAsia="Times New Roman"/>
                <w:sz w:val="16"/>
                <w:szCs w:val="16"/>
              </w:rPr>
              <w:t> </w:t>
            </w:r>
          </w:p>
        </w:tc>
        <w:tc>
          <w:tcPr>
            <w:tcW w:w="250" w:type="pct"/>
            <w:shd w:val="clear" w:color="auto" w:fill="FFFFFF"/>
            <w:vAlign w:val="bottom"/>
            <w:hideMark/>
          </w:tcPr>
          <w:p w14:paraId="1F48EF7E" w14:textId="77777777" w:rsidR="00000000" w:rsidRDefault="00847163">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4C186939"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5F898F3D"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3B4907B4" w14:textId="77777777" w:rsidR="00000000" w:rsidRDefault="00847163">
            <w:pPr>
              <w:rPr>
                <w:rFonts w:eastAsia="Times New Roman"/>
                <w:sz w:val="16"/>
                <w:szCs w:val="16"/>
              </w:rPr>
            </w:pPr>
            <w:r>
              <w:rPr>
                <w:rFonts w:eastAsia="Times New Roman"/>
                <w:sz w:val="16"/>
                <w:szCs w:val="16"/>
              </w:rPr>
              <w:t> </w:t>
            </w:r>
          </w:p>
        </w:tc>
        <w:tc>
          <w:tcPr>
            <w:tcW w:w="200" w:type="pct"/>
            <w:shd w:val="clear" w:color="auto" w:fill="FFFFFF"/>
            <w:vAlign w:val="bottom"/>
            <w:hideMark/>
          </w:tcPr>
          <w:p w14:paraId="7BB9577C" w14:textId="77777777" w:rsidR="00000000" w:rsidRDefault="00847163">
            <w:pPr>
              <w:jc w:val="right"/>
              <w:rPr>
                <w:rFonts w:eastAsia="Times New Roman"/>
                <w:sz w:val="16"/>
                <w:szCs w:val="16"/>
              </w:rPr>
            </w:pPr>
            <w:r>
              <w:rPr>
                <w:rFonts w:eastAsia="Times New Roman"/>
                <w:sz w:val="16"/>
                <w:szCs w:val="16"/>
              </w:rPr>
              <w:t>(5,159</w:t>
            </w:r>
          </w:p>
        </w:tc>
        <w:tc>
          <w:tcPr>
            <w:tcW w:w="50" w:type="pct"/>
            <w:shd w:val="clear" w:color="auto" w:fill="FFFFFF"/>
            <w:vAlign w:val="bottom"/>
            <w:hideMark/>
          </w:tcPr>
          <w:p w14:paraId="105E1ABF" w14:textId="77777777" w:rsidR="00000000" w:rsidRDefault="00847163">
            <w:pPr>
              <w:rPr>
                <w:rFonts w:eastAsia="Times New Roman"/>
                <w:sz w:val="16"/>
                <w:szCs w:val="16"/>
              </w:rPr>
            </w:pPr>
            <w:r>
              <w:rPr>
                <w:rFonts w:eastAsia="Times New Roman"/>
                <w:sz w:val="16"/>
                <w:szCs w:val="16"/>
              </w:rPr>
              <w:t>)</w:t>
            </w:r>
          </w:p>
        </w:tc>
      </w:tr>
      <w:tr w:rsidR="00847163" w14:paraId="60F27849" w14:textId="77777777">
        <w:trPr>
          <w:divId w:val="323124837"/>
          <w:tblCellSpacing w:w="0" w:type="dxa"/>
        </w:trPr>
        <w:tc>
          <w:tcPr>
            <w:tcW w:w="1500" w:type="pct"/>
            <w:shd w:val="clear" w:color="auto" w:fill="CCEEFF"/>
            <w:vAlign w:val="bottom"/>
            <w:hideMark/>
          </w:tcPr>
          <w:p w14:paraId="5836F881" w14:textId="77777777" w:rsidR="00000000" w:rsidRDefault="00847163">
            <w:pPr>
              <w:pStyle w:val="a3"/>
              <w:spacing w:before="0" w:beforeAutospacing="0" w:after="0" w:afterAutospacing="0"/>
              <w:rPr>
                <w:sz w:val="16"/>
                <w:szCs w:val="16"/>
              </w:rPr>
            </w:pPr>
            <w:r>
              <w:rPr>
                <w:sz w:val="16"/>
                <w:szCs w:val="16"/>
              </w:rPr>
              <w:t>Exercise of common stock options</w:t>
            </w:r>
          </w:p>
        </w:tc>
        <w:tc>
          <w:tcPr>
            <w:tcW w:w="50" w:type="pct"/>
            <w:shd w:val="clear" w:color="auto" w:fill="CCEEFF"/>
            <w:vAlign w:val="bottom"/>
            <w:hideMark/>
          </w:tcPr>
          <w:p w14:paraId="4FE842A8" w14:textId="77777777" w:rsidR="00000000" w:rsidRDefault="00847163">
            <w:pPr>
              <w:rPr>
                <w:rFonts w:eastAsia="Times New Roman"/>
                <w:sz w:val="16"/>
                <w:szCs w:val="16"/>
              </w:rPr>
            </w:pPr>
            <w:r>
              <w:rPr>
                <w:rFonts w:eastAsia="Times New Roman"/>
                <w:sz w:val="16"/>
                <w:szCs w:val="16"/>
              </w:rPr>
              <w:t> </w:t>
            </w:r>
          </w:p>
        </w:tc>
        <w:tc>
          <w:tcPr>
            <w:tcW w:w="100" w:type="pct"/>
            <w:shd w:val="clear" w:color="auto" w:fill="CCEEFF"/>
            <w:vAlign w:val="bottom"/>
            <w:hideMark/>
          </w:tcPr>
          <w:p w14:paraId="1C52000C" w14:textId="77777777" w:rsidR="00000000" w:rsidRDefault="00847163">
            <w:pPr>
              <w:rPr>
                <w:rFonts w:eastAsia="Times New Roman"/>
                <w:sz w:val="16"/>
                <w:szCs w:val="16"/>
              </w:rPr>
            </w:pPr>
            <w:r>
              <w:rPr>
                <w:rFonts w:eastAsia="Times New Roman"/>
                <w:sz w:val="16"/>
                <w:szCs w:val="16"/>
              </w:rPr>
              <w:t> </w:t>
            </w:r>
          </w:p>
        </w:tc>
        <w:tc>
          <w:tcPr>
            <w:tcW w:w="400" w:type="pct"/>
            <w:shd w:val="clear" w:color="auto" w:fill="CCEEFF"/>
            <w:vAlign w:val="bottom"/>
            <w:hideMark/>
          </w:tcPr>
          <w:p w14:paraId="10D89E1C" w14:textId="77777777" w:rsidR="00000000" w:rsidRDefault="00847163">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6136522A"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7BFB05B9"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68177CB2" w14:textId="77777777" w:rsidR="00000000" w:rsidRDefault="00847163">
            <w:pPr>
              <w:rPr>
                <w:rFonts w:eastAsia="Times New Roman"/>
                <w:sz w:val="16"/>
                <w:szCs w:val="16"/>
              </w:rPr>
            </w:pPr>
            <w:r>
              <w:rPr>
                <w:rFonts w:eastAsia="Times New Roman"/>
                <w:sz w:val="16"/>
                <w:szCs w:val="16"/>
              </w:rPr>
              <w:t> </w:t>
            </w:r>
          </w:p>
        </w:tc>
        <w:tc>
          <w:tcPr>
            <w:tcW w:w="200" w:type="pct"/>
            <w:shd w:val="clear" w:color="auto" w:fill="CCEEFF"/>
            <w:vAlign w:val="bottom"/>
            <w:hideMark/>
          </w:tcPr>
          <w:p w14:paraId="6817A77B" w14:textId="77777777" w:rsidR="00000000" w:rsidRDefault="00847163">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6E810C52"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67C2A28B"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30E298F8" w14:textId="77777777" w:rsidR="00000000" w:rsidRDefault="00847163">
            <w:pPr>
              <w:rPr>
                <w:rFonts w:eastAsia="Times New Roman"/>
                <w:sz w:val="16"/>
                <w:szCs w:val="16"/>
              </w:rPr>
            </w:pPr>
            <w:r>
              <w:rPr>
                <w:rFonts w:eastAsia="Times New Roman"/>
                <w:sz w:val="16"/>
                <w:szCs w:val="16"/>
              </w:rPr>
              <w:t> </w:t>
            </w:r>
          </w:p>
        </w:tc>
        <w:tc>
          <w:tcPr>
            <w:tcW w:w="200" w:type="pct"/>
            <w:shd w:val="clear" w:color="auto" w:fill="CCEEFF"/>
            <w:vAlign w:val="bottom"/>
            <w:hideMark/>
          </w:tcPr>
          <w:p w14:paraId="00134035" w14:textId="77777777" w:rsidR="00000000" w:rsidRDefault="00847163">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7D92EA1F"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082CA24D"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335B089D" w14:textId="77777777" w:rsidR="00000000" w:rsidRDefault="00847163">
            <w:pPr>
              <w:rPr>
                <w:rFonts w:eastAsia="Times New Roman"/>
                <w:sz w:val="16"/>
                <w:szCs w:val="16"/>
              </w:rPr>
            </w:pPr>
            <w:r>
              <w:rPr>
                <w:rFonts w:eastAsia="Times New Roman"/>
                <w:sz w:val="16"/>
                <w:szCs w:val="16"/>
              </w:rPr>
              <w:t> </w:t>
            </w:r>
          </w:p>
        </w:tc>
        <w:tc>
          <w:tcPr>
            <w:tcW w:w="200" w:type="pct"/>
            <w:shd w:val="clear" w:color="auto" w:fill="CCEEFF"/>
            <w:vAlign w:val="bottom"/>
            <w:hideMark/>
          </w:tcPr>
          <w:p w14:paraId="4666420E" w14:textId="77777777" w:rsidR="00000000" w:rsidRDefault="00847163">
            <w:pPr>
              <w:jc w:val="right"/>
              <w:rPr>
                <w:rFonts w:eastAsia="Times New Roman"/>
                <w:sz w:val="16"/>
                <w:szCs w:val="16"/>
              </w:rPr>
            </w:pPr>
            <w:r>
              <w:rPr>
                <w:rFonts w:eastAsia="Times New Roman"/>
                <w:sz w:val="16"/>
                <w:szCs w:val="16"/>
              </w:rPr>
              <w:t>63</w:t>
            </w:r>
          </w:p>
        </w:tc>
        <w:tc>
          <w:tcPr>
            <w:tcW w:w="50" w:type="pct"/>
            <w:shd w:val="clear" w:color="auto" w:fill="CCEEFF"/>
            <w:vAlign w:val="bottom"/>
            <w:hideMark/>
          </w:tcPr>
          <w:p w14:paraId="5C00F6D0"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2C0980B3"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039B2587" w14:textId="77777777" w:rsidR="00000000" w:rsidRDefault="00847163">
            <w:pPr>
              <w:rPr>
                <w:rFonts w:eastAsia="Times New Roman"/>
                <w:sz w:val="16"/>
                <w:szCs w:val="16"/>
              </w:rPr>
            </w:pPr>
            <w:r>
              <w:rPr>
                <w:rFonts w:eastAsia="Times New Roman"/>
                <w:sz w:val="16"/>
                <w:szCs w:val="16"/>
              </w:rPr>
              <w:t> </w:t>
            </w:r>
          </w:p>
        </w:tc>
        <w:tc>
          <w:tcPr>
            <w:tcW w:w="200" w:type="pct"/>
            <w:shd w:val="clear" w:color="auto" w:fill="CCEEFF"/>
            <w:vAlign w:val="bottom"/>
            <w:hideMark/>
          </w:tcPr>
          <w:p w14:paraId="71FB5EFE" w14:textId="77777777" w:rsidR="00000000" w:rsidRDefault="00847163">
            <w:pPr>
              <w:jc w:val="right"/>
              <w:rPr>
                <w:rFonts w:eastAsia="Times New Roman"/>
                <w:sz w:val="16"/>
                <w:szCs w:val="16"/>
              </w:rPr>
            </w:pPr>
            <w:r>
              <w:rPr>
                <w:rFonts w:eastAsia="Times New Roman"/>
                <w:sz w:val="16"/>
                <w:szCs w:val="16"/>
              </w:rPr>
              <w:t>1</w:t>
            </w:r>
          </w:p>
        </w:tc>
        <w:tc>
          <w:tcPr>
            <w:tcW w:w="50" w:type="pct"/>
            <w:shd w:val="clear" w:color="auto" w:fill="CCEEFF"/>
            <w:vAlign w:val="bottom"/>
            <w:hideMark/>
          </w:tcPr>
          <w:p w14:paraId="537823E5"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4305D824"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5241AFA6" w14:textId="77777777" w:rsidR="00000000" w:rsidRDefault="00847163">
            <w:pPr>
              <w:rPr>
                <w:rFonts w:eastAsia="Times New Roman"/>
                <w:sz w:val="16"/>
                <w:szCs w:val="16"/>
              </w:rPr>
            </w:pPr>
            <w:r>
              <w:rPr>
                <w:rFonts w:eastAsia="Times New Roman"/>
                <w:sz w:val="16"/>
                <w:szCs w:val="16"/>
              </w:rPr>
              <w:t> </w:t>
            </w:r>
          </w:p>
        </w:tc>
        <w:tc>
          <w:tcPr>
            <w:tcW w:w="200" w:type="pct"/>
            <w:shd w:val="clear" w:color="auto" w:fill="CCEEFF"/>
            <w:vAlign w:val="bottom"/>
            <w:hideMark/>
          </w:tcPr>
          <w:p w14:paraId="3CFC5397" w14:textId="77777777" w:rsidR="00000000" w:rsidRDefault="00847163">
            <w:pPr>
              <w:jc w:val="right"/>
              <w:rPr>
                <w:rFonts w:eastAsia="Times New Roman"/>
                <w:sz w:val="16"/>
                <w:szCs w:val="16"/>
              </w:rPr>
            </w:pPr>
            <w:r>
              <w:rPr>
                <w:rFonts w:eastAsia="Times New Roman"/>
                <w:sz w:val="16"/>
                <w:szCs w:val="16"/>
              </w:rPr>
              <w:t>980</w:t>
            </w:r>
          </w:p>
        </w:tc>
        <w:tc>
          <w:tcPr>
            <w:tcW w:w="50" w:type="pct"/>
            <w:shd w:val="clear" w:color="auto" w:fill="CCEEFF"/>
            <w:vAlign w:val="bottom"/>
            <w:hideMark/>
          </w:tcPr>
          <w:p w14:paraId="371F8AFE"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50240285"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108196C4" w14:textId="77777777" w:rsidR="00000000" w:rsidRDefault="00847163">
            <w:pPr>
              <w:rPr>
                <w:rFonts w:eastAsia="Times New Roman"/>
                <w:sz w:val="16"/>
                <w:szCs w:val="16"/>
              </w:rPr>
            </w:pPr>
            <w:r>
              <w:rPr>
                <w:rFonts w:eastAsia="Times New Roman"/>
                <w:sz w:val="16"/>
                <w:szCs w:val="16"/>
              </w:rPr>
              <w:t> </w:t>
            </w:r>
          </w:p>
        </w:tc>
        <w:tc>
          <w:tcPr>
            <w:tcW w:w="250" w:type="pct"/>
            <w:shd w:val="clear" w:color="auto" w:fill="CCEEFF"/>
            <w:vAlign w:val="bottom"/>
            <w:hideMark/>
          </w:tcPr>
          <w:p w14:paraId="568186A3" w14:textId="77777777" w:rsidR="00000000" w:rsidRDefault="00847163">
            <w:pPr>
              <w:jc w:val="right"/>
              <w:rPr>
                <w:rFonts w:eastAsia="Times New Roman"/>
                <w:sz w:val="16"/>
                <w:szCs w:val="16"/>
              </w:rPr>
            </w:pPr>
            <w:r>
              <w:rPr>
                <w:rFonts w:eastAsia="Times New Roman"/>
                <w:sz w:val="16"/>
                <w:szCs w:val="16"/>
              </w:rPr>
              <w:t>981</w:t>
            </w:r>
          </w:p>
        </w:tc>
        <w:tc>
          <w:tcPr>
            <w:tcW w:w="50" w:type="pct"/>
            <w:shd w:val="clear" w:color="auto" w:fill="CCEEFF"/>
            <w:vAlign w:val="bottom"/>
            <w:hideMark/>
          </w:tcPr>
          <w:p w14:paraId="42170636"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08562E25"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6D3503D3" w14:textId="77777777" w:rsidR="00000000" w:rsidRDefault="00847163">
            <w:pPr>
              <w:rPr>
                <w:rFonts w:eastAsia="Times New Roman"/>
                <w:sz w:val="16"/>
                <w:szCs w:val="16"/>
              </w:rPr>
            </w:pPr>
            <w:r>
              <w:rPr>
                <w:rFonts w:eastAsia="Times New Roman"/>
                <w:sz w:val="16"/>
                <w:szCs w:val="16"/>
              </w:rPr>
              <w:t> </w:t>
            </w:r>
          </w:p>
        </w:tc>
        <w:tc>
          <w:tcPr>
            <w:tcW w:w="250" w:type="pct"/>
            <w:shd w:val="clear" w:color="auto" w:fill="CCEEFF"/>
            <w:vAlign w:val="bottom"/>
            <w:hideMark/>
          </w:tcPr>
          <w:p w14:paraId="25E0B34F" w14:textId="77777777" w:rsidR="00000000" w:rsidRDefault="00847163">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384BA8B4"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4993D469" w14:textId="77777777" w:rsidR="00000000" w:rsidRDefault="00847163">
            <w:pPr>
              <w:rPr>
                <w:rFonts w:eastAsia="Times New Roman"/>
                <w:sz w:val="16"/>
                <w:szCs w:val="16"/>
              </w:rPr>
            </w:pPr>
            <w:r>
              <w:rPr>
                <w:rFonts w:eastAsia="Times New Roman"/>
                <w:sz w:val="16"/>
                <w:szCs w:val="16"/>
              </w:rPr>
              <w:t> </w:t>
            </w:r>
          </w:p>
        </w:tc>
        <w:tc>
          <w:tcPr>
            <w:tcW w:w="50" w:type="pct"/>
            <w:shd w:val="clear" w:color="auto" w:fill="CCEEFF"/>
            <w:vAlign w:val="bottom"/>
            <w:hideMark/>
          </w:tcPr>
          <w:p w14:paraId="4748A3E0" w14:textId="77777777" w:rsidR="00000000" w:rsidRDefault="00847163">
            <w:pPr>
              <w:rPr>
                <w:rFonts w:eastAsia="Times New Roman"/>
                <w:sz w:val="16"/>
                <w:szCs w:val="16"/>
              </w:rPr>
            </w:pPr>
            <w:r>
              <w:rPr>
                <w:rFonts w:eastAsia="Times New Roman"/>
                <w:sz w:val="16"/>
                <w:szCs w:val="16"/>
              </w:rPr>
              <w:t> </w:t>
            </w:r>
          </w:p>
        </w:tc>
        <w:tc>
          <w:tcPr>
            <w:tcW w:w="200" w:type="pct"/>
            <w:shd w:val="clear" w:color="auto" w:fill="CCEEFF"/>
            <w:vAlign w:val="bottom"/>
            <w:hideMark/>
          </w:tcPr>
          <w:p w14:paraId="48C39926" w14:textId="77777777" w:rsidR="00000000" w:rsidRDefault="00847163">
            <w:pPr>
              <w:jc w:val="right"/>
              <w:rPr>
                <w:rFonts w:eastAsia="Times New Roman"/>
                <w:sz w:val="16"/>
                <w:szCs w:val="16"/>
              </w:rPr>
            </w:pPr>
            <w:r>
              <w:rPr>
                <w:rFonts w:eastAsia="Times New Roman"/>
                <w:sz w:val="16"/>
                <w:szCs w:val="16"/>
              </w:rPr>
              <w:t>981</w:t>
            </w:r>
          </w:p>
        </w:tc>
        <w:tc>
          <w:tcPr>
            <w:tcW w:w="50" w:type="pct"/>
            <w:shd w:val="clear" w:color="auto" w:fill="CCEEFF"/>
            <w:vAlign w:val="bottom"/>
            <w:hideMark/>
          </w:tcPr>
          <w:p w14:paraId="12D7194E" w14:textId="77777777" w:rsidR="00000000" w:rsidRDefault="00847163">
            <w:pPr>
              <w:rPr>
                <w:rFonts w:eastAsia="Times New Roman"/>
                <w:sz w:val="16"/>
                <w:szCs w:val="16"/>
              </w:rPr>
            </w:pPr>
            <w:r>
              <w:rPr>
                <w:rFonts w:eastAsia="Times New Roman"/>
                <w:sz w:val="16"/>
                <w:szCs w:val="16"/>
              </w:rPr>
              <w:t> </w:t>
            </w:r>
          </w:p>
        </w:tc>
      </w:tr>
      <w:tr w:rsidR="00847163" w14:paraId="01A964E7" w14:textId="77777777">
        <w:trPr>
          <w:divId w:val="323124837"/>
          <w:tblCellSpacing w:w="0" w:type="dxa"/>
        </w:trPr>
        <w:tc>
          <w:tcPr>
            <w:tcW w:w="1500" w:type="pct"/>
            <w:shd w:val="clear" w:color="auto" w:fill="FFFFFF"/>
            <w:vAlign w:val="bottom"/>
            <w:hideMark/>
          </w:tcPr>
          <w:p w14:paraId="50FD7624" w14:textId="77777777" w:rsidR="00000000" w:rsidRDefault="00847163">
            <w:pPr>
              <w:pStyle w:val="a3"/>
              <w:spacing w:before="0" w:beforeAutospacing="0" w:after="0" w:afterAutospacing="0"/>
              <w:rPr>
                <w:sz w:val="16"/>
                <w:szCs w:val="16"/>
              </w:rPr>
            </w:pPr>
            <w:r>
              <w:rPr>
                <w:sz w:val="16"/>
                <w:szCs w:val="16"/>
              </w:rPr>
              <w:t>Amortization of equity awards</w:t>
            </w:r>
          </w:p>
        </w:tc>
        <w:tc>
          <w:tcPr>
            <w:tcW w:w="50" w:type="pct"/>
            <w:shd w:val="clear" w:color="auto" w:fill="FFFFFF"/>
            <w:vAlign w:val="bottom"/>
            <w:hideMark/>
          </w:tcPr>
          <w:p w14:paraId="26AA12F4" w14:textId="77777777" w:rsidR="00000000" w:rsidRDefault="00847163">
            <w:pPr>
              <w:rPr>
                <w:rFonts w:eastAsia="Times New Roman"/>
                <w:sz w:val="16"/>
                <w:szCs w:val="16"/>
              </w:rPr>
            </w:pPr>
            <w:r>
              <w:rPr>
                <w:rFonts w:eastAsia="Times New Roman"/>
                <w:sz w:val="16"/>
                <w:szCs w:val="16"/>
              </w:rPr>
              <w:t> </w:t>
            </w:r>
          </w:p>
        </w:tc>
        <w:tc>
          <w:tcPr>
            <w:tcW w:w="100" w:type="pct"/>
            <w:shd w:val="clear" w:color="auto" w:fill="FFFFFF"/>
            <w:vAlign w:val="bottom"/>
            <w:hideMark/>
          </w:tcPr>
          <w:p w14:paraId="65A5E63E" w14:textId="77777777" w:rsidR="00000000" w:rsidRDefault="00847163">
            <w:pPr>
              <w:rPr>
                <w:rFonts w:eastAsia="Times New Roman"/>
                <w:sz w:val="16"/>
                <w:szCs w:val="16"/>
              </w:rPr>
            </w:pPr>
            <w:r>
              <w:rPr>
                <w:rFonts w:eastAsia="Times New Roman"/>
                <w:sz w:val="16"/>
                <w:szCs w:val="16"/>
              </w:rPr>
              <w:t> </w:t>
            </w:r>
          </w:p>
        </w:tc>
        <w:tc>
          <w:tcPr>
            <w:tcW w:w="400" w:type="pct"/>
            <w:shd w:val="clear" w:color="auto" w:fill="FFFFFF"/>
            <w:vAlign w:val="bottom"/>
            <w:hideMark/>
          </w:tcPr>
          <w:p w14:paraId="287EBCEE" w14:textId="77777777" w:rsidR="00000000" w:rsidRDefault="00847163">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2122B939"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4C28937A"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4BAE8C02" w14:textId="77777777" w:rsidR="00000000" w:rsidRDefault="00847163">
            <w:pPr>
              <w:rPr>
                <w:rFonts w:eastAsia="Times New Roman"/>
                <w:sz w:val="16"/>
                <w:szCs w:val="16"/>
              </w:rPr>
            </w:pPr>
            <w:r>
              <w:rPr>
                <w:rFonts w:eastAsia="Times New Roman"/>
                <w:sz w:val="16"/>
                <w:szCs w:val="16"/>
              </w:rPr>
              <w:t> </w:t>
            </w:r>
          </w:p>
        </w:tc>
        <w:tc>
          <w:tcPr>
            <w:tcW w:w="200" w:type="pct"/>
            <w:shd w:val="clear" w:color="auto" w:fill="FFFFFF"/>
            <w:vAlign w:val="bottom"/>
            <w:hideMark/>
          </w:tcPr>
          <w:p w14:paraId="023DF6A8" w14:textId="77777777" w:rsidR="00000000" w:rsidRDefault="00847163">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14:paraId="1E2C3AEA"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21DCD91C"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3081D732" w14:textId="77777777" w:rsidR="00000000" w:rsidRDefault="00847163">
            <w:pPr>
              <w:rPr>
                <w:rFonts w:eastAsia="Times New Roman"/>
                <w:sz w:val="16"/>
                <w:szCs w:val="16"/>
              </w:rPr>
            </w:pPr>
            <w:r>
              <w:rPr>
                <w:rFonts w:eastAsia="Times New Roman"/>
                <w:sz w:val="16"/>
                <w:szCs w:val="16"/>
              </w:rPr>
              <w:t> </w:t>
            </w:r>
          </w:p>
        </w:tc>
        <w:tc>
          <w:tcPr>
            <w:tcW w:w="200" w:type="pct"/>
            <w:shd w:val="clear" w:color="auto" w:fill="FFFFFF"/>
            <w:vAlign w:val="bottom"/>
            <w:hideMark/>
          </w:tcPr>
          <w:p w14:paraId="002972B5" w14:textId="77777777" w:rsidR="00000000" w:rsidRDefault="00847163">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51223F8D"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29ECEE19"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01771033" w14:textId="77777777" w:rsidR="00000000" w:rsidRDefault="00847163">
            <w:pPr>
              <w:rPr>
                <w:rFonts w:eastAsia="Times New Roman"/>
                <w:sz w:val="16"/>
                <w:szCs w:val="16"/>
              </w:rPr>
            </w:pPr>
            <w:r>
              <w:rPr>
                <w:rFonts w:eastAsia="Times New Roman"/>
                <w:sz w:val="16"/>
                <w:szCs w:val="16"/>
              </w:rPr>
              <w:t> </w:t>
            </w:r>
          </w:p>
        </w:tc>
        <w:tc>
          <w:tcPr>
            <w:tcW w:w="200" w:type="pct"/>
            <w:shd w:val="clear" w:color="auto" w:fill="FFFFFF"/>
            <w:vAlign w:val="bottom"/>
            <w:hideMark/>
          </w:tcPr>
          <w:p w14:paraId="4FB52335" w14:textId="77777777" w:rsidR="00000000" w:rsidRDefault="00847163">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14:paraId="7314884F"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75BE451E"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1F6E8B02" w14:textId="77777777" w:rsidR="00000000" w:rsidRDefault="00847163">
            <w:pPr>
              <w:rPr>
                <w:rFonts w:eastAsia="Times New Roman"/>
                <w:sz w:val="16"/>
                <w:szCs w:val="16"/>
              </w:rPr>
            </w:pPr>
            <w:r>
              <w:rPr>
                <w:rFonts w:eastAsia="Times New Roman"/>
                <w:sz w:val="16"/>
                <w:szCs w:val="16"/>
              </w:rPr>
              <w:t> </w:t>
            </w:r>
          </w:p>
        </w:tc>
        <w:tc>
          <w:tcPr>
            <w:tcW w:w="200" w:type="pct"/>
            <w:shd w:val="clear" w:color="auto" w:fill="FFFFFF"/>
            <w:vAlign w:val="bottom"/>
            <w:hideMark/>
          </w:tcPr>
          <w:p w14:paraId="6ED78FFC" w14:textId="77777777" w:rsidR="00000000" w:rsidRDefault="00847163">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5EBBA298"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5F59785C"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066B44C8" w14:textId="77777777" w:rsidR="00000000" w:rsidRDefault="00847163">
            <w:pPr>
              <w:rPr>
                <w:rFonts w:eastAsia="Times New Roman"/>
                <w:sz w:val="16"/>
                <w:szCs w:val="16"/>
              </w:rPr>
            </w:pPr>
            <w:r>
              <w:rPr>
                <w:rFonts w:eastAsia="Times New Roman"/>
                <w:sz w:val="16"/>
                <w:szCs w:val="16"/>
              </w:rPr>
              <w:t> </w:t>
            </w:r>
          </w:p>
        </w:tc>
        <w:tc>
          <w:tcPr>
            <w:tcW w:w="200" w:type="pct"/>
            <w:shd w:val="clear" w:color="auto" w:fill="FFFFFF"/>
            <w:vAlign w:val="bottom"/>
            <w:hideMark/>
          </w:tcPr>
          <w:p w14:paraId="5C3A5A96" w14:textId="77777777" w:rsidR="00000000" w:rsidRDefault="00847163">
            <w:pPr>
              <w:jc w:val="right"/>
              <w:rPr>
                <w:rFonts w:eastAsia="Times New Roman"/>
                <w:sz w:val="16"/>
                <w:szCs w:val="16"/>
              </w:rPr>
            </w:pPr>
            <w:r>
              <w:rPr>
                <w:rFonts w:eastAsia="Times New Roman"/>
                <w:sz w:val="16"/>
                <w:szCs w:val="16"/>
              </w:rPr>
              <w:t>5,729</w:t>
            </w:r>
          </w:p>
        </w:tc>
        <w:tc>
          <w:tcPr>
            <w:tcW w:w="50" w:type="pct"/>
            <w:shd w:val="clear" w:color="auto" w:fill="FFFFFF"/>
            <w:vAlign w:val="bottom"/>
            <w:hideMark/>
          </w:tcPr>
          <w:p w14:paraId="45B21398"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5BA685A9"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1E627D43" w14:textId="77777777" w:rsidR="00000000" w:rsidRDefault="00847163">
            <w:pPr>
              <w:rPr>
                <w:rFonts w:eastAsia="Times New Roman"/>
                <w:sz w:val="16"/>
                <w:szCs w:val="16"/>
              </w:rPr>
            </w:pPr>
            <w:r>
              <w:rPr>
                <w:rFonts w:eastAsia="Times New Roman"/>
                <w:sz w:val="16"/>
                <w:szCs w:val="16"/>
              </w:rPr>
              <w:t> </w:t>
            </w:r>
          </w:p>
        </w:tc>
        <w:tc>
          <w:tcPr>
            <w:tcW w:w="250" w:type="pct"/>
            <w:shd w:val="clear" w:color="auto" w:fill="FFFFFF"/>
            <w:vAlign w:val="bottom"/>
            <w:hideMark/>
          </w:tcPr>
          <w:p w14:paraId="436C3726" w14:textId="77777777" w:rsidR="00000000" w:rsidRDefault="00847163">
            <w:pPr>
              <w:jc w:val="right"/>
              <w:rPr>
                <w:rFonts w:eastAsia="Times New Roman"/>
                <w:sz w:val="16"/>
                <w:szCs w:val="16"/>
              </w:rPr>
            </w:pPr>
            <w:r>
              <w:rPr>
                <w:rFonts w:eastAsia="Times New Roman"/>
                <w:sz w:val="16"/>
                <w:szCs w:val="16"/>
              </w:rPr>
              <w:t>5,729</w:t>
            </w:r>
          </w:p>
        </w:tc>
        <w:tc>
          <w:tcPr>
            <w:tcW w:w="50" w:type="pct"/>
            <w:shd w:val="clear" w:color="auto" w:fill="FFFFFF"/>
            <w:vAlign w:val="bottom"/>
            <w:hideMark/>
          </w:tcPr>
          <w:p w14:paraId="298C9568"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114C8024"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3EDC91E3" w14:textId="77777777" w:rsidR="00000000" w:rsidRDefault="00847163">
            <w:pPr>
              <w:rPr>
                <w:rFonts w:eastAsia="Times New Roman"/>
                <w:sz w:val="16"/>
                <w:szCs w:val="16"/>
              </w:rPr>
            </w:pPr>
            <w:r>
              <w:rPr>
                <w:rFonts w:eastAsia="Times New Roman"/>
                <w:sz w:val="16"/>
                <w:szCs w:val="16"/>
              </w:rPr>
              <w:t> </w:t>
            </w:r>
          </w:p>
        </w:tc>
        <w:tc>
          <w:tcPr>
            <w:tcW w:w="250" w:type="pct"/>
            <w:shd w:val="clear" w:color="auto" w:fill="FFFFFF"/>
            <w:vAlign w:val="bottom"/>
            <w:hideMark/>
          </w:tcPr>
          <w:p w14:paraId="2ED57CC5" w14:textId="77777777" w:rsidR="00000000" w:rsidRDefault="00847163">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4F205A19"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272D4454" w14:textId="77777777" w:rsidR="00000000" w:rsidRDefault="00847163">
            <w:pPr>
              <w:rPr>
                <w:rFonts w:eastAsia="Times New Roman"/>
                <w:sz w:val="16"/>
                <w:szCs w:val="16"/>
              </w:rPr>
            </w:pPr>
            <w:r>
              <w:rPr>
                <w:rFonts w:eastAsia="Times New Roman"/>
                <w:sz w:val="16"/>
                <w:szCs w:val="16"/>
              </w:rPr>
              <w:t> </w:t>
            </w:r>
          </w:p>
        </w:tc>
        <w:tc>
          <w:tcPr>
            <w:tcW w:w="50" w:type="pct"/>
            <w:shd w:val="clear" w:color="auto" w:fill="FFFFFF"/>
            <w:vAlign w:val="bottom"/>
            <w:hideMark/>
          </w:tcPr>
          <w:p w14:paraId="0EA31CCA" w14:textId="77777777" w:rsidR="00000000" w:rsidRDefault="00847163">
            <w:pPr>
              <w:rPr>
                <w:rFonts w:eastAsia="Times New Roman"/>
                <w:sz w:val="16"/>
                <w:szCs w:val="16"/>
              </w:rPr>
            </w:pPr>
            <w:r>
              <w:rPr>
                <w:rFonts w:eastAsia="Times New Roman"/>
                <w:sz w:val="16"/>
                <w:szCs w:val="16"/>
              </w:rPr>
              <w:t> </w:t>
            </w:r>
          </w:p>
        </w:tc>
        <w:tc>
          <w:tcPr>
            <w:tcW w:w="200" w:type="pct"/>
            <w:shd w:val="clear" w:color="auto" w:fill="FFFFFF"/>
            <w:vAlign w:val="bottom"/>
            <w:hideMark/>
          </w:tcPr>
          <w:p w14:paraId="229435CB" w14:textId="77777777" w:rsidR="00000000" w:rsidRDefault="00847163">
            <w:pPr>
              <w:jc w:val="right"/>
              <w:rPr>
                <w:rFonts w:eastAsia="Times New Roman"/>
                <w:sz w:val="16"/>
                <w:szCs w:val="16"/>
              </w:rPr>
            </w:pPr>
            <w:r>
              <w:rPr>
                <w:rFonts w:eastAsia="Times New Roman"/>
                <w:sz w:val="16"/>
                <w:szCs w:val="16"/>
              </w:rPr>
              <w:t>5,729</w:t>
            </w:r>
          </w:p>
        </w:tc>
        <w:tc>
          <w:tcPr>
            <w:tcW w:w="50" w:type="pct"/>
            <w:shd w:val="clear" w:color="auto" w:fill="FFFFFF"/>
            <w:vAlign w:val="bottom"/>
            <w:hideMark/>
          </w:tcPr>
          <w:p w14:paraId="2AE0805E" w14:textId="77777777" w:rsidR="00000000" w:rsidRDefault="00847163">
            <w:pPr>
              <w:rPr>
                <w:rFonts w:eastAsia="Times New Roman"/>
                <w:sz w:val="16"/>
                <w:szCs w:val="16"/>
              </w:rPr>
            </w:pPr>
            <w:r>
              <w:rPr>
                <w:rFonts w:eastAsia="Times New Roman"/>
                <w:sz w:val="16"/>
                <w:szCs w:val="16"/>
              </w:rPr>
              <w:t> </w:t>
            </w:r>
          </w:p>
        </w:tc>
      </w:tr>
      <w:tr w:rsidR="00847163" w14:paraId="61893E99" w14:textId="77777777">
        <w:trPr>
          <w:divId w:val="323124837"/>
          <w:tblCellSpacing w:w="0" w:type="dxa"/>
        </w:trPr>
        <w:tc>
          <w:tcPr>
            <w:tcW w:w="1500" w:type="pct"/>
            <w:shd w:val="clear" w:color="auto" w:fill="CCEEFF"/>
            <w:vAlign w:val="bottom"/>
            <w:hideMark/>
          </w:tcPr>
          <w:p w14:paraId="5A90A1B9" w14:textId="77777777" w:rsidR="00000000" w:rsidRDefault="00847163">
            <w:pPr>
              <w:pStyle w:val="a3"/>
              <w:spacing w:before="0" w:beforeAutospacing="0" w:after="0" w:afterAutospacing="0"/>
              <w:ind w:left="180" w:hanging="180"/>
              <w:rPr>
                <w:sz w:val="16"/>
                <w:szCs w:val="16"/>
              </w:rPr>
            </w:pPr>
            <w:r>
              <w:rPr>
                <w:sz w:val="16"/>
                <w:szCs w:val="16"/>
              </w:rPr>
              <w:t>Acquisition of noncontrolling interests</w:t>
            </w:r>
          </w:p>
        </w:tc>
        <w:tc>
          <w:tcPr>
            <w:tcW w:w="50" w:type="pct"/>
            <w:shd w:val="clear" w:color="auto" w:fill="CCEEFF"/>
            <w:tcMar>
              <w:top w:w="0" w:type="dxa"/>
              <w:left w:w="0" w:type="dxa"/>
              <w:bottom w:w="15" w:type="dxa"/>
              <w:right w:w="0" w:type="dxa"/>
            </w:tcMar>
            <w:vAlign w:val="bottom"/>
            <w:hideMark/>
          </w:tcPr>
          <w:p w14:paraId="79990BB3" w14:textId="77777777" w:rsidR="00000000" w:rsidRDefault="00847163">
            <w:pPr>
              <w:rPr>
                <w:rFonts w:eastAsia="Times New Roman"/>
                <w:sz w:val="16"/>
                <w:szCs w:val="16"/>
              </w:rPr>
            </w:pPr>
            <w:r>
              <w:rPr>
                <w:rFonts w:eastAsia="Times New Roman"/>
                <w:sz w:val="16"/>
                <w:szCs w:val="16"/>
              </w:rPr>
              <w:t> </w:t>
            </w:r>
          </w:p>
        </w:tc>
        <w:tc>
          <w:tcPr>
            <w:tcW w:w="100" w:type="pct"/>
            <w:tcBorders>
              <w:bottom w:val="single" w:sz="6" w:space="0" w:color="000000"/>
            </w:tcBorders>
            <w:shd w:val="clear" w:color="auto" w:fill="CCEEFF"/>
            <w:vAlign w:val="bottom"/>
            <w:hideMark/>
          </w:tcPr>
          <w:p w14:paraId="7F62C0FE" w14:textId="77777777" w:rsidR="00000000" w:rsidRDefault="00847163">
            <w:pPr>
              <w:rPr>
                <w:rFonts w:eastAsia="Times New Roman"/>
                <w:sz w:val="16"/>
                <w:szCs w:val="16"/>
              </w:rPr>
            </w:pPr>
            <w:r>
              <w:rPr>
                <w:rFonts w:eastAsia="Times New Roman"/>
                <w:sz w:val="16"/>
                <w:szCs w:val="16"/>
              </w:rPr>
              <w:t> </w:t>
            </w:r>
          </w:p>
        </w:tc>
        <w:tc>
          <w:tcPr>
            <w:tcW w:w="400" w:type="pct"/>
            <w:tcBorders>
              <w:bottom w:val="single" w:sz="6" w:space="0" w:color="000000"/>
            </w:tcBorders>
            <w:shd w:val="clear" w:color="auto" w:fill="CCEEFF"/>
            <w:vAlign w:val="bottom"/>
            <w:hideMark/>
          </w:tcPr>
          <w:p w14:paraId="0A92D0EE" w14:textId="77777777" w:rsidR="00000000" w:rsidRDefault="00847163">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14:paraId="3D65E94B" w14:textId="77777777" w:rsidR="00000000" w:rsidRDefault="00847163">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09B3A9E2" w14:textId="77777777" w:rsidR="00000000" w:rsidRDefault="00847163">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4C88E917" w14:textId="77777777" w:rsidR="00000000" w:rsidRDefault="00847163">
            <w:pPr>
              <w:rPr>
                <w:rFonts w:eastAsia="Times New Roman"/>
                <w:sz w:val="16"/>
                <w:szCs w:val="16"/>
              </w:rPr>
            </w:pPr>
            <w:r>
              <w:rPr>
                <w:rFonts w:eastAsia="Times New Roman"/>
                <w:sz w:val="16"/>
                <w:szCs w:val="16"/>
              </w:rPr>
              <w:t> </w:t>
            </w:r>
          </w:p>
        </w:tc>
        <w:tc>
          <w:tcPr>
            <w:tcW w:w="200" w:type="pct"/>
            <w:tcBorders>
              <w:bottom w:val="single" w:sz="6" w:space="0" w:color="000000"/>
            </w:tcBorders>
            <w:shd w:val="clear" w:color="auto" w:fill="CCEEFF"/>
            <w:vAlign w:val="bottom"/>
            <w:hideMark/>
          </w:tcPr>
          <w:p w14:paraId="3B62F4B7" w14:textId="77777777" w:rsidR="00000000" w:rsidRDefault="00847163">
            <w:pPr>
              <w:jc w:val="right"/>
              <w:rPr>
                <w:rFonts w:eastAsia="Times New Roman"/>
                <w:sz w:val="16"/>
                <w:szCs w:val="16"/>
              </w:rPr>
            </w:pPr>
            <w:r>
              <w:rPr>
                <w:rStyle w:val="a6"/>
                <w:rFonts w:eastAsia="Times New Roman"/>
                <w:sz w:val="16"/>
                <w:szCs w:val="16"/>
              </w:rPr>
              <w:t>-</w:t>
            </w:r>
          </w:p>
        </w:tc>
        <w:tc>
          <w:tcPr>
            <w:tcW w:w="50" w:type="pct"/>
            <w:tcBorders>
              <w:bottom w:val="single" w:sz="6" w:space="0" w:color="000000"/>
            </w:tcBorders>
            <w:shd w:val="clear" w:color="auto" w:fill="CCEEFF"/>
            <w:vAlign w:val="bottom"/>
            <w:hideMark/>
          </w:tcPr>
          <w:p w14:paraId="5E52F6C2" w14:textId="77777777" w:rsidR="00000000" w:rsidRDefault="00847163">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2FD147FE" w14:textId="77777777" w:rsidR="00000000" w:rsidRDefault="00847163">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0AC3BB1C" w14:textId="77777777" w:rsidR="00000000" w:rsidRDefault="00847163">
            <w:pPr>
              <w:rPr>
                <w:rFonts w:eastAsia="Times New Roman"/>
                <w:sz w:val="16"/>
                <w:szCs w:val="16"/>
              </w:rPr>
            </w:pPr>
            <w:r>
              <w:rPr>
                <w:rFonts w:eastAsia="Times New Roman"/>
                <w:sz w:val="16"/>
                <w:szCs w:val="16"/>
              </w:rPr>
              <w:t> </w:t>
            </w:r>
          </w:p>
        </w:tc>
        <w:tc>
          <w:tcPr>
            <w:tcW w:w="200" w:type="pct"/>
            <w:tcBorders>
              <w:bottom w:val="single" w:sz="6" w:space="0" w:color="000000"/>
            </w:tcBorders>
            <w:shd w:val="clear" w:color="auto" w:fill="CCEEFF"/>
            <w:vAlign w:val="bottom"/>
            <w:hideMark/>
          </w:tcPr>
          <w:p w14:paraId="11EDE0DD" w14:textId="77777777" w:rsidR="00000000" w:rsidRDefault="00847163">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14:paraId="6DD840E5" w14:textId="77777777" w:rsidR="00000000" w:rsidRDefault="00847163">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1C3E7D64" w14:textId="77777777" w:rsidR="00000000" w:rsidRDefault="00847163">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245D23E5" w14:textId="77777777" w:rsidR="00000000" w:rsidRDefault="00847163">
            <w:pPr>
              <w:rPr>
                <w:rFonts w:eastAsia="Times New Roman"/>
                <w:sz w:val="16"/>
                <w:szCs w:val="16"/>
              </w:rPr>
            </w:pPr>
            <w:r>
              <w:rPr>
                <w:rFonts w:eastAsia="Times New Roman"/>
                <w:sz w:val="16"/>
                <w:szCs w:val="16"/>
              </w:rPr>
              <w:t> </w:t>
            </w:r>
          </w:p>
        </w:tc>
        <w:tc>
          <w:tcPr>
            <w:tcW w:w="200" w:type="pct"/>
            <w:tcBorders>
              <w:bottom w:val="single" w:sz="6" w:space="0" w:color="000000"/>
            </w:tcBorders>
            <w:shd w:val="clear" w:color="auto" w:fill="CCEEFF"/>
            <w:vAlign w:val="bottom"/>
            <w:hideMark/>
          </w:tcPr>
          <w:p w14:paraId="2436D55F" w14:textId="77777777" w:rsidR="00000000" w:rsidRDefault="00847163">
            <w:pPr>
              <w:jc w:val="right"/>
              <w:rPr>
                <w:rFonts w:eastAsia="Times New Roman"/>
                <w:sz w:val="16"/>
                <w:szCs w:val="16"/>
              </w:rPr>
            </w:pPr>
            <w:r>
              <w:rPr>
                <w:rStyle w:val="a6"/>
                <w:rFonts w:eastAsia="Times New Roman"/>
                <w:sz w:val="16"/>
                <w:szCs w:val="16"/>
              </w:rPr>
              <w:t>-</w:t>
            </w:r>
          </w:p>
        </w:tc>
        <w:tc>
          <w:tcPr>
            <w:tcW w:w="50" w:type="pct"/>
            <w:tcBorders>
              <w:bottom w:val="single" w:sz="6" w:space="0" w:color="000000"/>
            </w:tcBorders>
            <w:shd w:val="clear" w:color="auto" w:fill="CCEEFF"/>
            <w:vAlign w:val="bottom"/>
            <w:hideMark/>
          </w:tcPr>
          <w:p w14:paraId="66A4546F" w14:textId="77777777" w:rsidR="00000000" w:rsidRDefault="00847163">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494805A2" w14:textId="77777777" w:rsidR="00000000" w:rsidRDefault="00847163">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6B0CF37D" w14:textId="77777777" w:rsidR="00000000" w:rsidRDefault="00847163">
            <w:pPr>
              <w:rPr>
                <w:rFonts w:eastAsia="Times New Roman"/>
                <w:sz w:val="16"/>
                <w:szCs w:val="16"/>
              </w:rPr>
            </w:pPr>
            <w:r>
              <w:rPr>
                <w:rFonts w:eastAsia="Times New Roman"/>
                <w:sz w:val="16"/>
                <w:szCs w:val="16"/>
              </w:rPr>
              <w:t> </w:t>
            </w:r>
          </w:p>
        </w:tc>
        <w:tc>
          <w:tcPr>
            <w:tcW w:w="200" w:type="pct"/>
            <w:tcBorders>
              <w:bottom w:val="single" w:sz="6" w:space="0" w:color="000000"/>
            </w:tcBorders>
            <w:shd w:val="clear" w:color="auto" w:fill="CCEEFF"/>
            <w:vAlign w:val="bottom"/>
            <w:hideMark/>
          </w:tcPr>
          <w:p w14:paraId="6AE5E1DE" w14:textId="77777777" w:rsidR="00000000" w:rsidRDefault="00847163">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14:paraId="1016EB60" w14:textId="77777777" w:rsidR="00000000" w:rsidRDefault="00847163">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5A5080BD" w14:textId="77777777" w:rsidR="00000000" w:rsidRDefault="00847163">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5D67BBB5" w14:textId="77777777" w:rsidR="00000000" w:rsidRDefault="00847163">
            <w:pPr>
              <w:rPr>
                <w:rFonts w:eastAsia="Times New Roman"/>
                <w:sz w:val="16"/>
                <w:szCs w:val="16"/>
              </w:rPr>
            </w:pPr>
            <w:r>
              <w:rPr>
                <w:rFonts w:eastAsia="Times New Roman"/>
                <w:sz w:val="16"/>
                <w:szCs w:val="16"/>
              </w:rPr>
              <w:t> </w:t>
            </w:r>
          </w:p>
        </w:tc>
        <w:tc>
          <w:tcPr>
            <w:tcW w:w="200" w:type="pct"/>
            <w:tcBorders>
              <w:bottom w:val="single" w:sz="6" w:space="0" w:color="000000"/>
            </w:tcBorders>
            <w:shd w:val="clear" w:color="auto" w:fill="CCEEFF"/>
            <w:vAlign w:val="bottom"/>
            <w:hideMark/>
          </w:tcPr>
          <w:p w14:paraId="6F9901EB" w14:textId="77777777" w:rsidR="00000000" w:rsidRDefault="00847163">
            <w:pPr>
              <w:jc w:val="right"/>
              <w:rPr>
                <w:rFonts w:eastAsia="Times New Roman"/>
                <w:sz w:val="16"/>
                <w:szCs w:val="16"/>
              </w:rPr>
            </w:pPr>
            <w:r>
              <w:rPr>
                <w:rFonts w:eastAsia="Times New Roman"/>
                <w:sz w:val="16"/>
                <w:szCs w:val="16"/>
              </w:rPr>
              <w:t>(19,500</w:t>
            </w:r>
          </w:p>
        </w:tc>
        <w:tc>
          <w:tcPr>
            <w:tcW w:w="50" w:type="pct"/>
            <w:tcBorders>
              <w:bottom w:val="single" w:sz="6" w:space="0" w:color="000000"/>
            </w:tcBorders>
            <w:shd w:val="clear" w:color="auto" w:fill="CCEEFF"/>
            <w:vAlign w:val="bottom"/>
            <w:hideMark/>
          </w:tcPr>
          <w:p w14:paraId="5BEB752D" w14:textId="77777777" w:rsidR="00000000" w:rsidRDefault="00847163">
            <w:pPr>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14:paraId="72FB3342" w14:textId="77777777" w:rsidR="00000000" w:rsidRDefault="00847163">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29EA6B1B" w14:textId="77777777" w:rsidR="00000000" w:rsidRDefault="00847163">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14:paraId="211BB5AA" w14:textId="77777777" w:rsidR="00000000" w:rsidRDefault="00847163">
            <w:pPr>
              <w:jc w:val="right"/>
              <w:rPr>
                <w:rFonts w:eastAsia="Times New Roman"/>
                <w:sz w:val="16"/>
                <w:szCs w:val="16"/>
              </w:rPr>
            </w:pPr>
            <w:r>
              <w:rPr>
                <w:rFonts w:eastAsia="Times New Roman"/>
                <w:sz w:val="16"/>
                <w:szCs w:val="16"/>
              </w:rPr>
              <w:t>(19,500</w:t>
            </w:r>
          </w:p>
        </w:tc>
        <w:tc>
          <w:tcPr>
            <w:tcW w:w="50" w:type="pct"/>
            <w:tcBorders>
              <w:bottom w:val="single" w:sz="6" w:space="0" w:color="000000"/>
            </w:tcBorders>
            <w:shd w:val="clear" w:color="auto" w:fill="CCEEFF"/>
            <w:vAlign w:val="bottom"/>
            <w:hideMark/>
          </w:tcPr>
          <w:p w14:paraId="3F14FFD8" w14:textId="77777777" w:rsidR="00000000" w:rsidRDefault="00847163">
            <w:pPr>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14:paraId="23A7C714" w14:textId="77777777" w:rsidR="00000000" w:rsidRDefault="00847163">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768D1A49" w14:textId="77777777" w:rsidR="00000000" w:rsidRDefault="00847163">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14:paraId="1E36626D" w14:textId="77777777" w:rsidR="00000000" w:rsidRDefault="00847163">
            <w:pPr>
              <w:jc w:val="right"/>
              <w:rPr>
                <w:rFonts w:eastAsia="Times New Roman"/>
                <w:sz w:val="16"/>
                <w:szCs w:val="16"/>
              </w:rPr>
            </w:pPr>
            <w:r>
              <w:rPr>
                <w:rFonts w:eastAsia="Times New Roman"/>
                <w:sz w:val="16"/>
                <w:szCs w:val="16"/>
              </w:rPr>
              <w:t>(609</w:t>
            </w:r>
          </w:p>
        </w:tc>
        <w:tc>
          <w:tcPr>
            <w:tcW w:w="50" w:type="pct"/>
            <w:tcBorders>
              <w:bottom w:val="single" w:sz="6" w:space="0" w:color="000000"/>
            </w:tcBorders>
            <w:shd w:val="clear" w:color="auto" w:fill="CCEEFF"/>
            <w:vAlign w:val="bottom"/>
            <w:hideMark/>
          </w:tcPr>
          <w:p w14:paraId="276AA579" w14:textId="77777777" w:rsidR="00000000" w:rsidRDefault="00847163">
            <w:pPr>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14:paraId="415ADD70" w14:textId="77777777" w:rsidR="00000000" w:rsidRDefault="00847163">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55EDDA4B" w14:textId="77777777" w:rsidR="00000000" w:rsidRDefault="00847163">
            <w:pPr>
              <w:rPr>
                <w:rFonts w:eastAsia="Times New Roman"/>
                <w:sz w:val="16"/>
                <w:szCs w:val="16"/>
              </w:rPr>
            </w:pPr>
            <w:r>
              <w:rPr>
                <w:rFonts w:eastAsia="Times New Roman"/>
                <w:sz w:val="16"/>
                <w:szCs w:val="16"/>
              </w:rPr>
              <w:t> </w:t>
            </w:r>
          </w:p>
        </w:tc>
        <w:tc>
          <w:tcPr>
            <w:tcW w:w="200" w:type="pct"/>
            <w:tcBorders>
              <w:bottom w:val="single" w:sz="6" w:space="0" w:color="000000"/>
            </w:tcBorders>
            <w:shd w:val="clear" w:color="auto" w:fill="CCEEFF"/>
            <w:vAlign w:val="bottom"/>
            <w:hideMark/>
          </w:tcPr>
          <w:p w14:paraId="20DC4976" w14:textId="77777777" w:rsidR="00000000" w:rsidRDefault="00847163">
            <w:pPr>
              <w:jc w:val="right"/>
              <w:rPr>
                <w:rFonts w:eastAsia="Times New Roman"/>
                <w:sz w:val="16"/>
                <w:szCs w:val="16"/>
              </w:rPr>
            </w:pPr>
            <w:r>
              <w:rPr>
                <w:rFonts w:eastAsia="Times New Roman"/>
                <w:sz w:val="16"/>
                <w:szCs w:val="16"/>
              </w:rPr>
              <w:t>(20,109</w:t>
            </w:r>
          </w:p>
        </w:tc>
        <w:tc>
          <w:tcPr>
            <w:tcW w:w="50" w:type="pct"/>
            <w:shd w:val="clear" w:color="auto" w:fill="CCEEFF"/>
            <w:tcMar>
              <w:top w:w="0" w:type="dxa"/>
              <w:left w:w="0" w:type="dxa"/>
              <w:bottom w:w="15" w:type="dxa"/>
              <w:right w:w="0" w:type="dxa"/>
            </w:tcMar>
            <w:vAlign w:val="bottom"/>
            <w:hideMark/>
          </w:tcPr>
          <w:p w14:paraId="3DFB0205" w14:textId="77777777" w:rsidR="00000000" w:rsidRDefault="00847163">
            <w:pPr>
              <w:rPr>
                <w:rFonts w:eastAsia="Times New Roman"/>
                <w:sz w:val="16"/>
                <w:szCs w:val="16"/>
              </w:rPr>
            </w:pPr>
            <w:r>
              <w:rPr>
                <w:rFonts w:eastAsia="Times New Roman"/>
                <w:sz w:val="16"/>
                <w:szCs w:val="16"/>
              </w:rPr>
              <w:t>)</w:t>
            </w:r>
          </w:p>
        </w:tc>
      </w:tr>
      <w:tr w:rsidR="00847163" w14:paraId="34CB6CBF" w14:textId="77777777">
        <w:trPr>
          <w:divId w:val="323124837"/>
          <w:tblCellSpacing w:w="0" w:type="dxa"/>
        </w:trPr>
        <w:tc>
          <w:tcPr>
            <w:tcW w:w="1500" w:type="pct"/>
            <w:shd w:val="clear" w:color="auto" w:fill="FFFFFF"/>
            <w:vAlign w:val="bottom"/>
            <w:hideMark/>
          </w:tcPr>
          <w:p w14:paraId="69336A0B" w14:textId="77777777" w:rsidR="00000000" w:rsidRDefault="00847163">
            <w:pPr>
              <w:pStyle w:val="a3"/>
              <w:spacing w:before="0" w:beforeAutospacing="0" w:after="0" w:afterAutospacing="0"/>
              <w:rPr>
                <w:sz w:val="16"/>
                <w:szCs w:val="16"/>
              </w:rPr>
            </w:pPr>
            <w:r>
              <w:rPr>
                <w:sz w:val="16"/>
                <w:szCs w:val="16"/>
              </w:rPr>
              <w:t>Balance at March 31, 2020</w:t>
            </w:r>
          </w:p>
        </w:tc>
        <w:tc>
          <w:tcPr>
            <w:tcW w:w="50" w:type="pct"/>
            <w:shd w:val="clear" w:color="auto" w:fill="FFFFFF"/>
            <w:vAlign w:val="bottom"/>
            <w:hideMark/>
          </w:tcPr>
          <w:p w14:paraId="74780880" w14:textId="77777777" w:rsidR="00000000" w:rsidRDefault="00847163">
            <w:pPr>
              <w:rPr>
                <w:rFonts w:eastAsia="Times New Roman"/>
                <w:sz w:val="16"/>
                <w:szCs w:val="16"/>
              </w:rPr>
            </w:pPr>
            <w:r>
              <w:rPr>
                <w:rFonts w:eastAsia="Times New Roman"/>
                <w:sz w:val="16"/>
                <w:szCs w:val="16"/>
              </w:rPr>
              <w:t> </w:t>
            </w:r>
          </w:p>
        </w:tc>
        <w:tc>
          <w:tcPr>
            <w:tcW w:w="100" w:type="pct"/>
            <w:tcBorders>
              <w:bottom w:val="double" w:sz="6" w:space="0" w:color="000000"/>
            </w:tcBorders>
            <w:shd w:val="clear" w:color="auto" w:fill="FFFFFF"/>
            <w:vAlign w:val="bottom"/>
            <w:hideMark/>
          </w:tcPr>
          <w:p w14:paraId="3BEB14E8" w14:textId="77777777" w:rsidR="00000000" w:rsidRDefault="00847163">
            <w:pPr>
              <w:rPr>
                <w:rFonts w:eastAsia="Times New Roman"/>
                <w:sz w:val="16"/>
                <w:szCs w:val="16"/>
              </w:rPr>
            </w:pPr>
            <w:r>
              <w:rPr>
                <w:rFonts w:eastAsia="Times New Roman"/>
                <w:sz w:val="16"/>
                <w:szCs w:val="16"/>
              </w:rPr>
              <w:t>$</w:t>
            </w:r>
          </w:p>
        </w:tc>
        <w:tc>
          <w:tcPr>
            <w:tcW w:w="400" w:type="pct"/>
            <w:tcBorders>
              <w:bottom w:val="double" w:sz="6" w:space="0" w:color="000000"/>
            </w:tcBorders>
            <w:shd w:val="clear" w:color="auto" w:fill="FFFFFF"/>
            <w:vAlign w:val="bottom"/>
            <w:hideMark/>
          </w:tcPr>
          <w:p w14:paraId="448DCC3E" w14:textId="77777777" w:rsidR="00000000" w:rsidRDefault="00847163">
            <w:pPr>
              <w:jc w:val="right"/>
              <w:rPr>
                <w:rFonts w:eastAsia="Times New Roman"/>
                <w:sz w:val="16"/>
                <w:szCs w:val="16"/>
              </w:rPr>
            </w:pPr>
            <w:r>
              <w:rPr>
                <w:rFonts w:eastAsia="Times New Roman"/>
                <w:sz w:val="16"/>
                <w:szCs w:val="16"/>
              </w:rPr>
              <w:t>(942,031</w:t>
            </w:r>
          </w:p>
        </w:tc>
        <w:tc>
          <w:tcPr>
            <w:tcW w:w="50" w:type="pct"/>
            <w:tcBorders>
              <w:bottom w:val="double" w:sz="6" w:space="0" w:color="000000"/>
            </w:tcBorders>
            <w:shd w:val="clear" w:color="auto" w:fill="FFFFFF"/>
            <w:vAlign w:val="bottom"/>
            <w:hideMark/>
          </w:tcPr>
          <w:p w14:paraId="0EE136B3" w14:textId="77777777" w:rsidR="00000000" w:rsidRDefault="00847163">
            <w:pPr>
              <w:rPr>
                <w:rFonts w:eastAsia="Times New Roman"/>
                <w:sz w:val="16"/>
                <w:szCs w:val="16"/>
              </w:rPr>
            </w:pPr>
            <w:r>
              <w:rPr>
                <w:rFonts w:eastAsia="Times New Roman"/>
                <w:sz w:val="16"/>
                <w:szCs w:val="16"/>
              </w:rPr>
              <w:t>)</w:t>
            </w:r>
          </w:p>
        </w:tc>
        <w:tc>
          <w:tcPr>
            <w:tcW w:w="50" w:type="pct"/>
            <w:tcBorders>
              <w:bottom w:val="double" w:sz="6" w:space="0" w:color="000000"/>
            </w:tcBorders>
            <w:shd w:val="clear" w:color="auto" w:fill="FFFFFF"/>
            <w:vAlign w:val="bottom"/>
            <w:hideMark/>
          </w:tcPr>
          <w:p w14:paraId="70FC3223" w14:textId="77777777" w:rsidR="00000000" w:rsidRDefault="00847163">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161C6300" w14:textId="77777777" w:rsidR="00000000" w:rsidRDefault="00847163">
            <w:pPr>
              <w:rPr>
                <w:rFonts w:eastAsia="Times New Roman"/>
                <w:sz w:val="16"/>
                <w:szCs w:val="16"/>
              </w:rPr>
            </w:pPr>
            <w:r>
              <w:rPr>
                <w:rFonts w:eastAsia="Times New Roman"/>
                <w:sz w:val="16"/>
                <w:szCs w:val="16"/>
              </w:rPr>
              <w:t> </w:t>
            </w:r>
          </w:p>
        </w:tc>
        <w:tc>
          <w:tcPr>
            <w:tcW w:w="200" w:type="pct"/>
            <w:tcBorders>
              <w:bottom w:val="double" w:sz="6" w:space="0" w:color="000000"/>
            </w:tcBorders>
            <w:shd w:val="clear" w:color="auto" w:fill="FFFFFF"/>
            <w:vAlign w:val="bottom"/>
            <w:hideMark/>
          </w:tcPr>
          <w:p w14:paraId="5A0EBB42" w14:textId="77777777" w:rsidR="00000000" w:rsidRDefault="00847163">
            <w:pPr>
              <w:jc w:val="right"/>
              <w:rPr>
                <w:rFonts w:eastAsia="Times New Roman"/>
                <w:sz w:val="16"/>
                <w:szCs w:val="16"/>
              </w:rPr>
            </w:pPr>
            <w:r>
              <w:rPr>
                <w:rFonts w:eastAsia="Times New Roman"/>
                <w:sz w:val="16"/>
                <w:szCs w:val="16"/>
              </w:rPr>
              <w:t>20</w:t>
            </w:r>
          </w:p>
        </w:tc>
        <w:tc>
          <w:tcPr>
            <w:tcW w:w="50" w:type="pct"/>
            <w:tcBorders>
              <w:bottom w:val="double" w:sz="6" w:space="0" w:color="000000"/>
            </w:tcBorders>
            <w:shd w:val="clear" w:color="auto" w:fill="FFFFFF"/>
            <w:vAlign w:val="bottom"/>
            <w:hideMark/>
          </w:tcPr>
          <w:p w14:paraId="0232BF07" w14:textId="77777777" w:rsidR="00000000" w:rsidRDefault="00847163">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6FD7202B" w14:textId="77777777" w:rsidR="00000000" w:rsidRDefault="00847163">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2AFA0D68" w14:textId="77777777" w:rsidR="00000000" w:rsidRDefault="00847163">
            <w:pPr>
              <w:rPr>
                <w:rFonts w:eastAsia="Times New Roman"/>
                <w:sz w:val="16"/>
                <w:szCs w:val="16"/>
              </w:rPr>
            </w:pPr>
            <w:r>
              <w:rPr>
                <w:rFonts w:eastAsia="Times New Roman"/>
                <w:sz w:val="16"/>
                <w:szCs w:val="16"/>
              </w:rPr>
              <w:t>$</w:t>
            </w:r>
          </w:p>
        </w:tc>
        <w:tc>
          <w:tcPr>
            <w:tcW w:w="200" w:type="pct"/>
            <w:tcBorders>
              <w:bottom w:val="double" w:sz="6" w:space="0" w:color="000000"/>
            </w:tcBorders>
            <w:shd w:val="clear" w:color="auto" w:fill="FFFFFF"/>
            <w:vAlign w:val="bottom"/>
            <w:hideMark/>
          </w:tcPr>
          <w:p w14:paraId="55E11C08" w14:textId="77777777" w:rsidR="00000000" w:rsidRDefault="00847163">
            <w:pPr>
              <w:jc w:val="right"/>
              <w:rPr>
                <w:rFonts w:eastAsia="Times New Roman"/>
                <w:sz w:val="16"/>
                <w:szCs w:val="16"/>
              </w:rPr>
            </w:pPr>
            <w:r>
              <w:rPr>
                <w:rFonts w:eastAsia="Times New Roman"/>
                <w:sz w:val="16"/>
                <w:szCs w:val="16"/>
              </w:rPr>
              <w:t>20</w:t>
            </w:r>
          </w:p>
        </w:tc>
        <w:tc>
          <w:tcPr>
            <w:tcW w:w="50" w:type="pct"/>
            <w:tcBorders>
              <w:bottom w:val="double" w:sz="6" w:space="0" w:color="000000"/>
            </w:tcBorders>
            <w:shd w:val="clear" w:color="auto" w:fill="FFFFFF"/>
            <w:vAlign w:val="bottom"/>
            <w:hideMark/>
          </w:tcPr>
          <w:p w14:paraId="37FD4329" w14:textId="77777777" w:rsidR="00000000" w:rsidRDefault="00847163">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0A065716" w14:textId="77777777" w:rsidR="00000000" w:rsidRDefault="00847163">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30479CA4" w14:textId="77777777" w:rsidR="00000000" w:rsidRDefault="00847163">
            <w:pPr>
              <w:rPr>
                <w:rFonts w:eastAsia="Times New Roman"/>
                <w:sz w:val="16"/>
                <w:szCs w:val="16"/>
              </w:rPr>
            </w:pPr>
            <w:r>
              <w:rPr>
                <w:rFonts w:eastAsia="Times New Roman"/>
                <w:sz w:val="16"/>
                <w:szCs w:val="16"/>
              </w:rPr>
              <w:t> </w:t>
            </w:r>
          </w:p>
        </w:tc>
        <w:tc>
          <w:tcPr>
            <w:tcW w:w="200" w:type="pct"/>
            <w:tcBorders>
              <w:bottom w:val="double" w:sz="6" w:space="0" w:color="000000"/>
            </w:tcBorders>
            <w:shd w:val="clear" w:color="auto" w:fill="FFFFFF"/>
            <w:vAlign w:val="bottom"/>
            <w:hideMark/>
          </w:tcPr>
          <w:p w14:paraId="46511B84" w14:textId="77777777" w:rsidR="00000000" w:rsidRDefault="00847163">
            <w:pPr>
              <w:jc w:val="right"/>
              <w:rPr>
                <w:rFonts w:eastAsia="Times New Roman"/>
                <w:sz w:val="16"/>
                <w:szCs w:val="16"/>
              </w:rPr>
            </w:pPr>
            <w:r>
              <w:rPr>
                <w:rFonts w:eastAsia="Times New Roman"/>
                <w:sz w:val="16"/>
                <w:szCs w:val="16"/>
              </w:rPr>
              <w:t>432,525</w:t>
            </w:r>
          </w:p>
        </w:tc>
        <w:tc>
          <w:tcPr>
            <w:tcW w:w="50" w:type="pct"/>
            <w:tcBorders>
              <w:bottom w:val="double" w:sz="6" w:space="0" w:color="000000"/>
            </w:tcBorders>
            <w:shd w:val="clear" w:color="auto" w:fill="FFFFFF"/>
            <w:vAlign w:val="bottom"/>
            <w:hideMark/>
          </w:tcPr>
          <w:p w14:paraId="30996BEC" w14:textId="77777777" w:rsidR="00000000" w:rsidRDefault="00847163">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08CE15D4" w14:textId="77777777" w:rsidR="00000000" w:rsidRDefault="00847163">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6528185E" w14:textId="77777777" w:rsidR="00000000" w:rsidRDefault="00847163">
            <w:pPr>
              <w:rPr>
                <w:rFonts w:eastAsia="Times New Roman"/>
                <w:sz w:val="16"/>
                <w:szCs w:val="16"/>
              </w:rPr>
            </w:pPr>
            <w:r>
              <w:rPr>
                <w:rFonts w:eastAsia="Times New Roman"/>
                <w:sz w:val="16"/>
                <w:szCs w:val="16"/>
              </w:rPr>
              <w:t>$</w:t>
            </w:r>
          </w:p>
        </w:tc>
        <w:tc>
          <w:tcPr>
            <w:tcW w:w="200" w:type="pct"/>
            <w:tcBorders>
              <w:bottom w:val="double" w:sz="6" w:space="0" w:color="000000"/>
            </w:tcBorders>
            <w:shd w:val="clear" w:color="auto" w:fill="FFFFFF"/>
            <w:vAlign w:val="bottom"/>
            <w:hideMark/>
          </w:tcPr>
          <w:p w14:paraId="4E3BAA62" w14:textId="77777777" w:rsidR="00000000" w:rsidRDefault="00847163">
            <w:pPr>
              <w:jc w:val="right"/>
              <w:rPr>
                <w:rFonts w:eastAsia="Times New Roman"/>
                <w:sz w:val="16"/>
                <w:szCs w:val="16"/>
              </w:rPr>
            </w:pPr>
            <w:r>
              <w:rPr>
                <w:rFonts w:eastAsia="Times New Roman"/>
                <w:sz w:val="16"/>
                <w:szCs w:val="16"/>
              </w:rPr>
              <w:t>4,325</w:t>
            </w:r>
          </w:p>
        </w:tc>
        <w:tc>
          <w:tcPr>
            <w:tcW w:w="50" w:type="pct"/>
            <w:tcBorders>
              <w:bottom w:val="double" w:sz="6" w:space="0" w:color="000000"/>
            </w:tcBorders>
            <w:shd w:val="clear" w:color="auto" w:fill="FFFFFF"/>
            <w:vAlign w:val="bottom"/>
            <w:hideMark/>
          </w:tcPr>
          <w:p w14:paraId="62046271" w14:textId="77777777" w:rsidR="00000000" w:rsidRDefault="00847163">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5D417805" w14:textId="77777777" w:rsidR="00000000" w:rsidRDefault="00847163">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33A63208" w14:textId="77777777" w:rsidR="00000000" w:rsidRDefault="00847163">
            <w:pPr>
              <w:rPr>
                <w:rFonts w:eastAsia="Times New Roman"/>
                <w:sz w:val="16"/>
                <w:szCs w:val="16"/>
              </w:rPr>
            </w:pPr>
            <w:r>
              <w:rPr>
                <w:rFonts w:eastAsia="Times New Roman"/>
                <w:sz w:val="16"/>
                <w:szCs w:val="16"/>
              </w:rPr>
              <w:t>$</w:t>
            </w:r>
          </w:p>
        </w:tc>
        <w:tc>
          <w:tcPr>
            <w:tcW w:w="200" w:type="pct"/>
            <w:tcBorders>
              <w:bottom w:val="double" w:sz="6" w:space="0" w:color="000000"/>
            </w:tcBorders>
            <w:shd w:val="clear" w:color="auto" w:fill="FFFFFF"/>
            <w:vAlign w:val="bottom"/>
            <w:hideMark/>
          </w:tcPr>
          <w:p w14:paraId="09DA2B0F" w14:textId="77777777" w:rsidR="00000000" w:rsidRDefault="00847163">
            <w:pPr>
              <w:jc w:val="right"/>
              <w:rPr>
                <w:rFonts w:eastAsia="Times New Roman"/>
                <w:sz w:val="16"/>
                <w:szCs w:val="16"/>
              </w:rPr>
            </w:pPr>
            <w:r>
              <w:rPr>
                <w:rFonts w:eastAsia="Times New Roman"/>
                <w:sz w:val="16"/>
                <w:szCs w:val="16"/>
              </w:rPr>
              <w:t>5,747,277</w:t>
            </w:r>
          </w:p>
        </w:tc>
        <w:tc>
          <w:tcPr>
            <w:tcW w:w="50" w:type="pct"/>
            <w:tcBorders>
              <w:bottom w:val="double" w:sz="6" w:space="0" w:color="000000"/>
            </w:tcBorders>
            <w:shd w:val="clear" w:color="auto" w:fill="FFFFFF"/>
            <w:vAlign w:val="bottom"/>
            <w:hideMark/>
          </w:tcPr>
          <w:p w14:paraId="11B2A33D" w14:textId="77777777" w:rsidR="00000000" w:rsidRDefault="00847163">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0D2D04E6" w14:textId="77777777" w:rsidR="00000000" w:rsidRDefault="00847163">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1321A5B4" w14:textId="77777777" w:rsidR="00000000" w:rsidRDefault="00847163">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FFFFFF"/>
            <w:vAlign w:val="bottom"/>
            <w:hideMark/>
          </w:tcPr>
          <w:p w14:paraId="0CDE9C12" w14:textId="77777777" w:rsidR="00000000" w:rsidRDefault="00847163">
            <w:pPr>
              <w:jc w:val="right"/>
              <w:rPr>
                <w:rFonts w:eastAsia="Times New Roman"/>
                <w:sz w:val="16"/>
                <w:szCs w:val="16"/>
              </w:rPr>
            </w:pPr>
            <w:r>
              <w:rPr>
                <w:rFonts w:eastAsia="Times New Roman"/>
                <w:sz w:val="16"/>
                <w:szCs w:val="16"/>
              </w:rPr>
              <w:t>4,809,591</w:t>
            </w:r>
          </w:p>
        </w:tc>
        <w:tc>
          <w:tcPr>
            <w:tcW w:w="50" w:type="pct"/>
            <w:tcBorders>
              <w:bottom w:val="double" w:sz="6" w:space="0" w:color="000000"/>
            </w:tcBorders>
            <w:shd w:val="clear" w:color="auto" w:fill="FFFFFF"/>
            <w:vAlign w:val="bottom"/>
            <w:hideMark/>
          </w:tcPr>
          <w:p w14:paraId="5316226C" w14:textId="77777777" w:rsidR="00000000" w:rsidRDefault="00847163">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133378CE" w14:textId="77777777" w:rsidR="00000000" w:rsidRDefault="00847163">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38AE3C12" w14:textId="77777777" w:rsidR="00000000" w:rsidRDefault="00847163">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FFFFFF"/>
            <w:vAlign w:val="bottom"/>
            <w:hideMark/>
          </w:tcPr>
          <w:p w14:paraId="0F435216" w14:textId="77777777" w:rsidR="00000000" w:rsidRDefault="00847163">
            <w:pPr>
              <w:jc w:val="right"/>
              <w:rPr>
                <w:rFonts w:eastAsia="Times New Roman"/>
                <w:sz w:val="16"/>
                <w:szCs w:val="16"/>
              </w:rPr>
            </w:pPr>
            <w:r>
              <w:rPr>
                <w:rFonts w:eastAsia="Times New Roman"/>
                <w:sz w:val="16"/>
                <w:szCs w:val="16"/>
              </w:rPr>
              <w:t>62,878</w:t>
            </w:r>
          </w:p>
        </w:tc>
        <w:tc>
          <w:tcPr>
            <w:tcW w:w="50" w:type="pct"/>
            <w:tcBorders>
              <w:bottom w:val="double" w:sz="6" w:space="0" w:color="000000"/>
            </w:tcBorders>
            <w:shd w:val="clear" w:color="auto" w:fill="FFFFFF"/>
            <w:vAlign w:val="bottom"/>
            <w:hideMark/>
          </w:tcPr>
          <w:p w14:paraId="24B0DDC7" w14:textId="77777777" w:rsidR="00000000" w:rsidRDefault="00847163">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3038CF38" w14:textId="77777777" w:rsidR="00000000" w:rsidRDefault="00847163">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0E726C77" w14:textId="77777777" w:rsidR="00000000" w:rsidRDefault="00847163">
            <w:pPr>
              <w:rPr>
                <w:rFonts w:eastAsia="Times New Roman"/>
                <w:sz w:val="16"/>
                <w:szCs w:val="16"/>
              </w:rPr>
            </w:pPr>
            <w:r>
              <w:rPr>
                <w:rFonts w:eastAsia="Times New Roman"/>
                <w:sz w:val="16"/>
                <w:szCs w:val="16"/>
              </w:rPr>
              <w:t>$</w:t>
            </w:r>
          </w:p>
        </w:tc>
        <w:tc>
          <w:tcPr>
            <w:tcW w:w="200" w:type="pct"/>
            <w:tcBorders>
              <w:bottom w:val="double" w:sz="6" w:space="0" w:color="000000"/>
            </w:tcBorders>
            <w:shd w:val="clear" w:color="auto" w:fill="FFFFFF"/>
            <w:vAlign w:val="bottom"/>
            <w:hideMark/>
          </w:tcPr>
          <w:p w14:paraId="56B7D1E4" w14:textId="77777777" w:rsidR="00000000" w:rsidRDefault="00847163">
            <w:pPr>
              <w:jc w:val="right"/>
              <w:rPr>
                <w:rFonts w:eastAsia="Times New Roman"/>
                <w:sz w:val="16"/>
                <w:szCs w:val="16"/>
              </w:rPr>
            </w:pPr>
            <w:r>
              <w:rPr>
                <w:rFonts w:eastAsia="Times New Roman"/>
                <w:sz w:val="16"/>
                <w:szCs w:val="16"/>
              </w:rPr>
              <w:t>4,872,469</w:t>
            </w:r>
          </w:p>
        </w:tc>
        <w:tc>
          <w:tcPr>
            <w:tcW w:w="50" w:type="pct"/>
            <w:shd w:val="clear" w:color="auto" w:fill="FFFFFF"/>
            <w:tcMar>
              <w:top w:w="0" w:type="dxa"/>
              <w:left w:w="0" w:type="dxa"/>
              <w:bottom w:w="45" w:type="dxa"/>
              <w:right w:w="0" w:type="dxa"/>
            </w:tcMar>
            <w:vAlign w:val="bottom"/>
            <w:hideMark/>
          </w:tcPr>
          <w:p w14:paraId="64FC0EAA" w14:textId="77777777" w:rsidR="00000000" w:rsidRDefault="00847163">
            <w:pPr>
              <w:rPr>
                <w:rFonts w:eastAsia="Times New Roman"/>
                <w:sz w:val="16"/>
                <w:szCs w:val="16"/>
              </w:rPr>
            </w:pPr>
            <w:r>
              <w:rPr>
                <w:rFonts w:eastAsia="Times New Roman"/>
                <w:sz w:val="16"/>
                <w:szCs w:val="16"/>
              </w:rPr>
              <w:t> </w:t>
            </w:r>
          </w:p>
        </w:tc>
      </w:tr>
    </w:tbl>
    <w:p w14:paraId="7B179ED2" w14:textId="77777777" w:rsidR="00000000" w:rsidRDefault="00847163">
      <w:pPr>
        <w:pStyle w:val="a3"/>
        <w:spacing w:before="0" w:beforeAutospacing="0" w:after="0" w:afterAutospacing="0"/>
        <w:rPr>
          <w:sz w:val="20"/>
          <w:szCs w:val="20"/>
        </w:rPr>
      </w:pPr>
      <w:r>
        <w:rPr>
          <w:sz w:val="20"/>
          <w:szCs w:val="20"/>
        </w:rPr>
        <w:t> </w:t>
      </w:r>
    </w:p>
    <w:p w14:paraId="5434CA69" w14:textId="77777777" w:rsidR="00000000" w:rsidRDefault="00847163">
      <w:pPr>
        <w:pStyle w:val="a3"/>
        <w:spacing w:before="0" w:beforeAutospacing="0" w:after="0" w:afterAutospacing="0"/>
        <w:jc w:val="center"/>
        <w:rPr>
          <w:sz w:val="20"/>
          <w:szCs w:val="20"/>
        </w:rPr>
      </w:pPr>
      <w:r>
        <w:rPr>
          <w:sz w:val="20"/>
          <w:szCs w:val="20"/>
        </w:rPr>
        <w:t>The accompanying notes are an integral part of these condensed consolidated financial statements.</w:t>
      </w:r>
    </w:p>
    <w:p w14:paraId="0845FC2F" w14:textId="77777777" w:rsidR="00000000" w:rsidRDefault="00847163">
      <w:pPr>
        <w:pStyle w:val="a3"/>
        <w:spacing w:before="0" w:beforeAutospacing="0" w:after="0" w:afterAutospacing="0"/>
        <w:rPr>
          <w:sz w:val="20"/>
          <w:szCs w:val="20"/>
        </w:rPr>
      </w:pPr>
      <w:r>
        <w:rPr>
          <w:sz w:val="20"/>
          <w:szCs w:val="20"/>
        </w:rPr>
        <w:t> </w:t>
      </w:r>
    </w:p>
    <w:p w14:paraId="7FE848F9" w14:textId="77777777" w:rsidR="00000000" w:rsidRDefault="00847163">
      <w:pPr>
        <w:jc w:val="center"/>
        <w:divId w:val="396515355"/>
        <w:rPr>
          <w:rFonts w:eastAsia="Times New Roman"/>
          <w:sz w:val="20"/>
          <w:szCs w:val="20"/>
        </w:rPr>
      </w:pPr>
      <w:r>
        <w:rPr>
          <w:rFonts w:eastAsia="Times New Roman"/>
          <w:sz w:val="20"/>
          <w:szCs w:val="20"/>
        </w:rPr>
        <w:t xml:space="preserve">5 </w:t>
      </w:r>
    </w:p>
    <w:p w14:paraId="0D44779D" w14:textId="77777777" w:rsidR="00000000" w:rsidRDefault="00847163">
      <w:pPr>
        <w:divId w:val="1986815960"/>
        <w:rPr>
          <w:rFonts w:eastAsia="Times New Roman"/>
          <w:sz w:val="20"/>
          <w:szCs w:val="20"/>
        </w:rPr>
      </w:pPr>
      <w:r>
        <w:rPr>
          <w:rFonts w:eastAsia="Times New Roman"/>
          <w:sz w:val="20"/>
          <w:szCs w:val="20"/>
        </w:rPr>
        <w:pict w14:anchorId="13E39F99">
          <v:rect id="_x0000_i1033" style="width:0;height:1.5pt" o:hralign="center" o:hrstd="t" o:hr="t" fillcolor="#a0a0a0" stroked="f"/>
        </w:pict>
      </w:r>
    </w:p>
    <w:p w14:paraId="16AD7EF4" w14:textId="77777777" w:rsidR="00000000" w:rsidRDefault="00847163">
      <w:pPr>
        <w:divId w:val="515071783"/>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18EC23F8" w14:textId="77777777" w:rsidR="00000000" w:rsidRDefault="00847163">
      <w:pPr>
        <w:divId w:val="1606959890"/>
        <w:rPr>
          <w:rFonts w:eastAsia="Times New Roman"/>
          <w:sz w:val="20"/>
          <w:szCs w:val="20"/>
        </w:rPr>
      </w:pPr>
      <w:r>
        <w:rPr>
          <w:rFonts w:eastAsia="Times New Roman"/>
          <w:sz w:val="20"/>
          <w:szCs w:val="20"/>
        </w:rPr>
        <w:t xml:space="preserve">  </w:t>
      </w:r>
    </w:p>
    <w:p w14:paraId="362CA5F4" w14:textId="77777777" w:rsidR="00000000" w:rsidRDefault="00847163">
      <w:pPr>
        <w:pStyle w:val="a3"/>
        <w:spacing w:before="0" w:beforeAutospacing="0" w:after="0" w:afterAutospacing="0"/>
        <w:rPr>
          <w:sz w:val="20"/>
          <w:szCs w:val="20"/>
        </w:rPr>
      </w:pPr>
      <w:r>
        <w:rPr>
          <w:sz w:val="20"/>
          <w:szCs w:val="20"/>
        </w:rPr>
        <w:t> </w:t>
      </w:r>
    </w:p>
    <w:p w14:paraId="69E758B4" w14:textId="77777777" w:rsidR="00000000" w:rsidRDefault="00847163">
      <w:pPr>
        <w:pStyle w:val="a3"/>
        <w:spacing w:before="0" w:beforeAutospacing="0" w:after="0" w:afterAutospacing="0"/>
        <w:jc w:val="center"/>
        <w:rPr>
          <w:sz w:val="20"/>
          <w:szCs w:val="20"/>
        </w:rPr>
      </w:pPr>
      <w:r>
        <w:rPr>
          <w:sz w:val="20"/>
          <w:szCs w:val="20"/>
        </w:rPr>
        <w:t>KIMCO REALTY CORPORATION AND SUBSIDIARIES</w:t>
      </w:r>
    </w:p>
    <w:p w14:paraId="6B42F423" w14:textId="77777777" w:rsidR="00000000" w:rsidRDefault="00847163">
      <w:pPr>
        <w:pStyle w:val="a3"/>
        <w:spacing w:before="0" w:beforeAutospacing="0" w:after="0" w:afterAutospacing="0"/>
        <w:jc w:val="center"/>
        <w:rPr>
          <w:sz w:val="20"/>
          <w:szCs w:val="20"/>
        </w:rPr>
      </w:pPr>
      <w:r>
        <w:rPr>
          <w:sz w:val="20"/>
          <w:szCs w:val="20"/>
        </w:rPr>
        <w:t>CONDENSED CONSOLIDATED STATEMENTS OF CASH FLOWS</w:t>
      </w:r>
    </w:p>
    <w:p w14:paraId="029CE17F" w14:textId="77777777" w:rsidR="00000000" w:rsidRDefault="00847163">
      <w:pPr>
        <w:pStyle w:val="a3"/>
        <w:spacing w:before="0" w:beforeAutospacing="0" w:after="0" w:afterAutospacing="0"/>
        <w:jc w:val="center"/>
        <w:rPr>
          <w:sz w:val="20"/>
          <w:szCs w:val="20"/>
        </w:rPr>
      </w:pPr>
      <w:r>
        <w:rPr>
          <w:sz w:val="20"/>
          <w:szCs w:val="20"/>
        </w:rPr>
        <w:t>(Unaudited)</w:t>
      </w:r>
    </w:p>
    <w:p w14:paraId="57838580" w14:textId="77777777" w:rsidR="00000000" w:rsidRDefault="00847163">
      <w:pPr>
        <w:pStyle w:val="a3"/>
        <w:spacing w:before="0" w:beforeAutospacing="0" w:after="0" w:afterAutospacing="0"/>
        <w:jc w:val="center"/>
        <w:rPr>
          <w:sz w:val="20"/>
          <w:szCs w:val="20"/>
        </w:rPr>
      </w:pPr>
      <w:r>
        <w:rPr>
          <w:sz w:val="20"/>
          <w:szCs w:val="20"/>
        </w:rPr>
        <w:t>(in thousands)</w:t>
      </w:r>
    </w:p>
    <w:p w14:paraId="6BA55A77" w14:textId="77777777" w:rsidR="00000000" w:rsidRDefault="00847163">
      <w:pPr>
        <w:pStyle w:val="a3"/>
        <w:spacing w:before="0" w:beforeAutospacing="0" w:after="0" w:afterAutospacing="0"/>
        <w:jc w:val="center"/>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141"/>
        <w:gridCol w:w="78"/>
        <w:gridCol w:w="100"/>
        <w:gridCol w:w="826"/>
        <w:gridCol w:w="78"/>
        <w:gridCol w:w="78"/>
        <w:gridCol w:w="100"/>
        <w:gridCol w:w="826"/>
        <w:gridCol w:w="79"/>
      </w:tblGrid>
      <w:tr w:rsidR="00000000" w14:paraId="740DC06C" w14:textId="77777777">
        <w:trPr>
          <w:divId w:val="1720398011"/>
          <w:tblCellSpacing w:w="0" w:type="dxa"/>
        </w:trPr>
        <w:tc>
          <w:tcPr>
            <w:tcW w:w="0" w:type="auto"/>
            <w:vAlign w:val="bottom"/>
            <w:hideMark/>
          </w:tcPr>
          <w:p w14:paraId="418C6557"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421899D7" w14:textId="77777777" w:rsidR="00000000" w:rsidRDefault="00847163">
            <w:pPr>
              <w:rPr>
                <w:rFonts w:eastAsia="Times New Roman"/>
                <w:sz w:val="20"/>
                <w:szCs w:val="20"/>
              </w:rPr>
            </w:pPr>
            <w:r>
              <w:rPr>
                <w:rFonts w:eastAsia="Times New Roman"/>
                <w:sz w:val="20"/>
                <w:szCs w:val="20"/>
              </w:rPr>
              <w:t> </w:t>
            </w:r>
          </w:p>
        </w:tc>
        <w:tc>
          <w:tcPr>
            <w:tcW w:w="0" w:type="auto"/>
            <w:gridSpan w:val="6"/>
            <w:vAlign w:val="bottom"/>
            <w:hideMark/>
          </w:tcPr>
          <w:p w14:paraId="44D2A1C6" w14:textId="77777777" w:rsidR="00000000" w:rsidRDefault="00847163">
            <w:pPr>
              <w:pStyle w:val="a3"/>
              <w:spacing w:before="0" w:beforeAutospacing="0" w:after="0" w:afterAutospacing="0"/>
              <w:jc w:val="center"/>
              <w:rPr>
                <w:sz w:val="20"/>
                <w:szCs w:val="20"/>
              </w:rPr>
            </w:pPr>
            <w:r>
              <w:rPr>
                <w:b/>
                <w:bCs/>
                <w:sz w:val="20"/>
                <w:szCs w:val="20"/>
              </w:rPr>
              <w:t xml:space="preserve">Three Months Ended March 31, </w:t>
            </w:r>
          </w:p>
        </w:tc>
        <w:tc>
          <w:tcPr>
            <w:tcW w:w="0" w:type="auto"/>
            <w:vAlign w:val="bottom"/>
            <w:hideMark/>
          </w:tcPr>
          <w:p w14:paraId="5F950C82" w14:textId="77777777" w:rsidR="00000000" w:rsidRDefault="00847163">
            <w:pPr>
              <w:rPr>
                <w:rFonts w:eastAsia="Times New Roman"/>
                <w:sz w:val="20"/>
                <w:szCs w:val="20"/>
              </w:rPr>
            </w:pPr>
            <w:r>
              <w:rPr>
                <w:rFonts w:eastAsia="Times New Roman"/>
                <w:sz w:val="20"/>
                <w:szCs w:val="20"/>
              </w:rPr>
              <w:t> </w:t>
            </w:r>
          </w:p>
        </w:tc>
      </w:tr>
      <w:tr w:rsidR="00000000" w14:paraId="136F3CD4" w14:textId="77777777">
        <w:trPr>
          <w:divId w:val="1720398011"/>
          <w:tblCellSpacing w:w="0" w:type="dxa"/>
        </w:trPr>
        <w:tc>
          <w:tcPr>
            <w:tcW w:w="0" w:type="auto"/>
            <w:vAlign w:val="bottom"/>
            <w:hideMark/>
          </w:tcPr>
          <w:p w14:paraId="4E9BF056"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4F5FEBE2" w14:textId="77777777" w:rsidR="00000000" w:rsidRDefault="0084716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2DE9125F" w14:textId="77777777" w:rsidR="00000000" w:rsidRDefault="00847163">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14:paraId="6172951C"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03CF41C5" w14:textId="77777777" w:rsidR="00000000" w:rsidRDefault="0084716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411AD9F0" w14:textId="77777777" w:rsidR="00000000" w:rsidRDefault="00847163">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3E27AEF2" w14:textId="77777777" w:rsidR="00000000" w:rsidRDefault="00847163">
            <w:pPr>
              <w:rPr>
                <w:rFonts w:eastAsia="Times New Roman"/>
                <w:sz w:val="20"/>
                <w:szCs w:val="20"/>
              </w:rPr>
            </w:pPr>
            <w:r>
              <w:rPr>
                <w:rFonts w:eastAsia="Times New Roman"/>
                <w:sz w:val="20"/>
                <w:szCs w:val="20"/>
              </w:rPr>
              <w:t> </w:t>
            </w:r>
          </w:p>
        </w:tc>
      </w:tr>
      <w:tr w:rsidR="00000000" w14:paraId="4019BD77" w14:textId="77777777">
        <w:trPr>
          <w:divId w:val="1720398011"/>
          <w:tblCellSpacing w:w="0" w:type="dxa"/>
        </w:trPr>
        <w:tc>
          <w:tcPr>
            <w:tcW w:w="0" w:type="auto"/>
            <w:vAlign w:val="bottom"/>
            <w:hideMark/>
          </w:tcPr>
          <w:p w14:paraId="2D7D4C5C"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3AE739DE"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53A3C853"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4D48E75A"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00E04150"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363656D5"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5DADE8C5"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73C7A621"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4D3D34A7" w14:textId="77777777" w:rsidR="00000000" w:rsidRDefault="00847163">
            <w:pPr>
              <w:rPr>
                <w:rFonts w:eastAsia="Times New Roman"/>
                <w:sz w:val="20"/>
                <w:szCs w:val="20"/>
              </w:rPr>
            </w:pPr>
            <w:r>
              <w:rPr>
                <w:rFonts w:eastAsia="Times New Roman"/>
                <w:sz w:val="20"/>
                <w:szCs w:val="20"/>
              </w:rPr>
              <w:t> </w:t>
            </w:r>
          </w:p>
        </w:tc>
      </w:tr>
      <w:tr w:rsidR="00000000" w14:paraId="53119B94" w14:textId="77777777">
        <w:trPr>
          <w:divId w:val="1720398011"/>
          <w:tblCellSpacing w:w="0" w:type="dxa"/>
        </w:trPr>
        <w:tc>
          <w:tcPr>
            <w:tcW w:w="3700" w:type="pct"/>
            <w:shd w:val="clear" w:color="auto" w:fill="CCEEFF"/>
            <w:vAlign w:val="bottom"/>
            <w:hideMark/>
          </w:tcPr>
          <w:p w14:paraId="36864D0E" w14:textId="77777777" w:rsidR="00000000" w:rsidRDefault="00847163">
            <w:pPr>
              <w:pStyle w:val="a3"/>
              <w:spacing w:before="0" w:beforeAutospacing="0" w:after="0" w:afterAutospacing="0"/>
              <w:rPr>
                <w:sz w:val="20"/>
                <w:szCs w:val="20"/>
              </w:rPr>
            </w:pPr>
            <w:r>
              <w:rPr>
                <w:sz w:val="20"/>
                <w:szCs w:val="20"/>
              </w:rPr>
              <w:t>Cash flow from operating activities:</w:t>
            </w:r>
          </w:p>
        </w:tc>
        <w:tc>
          <w:tcPr>
            <w:tcW w:w="0" w:type="auto"/>
            <w:shd w:val="clear" w:color="auto" w:fill="CCEEFF"/>
            <w:vAlign w:val="bottom"/>
            <w:hideMark/>
          </w:tcPr>
          <w:p w14:paraId="5946EF38"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1542F15"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59EF625"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55C827"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BEC4A6C"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2EFEB4D"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922A930"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1C16376" w14:textId="77777777" w:rsidR="00000000" w:rsidRDefault="00847163">
            <w:pPr>
              <w:rPr>
                <w:rFonts w:eastAsia="Times New Roman"/>
                <w:sz w:val="20"/>
                <w:szCs w:val="20"/>
              </w:rPr>
            </w:pPr>
            <w:r>
              <w:rPr>
                <w:rFonts w:eastAsia="Times New Roman"/>
                <w:sz w:val="20"/>
                <w:szCs w:val="20"/>
              </w:rPr>
              <w:t> </w:t>
            </w:r>
          </w:p>
        </w:tc>
      </w:tr>
      <w:tr w:rsidR="00000000" w14:paraId="3821B13B" w14:textId="77777777">
        <w:trPr>
          <w:divId w:val="1720398011"/>
          <w:tblCellSpacing w:w="0" w:type="dxa"/>
        </w:trPr>
        <w:tc>
          <w:tcPr>
            <w:tcW w:w="0" w:type="auto"/>
            <w:shd w:val="clear" w:color="auto" w:fill="FFFFFF"/>
            <w:vAlign w:val="bottom"/>
            <w:hideMark/>
          </w:tcPr>
          <w:p w14:paraId="658A6451" w14:textId="77777777" w:rsidR="00000000" w:rsidRDefault="00847163">
            <w:pPr>
              <w:pStyle w:val="a3"/>
              <w:spacing w:before="0" w:beforeAutospacing="0" w:after="0" w:afterAutospacing="0"/>
              <w:ind w:left="180"/>
              <w:rPr>
                <w:sz w:val="20"/>
                <w:szCs w:val="20"/>
              </w:rPr>
            </w:pPr>
            <w:r>
              <w:rPr>
                <w:sz w:val="20"/>
                <w:szCs w:val="20"/>
              </w:rPr>
              <w:t>Net income</w:t>
            </w:r>
          </w:p>
        </w:tc>
        <w:tc>
          <w:tcPr>
            <w:tcW w:w="50" w:type="pct"/>
            <w:shd w:val="clear" w:color="auto" w:fill="FFFFFF"/>
            <w:vAlign w:val="bottom"/>
            <w:hideMark/>
          </w:tcPr>
          <w:p w14:paraId="09375251"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A5DAD91" w14:textId="77777777" w:rsidR="00000000" w:rsidRDefault="00847163">
            <w:pPr>
              <w:rPr>
                <w:rFonts w:eastAsia="Times New Roman"/>
                <w:sz w:val="20"/>
                <w:szCs w:val="20"/>
              </w:rPr>
            </w:pPr>
            <w:r>
              <w:rPr>
                <w:rFonts w:eastAsia="Times New Roman"/>
                <w:sz w:val="20"/>
                <w:szCs w:val="20"/>
              </w:rPr>
              <w:t>$</w:t>
            </w:r>
          </w:p>
        </w:tc>
        <w:tc>
          <w:tcPr>
            <w:tcW w:w="500" w:type="pct"/>
            <w:shd w:val="clear" w:color="auto" w:fill="FFFFFF"/>
            <w:vAlign w:val="bottom"/>
            <w:hideMark/>
          </w:tcPr>
          <w:p w14:paraId="66D859BB" w14:textId="77777777" w:rsidR="00000000" w:rsidRDefault="00847163">
            <w:pPr>
              <w:jc w:val="right"/>
              <w:rPr>
                <w:rFonts w:eastAsia="Times New Roman"/>
                <w:sz w:val="20"/>
                <w:szCs w:val="20"/>
              </w:rPr>
            </w:pPr>
            <w:r>
              <w:rPr>
                <w:rFonts w:eastAsia="Times New Roman"/>
                <w:sz w:val="20"/>
                <w:szCs w:val="20"/>
              </w:rPr>
              <w:t>90,389</w:t>
            </w:r>
          </w:p>
        </w:tc>
        <w:tc>
          <w:tcPr>
            <w:tcW w:w="50" w:type="pct"/>
            <w:shd w:val="clear" w:color="auto" w:fill="FFFFFF"/>
            <w:vAlign w:val="bottom"/>
            <w:hideMark/>
          </w:tcPr>
          <w:p w14:paraId="14F754C5"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F7BCA60"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B0FC9A5" w14:textId="77777777" w:rsidR="00000000" w:rsidRDefault="00847163">
            <w:pPr>
              <w:rPr>
                <w:rFonts w:eastAsia="Times New Roman"/>
                <w:sz w:val="20"/>
                <w:szCs w:val="20"/>
              </w:rPr>
            </w:pPr>
            <w:r>
              <w:rPr>
                <w:rFonts w:eastAsia="Times New Roman"/>
                <w:sz w:val="20"/>
                <w:szCs w:val="20"/>
              </w:rPr>
              <w:t>$</w:t>
            </w:r>
          </w:p>
        </w:tc>
        <w:tc>
          <w:tcPr>
            <w:tcW w:w="500" w:type="pct"/>
            <w:shd w:val="clear" w:color="auto" w:fill="FFFFFF"/>
            <w:vAlign w:val="bottom"/>
            <w:hideMark/>
          </w:tcPr>
          <w:p w14:paraId="27B7BA0D" w14:textId="77777777" w:rsidR="00000000" w:rsidRDefault="00847163">
            <w:pPr>
              <w:jc w:val="right"/>
              <w:rPr>
                <w:rFonts w:eastAsia="Times New Roman"/>
                <w:sz w:val="20"/>
                <w:szCs w:val="20"/>
              </w:rPr>
            </w:pPr>
            <w:r>
              <w:rPr>
                <w:rFonts w:eastAsia="Times New Roman"/>
                <w:sz w:val="20"/>
                <w:szCs w:val="20"/>
              </w:rPr>
              <w:t>116,678</w:t>
            </w:r>
          </w:p>
        </w:tc>
        <w:tc>
          <w:tcPr>
            <w:tcW w:w="50" w:type="pct"/>
            <w:shd w:val="clear" w:color="auto" w:fill="FFFFFF"/>
            <w:vAlign w:val="bottom"/>
            <w:hideMark/>
          </w:tcPr>
          <w:p w14:paraId="4E6948FB" w14:textId="77777777" w:rsidR="00000000" w:rsidRDefault="00847163">
            <w:pPr>
              <w:rPr>
                <w:rFonts w:eastAsia="Times New Roman"/>
                <w:sz w:val="20"/>
                <w:szCs w:val="20"/>
              </w:rPr>
            </w:pPr>
            <w:r>
              <w:rPr>
                <w:rFonts w:eastAsia="Times New Roman"/>
                <w:sz w:val="20"/>
                <w:szCs w:val="20"/>
              </w:rPr>
              <w:t> </w:t>
            </w:r>
          </w:p>
        </w:tc>
      </w:tr>
      <w:tr w:rsidR="00000000" w14:paraId="37ADB2CA" w14:textId="77777777">
        <w:trPr>
          <w:divId w:val="1720398011"/>
          <w:tblCellSpacing w:w="0" w:type="dxa"/>
        </w:trPr>
        <w:tc>
          <w:tcPr>
            <w:tcW w:w="0" w:type="auto"/>
            <w:shd w:val="clear" w:color="auto" w:fill="CCEEFF"/>
            <w:vAlign w:val="bottom"/>
            <w:hideMark/>
          </w:tcPr>
          <w:p w14:paraId="7F98FB6C" w14:textId="77777777" w:rsidR="00000000" w:rsidRDefault="00847163">
            <w:pPr>
              <w:pStyle w:val="a3"/>
              <w:spacing w:before="0" w:beforeAutospacing="0" w:after="0" w:afterAutospacing="0"/>
              <w:ind w:left="180"/>
              <w:rPr>
                <w:sz w:val="20"/>
                <w:szCs w:val="20"/>
              </w:rPr>
            </w:pPr>
            <w:r>
              <w:rPr>
                <w:sz w:val="20"/>
                <w:szCs w:val="20"/>
              </w:rPr>
              <w:t>Adjustments to reconcile net income to net cash provided by operating activities:</w:t>
            </w:r>
          </w:p>
        </w:tc>
        <w:tc>
          <w:tcPr>
            <w:tcW w:w="0" w:type="auto"/>
            <w:shd w:val="clear" w:color="auto" w:fill="CCEEFF"/>
            <w:vAlign w:val="bottom"/>
            <w:hideMark/>
          </w:tcPr>
          <w:p w14:paraId="2AF25A04"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E7427FE"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92EFB43"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A6A17D3"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20D55E"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DA63737"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CA0F812"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659A222" w14:textId="77777777" w:rsidR="00000000" w:rsidRDefault="00847163">
            <w:pPr>
              <w:rPr>
                <w:rFonts w:eastAsia="Times New Roman"/>
                <w:sz w:val="20"/>
                <w:szCs w:val="20"/>
              </w:rPr>
            </w:pPr>
            <w:r>
              <w:rPr>
                <w:rFonts w:eastAsia="Times New Roman"/>
                <w:sz w:val="20"/>
                <w:szCs w:val="20"/>
              </w:rPr>
              <w:t> </w:t>
            </w:r>
          </w:p>
        </w:tc>
      </w:tr>
      <w:tr w:rsidR="00000000" w14:paraId="6A055C00" w14:textId="77777777">
        <w:trPr>
          <w:divId w:val="1720398011"/>
          <w:tblCellSpacing w:w="0" w:type="dxa"/>
        </w:trPr>
        <w:tc>
          <w:tcPr>
            <w:tcW w:w="0" w:type="auto"/>
            <w:shd w:val="clear" w:color="auto" w:fill="FFFFFF"/>
            <w:vAlign w:val="bottom"/>
            <w:hideMark/>
          </w:tcPr>
          <w:p w14:paraId="1DB0D151" w14:textId="77777777" w:rsidR="00000000" w:rsidRDefault="00847163">
            <w:pPr>
              <w:pStyle w:val="a3"/>
              <w:spacing w:before="0" w:beforeAutospacing="0" w:after="0" w:afterAutospacing="0"/>
              <w:ind w:left="360"/>
              <w:rPr>
                <w:sz w:val="20"/>
                <w:szCs w:val="20"/>
              </w:rPr>
            </w:pPr>
            <w:r>
              <w:rPr>
                <w:sz w:val="20"/>
                <w:szCs w:val="20"/>
              </w:rPr>
              <w:t>Depreciation and amortization</w:t>
            </w:r>
          </w:p>
        </w:tc>
        <w:tc>
          <w:tcPr>
            <w:tcW w:w="50" w:type="pct"/>
            <w:shd w:val="clear" w:color="auto" w:fill="FFFFFF"/>
            <w:vAlign w:val="bottom"/>
            <w:hideMark/>
          </w:tcPr>
          <w:p w14:paraId="235AD36A"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E6D4BD1" w14:textId="77777777" w:rsidR="00000000" w:rsidRDefault="00847163">
            <w:pPr>
              <w:rPr>
                <w:rFonts w:eastAsia="Times New Roman"/>
                <w:sz w:val="20"/>
                <w:szCs w:val="20"/>
              </w:rPr>
            </w:pPr>
            <w:r>
              <w:rPr>
                <w:rFonts w:eastAsia="Times New Roman"/>
                <w:sz w:val="20"/>
                <w:szCs w:val="20"/>
              </w:rPr>
              <w:t> </w:t>
            </w:r>
          </w:p>
        </w:tc>
        <w:tc>
          <w:tcPr>
            <w:tcW w:w="500" w:type="pct"/>
            <w:shd w:val="clear" w:color="auto" w:fill="FFFFFF"/>
            <w:vAlign w:val="bottom"/>
            <w:hideMark/>
          </w:tcPr>
          <w:p w14:paraId="7202879C" w14:textId="77777777" w:rsidR="00000000" w:rsidRDefault="00847163">
            <w:pPr>
              <w:jc w:val="right"/>
              <w:rPr>
                <w:rFonts w:eastAsia="Times New Roman"/>
                <w:sz w:val="20"/>
                <w:szCs w:val="20"/>
              </w:rPr>
            </w:pPr>
            <w:r>
              <w:rPr>
                <w:rFonts w:eastAsia="Times New Roman"/>
                <w:sz w:val="20"/>
                <w:szCs w:val="20"/>
              </w:rPr>
              <w:t>69,397</w:t>
            </w:r>
          </w:p>
        </w:tc>
        <w:tc>
          <w:tcPr>
            <w:tcW w:w="50" w:type="pct"/>
            <w:shd w:val="clear" w:color="auto" w:fill="FFFFFF"/>
            <w:vAlign w:val="bottom"/>
            <w:hideMark/>
          </w:tcPr>
          <w:p w14:paraId="66196115"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6AE54BE"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8F5EF5E" w14:textId="77777777" w:rsidR="00000000" w:rsidRDefault="00847163">
            <w:pPr>
              <w:rPr>
                <w:rFonts w:eastAsia="Times New Roman"/>
                <w:sz w:val="20"/>
                <w:szCs w:val="20"/>
              </w:rPr>
            </w:pPr>
            <w:r>
              <w:rPr>
                <w:rFonts w:eastAsia="Times New Roman"/>
                <w:sz w:val="20"/>
                <w:szCs w:val="20"/>
              </w:rPr>
              <w:t> </w:t>
            </w:r>
          </w:p>
        </w:tc>
        <w:tc>
          <w:tcPr>
            <w:tcW w:w="500" w:type="pct"/>
            <w:shd w:val="clear" w:color="auto" w:fill="FFFFFF"/>
            <w:vAlign w:val="bottom"/>
            <w:hideMark/>
          </w:tcPr>
          <w:p w14:paraId="2DECA3D2" w14:textId="77777777" w:rsidR="00000000" w:rsidRDefault="00847163">
            <w:pPr>
              <w:jc w:val="right"/>
              <w:rPr>
                <w:rFonts w:eastAsia="Times New Roman"/>
                <w:sz w:val="20"/>
                <w:szCs w:val="20"/>
              </w:rPr>
            </w:pPr>
            <w:r>
              <w:rPr>
                <w:rFonts w:eastAsia="Times New Roman"/>
                <w:sz w:val="20"/>
                <w:szCs w:val="20"/>
              </w:rPr>
              <w:t>71,561</w:t>
            </w:r>
          </w:p>
        </w:tc>
        <w:tc>
          <w:tcPr>
            <w:tcW w:w="50" w:type="pct"/>
            <w:shd w:val="clear" w:color="auto" w:fill="FFFFFF"/>
            <w:vAlign w:val="bottom"/>
            <w:hideMark/>
          </w:tcPr>
          <w:p w14:paraId="6A556B61" w14:textId="77777777" w:rsidR="00000000" w:rsidRDefault="00847163">
            <w:pPr>
              <w:rPr>
                <w:rFonts w:eastAsia="Times New Roman"/>
                <w:sz w:val="20"/>
                <w:szCs w:val="20"/>
              </w:rPr>
            </w:pPr>
            <w:r>
              <w:rPr>
                <w:rFonts w:eastAsia="Times New Roman"/>
                <w:sz w:val="20"/>
                <w:szCs w:val="20"/>
              </w:rPr>
              <w:t> </w:t>
            </w:r>
          </w:p>
        </w:tc>
      </w:tr>
      <w:tr w:rsidR="00000000" w14:paraId="59CAAD2A" w14:textId="77777777">
        <w:trPr>
          <w:divId w:val="1720398011"/>
          <w:tblCellSpacing w:w="0" w:type="dxa"/>
        </w:trPr>
        <w:tc>
          <w:tcPr>
            <w:tcW w:w="0" w:type="auto"/>
            <w:shd w:val="clear" w:color="auto" w:fill="CCEEFF"/>
            <w:vAlign w:val="bottom"/>
            <w:hideMark/>
          </w:tcPr>
          <w:p w14:paraId="6AA75E30" w14:textId="77777777" w:rsidR="00000000" w:rsidRDefault="00847163">
            <w:pPr>
              <w:pStyle w:val="a3"/>
              <w:spacing w:before="0" w:beforeAutospacing="0" w:after="0" w:afterAutospacing="0"/>
              <w:ind w:left="360"/>
              <w:rPr>
                <w:sz w:val="20"/>
                <w:szCs w:val="20"/>
              </w:rPr>
            </w:pPr>
            <w:r>
              <w:rPr>
                <w:sz w:val="20"/>
                <w:szCs w:val="20"/>
              </w:rPr>
              <w:t>Impairment charges</w:t>
            </w:r>
          </w:p>
        </w:tc>
        <w:tc>
          <w:tcPr>
            <w:tcW w:w="50" w:type="pct"/>
            <w:shd w:val="clear" w:color="auto" w:fill="CCEEFF"/>
            <w:vAlign w:val="bottom"/>
            <w:hideMark/>
          </w:tcPr>
          <w:p w14:paraId="31D550BF"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F878C25" w14:textId="77777777" w:rsidR="00000000" w:rsidRDefault="00847163">
            <w:pPr>
              <w:rPr>
                <w:rFonts w:eastAsia="Times New Roman"/>
                <w:sz w:val="20"/>
                <w:szCs w:val="20"/>
              </w:rPr>
            </w:pPr>
            <w:r>
              <w:rPr>
                <w:rFonts w:eastAsia="Times New Roman"/>
                <w:sz w:val="20"/>
                <w:szCs w:val="20"/>
              </w:rPr>
              <w:t> </w:t>
            </w:r>
          </w:p>
        </w:tc>
        <w:tc>
          <w:tcPr>
            <w:tcW w:w="500" w:type="pct"/>
            <w:shd w:val="clear" w:color="auto" w:fill="CCEEFF"/>
            <w:vAlign w:val="bottom"/>
            <w:hideMark/>
          </w:tcPr>
          <w:p w14:paraId="6E1862B2" w14:textId="77777777" w:rsidR="00000000" w:rsidRDefault="00847163">
            <w:pPr>
              <w:jc w:val="right"/>
              <w:rPr>
                <w:rFonts w:eastAsia="Times New Roman"/>
                <w:sz w:val="20"/>
                <w:szCs w:val="20"/>
              </w:rPr>
            </w:pPr>
            <w:r>
              <w:rPr>
                <w:rFonts w:eastAsia="Times New Roman"/>
                <w:sz w:val="20"/>
                <w:szCs w:val="20"/>
              </w:rPr>
              <w:t>2,974</w:t>
            </w:r>
          </w:p>
        </w:tc>
        <w:tc>
          <w:tcPr>
            <w:tcW w:w="50" w:type="pct"/>
            <w:shd w:val="clear" w:color="auto" w:fill="CCEEFF"/>
            <w:vAlign w:val="bottom"/>
            <w:hideMark/>
          </w:tcPr>
          <w:p w14:paraId="388F3F26"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A7671A3"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CF27C70" w14:textId="77777777" w:rsidR="00000000" w:rsidRDefault="00847163">
            <w:pPr>
              <w:rPr>
                <w:rFonts w:eastAsia="Times New Roman"/>
                <w:sz w:val="20"/>
                <w:szCs w:val="20"/>
              </w:rPr>
            </w:pPr>
            <w:r>
              <w:rPr>
                <w:rFonts w:eastAsia="Times New Roman"/>
                <w:sz w:val="20"/>
                <w:szCs w:val="20"/>
              </w:rPr>
              <w:t> </w:t>
            </w:r>
          </w:p>
        </w:tc>
        <w:tc>
          <w:tcPr>
            <w:tcW w:w="500" w:type="pct"/>
            <w:shd w:val="clear" w:color="auto" w:fill="CCEEFF"/>
            <w:vAlign w:val="bottom"/>
            <w:hideMark/>
          </w:tcPr>
          <w:p w14:paraId="5D9CC90D" w14:textId="77777777" w:rsidR="00000000" w:rsidRDefault="00847163">
            <w:pPr>
              <w:jc w:val="right"/>
              <w:rPr>
                <w:rFonts w:eastAsia="Times New Roman"/>
                <w:sz w:val="20"/>
                <w:szCs w:val="20"/>
              </w:rPr>
            </w:pPr>
            <w:r>
              <w:rPr>
                <w:rFonts w:eastAsia="Times New Roman"/>
                <w:sz w:val="20"/>
                <w:szCs w:val="20"/>
              </w:rPr>
              <w:t>4,175</w:t>
            </w:r>
          </w:p>
        </w:tc>
        <w:tc>
          <w:tcPr>
            <w:tcW w:w="50" w:type="pct"/>
            <w:shd w:val="clear" w:color="auto" w:fill="CCEEFF"/>
            <w:vAlign w:val="bottom"/>
            <w:hideMark/>
          </w:tcPr>
          <w:p w14:paraId="62D9D4EF" w14:textId="77777777" w:rsidR="00000000" w:rsidRDefault="00847163">
            <w:pPr>
              <w:rPr>
                <w:rFonts w:eastAsia="Times New Roman"/>
                <w:sz w:val="20"/>
                <w:szCs w:val="20"/>
              </w:rPr>
            </w:pPr>
            <w:r>
              <w:rPr>
                <w:rFonts w:eastAsia="Times New Roman"/>
                <w:sz w:val="20"/>
                <w:szCs w:val="20"/>
              </w:rPr>
              <w:t> </w:t>
            </w:r>
          </w:p>
        </w:tc>
      </w:tr>
      <w:tr w:rsidR="00000000" w14:paraId="3F803850" w14:textId="77777777">
        <w:trPr>
          <w:divId w:val="1720398011"/>
          <w:tblCellSpacing w:w="0" w:type="dxa"/>
        </w:trPr>
        <w:tc>
          <w:tcPr>
            <w:tcW w:w="0" w:type="auto"/>
            <w:shd w:val="clear" w:color="auto" w:fill="FFFFFF"/>
            <w:vAlign w:val="bottom"/>
            <w:hideMark/>
          </w:tcPr>
          <w:p w14:paraId="4F620404" w14:textId="77777777" w:rsidR="00000000" w:rsidRDefault="00847163">
            <w:pPr>
              <w:pStyle w:val="a3"/>
              <w:spacing w:before="0" w:beforeAutospacing="0" w:after="0" w:afterAutospacing="0"/>
              <w:ind w:left="360"/>
              <w:rPr>
                <w:sz w:val="20"/>
                <w:szCs w:val="20"/>
              </w:rPr>
            </w:pPr>
            <w:r>
              <w:rPr>
                <w:sz w:val="20"/>
                <w:szCs w:val="20"/>
              </w:rPr>
              <w:t>Equity award expense</w:t>
            </w:r>
          </w:p>
        </w:tc>
        <w:tc>
          <w:tcPr>
            <w:tcW w:w="50" w:type="pct"/>
            <w:shd w:val="clear" w:color="auto" w:fill="FFFFFF"/>
            <w:vAlign w:val="bottom"/>
            <w:hideMark/>
          </w:tcPr>
          <w:p w14:paraId="7E40EC89"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BBF30DE" w14:textId="77777777" w:rsidR="00000000" w:rsidRDefault="00847163">
            <w:pPr>
              <w:rPr>
                <w:rFonts w:eastAsia="Times New Roman"/>
                <w:sz w:val="20"/>
                <w:szCs w:val="20"/>
              </w:rPr>
            </w:pPr>
            <w:r>
              <w:rPr>
                <w:rFonts w:eastAsia="Times New Roman"/>
                <w:sz w:val="20"/>
                <w:szCs w:val="20"/>
              </w:rPr>
              <w:t> </w:t>
            </w:r>
          </w:p>
        </w:tc>
        <w:tc>
          <w:tcPr>
            <w:tcW w:w="500" w:type="pct"/>
            <w:shd w:val="clear" w:color="auto" w:fill="FFFFFF"/>
            <w:vAlign w:val="bottom"/>
            <w:hideMark/>
          </w:tcPr>
          <w:p w14:paraId="10C27A1C" w14:textId="77777777" w:rsidR="00000000" w:rsidRDefault="00847163">
            <w:pPr>
              <w:jc w:val="right"/>
              <w:rPr>
                <w:rFonts w:eastAsia="Times New Roman"/>
                <w:sz w:val="20"/>
                <w:szCs w:val="20"/>
              </w:rPr>
            </w:pPr>
            <w:r>
              <w:rPr>
                <w:rFonts w:eastAsia="Times New Roman"/>
                <w:sz w:val="20"/>
                <w:szCs w:val="20"/>
              </w:rPr>
              <w:t>5,905</w:t>
            </w:r>
          </w:p>
        </w:tc>
        <w:tc>
          <w:tcPr>
            <w:tcW w:w="50" w:type="pct"/>
            <w:shd w:val="clear" w:color="auto" w:fill="FFFFFF"/>
            <w:vAlign w:val="bottom"/>
            <w:hideMark/>
          </w:tcPr>
          <w:p w14:paraId="0FD34643"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73B33C2"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53D74E3" w14:textId="77777777" w:rsidR="00000000" w:rsidRDefault="00847163">
            <w:pPr>
              <w:rPr>
                <w:rFonts w:eastAsia="Times New Roman"/>
                <w:sz w:val="20"/>
                <w:szCs w:val="20"/>
              </w:rPr>
            </w:pPr>
            <w:r>
              <w:rPr>
                <w:rFonts w:eastAsia="Times New Roman"/>
                <w:sz w:val="20"/>
                <w:szCs w:val="20"/>
              </w:rPr>
              <w:t> </w:t>
            </w:r>
          </w:p>
        </w:tc>
        <w:tc>
          <w:tcPr>
            <w:tcW w:w="500" w:type="pct"/>
            <w:shd w:val="clear" w:color="auto" w:fill="FFFFFF"/>
            <w:vAlign w:val="bottom"/>
            <w:hideMark/>
          </w:tcPr>
          <w:p w14:paraId="51BA1962" w14:textId="77777777" w:rsidR="00000000" w:rsidRDefault="00847163">
            <w:pPr>
              <w:jc w:val="right"/>
              <w:rPr>
                <w:rFonts w:eastAsia="Times New Roman"/>
                <w:sz w:val="20"/>
                <w:szCs w:val="20"/>
              </w:rPr>
            </w:pPr>
            <w:r>
              <w:rPr>
                <w:rFonts w:eastAsia="Times New Roman"/>
                <w:sz w:val="20"/>
                <w:szCs w:val="20"/>
              </w:rPr>
              <w:t>5,477</w:t>
            </w:r>
          </w:p>
        </w:tc>
        <w:tc>
          <w:tcPr>
            <w:tcW w:w="50" w:type="pct"/>
            <w:shd w:val="clear" w:color="auto" w:fill="FFFFFF"/>
            <w:vAlign w:val="bottom"/>
            <w:hideMark/>
          </w:tcPr>
          <w:p w14:paraId="6B6C943F" w14:textId="77777777" w:rsidR="00000000" w:rsidRDefault="00847163">
            <w:pPr>
              <w:rPr>
                <w:rFonts w:eastAsia="Times New Roman"/>
                <w:sz w:val="20"/>
                <w:szCs w:val="20"/>
              </w:rPr>
            </w:pPr>
            <w:r>
              <w:rPr>
                <w:rFonts w:eastAsia="Times New Roman"/>
                <w:sz w:val="20"/>
                <w:szCs w:val="20"/>
              </w:rPr>
              <w:t> </w:t>
            </w:r>
          </w:p>
        </w:tc>
      </w:tr>
      <w:tr w:rsidR="00000000" w14:paraId="3218758C" w14:textId="77777777">
        <w:trPr>
          <w:divId w:val="1720398011"/>
          <w:tblCellSpacing w:w="0" w:type="dxa"/>
        </w:trPr>
        <w:tc>
          <w:tcPr>
            <w:tcW w:w="0" w:type="auto"/>
            <w:shd w:val="clear" w:color="auto" w:fill="CCEEFF"/>
            <w:vAlign w:val="bottom"/>
            <w:hideMark/>
          </w:tcPr>
          <w:p w14:paraId="34FD1F9E" w14:textId="77777777" w:rsidR="00000000" w:rsidRDefault="00847163">
            <w:pPr>
              <w:pStyle w:val="a3"/>
              <w:spacing w:before="0" w:beforeAutospacing="0" w:after="0" w:afterAutospacing="0"/>
              <w:ind w:left="360"/>
              <w:rPr>
                <w:sz w:val="20"/>
                <w:szCs w:val="20"/>
              </w:rPr>
            </w:pPr>
            <w:r>
              <w:rPr>
                <w:sz w:val="20"/>
                <w:szCs w:val="20"/>
              </w:rPr>
              <w:t>Gain on sale of properties</w:t>
            </w:r>
          </w:p>
        </w:tc>
        <w:tc>
          <w:tcPr>
            <w:tcW w:w="50" w:type="pct"/>
            <w:shd w:val="clear" w:color="auto" w:fill="CCEEFF"/>
            <w:vAlign w:val="bottom"/>
            <w:hideMark/>
          </w:tcPr>
          <w:p w14:paraId="6DB2BFF8"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D7B898C" w14:textId="77777777" w:rsidR="00000000" w:rsidRDefault="00847163">
            <w:pPr>
              <w:rPr>
                <w:rFonts w:eastAsia="Times New Roman"/>
                <w:sz w:val="20"/>
                <w:szCs w:val="20"/>
              </w:rPr>
            </w:pPr>
            <w:r>
              <w:rPr>
                <w:rFonts w:eastAsia="Times New Roman"/>
                <w:sz w:val="20"/>
                <w:szCs w:val="20"/>
              </w:rPr>
              <w:t> </w:t>
            </w:r>
          </w:p>
        </w:tc>
        <w:tc>
          <w:tcPr>
            <w:tcW w:w="500" w:type="pct"/>
            <w:shd w:val="clear" w:color="auto" w:fill="CCEEFF"/>
            <w:vAlign w:val="bottom"/>
            <w:hideMark/>
          </w:tcPr>
          <w:p w14:paraId="0758B4D4" w14:textId="77777777" w:rsidR="00000000" w:rsidRDefault="00847163">
            <w:pPr>
              <w:jc w:val="right"/>
              <w:rPr>
                <w:rFonts w:eastAsia="Times New Roman"/>
                <w:sz w:val="20"/>
                <w:szCs w:val="20"/>
              </w:rPr>
            </w:pPr>
            <w:r>
              <w:rPr>
                <w:rFonts w:eastAsia="Times New Roman"/>
                <w:sz w:val="20"/>
                <w:szCs w:val="20"/>
              </w:rPr>
              <w:t>(3,847</w:t>
            </w:r>
          </w:p>
        </w:tc>
        <w:tc>
          <w:tcPr>
            <w:tcW w:w="50" w:type="pct"/>
            <w:shd w:val="clear" w:color="auto" w:fill="CCEEFF"/>
            <w:vAlign w:val="bottom"/>
            <w:hideMark/>
          </w:tcPr>
          <w:p w14:paraId="711DCAF5" w14:textId="77777777" w:rsidR="00000000" w:rsidRDefault="00847163">
            <w:pPr>
              <w:rPr>
                <w:rFonts w:eastAsia="Times New Roman"/>
                <w:sz w:val="20"/>
                <w:szCs w:val="20"/>
              </w:rPr>
            </w:pPr>
            <w:r>
              <w:rPr>
                <w:rFonts w:eastAsia="Times New Roman"/>
                <w:sz w:val="20"/>
                <w:szCs w:val="20"/>
              </w:rPr>
              <w:t>)</w:t>
            </w:r>
          </w:p>
        </w:tc>
        <w:tc>
          <w:tcPr>
            <w:tcW w:w="50" w:type="pct"/>
            <w:shd w:val="clear" w:color="auto" w:fill="CCEEFF"/>
            <w:vAlign w:val="bottom"/>
            <w:hideMark/>
          </w:tcPr>
          <w:p w14:paraId="1EFFFDB6"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DB4E763" w14:textId="77777777" w:rsidR="00000000" w:rsidRDefault="00847163">
            <w:pPr>
              <w:rPr>
                <w:rFonts w:eastAsia="Times New Roman"/>
                <w:sz w:val="20"/>
                <w:szCs w:val="20"/>
              </w:rPr>
            </w:pPr>
            <w:r>
              <w:rPr>
                <w:rFonts w:eastAsia="Times New Roman"/>
                <w:sz w:val="20"/>
                <w:szCs w:val="20"/>
              </w:rPr>
              <w:t> </w:t>
            </w:r>
          </w:p>
        </w:tc>
        <w:tc>
          <w:tcPr>
            <w:tcW w:w="500" w:type="pct"/>
            <w:shd w:val="clear" w:color="auto" w:fill="CCEEFF"/>
            <w:vAlign w:val="bottom"/>
            <w:hideMark/>
          </w:tcPr>
          <w:p w14:paraId="001DAA9E" w14:textId="77777777" w:rsidR="00000000" w:rsidRDefault="00847163">
            <w:pPr>
              <w:jc w:val="right"/>
              <w:rPr>
                <w:rFonts w:eastAsia="Times New Roman"/>
                <w:sz w:val="20"/>
                <w:szCs w:val="20"/>
              </w:rPr>
            </w:pPr>
            <w:r>
              <w:rPr>
                <w:rFonts w:eastAsia="Times New Roman"/>
                <w:sz w:val="20"/>
                <w:szCs w:val="20"/>
              </w:rPr>
              <w:t>(23,595</w:t>
            </w:r>
          </w:p>
        </w:tc>
        <w:tc>
          <w:tcPr>
            <w:tcW w:w="50" w:type="pct"/>
            <w:shd w:val="clear" w:color="auto" w:fill="CCEEFF"/>
            <w:vAlign w:val="bottom"/>
            <w:hideMark/>
          </w:tcPr>
          <w:p w14:paraId="0D272739" w14:textId="77777777" w:rsidR="00000000" w:rsidRDefault="00847163">
            <w:pPr>
              <w:rPr>
                <w:rFonts w:eastAsia="Times New Roman"/>
                <w:sz w:val="20"/>
                <w:szCs w:val="20"/>
              </w:rPr>
            </w:pPr>
            <w:r>
              <w:rPr>
                <w:rFonts w:eastAsia="Times New Roman"/>
                <w:sz w:val="20"/>
                <w:szCs w:val="20"/>
              </w:rPr>
              <w:t>)</w:t>
            </w:r>
          </w:p>
        </w:tc>
      </w:tr>
      <w:tr w:rsidR="00000000" w14:paraId="30204354" w14:textId="77777777">
        <w:trPr>
          <w:divId w:val="1720398011"/>
          <w:tblCellSpacing w:w="0" w:type="dxa"/>
        </w:trPr>
        <w:tc>
          <w:tcPr>
            <w:tcW w:w="0" w:type="auto"/>
            <w:shd w:val="clear" w:color="auto" w:fill="FFFFFF"/>
            <w:vAlign w:val="bottom"/>
            <w:hideMark/>
          </w:tcPr>
          <w:p w14:paraId="6F625AC8" w14:textId="77777777" w:rsidR="00000000" w:rsidRDefault="00847163">
            <w:pPr>
              <w:pStyle w:val="a3"/>
              <w:spacing w:before="0" w:beforeAutospacing="0" w:after="0" w:afterAutospacing="0"/>
              <w:ind w:left="360"/>
              <w:rPr>
                <w:sz w:val="20"/>
                <w:szCs w:val="20"/>
              </w:rPr>
            </w:pPr>
            <w:r>
              <w:rPr>
                <w:sz w:val="20"/>
                <w:szCs w:val="20"/>
              </w:rPr>
              <w:t>Equity in income of joint ventures, net</w:t>
            </w:r>
          </w:p>
        </w:tc>
        <w:tc>
          <w:tcPr>
            <w:tcW w:w="50" w:type="pct"/>
            <w:shd w:val="clear" w:color="auto" w:fill="FFFFFF"/>
            <w:vAlign w:val="bottom"/>
            <w:hideMark/>
          </w:tcPr>
          <w:p w14:paraId="2B41A0EF"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FC7ACD8" w14:textId="77777777" w:rsidR="00000000" w:rsidRDefault="00847163">
            <w:pPr>
              <w:rPr>
                <w:rFonts w:eastAsia="Times New Roman"/>
                <w:sz w:val="20"/>
                <w:szCs w:val="20"/>
              </w:rPr>
            </w:pPr>
            <w:r>
              <w:rPr>
                <w:rFonts w:eastAsia="Times New Roman"/>
                <w:sz w:val="20"/>
                <w:szCs w:val="20"/>
              </w:rPr>
              <w:t> </w:t>
            </w:r>
          </w:p>
        </w:tc>
        <w:tc>
          <w:tcPr>
            <w:tcW w:w="500" w:type="pct"/>
            <w:shd w:val="clear" w:color="auto" w:fill="FFFFFF"/>
            <w:vAlign w:val="bottom"/>
            <w:hideMark/>
          </w:tcPr>
          <w:p w14:paraId="7A3EA0E6" w14:textId="77777777" w:rsidR="00000000" w:rsidRDefault="00847163">
            <w:pPr>
              <w:jc w:val="right"/>
              <w:rPr>
                <w:rFonts w:eastAsia="Times New Roman"/>
                <w:sz w:val="20"/>
                <w:szCs w:val="20"/>
              </w:rPr>
            </w:pPr>
            <w:r>
              <w:rPr>
                <w:rFonts w:eastAsia="Times New Roman"/>
                <w:sz w:val="20"/>
                <w:szCs w:val="20"/>
              </w:rPr>
              <w:t>(13,648</w:t>
            </w:r>
          </w:p>
        </w:tc>
        <w:tc>
          <w:tcPr>
            <w:tcW w:w="50" w:type="pct"/>
            <w:shd w:val="clear" w:color="auto" w:fill="FFFFFF"/>
            <w:vAlign w:val="bottom"/>
            <w:hideMark/>
          </w:tcPr>
          <w:p w14:paraId="4FAF8DDE" w14:textId="77777777" w:rsidR="00000000" w:rsidRDefault="00847163">
            <w:pPr>
              <w:rPr>
                <w:rFonts w:eastAsia="Times New Roman"/>
                <w:sz w:val="20"/>
                <w:szCs w:val="20"/>
              </w:rPr>
            </w:pPr>
            <w:r>
              <w:rPr>
                <w:rFonts w:eastAsia="Times New Roman"/>
                <w:sz w:val="20"/>
                <w:szCs w:val="20"/>
              </w:rPr>
              <w:t>)</w:t>
            </w:r>
          </w:p>
        </w:tc>
        <w:tc>
          <w:tcPr>
            <w:tcW w:w="50" w:type="pct"/>
            <w:shd w:val="clear" w:color="auto" w:fill="FFFFFF"/>
            <w:vAlign w:val="bottom"/>
            <w:hideMark/>
          </w:tcPr>
          <w:p w14:paraId="1CE2504C"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12F3480" w14:textId="77777777" w:rsidR="00000000" w:rsidRDefault="00847163">
            <w:pPr>
              <w:rPr>
                <w:rFonts w:eastAsia="Times New Roman"/>
                <w:sz w:val="20"/>
                <w:szCs w:val="20"/>
              </w:rPr>
            </w:pPr>
            <w:r>
              <w:rPr>
                <w:rFonts w:eastAsia="Times New Roman"/>
                <w:sz w:val="20"/>
                <w:szCs w:val="20"/>
              </w:rPr>
              <w:t> </w:t>
            </w:r>
          </w:p>
        </w:tc>
        <w:tc>
          <w:tcPr>
            <w:tcW w:w="500" w:type="pct"/>
            <w:shd w:val="clear" w:color="auto" w:fill="FFFFFF"/>
            <w:vAlign w:val="bottom"/>
            <w:hideMark/>
          </w:tcPr>
          <w:p w14:paraId="7AFDD183" w14:textId="77777777" w:rsidR="00000000" w:rsidRDefault="00847163">
            <w:pPr>
              <w:jc w:val="right"/>
              <w:rPr>
                <w:rFonts w:eastAsia="Times New Roman"/>
                <w:sz w:val="20"/>
                <w:szCs w:val="20"/>
              </w:rPr>
            </w:pPr>
            <w:r>
              <w:rPr>
                <w:rFonts w:eastAsia="Times New Roman"/>
                <w:sz w:val="20"/>
                <w:szCs w:val="20"/>
              </w:rPr>
              <w:t>(18,754</w:t>
            </w:r>
          </w:p>
        </w:tc>
        <w:tc>
          <w:tcPr>
            <w:tcW w:w="50" w:type="pct"/>
            <w:shd w:val="clear" w:color="auto" w:fill="FFFFFF"/>
            <w:vAlign w:val="bottom"/>
            <w:hideMark/>
          </w:tcPr>
          <w:p w14:paraId="765B8593" w14:textId="77777777" w:rsidR="00000000" w:rsidRDefault="00847163">
            <w:pPr>
              <w:rPr>
                <w:rFonts w:eastAsia="Times New Roman"/>
                <w:sz w:val="20"/>
                <w:szCs w:val="20"/>
              </w:rPr>
            </w:pPr>
            <w:r>
              <w:rPr>
                <w:rFonts w:eastAsia="Times New Roman"/>
                <w:sz w:val="20"/>
                <w:szCs w:val="20"/>
              </w:rPr>
              <w:t>)</w:t>
            </w:r>
          </w:p>
        </w:tc>
      </w:tr>
      <w:tr w:rsidR="00000000" w14:paraId="457262F7" w14:textId="77777777">
        <w:trPr>
          <w:divId w:val="1720398011"/>
          <w:tblCellSpacing w:w="0" w:type="dxa"/>
        </w:trPr>
        <w:tc>
          <w:tcPr>
            <w:tcW w:w="0" w:type="auto"/>
            <w:shd w:val="clear" w:color="auto" w:fill="CCEEFF"/>
            <w:vAlign w:val="bottom"/>
            <w:hideMark/>
          </w:tcPr>
          <w:p w14:paraId="60C3A8C8" w14:textId="77777777" w:rsidR="00000000" w:rsidRDefault="00847163">
            <w:pPr>
              <w:pStyle w:val="a3"/>
              <w:spacing w:before="0" w:beforeAutospacing="0" w:after="0" w:afterAutospacing="0"/>
              <w:ind w:left="360"/>
              <w:rPr>
                <w:sz w:val="20"/>
                <w:szCs w:val="20"/>
              </w:rPr>
            </w:pPr>
            <w:r>
              <w:rPr>
                <w:sz w:val="20"/>
                <w:szCs w:val="20"/>
              </w:rPr>
              <w:t>Equity in income of other real estate investments, net</w:t>
            </w:r>
          </w:p>
        </w:tc>
        <w:tc>
          <w:tcPr>
            <w:tcW w:w="50" w:type="pct"/>
            <w:shd w:val="clear" w:color="auto" w:fill="CCEEFF"/>
            <w:vAlign w:val="bottom"/>
            <w:hideMark/>
          </w:tcPr>
          <w:p w14:paraId="4D2EF47F"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D667EEF" w14:textId="77777777" w:rsidR="00000000" w:rsidRDefault="00847163">
            <w:pPr>
              <w:rPr>
                <w:rFonts w:eastAsia="Times New Roman"/>
                <w:sz w:val="20"/>
                <w:szCs w:val="20"/>
              </w:rPr>
            </w:pPr>
            <w:r>
              <w:rPr>
                <w:rFonts w:eastAsia="Times New Roman"/>
                <w:sz w:val="20"/>
                <w:szCs w:val="20"/>
              </w:rPr>
              <w:t> </w:t>
            </w:r>
          </w:p>
        </w:tc>
        <w:tc>
          <w:tcPr>
            <w:tcW w:w="500" w:type="pct"/>
            <w:shd w:val="clear" w:color="auto" w:fill="CCEEFF"/>
            <w:vAlign w:val="bottom"/>
            <w:hideMark/>
          </w:tcPr>
          <w:p w14:paraId="002065A7" w14:textId="77777777" w:rsidR="00000000" w:rsidRDefault="00847163">
            <w:pPr>
              <w:jc w:val="right"/>
              <w:rPr>
                <w:rFonts w:eastAsia="Times New Roman"/>
                <w:sz w:val="20"/>
                <w:szCs w:val="20"/>
              </w:rPr>
            </w:pPr>
            <w:r>
              <w:rPr>
                <w:rFonts w:eastAsia="Times New Roman"/>
                <w:sz w:val="20"/>
                <w:szCs w:val="20"/>
              </w:rPr>
              <w:t>(10,958</w:t>
            </w:r>
          </w:p>
        </w:tc>
        <w:tc>
          <w:tcPr>
            <w:tcW w:w="50" w:type="pct"/>
            <w:shd w:val="clear" w:color="auto" w:fill="CCEEFF"/>
            <w:vAlign w:val="bottom"/>
            <w:hideMark/>
          </w:tcPr>
          <w:p w14:paraId="75E86E70" w14:textId="77777777" w:rsidR="00000000" w:rsidRDefault="00847163">
            <w:pPr>
              <w:rPr>
                <w:rFonts w:eastAsia="Times New Roman"/>
                <w:sz w:val="20"/>
                <w:szCs w:val="20"/>
              </w:rPr>
            </w:pPr>
            <w:r>
              <w:rPr>
                <w:rFonts w:eastAsia="Times New Roman"/>
                <w:sz w:val="20"/>
                <w:szCs w:val="20"/>
              </w:rPr>
              <w:t>)</w:t>
            </w:r>
          </w:p>
        </w:tc>
        <w:tc>
          <w:tcPr>
            <w:tcW w:w="50" w:type="pct"/>
            <w:shd w:val="clear" w:color="auto" w:fill="CCEEFF"/>
            <w:vAlign w:val="bottom"/>
            <w:hideMark/>
          </w:tcPr>
          <w:p w14:paraId="70E1B66C"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E203F81" w14:textId="77777777" w:rsidR="00000000" w:rsidRDefault="00847163">
            <w:pPr>
              <w:rPr>
                <w:rFonts w:eastAsia="Times New Roman"/>
                <w:sz w:val="20"/>
                <w:szCs w:val="20"/>
              </w:rPr>
            </w:pPr>
            <w:r>
              <w:rPr>
                <w:rFonts w:eastAsia="Times New Roman"/>
                <w:sz w:val="20"/>
                <w:szCs w:val="20"/>
              </w:rPr>
              <w:t> </w:t>
            </w:r>
          </w:p>
        </w:tc>
        <w:tc>
          <w:tcPr>
            <w:tcW w:w="500" w:type="pct"/>
            <w:shd w:val="clear" w:color="auto" w:fill="CCEEFF"/>
            <w:vAlign w:val="bottom"/>
            <w:hideMark/>
          </w:tcPr>
          <w:p w14:paraId="5630EB7D" w14:textId="77777777" w:rsidR="00000000" w:rsidRDefault="00847163">
            <w:pPr>
              <w:jc w:val="right"/>
              <w:rPr>
                <w:rFonts w:eastAsia="Times New Roman"/>
                <w:sz w:val="20"/>
                <w:szCs w:val="20"/>
              </w:rPr>
            </w:pPr>
            <w:r>
              <w:rPr>
                <w:rFonts w:eastAsia="Times New Roman"/>
                <w:sz w:val="20"/>
                <w:szCs w:val="20"/>
              </w:rPr>
              <w:t>(6,224</w:t>
            </w:r>
          </w:p>
        </w:tc>
        <w:tc>
          <w:tcPr>
            <w:tcW w:w="50" w:type="pct"/>
            <w:shd w:val="clear" w:color="auto" w:fill="CCEEFF"/>
            <w:vAlign w:val="bottom"/>
            <w:hideMark/>
          </w:tcPr>
          <w:p w14:paraId="2DC6FA05" w14:textId="77777777" w:rsidR="00000000" w:rsidRDefault="00847163">
            <w:pPr>
              <w:rPr>
                <w:rFonts w:eastAsia="Times New Roman"/>
                <w:sz w:val="20"/>
                <w:szCs w:val="20"/>
              </w:rPr>
            </w:pPr>
            <w:r>
              <w:rPr>
                <w:rFonts w:eastAsia="Times New Roman"/>
                <w:sz w:val="20"/>
                <w:szCs w:val="20"/>
              </w:rPr>
              <w:t>)</w:t>
            </w:r>
          </w:p>
        </w:tc>
      </w:tr>
      <w:tr w:rsidR="00000000" w14:paraId="353D9608" w14:textId="77777777">
        <w:trPr>
          <w:divId w:val="1720398011"/>
          <w:tblCellSpacing w:w="0" w:type="dxa"/>
        </w:trPr>
        <w:tc>
          <w:tcPr>
            <w:tcW w:w="0" w:type="auto"/>
            <w:shd w:val="clear" w:color="auto" w:fill="FFFFFF"/>
            <w:vAlign w:val="bottom"/>
            <w:hideMark/>
          </w:tcPr>
          <w:p w14:paraId="504B6CB4" w14:textId="77777777" w:rsidR="00000000" w:rsidRDefault="00847163">
            <w:pPr>
              <w:pStyle w:val="a3"/>
              <w:spacing w:before="0" w:beforeAutospacing="0" w:after="0" w:afterAutospacing="0"/>
              <w:ind w:left="360"/>
              <w:rPr>
                <w:sz w:val="20"/>
                <w:szCs w:val="20"/>
              </w:rPr>
            </w:pPr>
            <w:r>
              <w:rPr>
                <w:sz w:val="20"/>
                <w:szCs w:val="20"/>
              </w:rPr>
              <w:t>Distributions from joint ventures and other real estate investments</w:t>
            </w:r>
          </w:p>
        </w:tc>
        <w:tc>
          <w:tcPr>
            <w:tcW w:w="50" w:type="pct"/>
            <w:shd w:val="clear" w:color="auto" w:fill="FFFFFF"/>
            <w:vAlign w:val="bottom"/>
            <w:hideMark/>
          </w:tcPr>
          <w:p w14:paraId="78962076"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2683E5D" w14:textId="77777777" w:rsidR="00000000" w:rsidRDefault="00847163">
            <w:pPr>
              <w:rPr>
                <w:rFonts w:eastAsia="Times New Roman"/>
                <w:sz w:val="20"/>
                <w:szCs w:val="20"/>
              </w:rPr>
            </w:pPr>
            <w:r>
              <w:rPr>
                <w:rFonts w:eastAsia="Times New Roman"/>
                <w:sz w:val="20"/>
                <w:szCs w:val="20"/>
              </w:rPr>
              <w:t> </w:t>
            </w:r>
          </w:p>
        </w:tc>
        <w:tc>
          <w:tcPr>
            <w:tcW w:w="500" w:type="pct"/>
            <w:shd w:val="clear" w:color="auto" w:fill="FFFFFF"/>
            <w:vAlign w:val="bottom"/>
            <w:hideMark/>
          </w:tcPr>
          <w:p w14:paraId="642D340C" w14:textId="77777777" w:rsidR="00000000" w:rsidRDefault="00847163">
            <w:pPr>
              <w:jc w:val="right"/>
              <w:rPr>
                <w:rFonts w:eastAsia="Times New Roman"/>
                <w:sz w:val="20"/>
                <w:szCs w:val="20"/>
              </w:rPr>
            </w:pPr>
            <w:r>
              <w:rPr>
                <w:rFonts w:eastAsia="Times New Roman"/>
                <w:sz w:val="20"/>
                <w:szCs w:val="20"/>
              </w:rPr>
              <w:t>35,894</w:t>
            </w:r>
          </w:p>
        </w:tc>
        <w:tc>
          <w:tcPr>
            <w:tcW w:w="50" w:type="pct"/>
            <w:shd w:val="clear" w:color="auto" w:fill="FFFFFF"/>
            <w:vAlign w:val="bottom"/>
            <w:hideMark/>
          </w:tcPr>
          <w:p w14:paraId="3532AE64"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458F9BB"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4717F1C" w14:textId="77777777" w:rsidR="00000000" w:rsidRDefault="00847163">
            <w:pPr>
              <w:rPr>
                <w:rFonts w:eastAsia="Times New Roman"/>
                <w:sz w:val="20"/>
                <w:szCs w:val="20"/>
              </w:rPr>
            </w:pPr>
            <w:r>
              <w:rPr>
                <w:rFonts w:eastAsia="Times New Roman"/>
                <w:sz w:val="20"/>
                <w:szCs w:val="20"/>
              </w:rPr>
              <w:t> </w:t>
            </w:r>
          </w:p>
        </w:tc>
        <w:tc>
          <w:tcPr>
            <w:tcW w:w="500" w:type="pct"/>
            <w:shd w:val="clear" w:color="auto" w:fill="FFFFFF"/>
            <w:vAlign w:val="bottom"/>
            <w:hideMark/>
          </w:tcPr>
          <w:p w14:paraId="61261888" w14:textId="77777777" w:rsidR="00000000" w:rsidRDefault="00847163">
            <w:pPr>
              <w:jc w:val="right"/>
              <w:rPr>
                <w:rFonts w:eastAsia="Times New Roman"/>
                <w:sz w:val="20"/>
                <w:szCs w:val="20"/>
              </w:rPr>
            </w:pPr>
            <w:r>
              <w:rPr>
                <w:rFonts w:eastAsia="Times New Roman"/>
                <w:sz w:val="20"/>
                <w:szCs w:val="20"/>
              </w:rPr>
              <w:t>28,524</w:t>
            </w:r>
          </w:p>
        </w:tc>
        <w:tc>
          <w:tcPr>
            <w:tcW w:w="50" w:type="pct"/>
            <w:shd w:val="clear" w:color="auto" w:fill="FFFFFF"/>
            <w:vAlign w:val="bottom"/>
            <w:hideMark/>
          </w:tcPr>
          <w:p w14:paraId="0D87FE90" w14:textId="77777777" w:rsidR="00000000" w:rsidRDefault="00847163">
            <w:pPr>
              <w:rPr>
                <w:rFonts w:eastAsia="Times New Roman"/>
                <w:sz w:val="20"/>
                <w:szCs w:val="20"/>
              </w:rPr>
            </w:pPr>
            <w:r>
              <w:rPr>
                <w:rFonts w:eastAsia="Times New Roman"/>
                <w:sz w:val="20"/>
                <w:szCs w:val="20"/>
              </w:rPr>
              <w:t> </w:t>
            </w:r>
          </w:p>
        </w:tc>
      </w:tr>
      <w:tr w:rsidR="00000000" w14:paraId="0E796F5E" w14:textId="77777777">
        <w:trPr>
          <w:divId w:val="1720398011"/>
          <w:tblCellSpacing w:w="0" w:type="dxa"/>
        </w:trPr>
        <w:tc>
          <w:tcPr>
            <w:tcW w:w="0" w:type="auto"/>
            <w:shd w:val="clear" w:color="auto" w:fill="CCEEFF"/>
            <w:vAlign w:val="bottom"/>
            <w:hideMark/>
          </w:tcPr>
          <w:p w14:paraId="16B181D5" w14:textId="77777777" w:rsidR="00000000" w:rsidRDefault="00847163">
            <w:pPr>
              <w:pStyle w:val="a3"/>
              <w:spacing w:before="0" w:beforeAutospacing="0" w:after="0" w:afterAutospacing="0"/>
              <w:ind w:left="360"/>
              <w:rPr>
                <w:sz w:val="20"/>
                <w:szCs w:val="20"/>
              </w:rPr>
            </w:pPr>
            <w:r>
              <w:rPr>
                <w:sz w:val="20"/>
                <w:szCs w:val="20"/>
              </w:rPr>
              <w:t>Change in accounts and notes receivable</w:t>
            </w:r>
          </w:p>
        </w:tc>
        <w:tc>
          <w:tcPr>
            <w:tcW w:w="50" w:type="pct"/>
            <w:shd w:val="clear" w:color="auto" w:fill="CCEEFF"/>
            <w:vAlign w:val="bottom"/>
            <w:hideMark/>
          </w:tcPr>
          <w:p w14:paraId="32CE8273"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76F46DA" w14:textId="77777777" w:rsidR="00000000" w:rsidRDefault="00847163">
            <w:pPr>
              <w:rPr>
                <w:rFonts w:eastAsia="Times New Roman"/>
                <w:sz w:val="20"/>
                <w:szCs w:val="20"/>
              </w:rPr>
            </w:pPr>
            <w:r>
              <w:rPr>
                <w:rFonts w:eastAsia="Times New Roman"/>
                <w:sz w:val="20"/>
                <w:szCs w:val="20"/>
              </w:rPr>
              <w:t> </w:t>
            </w:r>
          </w:p>
        </w:tc>
        <w:tc>
          <w:tcPr>
            <w:tcW w:w="500" w:type="pct"/>
            <w:shd w:val="clear" w:color="auto" w:fill="CCEEFF"/>
            <w:vAlign w:val="bottom"/>
            <w:hideMark/>
          </w:tcPr>
          <w:p w14:paraId="42FDE134" w14:textId="77777777" w:rsidR="00000000" w:rsidRDefault="00847163">
            <w:pPr>
              <w:jc w:val="right"/>
              <w:rPr>
                <w:rFonts w:eastAsia="Times New Roman"/>
                <w:sz w:val="20"/>
                <w:szCs w:val="20"/>
              </w:rPr>
            </w:pPr>
            <w:r>
              <w:rPr>
                <w:rFonts w:eastAsia="Times New Roman"/>
                <w:sz w:val="20"/>
                <w:szCs w:val="20"/>
              </w:rPr>
              <w:t>(1,526</w:t>
            </w:r>
          </w:p>
        </w:tc>
        <w:tc>
          <w:tcPr>
            <w:tcW w:w="50" w:type="pct"/>
            <w:shd w:val="clear" w:color="auto" w:fill="CCEEFF"/>
            <w:vAlign w:val="bottom"/>
            <w:hideMark/>
          </w:tcPr>
          <w:p w14:paraId="20B550B9" w14:textId="77777777" w:rsidR="00000000" w:rsidRDefault="00847163">
            <w:pPr>
              <w:rPr>
                <w:rFonts w:eastAsia="Times New Roman"/>
                <w:sz w:val="20"/>
                <w:szCs w:val="20"/>
              </w:rPr>
            </w:pPr>
            <w:r>
              <w:rPr>
                <w:rFonts w:eastAsia="Times New Roman"/>
                <w:sz w:val="20"/>
                <w:szCs w:val="20"/>
              </w:rPr>
              <w:t>)</w:t>
            </w:r>
          </w:p>
        </w:tc>
        <w:tc>
          <w:tcPr>
            <w:tcW w:w="50" w:type="pct"/>
            <w:shd w:val="clear" w:color="auto" w:fill="CCEEFF"/>
            <w:vAlign w:val="bottom"/>
            <w:hideMark/>
          </w:tcPr>
          <w:p w14:paraId="66E691F6"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67A7285" w14:textId="77777777" w:rsidR="00000000" w:rsidRDefault="00847163">
            <w:pPr>
              <w:rPr>
                <w:rFonts w:eastAsia="Times New Roman"/>
                <w:sz w:val="20"/>
                <w:szCs w:val="20"/>
              </w:rPr>
            </w:pPr>
            <w:r>
              <w:rPr>
                <w:rFonts w:eastAsia="Times New Roman"/>
                <w:sz w:val="20"/>
                <w:szCs w:val="20"/>
              </w:rPr>
              <w:t> </w:t>
            </w:r>
          </w:p>
        </w:tc>
        <w:tc>
          <w:tcPr>
            <w:tcW w:w="500" w:type="pct"/>
            <w:shd w:val="clear" w:color="auto" w:fill="CCEEFF"/>
            <w:vAlign w:val="bottom"/>
            <w:hideMark/>
          </w:tcPr>
          <w:p w14:paraId="12881E3A" w14:textId="77777777" w:rsidR="00000000" w:rsidRDefault="00847163">
            <w:pPr>
              <w:jc w:val="right"/>
              <w:rPr>
                <w:rFonts w:eastAsia="Times New Roman"/>
                <w:sz w:val="20"/>
                <w:szCs w:val="20"/>
              </w:rPr>
            </w:pPr>
            <w:r>
              <w:rPr>
                <w:rFonts w:eastAsia="Times New Roman"/>
                <w:sz w:val="20"/>
                <w:szCs w:val="20"/>
              </w:rPr>
              <w:t>878</w:t>
            </w:r>
          </w:p>
        </w:tc>
        <w:tc>
          <w:tcPr>
            <w:tcW w:w="50" w:type="pct"/>
            <w:shd w:val="clear" w:color="auto" w:fill="CCEEFF"/>
            <w:vAlign w:val="bottom"/>
            <w:hideMark/>
          </w:tcPr>
          <w:p w14:paraId="0AFC5C9B" w14:textId="77777777" w:rsidR="00000000" w:rsidRDefault="00847163">
            <w:pPr>
              <w:rPr>
                <w:rFonts w:eastAsia="Times New Roman"/>
                <w:sz w:val="20"/>
                <w:szCs w:val="20"/>
              </w:rPr>
            </w:pPr>
            <w:r>
              <w:rPr>
                <w:rFonts w:eastAsia="Times New Roman"/>
                <w:sz w:val="20"/>
                <w:szCs w:val="20"/>
              </w:rPr>
              <w:t> </w:t>
            </w:r>
          </w:p>
        </w:tc>
      </w:tr>
      <w:tr w:rsidR="00000000" w14:paraId="14BF0B0D" w14:textId="77777777">
        <w:trPr>
          <w:divId w:val="1720398011"/>
          <w:tblCellSpacing w:w="0" w:type="dxa"/>
        </w:trPr>
        <w:tc>
          <w:tcPr>
            <w:tcW w:w="0" w:type="auto"/>
            <w:shd w:val="clear" w:color="auto" w:fill="FFFFFF"/>
            <w:vAlign w:val="bottom"/>
            <w:hideMark/>
          </w:tcPr>
          <w:p w14:paraId="63B22072" w14:textId="77777777" w:rsidR="00000000" w:rsidRDefault="00847163">
            <w:pPr>
              <w:pStyle w:val="a3"/>
              <w:spacing w:before="0" w:beforeAutospacing="0" w:after="0" w:afterAutospacing="0"/>
              <w:ind w:left="360"/>
              <w:rPr>
                <w:sz w:val="20"/>
                <w:szCs w:val="20"/>
              </w:rPr>
            </w:pPr>
            <w:r>
              <w:rPr>
                <w:sz w:val="20"/>
                <w:szCs w:val="20"/>
              </w:rPr>
              <w:t>Change in accounts payable and accrued expenses</w:t>
            </w:r>
          </w:p>
        </w:tc>
        <w:tc>
          <w:tcPr>
            <w:tcW w:w="50" w:type="pct"/>
            <w:shd w:val="clear" w:color="auto" w:fill="FFFFFF"/>
            <w:vAlign w:val="bottom"/>
            <w:hideMark/>
          </w:tcPr>
          <w:p w14:paraId="43939134"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F363EED" w14:textId="77777777" w:rsidR="00000000" w:rsidRDefault="00847163">
            <w:pPr>
              <w:rPr>
                <w:rFonts w:eastAsia="Times New Roman"/>
                <w:sz w:val="20"/>
                <w:szCs w:val="20"/>
              </w:rPr>
            </w:pPr>
            <w:r>
              <w:rPr>
                <w:rFonts w:eastAsia="Times New Roman"/>
                <w:sz w:val="20"/>
                <w:szCs w:val="20"/>
              </w:rPr>
              <w:t> </w:t>
            </w:r>
          </w:p>
        </w:tc>
        <w:tc>
          <w:tcPr>
            <w:tcW w:w="500" w:type="pct"/>
            <w:shd w:val="clear" w:color="auto" w:fill="FFFFFF"/>
            <w:vAlign w:val="bottom"/>
            <w:hideMark/>
          </w:tcPr>
          <w:p w14:paraId="2F18C511" w14:textId="77777777" w:rsidR="00000000" w:rsidRDefault="00847163">
            <w:pPr>
              <w:jc w:val="right"/>
              <w:rPr>
                <w:rFonts w:eastAsia="Times New Roman"/>
                <w:sz w:val="20"/>
                <w:szCs w:val="20"/>
              </w:rPr>
            </w:pPr>
            <w:r>
              <w:rPr>
                <w:rFonts w:eastAsia="Times New Roman"/>
                <w:sz w:val="20"/>
                <w:szCs w:val="20"/>
              </w:rPr>
              <w:t>5,456</w:t>
            </w:r>
          </w:p>
        </w:tc>
        <w:tc>
          <w:tcPr>
            <w:tcW w:w="50" w:type="pct"/>
            <w:shd w:val="clear" w:color="auto" w:fill="FFFFFF"/>
            <w:vAlign w:val="bottom"/>
            <w:hideMark/>
          </w:tcPr>
          <w:p w14:paraId="644CF524"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765495B"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3BC1BC0" w14:textId="77777777" w:rsidR="00000000" w:rsidRDefault="00847163">
            <w:pPr>
              <w:rPr>
                <w:rFonts w:eastAsia="Times New Roman"/>
                <w:sz w:val="20"/>
                <w:szCs w:val="20"/>
              </w:rPr>
            </w:pPr>
            <w:r>
              <w:rPr>
                <w:rFonts w:eastAsia="Times New Roman"/>
                <w:sz w:val="20"/>
                <w:szCs w:val="20"/>
              </w:rPr>
              <w:t> </w:t>
            </w:r>
          </w:p>
        </w:tc>
        <w:tc>
          <w:tcPr>
            <w:tcW w:w="500" w:type="pct"/>
            <w:shd w:val="clear" w:color="auto" w:fill="FFFFFF"/>
            <w:vAlign w:val="bottom"/>
            <w:hideMark/>
          </w:tcPr>
          <w:p w14:paraId="6281599B" w14:textId="77777777" w:rsidR="00000000" w:rsidRDefault="00847163">
            <w:pPr>
              <w:jc w:val="right"/>
              <w:rPr>
                <w:rFonts w:eastAsia="Times New Roman"/>
                <w:sz w:val="20"/>
                <w:szCs w:val="20"/>
              </w:rPr>
            </w:pPr>
            <w:r>
              <w:rPr>
                <w:rFonts w:eastAsia="Times New Roman"/>
                <w:sz w:val="20"/>
                <w:szCs w:val="20"/>
              </w:rPr>
              <w:t>2,837</w:t>
            </w:r>
          </w:p>
        </w:tc>
        <w:tc>
          <w:tcPr>
            <w:tcW w:w="50" w:type="pct"/>
            <w:shd w:val="clear" w:color="auto" w:fill="FFFFFF"/>
            <w:vAlign w:val="bottom"/>
            <w:hideMark/>
          </w:tcPr>
          <w:p w14:paraId="17578CBE" w14:textId="77777777" w:rsidR="00000000" w:rsidRDefault="00847163">
            <w:pPr>
              <w:rPr>
                <w:rFonts w:eastAsia="Times New Roman"/>
                <w:sz w:val="20"/>
                <w:szCs w:val="20"/>
              </w:rPr>
            </w:pPr>
            <w:r>
              <w:rPr>
                <w:rFonts w:eastAsia="Times New Roman"/>
                <w:sz w:val="20"/>
                <w:szCs w:val="20"/>
              </w:rPr>
              <w:t> </w:t>
            </w:r>
          </w:p>
        </w:tc>
      </w:tr>
      <w:tr w:rsidR="00000000" w14:paraId="3E07F890" w14:textId="77777777">
        <w:trPr>
          <w:divId w:val="1720398011"/>
          <w:tblCellSpacing w:w="0" w:type="dxa"/>
        </w:trPr>
        <w:tc>
          <w:tcPr>
            <w:tcW w:w="0" w:type="auto"/>
            <w:shd w:val="clear" w:color="auto" w:fill="CCEEFF"/>
            <w:vAlign w:val="bottom"/>
            <w:hideMark/>
          </w:tcPr>
          <w:p w14:paraId="0017A3C7" w14:textId="77777777" w:rsidR="00000000" w:rsidRDefault="00847163">
            <w:pPr>
              <w:pStyle w:val="a3"/>
              <w:spacing w:before="0" w:beforeAutospacing="0" w:after="0" w:afterAutospacing="0"/>
              <w:ind w:left="360"/>
              <w:rPr>
                <w:sz w:val="20"/>
                <w:szCs w:val="20"/>
              </w:rPr>
            </w:pPr>
            <w:r>
              <w:rPr>
                <w:sz w:val="20"/>
                <w:szCs w:val="20"/>
              </w:rPr>
              <w:t>Change in other operating assets and liabilities</w:t>
            </w:r>
          </w:p>
        </w:tc>
        <w:tc>
          <w:tcPr>
            <w:tcW w:w="50" w:type="pct"/>
            <w:shd w:val="clear" w:color="auto" w:fill="CCEEFF"/>
            <w:tcMar>
              <w:top w:w="0" w:type="dxa"/>
              <w:left w:w="0" w:type="dxa"/>
              <w:bottom w:w="15" w:type="dxa"/>
              <w:right w:w="0" w:type="dxa"/>
            </w:tcMar>
            <w:vAlign w:val="bottom"/>
            <w:hideMark/>
          </w:tcPr>
          <w:p w14:paraId="25F2C9A9" w14:textId="77777777" w:rsidR="00000000" w:rsidRDefault="0084716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6E2F0CFE" w14:textId="77777777" w:rsidR="00000000" w:rsidRDefault="00847163">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14:paraId="1E126762" w14:textId="77777777" w:rsidR="00000000" w:rsidRDefault="00847163">
            <w:pPr>
              <w:jc w:val="right"/>
              <w:rPr>
                <w:rFonts w:eastAsia="Times New Roman"/>
                <w:sz w:val="20"/>
                <w:szCs w:val="20"/>
              </w:rPr>
            </w:pPr>
            <w:r>
              <w:rPr>
                <w:rFonts w:eastAsia="Times New Roman"/>
                <w:sz w:val="20"/>
                <w:szCs w:val="20"/>
              </w:rPr>
              <w:t>(24,787</w:t>
            </w:r>
          </w:p>
        </w:tc>
        <w:tc>
          <w:tcPr>
            <w:tcW w:w="50" w:type="pct"/>
            <w:shd w:val="clear" w:color="auto" w:fill="CCEEFF"/>
            <w:tcMar>
              <w:top w:w="0" w:type="dxa"/>
              <w:left w:w="0" w:type="dxa"/>
              <w:bottom w:w="15" w:type="dxa"/>
              <w:right w:w="0" w:type="dxa"/>
            </w:tcMar>
            <w:vAlign w:val="bottom"/>
            <w:hideMark/>
          </w:tcPr>
          <w:p w14:paraId="4314DEDD" w14:textId="77777777" w:rsidR="00000000" w:rsidRDefault="00847163">
            <w:pPr>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12B689F9" w14:textId="77777777" w:rsidR="00000000" w:rsidRDefault="0084716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7FD7C615" w14:textId="77777777" w:rsidR="00000000" w:rsidRDefault="00847163">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14:paraId="13D70F6A" w14:textId="77777777" w:rsidR="00000000" w:rsidRDefault="00847163">
            <w:pPr>
              <w:jc w:val="right"/>
              <w:rPr>
                <w:rFonts w:eastAsia="Times New Roman"/>
                <w:sz w:val="20"/>
                <w:szCs w:val="20"/>
              </w:rPr>
            </w:pPr>
            <w:r>
              <w:rPr>
                <w:rFonts w:eastAsia="Times New Roman"/>
                <w:sz w:val="20"/>
                <w:szCs w:val="20"/>
              </w:rPr>
              <w:t>(26,299</w:t>
            </w:r>
          </w:p>
        </w:tc>
        <w:tc>
          <w:tcPr>
            <w:tcW w:w="50" w:type="pct"/>
            <w:shd w:val="clear" w:color="auto" w:fill="CCEEFF"/>
            <w:tcMar>
              <w:top w:w="0" w:type="dxa"/>
              <w:left w:w="0" w:type="dxa"/>
              <w:bottom w:w="15" w:type="dxa"/>
              <w:right w:w="0" w:type="dxa"/>
            </w:tcMar>
            <w:vAlign w:val="bottom"/>
            <w:hideMark/>
          </w:tcPr>
          <w:p w14:paraId="3C770BAE" w14:textId="77777777" w:rsidR="00000000" w:rsidRDefault="00847163">
            <w:pPr>
              <w:rPr>
                <w:rFonts w:eastAsia="Times New Roman"/>
                <w:sz w:val="20"/>
                <w:szCs w:val="20"/>
              </w:rPr>
            </w:pPr>
            <w:r>
              <w:rPr>
                <w:rFonts w:eastAsia="Times New Roman"/>
                <w:sz w:val="20"/>
                <w:szCs w:val="20"/>
              </w:rPr>
              <w:t>)</w:t>
            </w:r>
          </w:p>
        </w:tc>
      </w:tr>
      <w:tr w:rsidR="00000000" w14:paraId="4673CCF5" w14:textId="77777777">
        <w:trPr>
          <w:divId w:val="1720398011"/>
          <w:tblCellSpacing w:w="0" w:type="dxa"/>
        </w:trPr>
        <w:tc>
          <w:tcPr>
            <w:tcW w:w="0" w:type="auto"/>
            <w:shd w:val="clear" w:color="auto" w:fill="FFFFFF"/>
            <w:vAlign w:val="bottom"/>
            <w:hideMark/>
          </w:tcPr>
          <w:p w14:paraId="52D78ACC" w14:textId="77777777" w:rsidR="00000000" w:rsidRDefault="00847163">
            <w:pPr>
              <w:pStyle w:val="a3"/>
              <w:spacing w:before="0" w:beforeAutospacing="0" w:after="0" w:afterAutospacing="0"/>
              <w:ind w:left="720"/>
              <w:rPr>
                <w:sz w:val="20"/>
                <w:szCs w:val="20"/>
              </w:rPr>
            </w:pPr>
            <w:r>
              <w:rPr>
                <w:sz w:val="20"/>
                <w:szCs w:val="20"/>
              </w:rPr>
              <w:t>Net cash flow provided by operating activities</w:t>
            </w:r>
          </w:p>
        </w:tc>
        <w:tc>
          <w:tcPr>
            <w:tcW w:w="50" w:type="pct"/>
            <w:shd w:val="clear" w:color="auto" w:fill="FFFFFF"/>
            <w:vAlign w:val="bottom"/>
            <w:hideMark/>
          </w:tcPr>
          <w:p w14:paraId="31F48FD3" w14:textId="77777777" w:rsidR="00000000" w:rsidRDefault="0084716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0E3E51B8" w14:textId="77777777" w:rsidR="00000000" w:rsidRDefault="00847163">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FFFFFF"/>
            <w:vAlign w:val="bottom"/>
            <w:hideMark/>
          </w:tcPr>
          <w:p w14:paraId="07D1BEF0" w14:textId="77777777" w:rsidR="00000000" w:rsidRDefault="00847163">
            <w:pPr>
              <w:jc w:val="right"/>
              <w:rPr>
                <w:rFonts w:eastAsia="Times New Roman"/>
                <w:sz w:val="20"/>
                <w:szCs w:val="20"/>
              </w:rPr>
            </w:pPr>
            <w:r>
              <w:rPr>
                <w:rFonts w:eastAsia="Times New Roman"/>
                <w:sz w:val="20"/>
                <w:szCs w:val="20"/>
              </w:rPr>
              <w:t>155,249</w:t>
            </w:r>
          </w:p>
        </w:tc>
        <w:tc>
          <w:tcPr>
            <w:tcW w:w="50" w:type="pct"/>
            <w:shd w:val="clear" w:color="auto" w:fill="FFFFFF"/>
            <w:tcMar>
              <w:top w:w="0" w:type="dxa"/>
              <w:left w:w="0" w:type="dxa"/>
              <w:bottom w:w="15" w:type="dxa"/>
              <w:right w:w="0" w:type="dxa"/>
            </w:tcMar>
            <w:vAlign w:val="bottom"/>
            <w:hideMark/>
          </w:tcPr>
          <w:p w14:paraId="1496AE6B"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3ADFF4E" w14:textId="77777777" w:rsidR="00000000" w:rsidRDefault="0084716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75285BA1" w14:textId="77777777" w:rsidR="00000000" w:rsidRDefault="00847163">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FFFFFF"/>
            <w:vAlign w:val="bottom"/>
            <w:hideMark/>
          </w:tcPr>
          <w:p w14:paraId="285018EA" w14:textId="77777777" w:rsidR="00000000" w:rsidRDefault="00847163">
            <w:pPr>
              <w:jc w:val="right"/>
              <w:rPr>
                <w:rFonts w:eastAsia="Times New Roman"/>
                <w:sz w:val="20"/>
                <w:szCs w:val="20"/>
              </w:rPr>
            </w:pPr>
            <w:r>
              <w:rPr>
                <w:rFonts w:eastAsia="Times New Roman"/>
                <w:sz w:val="20"/>
                <w:szCs w:val="20"/>
              </w:rPr>
              <w:t>155,258</w:t>
            </w:r>
          </w:p>
        </w:tc>
        <w:tc>
          <w:tcPr>
            <w:tcW w:w="50" w:type="pct"/>
            <w:shd w:val="clear" w:color="auto" w:fill="FFFFFF"/>
            <w:tcMar>
              <w:top w:w="0" w:type="dxa"/>
              <w:left w:w="0" w:type="dxa"/>
              <w:bottom w:w="15" w:type="dxa"/>
              <w:right w:w="0" w:type="dxa"/>
            </w:tcMar>
            <w:vAlign w:val="bottom"/>
            <w:hideMark/>
          </w:tcPr>
          <w:p w14:paraId="23D8925D" w14:textId="77777777" w:rsidR="00000000" w:rsidRDefault="00847163">
            <w:pPr>
              <w:rPr>
                <w:rFonts w:eastAsia="Times New Roman"/>
                <w:sz w:val="20"/>
                <w:szCs w:val="20"/>
              </w:rPr>
            </w:pPr>
            <w:r>
              <w:rPr>
                <w:rFonts w:eastAsia="Times New Roman"/>
                <w:sz w:val="20"/>
                <w:szCs w:val="20"/>
              </w:rPr>
              <w:t> </w:t>
            </w:r>
          </w:p>
        </w:tc>
      </w:tr>
      <w:tr w:rsidR="00000000" w14:paraId="31912C36" w14:textId="77777777">
        <w:trPr>
          <w:divId w:val="1720398011"/>
          <w:tblCellSpacing w:w="0" w:type="dxa"/>
        </w:trPr>
        <w:tc>
          <w:tcPr>
            <w:tcW w:w="0" w:type="auto"/>
            <w:shd w:val="clear" w:color="auto" w:fill="CCEEFF"/>
            <w:vAlign w:val="bottom"/>
            <w:hideMark/>
          </w:tcPr>
          <w:p w14:paraId="638A9E4E"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E8053B"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1D7BAD"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1E947C"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1331D9B"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103A4DD"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3D89F4F"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8645830"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C981602" w14:textId="77777777" w:rsidR="00000000" w:rsidRDefault="00847163">
            <w:pPr>
              <w:rPr>
                <w:rFonts w:eastAsia="Times New Roman"/>
                <w:sz w:val="20"/>
                <w:szCs w:val="20"/>
              </w:rPr>
            </w:pPr>
            <w:r>
              <w:rPr>
                <w:rFonts w:eastAsia="Times New Roman"/>
                <w:sz w:val="20"/>
                <w:szCs w:val="20"/>
              </w:rPr>
              <w:t> </w:t>
            </w:r>
          </w:p>
        </w:tc>
      </w:tr>
      <w:tr w:rsidR="00000000" w14:paraId="30FE2727" w14:textId="77777777">
        <w:trPr>
          <w:divId w:val="1720398011"/>
          <w:tblCellSpacing w:w="0" w:type="dxa"/>
        </w:trPr>
        <w:tc>
          <w:tcPr>
            <w:tcW w:w="0" w:type="auto"/>
            <w:shd w:val="clear" w:color="auto" w:fill="FFFFFF"/>
            <w:vAlign w:val="bottom"/>
            <w:hideMark/>
          </w:tcPr>
          <w:p w14:paraId="2959D328" w14:textId="77777777" w:rsidR="00000000" w:rsidRDefault="00847163">
            <w:pPr>
              <w:pStyle w:val="a3"/>
              <w:spacing w:before="0" w:beforeAutospacing="0" w:after="0" w:afterAutospacing="0"/>
              <w:rPr>
                <w:sz w:val="20"/>
                <w:szCs w:val="20"/>
              </w:rPr>
            </w:pPr>
            <w:r>
              <w:rPr>
                <w:sz w:val="20"/>
                <w:szCs w:val="20"/>
              </w:rPr>
              <w:t>Cash flow from investing activities:</w:t>
            </w:r>
          </w:p>
        </w:tc>
        <w:tc>
          <w:tcPr>
            <w:tcW w:w="0" w:type="auto"/>
            <w:shd w:val="clear" w:color="auto" w:fill="FFFFFF"/>
            <w:vAlign w:val="bottom"/>
            <w:hideMark/>
          </w:tcPr>
          <w:p w14:paraId="76068091"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27F2F1D"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43F4FDE"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BE7B384"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2DEADCF"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3BEDCC2"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C27A9F0"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8AF1D27" w14:textId="77777777" w:rsidR="00000000" w:rsidRDefault="00847163">
            <w:pPr>
              <w:rPr>
                <w:rFonts w:eastAsia="Times New Roman"/>
                <w:sz w:val="20"/>
                <w:szCs w:val="20"/>
              </w:rPr>
            </w:pPr>
            <w:r>
              <w:rPr>
                <w:rFonts w:eastAsia="Times New Roman"/>
                <w:sz w:val="20"/>
                <w:szCs w:val="20"/>
              </w:rPr>
              <w:t> </w:t>
            </w:r>
          </w:p>
        </w:tc>
      </w:tr>
      <w:tr w:rsidR="00000000" w14:paraId="29FB01C6" w14:textId="77777777">
        <w:trPr>
          <w:divId w:val="1720398011"/>
          <w:tblCellSpacing w:w="0" w:type="dxa"/>
        </w:trPr>
        <w:tc>
          <w:tcPr>
            <w:tcW w:w="0" w:type="auto"/>
            <w:shd w:val="clear" w:color="auto" w:fill="CCEEFF"/>
            <w:vAlign w:val="bottom"/>
            <w:hideMark/>
          </w:tcPr>
          <w:p w14:paraId="2130CFAC" w14:textId="77777777" w:rsidR="00000000" w:rsidRDefault="00847163">
            <w:pPr>
              <w:pStyle w:val="a3"/>
              <w:spacing w:before="0" w:beforeAutospacing="0" w:after="0" w:afterAutospacing="0"/>
              <w:ind w:left="360"/>
              <w:rPr>
                <w:sz w:val="20"/>
                <w:szCs w:val="20"/>
              </w:rPr>
            </w:pPr>
            <w:r>
              <w:rPr>
                <w:sz w:val="20"/>
                <w:szCs w:val="20"/>
              </w:rPr>
              <w:t>Acquisition of operating real estate</w:t>
            </w:r>
          </w:p>
        </w:tc>
        <w:tc>
          <w:tcPr>
            <w:tcW w:w="50" w:type="pct"/>
            <w:shd w:val="clear" w:color="auto" w:fill="CCEEFF"/>
            <w:vAlign w:val="bottom"/>
            <w:hideMark/>
          </w:tcPr>
          <w:p w14:paraId="689BBE6B"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9E4ECE8" w14:textId="77777777" w:rsidR="00000000" w:rsidRDefault="00847163">
            <w:pPr>
              <w:rPr>
                <w:rFonts w:eastAsia="Times New Roman"/>
                <w:sz w:val="20"/>
                <w:szCs w:val="20"/>
              </w:rPr>
            </w:pPr>
            <w:r>
              <w:rPr>
                <w:rFonts w:eastAsia="Times New Roman"/>
                <w:sz w:val="20"/>
                <w:szCs w:val="20"/>
              </w:rPr>
              <w:t> </w:t>
            </w:r>
          </w:p>
        </w:tc>
        <w:tc>
          <w:tcPr>
            <w:tcW w:w="500" w:type="pct"/>
            <w:shd w:val="clear" w:color="auto" w:fill="CCEEFF"/>
            <w:vAlign w:val="bottom"/>
            <w:hideMark/>
          </w:tcPr>
          <w:p w14:paraId="1E61588D" w14:textId="77777777" w:rsidR="00000000" w:rsidRDefault="00847163">
            <w:pPr>
              <w:jc w:val="right"/>
              <w:rPr>
                <w:rFonts w:eastAsia="Times New Roman"/>
                <w:sz w:val="20"/>
                <w:szCs w:val="20"/>
              </w:rPr>
            </w:pPr>
            <w:r>
              <w:rPr>
                <w:rFonts w:eastAsia="Times New Roman"/>
                <w:sz w:val="20"/>
                <w:szCs w:val="20"/>
              </w:rPr>
              <w:t>(7,073</w:t>
            </w:r>
          </w:p>
        </w:tc>
        <w:tc>
          <w:tcPr>
            <w:tcW w:w="50" w:type="pct"/>
            <w:shd w:val="clear" w:color="auto" w:fill="CCEEFF"/>
            <w:vAlign w:val="bottom"/>
            <w:hideMark/>
          </w:tcPr>
          <w:p w14:paraId="178ECBA7" w14:textId="77777777" w:rsidR="00000000" w:rsidRDefault="00847163">
            <w:pPr>
              <w:rPr>
                <w:rFonts w:eastAsia="Times New Roman"/>
                <w:sz w:val="20"/>
                <w:szCs w:val="20"/>
              </w:rPr>
            </w:pPr>
            <w:r>
              <w:rPr>
                <w:rFonts w:eastAsia="Times New Roman"/>
                <w:sz w:val="20"/>
                <w:szCs w:val="20"/>
              </w:rPr>
              <w:t>)</w:t>
            </w:r>
          </w:p>
        </w:tc>
        <w:tc>
          <w:tcPr>
            <w:tcW w:w="50" w:type="pct"/>
            <w:shd w:val="clear" w:color="auto" w:fill="CCEEFF"/>
            <w:vAlign w:val="bottom"/>
            <w:hideMark/>
          </w:tcPr>
          <w:p w14:paraId="5C278282"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2C6A1F2" w14:textId="77777777" w:rsidR="00000000" w:rsidRDefault="00847163">
            <w:pPr>
              <w:rPr>
                <w:rFonts w:eastAsia="Times New Roman"/>
                <w:sz w:val="20"/>
                <w:szCs w:val="20"/>
              </w:rPr>
            </w:pPr>
            <w:r>
              <w:rPr>
                <w:rFonts w:eastAsia="Times New Roman"/>
                <w:sz w:val="20"/>
                <w:szCs w:val="20"/>
              </w:rPr>
              <w:t> </w:t>
            </w:r>
          </w:p>
        </w:tc>
        <w:tc>
          <w:tcPr>
            <w:tcW w:w="500" w:type="pct"/>
            <w:shd w:val="clear" w:color="auto" w:fill="CCEEFF"/>
            <w:vAlign w:val="bottom"/>
            <w:hideMark/>
          </w:tcPr>
          <w:p w14:paraId="493FB042" w14:textId="77777777" w:rsidR="00000000" w:rsidRDefault="0084716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2B59AAD2" w14:textId="77777777" w:rsidR="00000000" w:rsidRDefault="00847163">
            <w:pPr>
              <w:rPr>
                <w:rFonts w:eastAsia="Times New Roman"/>
                <w:sz w:val="20"/>
                <w:szCs w:val="20"/>
              </w:rPr>
            </w:pPr>
            <w:r>
              <w:rPr>
                <w:rFonts w:eastAsia="Times New Roman"/>
                <w:sz w:val="20"/>
                <w:szCs w:val="20"/>
              </w:rPr>
              <w:t> </w:t>
            </w:r>
          </w:p>
        </w:tc>
      </w:tr>
      <w:tr w:rsidR="00000000" w14:paraId="6F2DB0DD" w14:textId="77777777">
        <w:trPr>
          <w:divId w:val="1720398011"/>
          <w:tblCellSpacing w:w="0" w:type="dxa"/>
        </w:trPr>
        <w:tc>
          <w:tcPr>
            <w:tcW w:w="0" w:type="auto"/>
            <w:shd w:val="clear" w:color="auto" w:fill="FFFFFF"/>
            <w:vAlign w:val="bottom"/>
            <w:hideMark/>
          </w:tcPr>
          <w:p w14:paraId="1D7FC759" w14:textId="77777777" w:rsidR="00000000" w:rsidRDefault="00847163">
            <w:pPr>
              <w:pStyle w:val="a3"/>
              <w:spacing w:before="0" w:beforeAutospacing="0" w:after="0" w:afterAutospacing="0"/>
              <w:ind w:left="360"/>
              <w:rPr>
                <w:sz w:val="20"/>
                <w:szCs w:val="20"/>
              </w:rPr>
            </w:pPr>
            <w:r>
              <w:rPr>
                <w:sz w:val="20"/>
                <w:szCs w:val="20"/>
              </w:rPr>
              <w:t>Improvements to operating real estate</w:t>
            </w:r>
          </w:p>
        </w:tc>
        <w:tc>
          <w:tcPr>
            <w:tcW w:w="50" w:type="pct"/>
            <w:shd w:val="clear" w:color="auto" w:fill="FFFFFF"/>
            <w:vAlign w:val="bottom"/>
            <w:hideMark/>
          </w:tcPr>
          <w:p w14:paraId="4A0F6092"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AF8A691" w14:textId="77777777" w:rsidR="00000000" w:rsidRDefault="00847163">
            <w:pPr>
              <w:rPr>
                <w:rFonts w:eastAsia="Times New Roman"/>
                <w:sz w:val="20"/>
                <w:szCs w:val="20"/>
              </w:rPr>
            </w:pPr>
            <w:r>
              <w:rPr>
                <w:rFonts w:eastAsia="Times New Roman"/>
                <w:sz w:val="20"/>
                <w:szCs w:val="20"/>
              </w:rPr>
              <w:t> </w:t>
            </w:r>
          </w:p>
        </w:tc>
        <w:tc>
          <w:tcPr>
            <w:tcW w:w="500" w:type="pct"/>
            <w:shd w:val="clear" w:color="auto" w:fill="FFFFFF"/>
            <w:vAlign w:val="bottom"/>
            <w:hideMark/>
          </w:tcPr>
          <w:p w14:paraId="401AE73C" w14:textId="77777777" w:rsidR="00000000" w:rsidRDefault="00847163">
            <w:pPr>
              <w:jc w:val="right"/>
              <w:rPr>
                <w:rFonts w:eastAsia="Times New Roman"/>
                <w:sz w:val="20"/>
                <w:szCs w:val="20"/>
              </w:rPr>
            </w:pPr>
            <w:r>
              <w:rPr>
                <w:rFonts w:eastAsia="Times New Roman"/>
                <w:sz w:val="20"/>
                <w:szCs w:val="20"/>
              </w:rPr>
              <w:t>(54,973</w:t>
            </w:r>
          </w:p>
        </w:tc>
        <w:tc>
          <w:tcPr>
            <w:tcW w:w="50" w:type="pct"/>
            <w:shd w:val="clear" w:color="auto" w:fill="FFFFFF"/>
            <w:vAlign w:val="bottom"/>
            <w:hideMark/>
          </w:tcPr>
          <w:p w14:paraId="6325CB7A" w14:textId="77777777" w:rsidR="00000000" w:rsidRDefault="00847163">
            <w:pPr>
              <w:rPr>
                <w:rFonts w:eastAsia="Times New Roman"/>
                <w:sz w:val="20"/>
                <w:szCs w:val="20"/>
              </w:rPr>
            </w:pPr>
            <w:r>
              <w:rPr>
                <w:rFonts w:eastAsia="Times New Roman"/>
                <w:sz w:val="20"/>
                <w:szCs w:val="20"/>
              </w:rPr>
              <w:t>)</w:t>
            </w:r>
          </w:p>
        </w:tc>
        <w:tc>
          <w:tcPr>
            <w:tcW w:w="50" w:type="pct"/>
            <w:shd w:val="clear" w:color="auto" w:fill="FFFFFF"/>
            <w:vAlign w:val="bottom"/>
            <w:hideMark/>
          </w:tcPr>
          <w:p w14:paraId="3BFBE9A0"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A3E84F4" w14:textId="77777777" w:rsidR="00000000" w:rsidRDefault="00847163">
            <w:pPr>
              <w:rPr>
                <w:rFonts w:eastAsia="Times New Roman"/>
                <w:sz w:val="20"/>
                <w:szCs w:val="20"/>
              </w:rPr>
            </w:pPr>
            <w:r>
              <w:rPr>
                <w:rFonts w:eastAsia="Times New Roman"/>
                <w:sz w:val="20"/>
                <w:szCs w:val="20"/>
              </w:rPr>
              <w:t> </w:t>
            </w:r>
          </w:p>
        </w:tc>
        <w:tc>
          <w:tcPr>
            <w:tcW w:w="500" w:type="pct"/>
            <w:shd w:val="clear" w:color="auto" w:fill="FFFFFF"/>
            <w:vAlign w:val="bottom"/>
            <w:hideMark/>
          </w:tcPr>
          <w:p w14:paraId="5B7F58B5" w14:textId="77777777" w:rsidR="00000000" w:rsidRDefault="00847163">
            <w:pPr>
              <w:jc w:val="right"/>
              <w:rPr>
                <w:rFonts w:eastAsia="Times New Roman"/>
                <w:sz w:val="20"/>
                <w:szCs w:val="20"/>
              </w:rPr>
            </w:pPr>
            <w:r>
              <w:rPr>
                <w:rFonts w:eastAsia="Times New Roman"/>
                <w:sz w:val="20"/>
                <w:szCs w:val="20"/>
              </w:rPr>
              <w:t>(51,345</w:t>
            </w:r>
          </w:p>
        </w:tc>
        <w:tc>
          <w:tcPr>
            <w:tcW w:w="50" w:type="pct"/>
            <w:shd w:val="clear" w:color="auto" w:fill="FFFFFF"/>
            <w:vAlign w:val="bottom"/>
            <w:hideMark/>
          </w:tcPr>
          <w:p w14:paraId="3F7B1050" w14:textId="77777777" w:rsidR="00000000" w:rsidRDefault="00847163">
            <w:pPr>
              <w:rPr>
                <w:rFonts w:eastAsia="Times New Roman"/>
                <w:sz w:val="20"/>
                <w:szCs w:val="20"/>
              </w:rPr>
            </w:pPr>
            <w:r>
              <w:rPr>
                <w:rFonts w:eastAsia="Times New Roman"/>
                <w:sz w:val="20"/>
                <w:szCs w:val="20"/>
              </w:rPr>
              <w:t>)</w:t>
            </w:r>
          </w:p>
        </w:tc>
      </w:tr>
      <w:tr w:rsidR="00000000" w14:paraId="7BFC2832" w14:textId="77777777">
        <w:trPr>
          <w:divId w:val="1720398011"/>
          <w:tblCellSpacing w:w="0" w:type="dxa"/>
        </w:trPr>
        <w:tc>
          <w:tcPr>
            <w:tcW w:w="0" w:type="auto"/>
            <w:shd w:val="clear" w:color="auto" w:fill="CCEEFF"/>
            <w:vAlign w:val="bottom"/>
            <w:hideMark/>
          </w:tcPr>
          <w:p w14:paraId="46E70C64" w14:textId="77777777" w:rsidR="00000000" w:rsidRDefault="00847163">
            <w:pPr>
              <w:pStyle w:val="a3"/>
              <w:spacing w:before="0" w:beforeAutospacing="0" w:after="0" w:afterAutospacing="0"/>
              <w:ind w:left="360"/>
              <w:rPr>
                <w:sz w:val="20"/>
                <w:szCs w:val="20"/>
              </w:rPr>
            </w:pPr>
            <w:r>
              <w:rPr>
                <w:sz w:val="20"/>
                <w:szCs w:val="20"/>
              </w:rPr>
              <w:t>Improvements to real estate under development</w:t>
            </w:r>
          </w:p>
        </w:tc>
        <w:tc>
          <w:tcPr>
            <w:tcW w:w="50" w:type="pct"/>
            <w:shd w:val="clear" w:color="auto" w:fill="CCEEFF"/>
            <w:vAlign w:val="bottom"/>
            <w:hideMark/>
          </w:tcPr>
          <w:p w14:paraId="28D326C8"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78380F3" w14:textId="77777777" w:rsidR="00000000" w:rsidRDefault="00847163">
            <w:pPr>
              <w:rPr>
                <w:rFonts w:eastAsia="Times New Roman"/>
                <w:sz w:val="20"/>
                <w:szCs w:val="20"/>
              </w:rPr>
            </w:pPr>
            <w:r>
              <w:rPr>
                <w:rFonts w:eastAsia="Times New Roman"/>
                <w:sz w:val="20"/>
                <w:szCs w:val="20"/>
              </w:rPr>
              <w:t> </w:t>
            </w:r>
          </w:p>
        </w:tc>
        <w:tc>
          <w:tcPr>
            <w:tcW w:w="500" w:type="pct"/>
            <w:shd w:val="clear" w:color="auto" w:fill="CCEEFF"/>
            <w:vAlign w:val="bottom"/>
            <w:hideMark/>
          </w:tcPr>
          <w:p w14:paraId="1AF6D042" w14:textId="77777777" w:rsidR="00000000" w:rsidRDefault="00847163">
            <w:pPr>
              <w:jc w:val="right"/>
              <w:rPr>
                <w:rFonts w:eastAsia="Times New Roman"/>
                <w:sz w:val="20"/>
                <w:szCs w:val="20"/>
              </w:rPr>
            </w:pPr>
            <w:r>
              <w:rPr>
                <w:rFonts w:eastAsia="Times New Roman"/>
                <w:sz w:val="20"/>
                <w:szCs w:val="20"/>
              </w:rPr>
              <w:t>(16,578</w:t>
            </w:r>
          </w:p>
        </w:tc>
        <w:tc>
          <w:tcPr>
            <w:tcW w:w="50" w:type="pct"/>
            <w:shd w:val="clear" w:color="auto" w:fill="CCEEFF"/>
            <w:vAlign w:val="bottom"/>
            <w:hideMark/>
          </w:tcPr>
          <w:p w14:paraId="09A02FA0" w14:textId="77777777" w:rsidR="00000000" w:rsidRDefault="00847163">
            <w:pPr>
              <w:rPr>
                <w:rFonts w:eastAsia="Times New Roman"/>
                <w:sz w:val="20"/>
                <w:szCs w:val="20"/>
              </w:rPr>
            </w:pPr>
            <w:r>
              <w:rPr>
                <w:rFonts w:eastAsia="Times New Roman"/>
                <w:sz w:val="20"/>
                <w:szCs w:val="20"/>
              </w:rPr>
              <w:t>)</w:t>
            </w:r>
          </w:p>
        </w:tc>
        <w:tc>
          <w:tcPr>
            <w:tcW w:w="50" w:type="pct"/>
            <w:shd w:val="clear" w:color="auto" w:fill="CCEEFF"/>
            <w:vAlign w:val="bottom"/>
            <w:hideMark/>
          </w:tcPr>
          <w:p w14:paraId="614FB0B7"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93B4109" w14:textId="77777777" w:rsidR="00000000" w:rsidRDefault="00847163">
            <w:pPr>
              <w:rPr>
                <w:rFonts w:eastAsia="Times New Roman"/>
                <w:sz w:val="20"/>
                <w:szCs w:val="20"/>
              </w:rPr>
            </w:pPr>
            <w:r>
              <w:rPr>
                <w:rFonts w:eastAsia="Times New Roman"/>
                <w:sz w:val="20"/>
                <w:szCs w:val="20"/>
              </w:rPr>
              <w:t> </w:t>
            </w:r>
          </w:p>
        </w:tc>
        <w:tc>
          <w:tcPr>
            <w:tcW w:w="500" w:type="pct"/>
            <w:shd w:val="clear" w:color="auto" w:fill="CCEEFF"/>
            <w:vAlign w:val="bottom"/>
            <w:hideMark/>
          </w:tcPr>
          <w:p w14:paraId="013AC6F9" w14:textId="77777777" w:rsidR="00000000" w:rsidRDefault="00847163">
            <w:pPr>
              <w:jc w:val="right"/>
              <w:rPr>
                <w:rFonts w:eastAsia="Times New Roman"/>
                <w:sz w:val="20"/>
                <w:szCs w:val="20"/>
              </w:rPr>
            </w:pPr>
            <w:r>
              <w:rPr>
                <w:rFonts w:eastAsia="Times New Roman"/>
                <w:sz w:val="20"/>
                <w:szCs w:val="20"/>
              </w:rPr>
              <w:t>(26,286</w:t>
            </w:r>
          </w:p>
        </w:tc>
        <w:tc>
          <w:tcPr>
            <w:tcW w:w="50" w:type="pct"/>
            <w:shd w:val="clear" w:color="auto" w:fill="CCEEFF"/>
            <w:vAlign w:val="bottom"/>
            <w:hideMark/>
          </w:tcPr>
          <w:p w14:paraId="46EFE39F" w14:textId="77777777" w:rsidR="00000000" w:rsidRDefault="00847163">
            <w:pPr>
              <w:rPr>
                <w:rFonts w:eastAsia="Times New Roman"/>
                <w:sz w:val="20"/>
                <w:szCs w:val="20"/>
              </w:rPr>
            </w:pPr>
            <w:r>
              <w:rPr>
                <w:rFonts w:eastAsia="Times New Roman"/>
                <w:sz w:val="20"/>
                <w:szCs w:val="20"/>
              </w:rPr>
              <w:t>)</w:t>
            </w:r>
          </w:p>
        </w:tc>
      </w:tr>
      <w:tr w:rsidR="00000000" w14:paraId="3F9746D5" w14:textId="77777777">
        <w:trPr>
          <w:divId w:val="1720398011"/>
          <w:tblCellSpacing w:w="0" w:type="dxa"/>
        </w:trPr>
        <w:tc>
          <w:tcPr>
            <w:tcW w:w="0" w:type="auto"/>
            <w:shd w:val="clear" w:color="auto" w:fill="FFFFFF"/>
            <w:vAlign w:val="bottom"/>
            <w:hideMark/>
          </w:tcPr>
          <w:p w14:paraId="139EFEE0" w14:textId="77777777" w:rsidR="00000000" w:rsidRDefault="00847163">
            <w:pPr>
              <w:pStyle w:val="a3"/>
              <w:spacing w:before="0" w:beforeAutospacing="0" w:after="0" w:afterAutospacing="0"/>
              <w:ind w:left="360"/>
              <w:rPr>
                <w:sz w:val="20"/>
                <w:szCs w:val="20"/>
              </w:rPr>
            </w:pPr>
            <w:r>
              <w:rPr>
                <w:sz w:val="20"/>
                <w:szCs w:val="20"/>
              </w:rPr>
              <w:t>Investments in marketable securities</w:t>
            </w:r>
          </w:p>
        </w:tc>
        <w:tc>
          <w:tcPr>
            <w:tcW w:w="50" w:type="pct"/>
            <w:shd w:val="clear" w:color="auto" w:fill="FFFFFF"/>
            <w:vAlign w:val="bottom"/>
            <w:hideMark/>
          </w:tcPr>
          <w:p w14:paraId="55A4A2D4"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807757C" w14:textId="77777777" w:rsidR="00000000" w:rsidRDefault="00847163">
            <w:pPr>
              <w:rPr>
                <w:rFonts w:eastAsia="Times New Roman"/>
                <w:sz w:val="20"/>
                <w:szCs w:val="20"/>
              </w:rPr>
            </w:pPr>
            <w:r>
              <w:rPr>
                <w:rFonts w:eastAsia="Times New Roman"/>
                <w:sz w:val="20"/>
                <w:szCs w:val="20"/>
              </w:rPr>
              <w:t> </w:t>
            </w:r>
          </w:p>
        </w:tc>
        <w:tc>
          <w:tcPr>
            <w:tcW w:w="500" w:type="pct"/>
            <w:shd w:val="clear" w:color="auto" w:fill="FFFFFF"/>
            <w:vAlign w:val="bottom"/>
            <w:hideMark/>
          </w:tcPr>
          <w:p w14:paraId="4132E10D" w14:textId="77777777" w:rsidR="00000000" w:rsidRDefault="00847163">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57F082BE"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0D496C1"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6A83AE3" w14:textId="77777777" w:rsidR="00000000" w:rsidRDefault="00847163">
            <w:pPr>
              <w:rPr>
                <w:rFonts w:eastAsia="Times New Roman"/>
                <w:sz w:val="20"/>
                <w:szCs w:val="20"/>
              </w:rPr>
            </w:pPr>
            <w:r>
              <w:rPr>
                <w:rFonts w:eastAsia="Times New Roman"/>
                <w:sz w:val="20"/>
                <w:szCs w:val="20"/>
              </w:rPr>
              <w:t> </w:t>
            </w:r>
          </w:p>
        </w:tc>
        <w:tc>
          <w:tcPr>
            <w:tcW w:w="500" w:type="pct"/>
            <w:shd w:val="clear" w:color="auto" w:fill="FFFFFF"/>
            <w:vAlign w:val="bottom"/>
            <w:hideMark/>
          </w:tcPr>
          <w:p w14:paraId="6EE7E8F5" w14:textId="77777777" w:rsidR="00000000" w:rsidRDefault="00847163">
            <w:pPr>
              <w:jc w:val="right"/>
              <w:rPr>
                <w:rFonts w:eastAsia="Times New Roman"/>
                <w:sz w:val="20"/>
                <w:szCs w:val="20"/>
              </w:rPr>
            </w:pPr>
            <w:r>
              <w:rPr>
                <w:rFonts w:eastAsia="Times New Roman"/>
                <w:sz w:val="20"/>
                <w:szCs w:val="20"/>
              </w:rPr>
              <w:t>(157</w:t>
            </w:r>
          </w:p>
        </w:tc>
        <w:tc>
          <w:tcPr>
            <w:tcW w:w="50" w:type="pct"/>
            <w:shd w:val="clear" w:color="auto" w:fill="FFFFFF"/>
            <w:vAlign w:val="bottom"/>
            <w:hideMark/>
          </w:tcPr>
          <w:p w14:paraId="51E0FEAE" w14:textId="77777777" w:rsidR="00000000" w:rsidRDefault="00847163">
            <w:pPr>
              <w:rPr>
                <w:rFonts w:eastAsia="Times New Roman"/>
                <w:sz w:val="20"/>
                <w:szCs w:val="20"/>
              </w:rPr>
            </w:pPr>
            <w:r>
              <w:rPr>
                <w:rFonts w:eastAsia="Times New Roman"/>
                <w:sz w:val="20"/>
                <w:szCs w:val="20"/>
              </w:rPr>
              <w:t>)</w:t>
            </w:r>
          </w:p>
        </w:tc>
      </w:tr>
      <w:tr w:rsidR="00000000" w14:paraId="0214AC12" w14:textId="77777777">
        <w:trPr>
          <w:divId w:val="1720398011"/>
          <w:tblCellSpacing w:w="0" w:type="dxa"/>
        </w:trPr>
        <w:tc>
          <w:tcPr>
            <w:tcW w:w="0" w:type="auto"/>
            <w:shd w:val="clear" w:color="auto" w:fill="CCEEFF"/>
            <w:vAlign w:val="bottom"/>
            <w:hideMark/>
          </w:tcPr>
          <w:p w14:paraId="29852941" w14:textId="77777777" w:rsidR="00000000" w:rsidRDefault="00847163">
            <w:pPr>
              <w:pStyle w:val="a3"/>
              <w:spacing w:before="0" w:beforeAutospacing="0" w:after="0" w:afterAutospacing="0"/>
              <w:ind w:left="360"/>
              <w:rPr>
                <w:sz w:val="20"/>
                <w:szCs w:val="20"/>
              </w:rPr>
            </w:pPr>
            <w:r>
              <w:rPr>
                <w:sz w:val="20"/>
                <w:szCs w:val="20"/>
              </w:rPr>
              <w:t>Proceeds from sale of marketable securities</w:t>
            </w:r>
          </w:p>
        </w:tc>
        <w:tc>
          <w:tcPr>
            <w:tcW w:w="50" w:type="pct"/>
            <w:shd w:val="clear" w:color="auto" w:fill="CCEEFF"/>
            <w:vAlign w:val="bottom"/>
            <w:hideMark/>
          </w:tcPr>
          <w:p w14:paraId="748C6E37"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A6D1862" w14:textId="77777777" w:rsidR="00000000" w:rsidRDefault="00847163">
            <w:pPr>
              <w:rPr>
                <w:rFonts w:eastAsia="Times New Roman"/>
                <w:sz w:val="20"/>
                <w:szCs w:val="20"/>
              </w:rPr>
            </w:pPr>
            <w:r>
              <w:rPr>
                <w:rFonts w:eastAsia="Times New Roman"/>
                <w:sz w:val="20"/>
                <w:szCs w:val="20"/>
              </w:rPr>
              <w:t> </w:t>
            </w:r>
          </w:p>
        </w:tc>
        <w:tc>
          <w:tcPr>
            <w:tcW w:w="500" w:type="pct"/>
            <w:shd w:val="clear" w:color="auto" w:fill="CCEEFF"/>
            <w:vAlign w:val="bottom"/>
            <w:hideMark/>
          </w:tcPr>
          <w:p w14:paraId="564D50BA" w14:textId="77777777" w:rsidR="00000000" w:rsidRDefault="00847163">
            <w:pPr>
              <w:jc w:val="right"/>
              <w:rPr>
                <w:rFonts w:eastAsia="Times New Roman"/>
                <w:sz w:val="20"/>
                <w:szCs w:val="20"/>
              </w:rPr>
            </w:pPr>
            <w:r>
              <w:rPr>
                <w:rFonts w:eastAsia="Times New Roman"/>
                <w:sz w:val="20"/>
                <w:szCs w:val="20"/>
              </w:rPr>
              <w:t>163</w:t>
            </w:r>
          </w:p>
        </w:tc>
        <w:tc>
          <w:tcPr>
            <w:tcW w:w="50" w:type="pct"/>
            <w:shd w:val="clear" w:color="auto" w:fill="CCEEFF"/>
            <w:vAlign w:val="bottom"/>
            <w:hideMark/>
          </w:tcPr>
          <w:p w14:paraId="6F1EC356"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A38BD4C"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DC2B43F" w14:textId="77777777" w:rsidR="00000000" w:rsidRDefault="00847163">
            <w:pPr>
              <w:rPr>
                <w:rFonts w:eastAsia="Times New Roman"/>
                <w:sz w:val="20"/>
                <w:szCs w:val="20"/>
              </w:rPr>
            </w:pPr>
            <w:r>
              <w:rPr>
                <w:rFonts w:eastAsia="Times New Roman"/>
                <w:sz w:val="20"/>
                <w:szCs w:val="20"/>
              </w:rPr>
              <w:t> </w:t>
            </w:r>
          </w:p>
        </w:tc>
        <w:tc>
          <w:tcPr>
            <w:tcW w:w="500" w:type="pct"/>
            <w:shd w:val="clear" w:color="auto" w:fill="CCEEFF"/>
            <w:vAlign w:val="bottom"/>
            <w:hideMark/>
          </w:tcPr>
          <w:p w14:paraId="7189B218" w14:textId="77777777" w:rsidR="00000000" w:rsidRDefault="00847163">
            <w:pPr>
              <w:jc w:val="right"/>
              <w:rPr>
                <w:rFonts w:eastAsia="Times New Roman"/>
                <w:sz w:val="20"/>
                <w:szCs w:val="20"/>
              </w:rPr>
            </w:pPr>
            <w:r>
              <w:rPr>
                <w:rFonts w:eastAsia="Times New Roman"/>
                <w:sz w:val="20"/>
                <w:szCs w:val="20"/>
              </w:rPr>
              <w:t>39</w:t>
            </w:r>
          </w:p>
        </w:tc>
        <w:tc>
          <w:tcPr>
            <w:tcW w:w="50" w:type="pct"/>
            <w:shd w:val="clear" w:color="auto" w:fill="CCEEFF"/>
            <w:vAlign w:val="bottom"/>
            <w:hideMark/>
          </w:tcPr>
          <w:p w14:paraId="4A82416C" w14:textId="77777777" w:rsidR="00000000" w:rsidRDefault="00847163">
            <w:pPr>
              <w:rPr>
                <w:rFonts w:eastAsia="Times New Roman"/>
                <w:sz w:val="20"/>
                <w:szCs w:val="20"/>
              </w:rPr>
            </w:pPr>
            <w:r>
              <w:rPr>
                <w:rFonts w:eastAsia="Times New Roman"/>
                <w:sz w:val="20"/>
                <w:szCs w:val="20"/>
              </w:rPr>
              <w:t> </w:t>
            </w:r>
          </w:p>
        </w:tc>
      </w:tr>
      <w:tr w:rsidR="00000000" w14:paraId="3FF461AB" w14:textId="77777777">
        <w:trPr>
          <w:divId w:val="1720398011"/>
          <w:tblCellSpacing w:w="0" w:type="dxa"/>
        </w:trPr>
        <w:tc>
          <w:tcPr>
            <w:tcW w:w="0" w:type="auto"/>
            <w:shd w:val="clear" w:color="auto" w:fill="FFFFFF"/>
            <w:vAlign w:val="bottom"/>
            <w:hideMark/>
          </w:tcPr>
          <w:p w14:paraId="6E19EE3A" w14:textId="77777777" w:rsidR="00000000" w:rsidRDefault="00847163">
            <w:pPr>
              <w:pStyle w:val="a3"/>
              <w:spacing w:before="0" w:beforeAutospacing="0" w:after="0" w:afterAutospacing="0"/>
              <w:ind w:left="360"/>
              <w:rPr>
                <w:sz w:val="20"/>
                <w:szCs w:val="20"/>
              </w:rPr>
            </w:pPr>
            <w:r>
              <w:rPr>
                <w:sz w:val="20"/>
                <w:szCs w:val="20"/>
              </w:rPr>
              <w:t>Investments in and advances to real estate joint ventures</w:t>
            </w:r>
          </w:p>
        </w:tc>
        <w:tc>
          <w:tcPr>
            <w:tcW w:w="50" w:type="pct"/>
            <w:shd w:val="clear" w:color="auto" w:fill="FFFFFF"/>
            <w:vAlign w:val="bottom"/>
            <w:hideMark/>
          </w:tcPr>
          <w:p w14:paraId="73D5100B"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FD57932" w14:textId="77777777" w:rsidR="00000000" w:rsidRDefault="00847163">
            <w:pPr>
              <w:rPr>
                <w:rFonts w:eastAsia="Times New Roman"/>
                <w:sz w:val="20"/>
                <w:szCs w:val="20"/>
              </w:rPr>
            </w:pPr>
            <w:r>
              <w:rPr>
                <w:rFonts w:eastAsia="Times New Roman"/>
                <w:sz w:val="20"/>
                <w:szCs w:val="20"/>
              </w:rPr>
              <w:t> </w:t>
            </w:r>
          </w:p>
        </w:tc>
        <w:tc>
          <w:tcPr>
            <w:tcW w:w="500" w:type="pct"/>
            <w:shd w:val="clear" w:color="auto" w:fill="FFFFFF"/>
            <w:vAlign w:val="bottom"/>
            <w:hideMark/>
          </w:tcPr>
          <w:p w14:paraId="4B974F1A" w14:textId="77777777" w:rsidR="00000000" w:rsidRDefault="00847163">
            <w:pPr>
              <w:jc w:val="right"/>
              <w:rPr>
                <w:rFonts w:eastAsia="Times New Roman"/>
                <w:sz w:val="20"/>
                <w:szCs w:val="20"/>
              </w:rPr>
            </w:pPr>
            <w:r>
              <w:rPr>
                <w:rFonts w:eastAsia="Times New Roman"/>
                <w:sz w:val="20"/>
                <w:szCs w:val="20"/>
              </w:rPr>
              <w:t>(5,282</w:t>
            </w:r>
          </w:p>
        </w:tc>
        <w:tc>
          <w:tcPr>
            <w:tcW w:w="50" w:type="pct"/>
            <w:shd w:val="clear" w:color="auto" w:fill="FFFFFF"/>
            <w:vAlign w:val="bottom"/>
            <w:hideMark/>
          </w:tcPr>
          <w:p w14:paraId="06C26D6B" w14:textId="77777777" w:rsidR="00000000" w:rsidRDefault="00847163">
            <w:pPr>
              <w:rPr>
                <w:rFonts w:eastAsia="Times New Roman"/>
                <w:sz w:val="20"/>
                <w:szCs w:val="20"/>
              </w:rPr>
            </w:pPr>
            <w:r>
              <w:rPr>
                <w:rFonts w:eastAsia="Times New Roman"/>
                <w:sz w:val="20"/>
                <w:szCs w:val="20"/>
              </w:rPr>
              <w:t>)</w:t>
            </w:r>
          </w:p>
        </w:tc>
        <w:tc>
          <w:tcPr>
            <w:tcW w:w="50" w:type="pct"/>
            <w:shd w:val="clear" w:color="auto" w:fill="FFFFFF"/>
            <w:vAlign w:val="bottom"/>
            <w:hideMark/>
          </w:tcPr>
          <w:p w14:paraId="6BEC5498"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4764A4C" w14:textId="77777777" w:rsidR="00000000" w:rsidRDefault="00847163">
            <w:pPr>
              <w:rPr>
                <w:rFonts w:eastAsia="Times New Roman"/>
                <w:sz w:val="20"/>
                <w:szCs w:val="20"/>
              </w:rPr>
            </w:pPr>
            <w:r>
              <w:rPr>
                <w:rFonts w:eastAsia="Times New Roman"/>
                <w:sz w:val="20"/>
                <w:szCs w:val="20"/>
              </w:rPr>
              <w:t> </w:t>
            </w:r>
          </w:p>
        </w:tc>
        <w:tc>
          <w:tcPr>
            <w:tcW w:w="500" w:type="pct"/>
            <w:shd w:val="clear" w:color="auto" w:fill="FFFFFF"/>
            <w:vAlign w:val="bottom"/>
            <w:hideMark/>
          </w:tcPr>
          <w:p w14:paraId="290D21D9" w14:textId="77777777" w:rsidR="00000000" w:rsidRDefault="00847163">
            <w:pPr>
              <w:jc w:val="right"/>
              <w:rPr>
                <w:rFonts w:eastAsia="Times New Roman"/>
                <w:sz w:val="20"/>
                <w:szCs w:val="20"/>
              </w:rPr>
            </w:pPr>
            <w:r>
              <w:rPr>
                <w:rFonts w:eastAsia="Times New Roman"/>
                <w:sz w:val="20"/>
                <w:szCs w:val="20"/>
              </w:rPr>
              <w:t>(5,638</w:t>
            </w:r>
          </w:p>
        </w:tc>
        <w:tc>
          <w:tcPr>
            <w:tcW w:w="50" w:type="pct"/>
            <w:shd w:val="clear" w:color="auto" w:fill="FFFFFF"/>
            <w:vAlign w:val="bottom"/>
            <w:hideMark/>
          </w:tcPr>
          <w:p w14:paraId="77D84C4F" w14:textId="77777777" w:rsidR="00000000" w:rsidRDefault="00847163">
            <w:pPr>
              <w:rPr>
                <w:rFonts w:eastAsia="Times New Roman"/>
                <w:sz w:val="20"/>
                <w:szCs w:val="20"/>
              </w:rPr>
            </w:pPr>
            <w:r>
              <w:rPr>
                <w:rFonts w:eastAsia="Times New Roman"/>
                <w:sz w:val="20"/>
                <w:szCs w:val="20"/>
              </w:rPr>
              <w:t>)</w:t>
            </w:r>
          </w:p>
        </w:tc>
      </w:tr>
      <w:tr w:rsidR="00000000" w14:paraId="6A4BA1EE" w14:textId="77777777">
        <w:trPr>
          <w:divId w:val="1720398011"/>
          <w:tblCellSpacing w:w="0" w:type="dxa"/>
        </w:trPr>
        <w:tc>
          <w:tcPr>
            <w:tcW w:w="0" w:type="auto"/>
            <w:shd w:val="clear" w:color="auto" w:fill="CCEEFF"/>
            <w:vAlign w:val="bottom"/>
            <w:hideMark/>
          </w:tcPr>
          <w:p w14:paraId="1D53B76A" w14:textId="77777777" w:rsidR="00000000" w:rsidRDefault="00847163">
            <w:pPr>
              <w:pStyle w:val="a3"/>
              <w:spacing w:before="0" w:beforeAutospacing="0" w:after="0" w:afterAutospacing="0"/>
              <w:ind w:left="360"/>
              <w:rPr>
                <w:sz w:val="20"/>
                <w:szCs w:val="20"/>
              </w:rPr>
            </w:pPr>
            <w:r>
              <w:rPr>
                <w:sz w:val="20"/>
                <w:szCs w:val="20"/>
              </w:rPr>
              <w:t>Reimbursements of investments in and advances to real estate joint ventures</w:t>
            </w:r>
          </w:p>
        </w:tc>
        <w:tc>
          <w:tcPr>
            <w:tcW w:w="50" w:type="pct"/>
            <w:shd w:val="clear" w:color="auto" w:fill="CCEEFF"/>
            <w:vAlign w:val="bottom"/>
            <w:hideMark/>
          </w:tcPr>
          <w:p w14:paraId="2FB00C44"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FD34D5F" w14:textId="77777777" w:rsidR="00000000" w:rsidRDefault="00847163">
            <w:pPr>
              <w:rPr>
                <w:rFonts w:eastAsia="Times New Roman"/>
                <w:sz w:val="20"/>
                <w:szCs w:val="20"/>
              </w:rPr>
            </w:pPr>
            <w:r>
              <w:rPr>
                <w:rFonts w:eastAsia="Times New Roman"/>
                <w:sz w:val="20"/>
                <w:szCs w:val="20"/>
              </w:rPr>
              <w:t> </w:t>
            </w:r>
          </w:p>
        </w:tc>
        <w:tc>
          <w:tcPr>
            <w:tcW w:w="500" w:type="pct"/>
            <w:shd w:val="clear" w:color="auto" w:fill="CCEEFF"/>
            <w:vAlign w:val="bottom"/>
            <w:hideMark/>
          </w:tcPr>
          <w:p w14:paraId="384BDF9F" w14:textId="77777777" w:rsidR="00000000" w:rsidRDefault="00847163">
            <w:pPr>
              <w:jc w:val="right"/>
              <w:rPr>
                <w:rFonts w:eastAsia="Times New Roman"/>
                <w:sz w:val="20"/>
                <w:szCs w:val="20"/>
              </w:rPr>
            </w:pPr>
            <w:r>
              <w:rPr>
                <w:rFonts w:eastAsia="Times New Roman"/>
                <w:sz w:val="20"/>
                <w:szCs w:val="20"/>
              </w:rPr>
              <w:t>1,914</w:t>
            </w:r>
          </w:p>
        </w:tc>
        <w:tc>
          <w:tcPr>
            <w:tcW w:w="50" w:type="pct"/>
            <w:shd w:val="clear" w:color="auto" w:fill="CCEEFF"/>
            <w:vAlign w:val="bottom"/>
            <w:hideMark/>
          </w:tcPr>
          <w:p w14:paraId="51CEB3BF"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1D29031"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5F24733" w14:textId="77777777" w:rsidR="00000000" w:rsidRDefault="00847163">
            <w:pPr>
              <w:rPr>
                <w:rFonts w:eastAsia="Times New Roman"/>
                <w:sz w:val="20"/>
                <w:szCs w:val="20"/>
              </w:rPr>
            </w:pPr>
            <w:r>
              <w:rPr>
                <w:rFonts w:eastAsia="Times New Roman"/>
                <w:sz w:val="20"/>
                <w:szCs w:val="20"/>
              </w:rPr>
              <w:t> </w:t>
            </w:r>
          </w:p>
        </w:tc>
        <w:tc>
          <w:tcPr>
            <w:tcW w:w="500" w:type="pct"/>
            <w:shd w:val="clear" w:color="auto" w:fill="CCEEFF"/>
            <w:vAlign w:val="bottom"/>
            <w:hideMark/>
          </w:tcPr>
          <w:p w14:paraId="3AA22721" w14:textId="77777777" w:rsidR="00000000" w:rsidRDefault="00847163">
            <w:pPr>
              <w:jc w:val="right"/>
              <w:rPr>
                <w:rFonts w:eastAsia="Times New Roman"/>
                <w:sz w:val="20"/>
                <w:szCs w:val="20"/>
              </w:rPr>
            </w:pPr>
            <w:r>
              <w:rPr>
                <w:rFonts w:eastAsia="Times New Roman"/>
                <w:sz w:val="20"/>
                <w:szCs w:val="20"/>
              </w:rPr>
              <w:t>1,435</w:t>
            </w:r>
          </w:p>
        </w:tc>
        <w:tc>
          <w:tcPr>
            <w:tcW w:w="50" w:type="pct"/>
            <w:shd w:val="clear" w:color="auto" w:fill="CCEEFF"/>
            <w:vAlign w:val="bottom"/>
            <w:hideMark/>
          </w:tcPr>
          <w:p w14:paraId="79C3DEEA" w14:textId="77777777" w:rsidR="00000000" w:rsidRDefault="00847163">
            <w:pPr>
              <w:rPr>
                <w:rFonts w:eastAsia="Times New Roman"/>
                <w:sz w:val="20"/>
                <w:szCs w:val="20"/>
              </w:rPr>
            </w:pPr>
            <w:r>
              <w:rPr>
                <w:rFonts w:eastAsia="Times New Roman"/>
                <w:sz w:val="20"/>
                <w:szCs w:val="20"/>
              </w:rPr>
              <w:t> </w:t>
            </w:r>
          </w:p>
        </w:tc>
      </w:tr>
      <w:tr w:rsidR="00000000" w14:paraId="73B3DA4D" w14:textId="77777777">
        <w:trPr>
          <w:divId w:val="1720398011"/>
          <w:tblCellSpacing w:w="0" w:type="dxa"/>
        </w:trPr>
        <w:tc>
          <w:tcPr>
            <w:tcW w:w="0" w:type="auto"/>
            <w:shd w:val="clear" w:color="auto" w:fill="FFFFFF"/>
            <w:vAlign w:val="bottom"/>
            <w:hideMark/>
          </w:tcPr>
          <w:p w14:paraId="72900917" w14:textId="77777777" w:rsidR="00000000" w:rsidRDefault="00847163">
            <w:pPr>
              <w:pStyle w:val="a3"/>
              <w:spacing w:before="0" w:beforeAutospacing="0" w:after="0" w:afterAutospacing="0"/>
              <w:ind w:left="360"/>
              <w:rPr>
                <w:sz w:val="20"/>
                <w:szCs w:val="20"/>
              </w:rPr>
            </w:pPr>
            <w:r>
              <w:rPr>
                <w:sz w:val="20"/>
                <w:szCs w:val="20"/>
              </w:rPr>
              <w:t>Investments in and advances to other real estate investments</w:t>
            </w:r>
          </w:p>
        </w:tc>
        <w:tc>
          <w:tcPr>
            <w:tcW w:w="50" w:type="pct"/>
            <w:shd w:val="clear" w:color="auto" w:fill="FFFFFF"/>
            <w:vAlign w:val="bottom"/>
            <w:hideMark/>
          </w:tcPr>
          <w:p w14:paraId="1AB9AB32"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FE9701C" w14:textId="77777777" w:rsidR="00000000" w:rsidRDefault="00847163">
            <w:pPr>
              <w:rPr>
                <w:rFonts w:eastAsia="Times New Roman"/>
                <w:sz w:val="20"/>
                <w:szCs w:val="20"/>
              </w:rPr>
            </w:pPr>
            <w:r>
              <w:rPr>
                <w:rFonts w:eastAsia="Times New Roman"/>
                <w:sz w:val="20"/>
                <w:szCs w:val="20"/>
              </w:rPr>
              <w:t> </w:t>
            </w:r>
          </w:p>
        </w:tc>
        <w:tc>
          <w:tcPr>
            <w:tcW w:w="500" w:type="pct"/>
            <w:shd w:val="clear" w:color="auto" w:fill="FFFFFF"/>
            <w:vAlign w:val="bottom"/>
            <w:hideMark/>
          </w:tcPr>
          <w:p w14:paraId="197EBEF0" w14:textId="77777777" w:rsidR="00000000" w:rsidRDefault="00847163">
            <w:pPr>
              <w:jc w:val="right"/>
              <w:rPr>
                <w:rFonts w:eastAsia="Times New Roman"/>
                <w:sz w:val="20"/>
                <w:szCs w:val="20"/>
              </w:rPr>
            </w:pPr>
            <w:r>
              <w:rPr>
                <w:rFonts w:eastAsia="Times New Roman"/>
                <w:sz w:val="20"/>
                <w:szCs w:val="20"/>
              </w:rPr>
              <w:t>(478</w:t>
            </w:r>
          </w:p>
        </w:tc>
        <w:tc>
          <w:tcPr>
            <w:tcW w:w="50" w:type="pct"/>
            <w:shd w:val="clear" w:color="auto" w:fill="FFFFFF"/>
            <w:vAlign w:val="bottom"/>
            <w:hideMark/>
          </w:tcPr>
          <w:p w14:paraId="2E6FABB8" w14:textId="77777777" w:rsidR="00000000" w:rsidRDefault="00847163">
            <w:pPr>
              <w:rPr>
                <w:rFonts w:eastAsia="Times New Roman"/>
                <w:sz w:val="20"/>
                <w:szCs w:val="20"/>
              </w:rPr>
            </w:pPr>
            <w:r>
              <w:rPr>
                <w:rFonts w:eastAsia="Times New Roman"/>
                <w:sz w:val="20"/>
                <w:szCs w:val="20"/>
              </w:rPr>
              <w:t>)</w:t>
            </w:r>
          </w:p>
        </w:tc>
        <w:tc>
          <w:tcPr>
            <w:tcW w:w="50" w:type="pct"/>
            <w:shd w:val="clear" w:color="auto" w:fill="FFFFFF"/>
            <w:vAlign w:val="bottom"/>
            <w:hideMark/>
          </w:tcPr>
          <w:p w14:paraId="0D1B83F8"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3A27790" w14:textId="77777777" w:rsidR="00000000" w:rsidRDefault="00847163">
            <w:pPr>
              <w:rPr>
                <w:rFonts w:eastAsia="Times New Roman"/>
                <w:sz w:val="20"/>
                <w:szCs w:val="20"/>
              </w:rPr>
            </w:pPr>
            <w:r>
              <w:rPr>
                <w:rFonts w:eastAsia="Times New Roman"/>
                <w:sz w:val="20"/>
                <w:szCs w:val="20"/>
              </w:rPr>
              <w:t> </w:t>
            </w:r>
          </w:p>
        </w:tc>
        <w:tc>
          <w:tcPr>
            <w:tcW w:w="500" w:type="pct"/>
            <w:shd w:val="clear" w:color="auto" w:fill="FFFFFF"/>
            <w:vAlign w:val="bottom"/>
            <w:hideMark/>
          </w:tcPr>
          <w:p w14:paraId="3AD1D18A" w14:textId="77777777" w:rsidR="00000000" w:rsidRDefault="00847163">
            <w:pPr>
              <w:jc w:val="right"/>
              <w:rPr>
                <w:rFonts w:eastAsia="Times New Roman"/>
                <w:sz w:val="20"/>
                <w:szCs w:val="20"/>
              </w:rPr>
            </w:pPr>
            <w:r>
              <w:rPr>
                <w:rFonts w:eastAsia="Times New Roman"/>
                <w:sz w:val="20"/>
                <w:szCs w:val="20"/>
              </w:rPr>
              <w:t>(6,771</w:t>
            </w:r>
          </w:p>
        </w:tc>
        <w:tc>
          <w:tcPr>
            <w:tcW w:w="50" w:type="pct"/>
            <w:shd w:val="clear" w:color="auto" w:fill="FFFFFF"/>
            <w:vAlign w:val="bottom"/>
            <w:hideMark/>
          </w:tcPr>
          <w:p w14:paraId="1E606949" w14:textId="77777777" w:rsidR="00000000" w:rsidRDefault="00847163">
            <w:pPr>
              <w:rPr>
                <w:rFonts w:eastAsia="Times New Roman"/>
                <w:sz w:val="20"/>
                <w:szCs w:val="20"/>
              </w:rPr>
            </w:pPr>
            <w:r>
              <w:rPr>
                <w:rFonts w:eastAsia="Times New Roman"/>
                <w:sz w:val="20"/>
                <w:szCs w:val="20"/>
              </w:rPr>
              <w:t>)</w:t>
            </w:r>
          </w:p>
        </w:tc>
      </w:tr>
      <w:tr w:rsidR="00000000" w14:paraId="1144FEA5" w14:textId="77777777">
        <w:trPr>
          <w:divId w:val="1720398011"/>
          <w:tblCellSpacing w:w="0" w:type="dxa"/>
        </w:trPr>
        <w:tc>
          <w:tcPr>
            <w:tcW w:w="0" w:type="auto"/>
            <w:shd w:val="clear" w:color="auto" w:fill="CCEEFF"/>
            <w:vAlign w:val="bottom"/>
            <w:hideMark/>
          </w:tcPr>
          <w:p w14:paraId="55CAB26F" w14:textId="77777777" w:rsidR="00000000" w:rsidRDefault="00847163">
            <w:pPr>
              <w:pStyle w:val="a3"/>
              <w:spacing w:before="0" w:beforeAutospacing="0" w:after="0" w:afterAutospacing="0"/>
              <w:ind w:left="360"/>
              <w:rPr>
                <w:sz w:val="20"/>
                <w:szCs w:val="20"/>
              </w:rPr>
            </w:pPr>
            <w:r>
              <w:rPr>
                <w:sz w:val="20"/>
                <w:szCs w:val="20"/>
              </w:rPr>
              <w:t>Investment in other financing receivable</w:t>
            </w:r>
          </w:p>
        </w:tc>
        <w:tc>
          <w:tcPr>
            <w:tcW w:w="50" w:type="pct"/>
            <w:shd w:val="clear" w:color="auto" w:fill="CCEEFF"/>
            <w:vAlign w:val="bottom"/>
            <w:hideMark/>
          </w:tcPr>
          <w:p w14:paraId="5C2C2CE8"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5C39F4B" w14:textId="77777777" w:rsidR="00000000" w:rsidRDefault="00847163">
            <w:pPr>
              <w:rPr>
                <w:rFonts w:eastAsia="Times New Roman"/>
                <w:sz w:val="20"/>
                <w:szCs w:val="20"/>
              </w:rPr>
            </w:pPr>
            <w:r>
              <w:rPr>
                <w:rFonts w:eastAsia="Times New Roman"/>
                <w:sz w:val="20"/>
                <w:szCs w:val="20"/>
              </w:rPr>
              <w:t> </w:t>
            </w:r>
          </w:p>
        </w:tc>
        <w:tc>
          <w:tcPr>
            <w:tcW w:w="500" w:type="pct"/>
            <w:shd w:val="clear" w:color="auto" w:fill="CCEEFF"/>
            <w:vAlign w:val="bottom"/>
            <w:hideMark/>
          </w:tcPr>
          <w:p w14:paraId="5CC2C002" w14:textId="77777777" w:rsidR="00000000" w:rsidRDefault="0084716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364CFCAC"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2861432"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CC1A778" w14:textId="77777777" w:rsidR="00000000" w:rsidRDefault="00847163">
            <w:pPr>
              <w:rPr>
                <w:rFonts w:eastAsia="Times New Roman"/>
                <w:sz w:val="20"/>
                <w:szCs w:val="20"/>
              </w:rPr>
            </w:pPr>
            <w:r>
              <w:rPr>
                <w:rFonts w:eastAsia="Times New Roman"/>
                <w:sz w:val="20"/>
                <w:szCs w:val="20"/>
              </w:rPr>
              <w:t> </w:t>
            </w:r>
          </w:p>
        </w:tc>
        <w:tc>
          <w:tcPr>
            <w:tcW w:w="500" w:type="pct"/>
            <w:shd w:val="clear" w:color="auto" w:fill="CCEEFF"/>
            <w:vAlign w:val="bottom"/>
            <w:hideMark/>
          </w:tcPr>
          <w:p w14:paraId="1C427040" w14:textId="77777777" w:rsidR="00000000" w:rsidRDefault="00847163">
            <w:pPr>
              <w:jc w:val="right"/>
              <w:rPr>
                <w:rFonts w:eastAsia="Times New Roman"/>
                <w:sz w:val="20"/>
                <w:szCs w:val="20"/>
              </w:rPr>
            </w:pPr>
            <w:r>
              <w:rPr>
                <w:rFonts w:eastAsia="Times New Roman"/>
                <w:sz w:val="20"/>
                <w:szCs w:val="20"/>
              </w:rPr>
              <w:t>(48</w:t>
            </w:r>
          </w:p>
        </w:tc>
        <w:tc>
          <w:tcPr>
            <w:tcW w:w="50" w:type="pct"/>
            <w:shd w:val="clear" w:color="auto" w:fill="CCEEFF"/>
            <w:vAlign w:val="bottom"/>
            <w:hideMark/>
          </w:tcPr>
          <w:p w14:paraId="3BD90FEE" w14:textId="77777777" w:rsidR="00000000" w:rsidRDefault="00847163">
            <w:pPr>
              <w:rPr>
                <w:rFonts w:eastAsia="Times New Roman"/>
                <w:sz w:val="20"/>
                <w:szCs w:val="20"/>
              </w:rPr>
            </w:pPr>
            <w:r>
              <w:rPr>
                <w:rFonts w:eastAsia="Times New Roman"/>
                <w:sz w:val="20"/>
                <w:szCs w:val="20"/>
              </w:rPr>
              <w:t>)</w:t>
            </w:r>
          </w:p>
        </w:tc>
      </w:tr>
      <w:tr w:rsidR="00000000" w14:paraId="4B0AE305" w14:textId="77777777">
        <w:trPr>
          <w:divId w:val="1720398011"/>
          <w:tblCellSpacing w:w="0" w:type="dxa"/>
        </w:trPr>
        <w:tc>
          <w:tcPr>
            <w:tcW w:w="0" w:type="auto"/>
            <w:shd w:val="clear" w:color="auto" w:fill="FFFFFF"/>
            <w:vAlign w:val="bottom"/>
            <w:hideMark/>
          </w:tcPr>
          <w:p w14:paraId="1EE9C9F9" w14:textId="77777777" w:rsidR="00000000" w:rsidRDefault="00847163">
            <w:pPr>
              <w:pStyle w:val="a3"/>
              <w:spacing w:before="0" w:beforeAutospacing="0" w:after="0" w:afterAutospacing="0"/>
              <w:ind w:left="360"/>
              <w:rPr>
                <w:sz w:val="20"/>
                <w:szCs w:val="20"/>
              </w:rPr>
            </w:pPr>
            <w:r>
              <w:rPr>
                <w:sz w:val="20"/>
                <w:szCs w:val="20"/>
              </w:rPr>
              <w:t>Collection of mortgage loans receivable</w:t>
            </w:r>
          </w:p>
        </w:tc>
        <w:tc>
          <w:tcPr>
            <w:tcW w:w="50" w:type="pct"/>
            <w:shd w:val="clear" w:color="auto" w:fill="FFFFFF"/>
            <w:vAlign w:val="bottom"/>
            <w:hideMark/>
          </w:tcPr>
          <w:p w14:paraId="09F61A9F"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167EBFA" w14:textId="77777777" w:rsidR="00000000" w:rsidRDefault="00847163">
            <w:pPr>
              <w:rPr>
                <w:rFonts w:eastAsia="Times New Roman"/>
                <w:sz w:val="20"/>
                <w:szCs w:val="20"/>
              </w:rPr>
            </w:pPr>
            <w:r>
              <w:rPr>
                <w:rFonts w:eastAsia="Times New Roman"/>
                <w:sz w:val="20"/>
                <w:szCs w:val="20"/>
              </w:rPr>
              <w:t> </w:t>
            </w:r>
          </w:p>
        </w:tc>
        <w:tc>
          <w:tcPr>
            <w:tcW w:w="500" w:type="pct"/>
            <w:shd w:val="clear" w:color="auto" w:fill="FFFFFF"/>
            <w:vAlign w:val="bottom"/>
            <w:hideMark/>
          </w:tcPr>
          <w:p w14:paraId="4AD4A1B9" w14:textId="77777777" w:rsidR="00000000" w:rsidRDefault="00847163">
            <w:pPr>
              <w:jc w:val="right"/>
              <w:rPr>
                <w:rFonts w:eastAsia="Times New Roman"/>
                <w:sz w:val="20"/>
                <w:szCs w:val="20"/>
              </w:rPr>
            </w:pPr>
            <w:r>
              <w:rPr>
                <w:rFonts w:eastAsia="Times New Roman"/>
                <w:sz w:val="20"/>
                <w:szCs w:val="20"/>
              </w:rPr>
              <w:t>40</w:t>
            </w:r>
          </w:p>
        </w:tc>
        <w:tc>
          <w:tcPr>
            <w:tcW w:w="50" w:type="pct"/>
            <w:shd w:val="clear" w:color="auto" w:fill="FFFFFF"/>
            <w:vAlign w:val="bottom"/>
            <w:hideMark/>
          </w:tcPr>
          <w:p w14:paraId="5A4D101F"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9704DE7"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4696C30" w14:textId="77777777" w:rsidR="00000000" w:rsidRDefault="00847163">
            <w:pPr>
              <w:rPr>
                <w:rFonts w:eastAsia="Times New Roman"/>
                <w:sz w:val="20"/>
                <w:szCs w:val="20"/>
              </w:rPr>
            </w:pPr>
            <w:r>
              <w:rPr>
                <w:rFonts w:eastAsia="Times New Roman"/>
                <w:sz w:val="20"/>
                <w:szCs w:val="20"/>
              </w:rPr>
              <w:t> </w:t>
            </w:r>
          </w:p>
        </w:tc>
        <w:tc>
          <w:tcPr>
            <w:tcW w:w="500" w:type="pct"/>
            <w:shd w:val="clear" w:color="auto" w:fill="FFFFFF"/>
            <w:vAlign w:val="bottom"/>
            <w:hideMark/>
          </w:tcPr>
          <w:p w14:paraId="1B683C0A" w14:textId="77777777" w:rsidR="00000000" w:rsidRDefault="00847163">
            <w:pPr>
              <w:jc w:val="right"/>
              <w:rPr>
                <w:rFonts w:eastAsia="Times New Roman"/>
                <w:sz w:val="20"/>
                <w:szCs w:val="20"/>
              </w:rPr>
            </w:pPr>
            <w:r>
              <w:rPr>
                <w:rFonts w:eastAsia="Times New Roman"/>
                <w:sz w:val="20"/>
                <w:szCs w:val="20"/>
              </w:rPr>
              <w:t>160</w:t>
            </w:r>
          </w:p>
        </w:tc>
        <w:tc>
          <w:tcPr>
            <w:tcW w:w="50" w:type="pct"/>
            <w:shd w:val="clear" w:color="auto" w:fill="FFFFFF"/>
            <w:vAlign w:val="bottom"/>
            <w:hideMark/>
          </w:tcPr>
          <w:p w14:paraId="08D413DE" w14:textId="77777777" w:rsidR="00000000" w:rsidRDefault="00847163">
            <w:pPr>
              <w:rPr>
                <w:rFonts w:eastAsia="Times New Roman"/>
                <w:sz w:val="20"/>
                <w:szCs w:val="20"/>
              </w:rPr>
            </w:pPr>
            <w:r>
              <w:rPr>
                <w:rFonts w:eastAsia="Times New Roman"/>
                <w:sz w:val="20"/>
                <w:szCs w:val="20"/>
              </w:rPr>
              <w:t> </w:t>
            </w:r>
          </w:p>
        </w:tc>
      </w:tr>
      <w:tr w:rsidR="00000000" w14:paraId="1261F048" w14:textId="77777777">
        <w:trPr>
          <w:divId w:val="1720398011"/>
          <w:tblCellSpacing w:w="0" w:type="dxa"/>
        </w:trPr>
        <w:tc>
          <w:tcPr>
            <w:tcW w:w="0" w:type="auto"/>
            <w:shd w:val="clear" w:color="auto" w:fill="CCEEFF"/>
            <w:vAlign w:val="bottom"/>
            <w:hideMark/>
          </w:tcPr>
          <w:p w14:paraId="7BB41992" w14:textId="77777777" w:rsidR="00000000" w:rsidRDefault="00847163">
            <w:pPr>
              <w:pStyle w:val="a3"/>
              <w:spacing w:before="0" w:beforeAutospacing="0" w:after="0" w:afterAutospacing="0"/>
              <w:ind w:left="360"/>
              <w:rPr>
                <w:sz w:val="20"/>
                <w:szCs w:val="20"/>
              </w:rPr>
            </w:pPr>
            <w:r>
              <w:rPr>
                <w:sz w:val="20"/>
                <w:szCs w:val="20"/>
              </w:rPr>
              <w:t>Proceeds from sale of operating properties</w:t>
            </w:r>
          </w:p>
        </w:tc>
        <w:tc>
          <w:tcPr>
            <w:tcW w:w="50" w:type="pct"/>
            <w:shd w:val="clear" w:color="auto" w:fill="CCEEFF"/>
            <w:vAlign w:val="bottom"/>
            <w:hideMark/>
          </w:tcPr>
          <w:p w14:paraId="4745DF50"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E94E1D8" w14:textId="77777777" w:rsidR="00000000" w:rsidRDefault="00847163">
            <w:pPr>
              <w:rPr>
                <w:rFonts w:eastAsia="Times New Roman"/>
                <w:sz w:val="20"/>
                <w:szCs w:val="20"/>
              </w:rPr>
            </w:pPr>
            <w:r>
              <w:rPr>
                <w:rFonts w:eastAsia="Times New Roman"/>
                <w:sz w:val="20"/>
                <w:szCs w:val="20"/>
              </w:rPr>
              <w:t> </w:t>
            </w:r>
          </w:p>
        </w:tc>
        <w:tc>
          <w:tcPr>
            <w:tcW w:w="500" w:type="pct"/>
            <w:shd w:val="clear" w:color="auto" w:fill="CCEEFF"/>
            <w:vAlign w:val="bottom"/>
            <w:hideMark/>
          </w:tcPr>
          <w:p w14:paraId="10A8F6E2" w14:textId="77777777" w:rsidR="00000000" w:rsidRDefault="00847163">
            <w:pPr>
              <w:jc w:val="right"/>
              <w:rPr>
                <w:rFonts w:eastAsia="Times New Roman"/>
                <w:sz w:val="20"/>
                <w:szCs w:val="20"/>
              </w:rPr>
            </w:pPr>
            <w:r>
              <w:rPr>
                <w:rFonts w:eastAsia="Times New Roman"/>
                <w:sz w:val="20"/>
                <w:szCs w:val="20"/>
              </w:rPr>
              <w:t>13,264</w:t>
            </w:r>
          </w:p>
        </w:tc>
        <w:tc>
          <w:tcPr>
            <w:tcW w:w="50" w:type="pct"/>
            <w:shd w:val="clear" w:color="auto" w:fill="CCEEFF"/>
            <w:vAlign w:val="bottom"/>
            <w:hideMark/>
          </w:tcPr>
          <w:p w14:paraId="3D1406A8"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4502A9B"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27F5267" w14:textId="77777777" w:rsidR="00000000" w:rsidRDefault="00847163">
            <w:pPr>
              <w:rPr>
                <w:rFonts w:eastAsia="Times New Roman"/>
                <w:sz w:val="20"/>
                <w:szCs w:val="20"/>
              </w:rPr>
            </w:pPr>
            <w:r>
              <w:rPr>
                <w:rFonts w:eastAsia="Times New Roman"/>
                <w:sz w:val="20"/>
                <w:szCs w:val="20"/>
              </w:rPr>
              <w:t> </w:t>
            </w:r>
          </w:p>
        </w:tc>
        <w:tc>
          <w:tcPr>
            <w:tcW w:w="500" w:type="pct"/>
            <w:shd w:val="clear" w:color="auto" w:fill="CCEEFF"/>
            <w:vAlign w:val="bottom"/>
            <w:hideMark/>
          </w:tcPr>
          <w:p w14:paraId="798907F1" w14:textId="77777777" w:rsidR="00000000" w:rsidRDefault="00847163">
            <w:pPr>
              <w:jc w:val="right"/>
              <w:rPr>
                <w:rFonts w:eastAsia="Times New Roman"/>
                <w:sz w:val="20"/>
                <w:szCs w:val="20"/>
              </w:rPr>
            </w:pPr>
            <w:r>
              <w:rPr>
                <w:rFonts w:eastAsia="Times New Roman"/>
                <w:sz w:val="20"/>
                <w:szCs w:val="20"/>
              </w:rPr>
              <w:t>72,069</w:t>
            </w:r>
          </w:p>
        </w:tc>
        <w:tc>
          <w:tcPr>
            <w:tcW w:w="50" w:type="pct"/>
            <w:shd w:val="clear" w:color="auto" w:fill="CCEEFF"/>
            <w:vAlign w:val="bottom"/>
            <w:hideMark/>
          </w:tcPr>
          <w:p w14:paraId="1902902E" w14:textId="77777777" w:rsidR="00000000" w:rsidRDefault="00847163">
            <w:pPr>
              <w:rPr>
                <w:rFonts w:eastAsia="Times New Roman"/>
                <w:sz w:val="20"/>
                <w:szCs w:val="20"/>
              </w:rPr>
            </w:pPr>
            <w:r>
              <w:rPr>
                <w:rFonts w:eastAsia="Times New Roman"/>
                <w:sz w:val="20"/>
                <w:szCs w:val="20"/>
              </w:rPr>
              <w:t> </w:t>
            </w:r>
          </w:p>
        </w:tc>
      </w:tr>
      <w:tr w:rsidR="00000000" w14:paraId="199C51EE" w14:textId="77777777">
        <w:trPr>
          <w:divId w:val="1720398011"/>
          <w:tblCellSpacing w:w="0" w:type="dxa"/>
        </w:trPr>
        <w:tc>
          <w:tcPr>
            <w:tcW w:w="0" w:type="auto"/>
            <w:shd w:val="clear" w:color="auto" w:fill="FFFFFF"/>
            <w:vAlign w:val="bottom"/>
            <w:hideMark/>
          </w:tcPr>
          <w:p w14:paraId="524BBD24" w14:textId="77777777" w:rsidR="00000000" w:rsidRDefault="00847163">
            <w:pPr>
              <w:pStyle w:val="a3"/>
              <w:spacing w:before="0" w:beforeAutospacing="0" w:after="0" w:afterAutospacing="0"/>
              <w:ind w:left="360"/>
              <w:rPr>
                <w:sz w:val="20"/>
                <w:szCs w:val="20"/>
              </w:rPr>
            </w:pPr>
            <w:r>
              <w:rPr>
                <w:sz w:val="20"/>
                <w:szCs w:val="20"/>
              </w:rPr>
              <w:t>Proceeds from insurance casualty claims</w:t>
            </w:r>
          </w:p>
        </w:tc>
        <w:tc>
          <w:tcPr>
            <w:tcW w:w="50" w:type="pct"/>
            <w:shd w:val="clear" w:color="auto" w:fill="FFFFFF"/>
            <w:tcMar>
              <w:top w:w="0" w:type="dxa"/>
              <w:left w:w="0" w:type="dxa"/>
              <w:bottom w:w="15" w:type="dxa"/>
              <w:right w:w="0" w:type="dxa"/>
            </w:tcMar>
            <w:vAlign w:val="bottom"/>
            <w:hideMark/>
          </w:tcPr>
          <w:p w14:paraId="3EA3F6C1" w14:textId="77777777" w:rsidR="00000000" w:rsidRDefault="0084716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333E1A70" w14:textId="77777777" w:rsidR="00000000" w:rsidRDefault="00847163">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FFFFFF"/>
            <w:vAlign w:val="bottom"/>
            <w:hideMark/>
          </w:tcPr>
          <w:p w14:paraId="708909BC" w14:textId="77777777" w:rsidR="00000000" w:rsidRDefault="00847163">
            <w:pPr>
              <w:jc w:val="right"/>
              <w:rPr>
                <w:rFonts w:eastAsia="Times New Roman"/>
                <w:sz w:val="20"/>
                <w:szCs w:val="20"/>
              </w:rPr>
            </w:pPr>
            <w:r>
              <w:rPr>
                <w:rFonts w:eastAsia="Times New Roman"/>
                <w:sz w:val="20"/>
                <w:szCs w:val="20"/>
              </w:rPr>
              <w:t>2,450</w:t>
            </w:r>
          </w:p>
        </w:tc>
        <w:tc>
          <w:tcPr>
            <w:tcW w:w="50" w:type="pct"/>
            <w:shd w:val="clear" w:color="auto" w:fill="FFFFFF"/>
            <w:tcMar>
              <w:top w:w="0" w:type="dxa"/>
              <w:left w:w="0" w:type="dxa"/>
              <w:bottom w:w="15" w:type="dxa"/>
              <w:right w:w="0" w:type="dxa"/>
            </w:tcMar>
            <w:vAlign w:val="bottom"/>
            <w:hideMark/>
          </w:tcPr>
          <w:p w14:paraId="54476356"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14:paraId="51BAC5C3" w14:textId="77777777" w:rsidR="00000000" w:rsidRDefault="0084716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0541BCC9" w14:textId="77777777" w:rsidR="00000000" w:rsidRDefault="00847163">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FFFFFF"/>
            <w:vAlign w:val="bottom"/>
            <w:hideMark/>
          </w:tcPr>
          <w:p w14:paraId="45F4108F" w14:textId="77777777" w:rsidR="00000000" w:rsidRDefault="00847163">
            <w:pPr>
              <w:jc w:val="right"/>
              <w:rPr>
                <w:rFonts w:eastAsia="Times New Roman"/>
                <w:sz w:val="20"/>
                <w:szCs w:val="20"/>
              </w:rPr>
            </w:pPr>
            <w:r>
              <w:rPr>
                <w:rFonts w:eastAsia="Times New Roman"/>
                <w:sz w:val="20"/>
                <w:szCs w:val="20"/>
              </w:rPr>
              <w:t>1,000</w:t>
            </w:r>
          </w:p>
        </w:tc>
        <w:tc>
          <w:tcPr>
            <w:tcW w:w="50" w:type="pct"/>
            <w:shd w:val="clear" w:color="auto" w:fill="FFFFFF"/>
            <w:tcMar>
              <w:top w:w="0" w:type="dxa"/>
              <w:left w:w="0" w:type="dxa"/>
              <w:bottom w:w="15" w:type="dxa"/>
              <w:right w:w="0" w:type="dxa"/>
            </w:tcMar>
            <w:vAlign w:val="bottom"/>
            <w:hideMark/>
          </w:tcPr>
          <w:p w14:paraId="3F2C17DD" w14:textId="77777777" w:rsidR="00000000" w:rsidRDefault="00847163">
            <w:pPr>
              <w:rPr>
                <w:rFonts w:eastAsia="Times New Roman"/>
                <w:sz w:val="20"/>
                <w:szCs w:val="20"/>
              </w:rPr>
            </w:pPr>
            <w:r>
              <w:rPr>
                <w:rFonts w:eastAsia="Times New Roman"/>
                <w:sz w:val="20"/>
                <w:szCs w:val="20"/>
              </w:rPr>
              <w:t> </w:t>
            </w:r>
          </w:p>
        </w:tc>
      </w:tr>
      <w:tr w:rsidR="00000000" w14:paraId="190131CF" w14:textId="77777777">
        <w:trPr>
          <w:divId w:val="1720398011"/>
          <w:tblCellSpacing w:w="0" w:type="dxa"/>
        </w:trPr>
        <w:tc>
          <w:tcPr>
            <w:tcW w:w="0" w:type="auto"/>
            <w:shd w:val="clear" w:color="auto" w:fill="CCEEFF"/>
            <w:vAlign w:val="bottom"/>
            <w:hideMark/>
          </w:tcPr>
          <w:p w14:paraId="1CFFC65E" w14:textId="77777777" w:rsidR="00000000" w:rsidRDefault="00847163">
            <w:pPr>
              <w:pStyle w:val="a3"/>
              <w:spacing w:before="0" w:beforeAutospacing="0" w:after="0" w:afterAutospacing="0"/>
              <w:ind w:left="720"/>
              <w:rPr>
                <w:sz w:val="20"/>
                <w:szCs w:val="20"/>
              </w:rPr>
            </w:pPr>
            <w:r>
              <w:rPr>
                <w:sz w:val="20"/>
                <w:szCs w:val="20"/>
              </w:rPr>
              <w:t>Net cash flow used for investing activities</w:t>
            </w:r>
          </w:p>
        </w:tc>
        <w:tc>
          <w:tcPr>
            <w:tcW w:w="50" w:type="pct"/>
            <w:shd w:val="clear" w:color="auto" w:fill="CCEEFF"/>
            <w:vAlign w:val="bottom"/>
            <w:hideMark/>
          </w:tcPr>
          <w:p w14:paraId="1B69D2C0" w14:textId="77777777" w:rsidR="00000000" w:rsidRDefault="0084716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45C6D7FB" w14:textId="77777777" w:rsidR="00000000" w:rsidRDefault="00847163">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14:paraId="785895EA" w14:textId="77777777" w:rsidR="00000000" w:rsidRDefault="00847163">
            <w:pPr>
              <w:jc w:val="right"/>
              <w:rPr>
                <w:rFonts w:eastAsia="Times New Roman"/>
                <w:sz w:val="20"/>
                <w:szCs w:val="20"/>
              </w:rPr>
            </w:pPr>
            <w:r>
              <w:rPr>
                <w:rFonts w:eastAsia="Times New Roman"/>
                <w:sz w:val="20"/>
                <w:szCs w:val="20"/>
              </w:rPr>
              <w:t>(66,553</w:t>
            </w:r>
          </w:p>
        </w:tc>
        <w:tc>
          <w:tcPr>
            <w:tcW w:w="50" w:type="pct"/>
            <w:shd w:val="clear" w:color="auto" w:fill="CCEEFF"/>
            <w:tcMar>
              <w:top w:w="0" w:type="dxa"/>
              <w:left w:w="0" w:type="dxa"/>
              <w:bottom w:w="15" w:type="dxa"/>
              <w:right w:w="0" w:type="dxa"/>
            </w:tcMar>
            <w:vAlign w:val="bottom"/>
            <w:hideMark/>
          </w:tcPr>
          <w:p w14:paraId="797C3B20" w14:textId="77777777" w:rsidR="00000000" w:rsidRDefault="00847163">
            <w:pPr>
              <w:rPr>
                <w:rFonts w:eastAsia="Times New Roman"/>
                <w:sz w:val="20"/>
                <w:szCs w:val="20"/>
              </w:rPr>
            </w:pPr>
            <w:r>
              <w:rPr>
                <w:rFonts w:eastAsia="Times New Roman"/>
                <w:sz w:val="20"/>
                <w:szCs w:val="20"/>
              </w:rPr>
              <w:t>)</w:t>
            </w:r>
          </w:p>
        </w:tc>
        <w:tc>
          <w:tcPr>
            <w:tcW w:w="50" w:type="pct"/>
            <w:shd w:val="clear" w:color="auto" w:fill="CCEEFF"/>
            <w:vAlign w:val="bottom"/>
            <w:hideMark/>
          </w:tcPr>
          <w:p w14:paraId="2DF5240D" w14:textId="77777777" w:rsidR="00000000" w:rsidRDefault="0084716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3074D014" w14:textId="77777777" w:rsidR="00000000" w:rsidRDefault="00847163">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14:paraId="0C5F6271" w14:textId="77777777" w:rsidR="00000000" w:rsidRDefault="00847163">
            <w:pPr>
              <w:jc w:val="right"/>
              <w:rPr>
                <w:rFonts w:eastAsia="Times New Roman"/>
                <w:sz w:val="20"/>
                <w:szCs w:val="20"/>
              </w:rPr>
            </w:pPr>
            <w:r>
              <w:rPr>
                <w:rFonts w:eastAsia="Times New Roman"/>
                <w:sz w:val="20"/>
                <w:szCs w:val="20"/>
              </w:rPr>
              <w:t>(15,542</w:t>
            </w:r>
          </w:p>
        </w:tc>
        <w:tc>
          <w:tcPr>
            <w:tcW w:w="50" w:type="pct"/>
            <w:shd w:val="clear" w:color="auto" w:fill="CCEEFF"/>
            <w:tcMar>
              <w:top w:w="0" w:type="dxa"/>
              <w:left w:w="0" w:type="dxa"/>
              <w:bottom w:w="15" w:type="dxa"/>
              <w:right w:w="0" w:type="dxa"/>
            </w:tcMar>
            <w:vAlign w:val="bottom"/>
            <w:hideMark/>
          </w:tcPr>
          <w:p w14:paraId="42502DFE" w14:textId="77777777" w:rsidR="00000000" w:rsidRDefault="00847163">
            <w:pPr>
              <w:rPr>
                <w:rFonts w:eastAsia="Times New Roman"/>
                <w:sz w:val="20"/>
                <w:szCs w:val="20"/>
              </w:rPr>
            </w:pPr>
            <w:r>
              <w:rPr>
                <w:rFonts w:eastAsia="Times New Roman"/>
                <w:sz w:val="20"/>
                <w:szCs w:val="20"/>
              </w:rPr>
              <w:t>)</w:t>
            </w:r>
          </w:p>
        </w:tc>
      </w:tr>
      <w:tr w:rsidR="00000000" w14:paraId="78A14E97" w14:textId="77777777">
        <w:trPr>
          <w:divId w:val="1720398011"/>
          <w:tblCellSpacing w:w="0" w:type="dxa"/>
        </w:trPr>
        <w:tc>
          <w:tcPr>
            <w:tcW w:w="0" w:type="auto"/>
            <w:shd w:val="clear" w:color="auto" w:fill="FFFFFF"/>
            <w:vAlign w:val="bottom"/>
            <w:hideMark/>
          </w:tcPr>
          <w:p w14:paraId="5DE07F14"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8781AE7"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2ACD455"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B5A6E23"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7400378"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DD1D968"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68E10D8"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32912CC"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9C2FE43" w14:textId="77777777" w:rsidR="00000000" w:rsidRDefault="00847163">
            <w:pPr>
              <w:rPr>
                <w:rFonts w:eastAsia="Times New Roman"/>
                <w:sz w:val="20"/>
                <w:szCs w:val="20"/>
              </w:rPr>
            </w:pPr>
            <w:r>
              <w:rPr>
                <w:rFonts w:eastAsia="Times New Roman"/>
                <w:sz w:val="20"/>
                <w:szCs w:val="20"/>
              </w:rPr>
              <w:t> </w:t>
            </w:r>
          </w:p>
        </w:tc>
      </w:tr>
      <w:tr w:rsidR="00000000" w14:paraId="2A951A90" w14:textId="77777777">
        <w:trPr>
          <w:divId w:val="1720398011"/>
          <w:tblCellSpacing w:w="0" w:type="dxa"/>
        </w:trPr>
        <w:tc>
          <w:tcPr>
            <w:tcW w:w="0" w:type="auto"/>
            <w:shd w:val="clear" w:color="auto" w:fill="CCEEFF"/>
            <w:vAlign w:val="bottom"/>
            <w:hideMark/>
          </w:tcPr>
          <w:p w14:paraId="5F50F987" w14:textId="77777777" w:rsidR="00000000" w:rsidRDefault="00847163">
            <w:pPr>
              <w:pStyle w:val="a3"/>
              <w:spacing w:before="0" w:beforeAutospacing="0" w:after="0" w:afterAutospacing="0"/>
              <w:rPr>
                <w:sz w:val="20"/>
                <w:szCs w:val="20"/>
              </w:rPr>
            </w:pPr>
            <w:r>
              <w:rPr>
                <w:sz w:val="20"/>
                <w:szCs w:val="20"/>
              </w:rPr>
              <w:t>Cash flow from financing activities:</w:t>
            </w:r>
          </w:p>
        </w:tc>
        <w:tc>
          <w:tcPr>
            <w:tcW w:w="0" w:type="auto"/>
            <w:shd w:val="clear" w:color="auto" w:fill="CCEEFF"/>
            <w:vAlign w:val="bottom"/>
            <w:hideMark/>
          </w:tcPr>
          <w:p w14:paraId="4081A7DB"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11410B"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F91D96"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0F0CE1F"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12051CE"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FEF1DCE"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3575D19"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99B6C44" w14:textId="77777777" w:rsidR="00000000" w:rsidRDefault="00847163">
            <w:pPr>
              <w:rPr>
                <w:rFonts w:eastAsia="Times New Roman"/>
                <w:sz w:val="20"/>
                <w:szCs w:val="20"/>
              </w:rPr>
            </w:pPr>
            <w:r>
              <w:rPr>
                <w:rFonts w:eastAsia="Times New Roman"/>
                <w:sz w:val="20"/>
                <w:szCs w:val="20"/>
              </w:rPr>
              <w:t> </w:t>
            </w:r>
          </w:p>
        </w:tc>
      </w:tr>
      <w:tr w:rsidR="00000000" w14:paraId="5DB2D465" w14:textId="77777777">
        <w:trPr>
          <w:divId w:val="1720398011"/>
          <w:tblCellSpacing w:w="0" w:type="dxa"/>
        </w:trPr>
        <w:tc>
          <w:tcPr>
            <w:tcW w:w="0" w:type="auto"/>
            <w:shd w:val="clear" w:color="auto" w:fill="FFFFFF"/>
            <w:vAlign w:val="bottom"/>
            <w:hideMark/>
          </w:tcPr>
          <w:p w14:paraId="3528C015" w14:textId="77777777" w:rsidR="00000000" w:rsidRDefault="00847163">
            <w:pPr>
              <w:pStyle w:val="a3"/>
              <w:spacing w:before="0" w:beforeAutospacing="0" w:after="0" w:afterAutospacing="0"/>
              <w:ind w:left="360"/>
              <w:rPr>
                <w:sz w:val="20"/>
                <w:szCs w:val="20"/>
              </w:rPr>
            </w:pPr>
            <w:r>
              <w:rPr>
                <w:sz w:val="20"/>
                <w:szCs w:val="20"/>
              </w:rPr>
              <w:t>Principal payments on debt, excluding normal amortization of rental property debt</w:t>
            </w:r>
          </w:p>
        </w:tc>
        <w:tc>
          <w:tcPr>
            <w:tcW w:w="50" w:type="pct"/>
            <w:shd w:val="clear" w:color="auto" w:fill="FFFFFF"/>
            <w:vAlign w:val="bottom"/>
            <w:hideMark/>
          </w:tcPr>
          <w:p w14:paraId="775DC130"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2C94D4A" w14:textId="77777777" w:rsidR="00000000" w:rsidRDefault="00847163">
            <w:pPr>
              <w:rPr>
                <w:rFonts w:eastAsia="Times New Roman"/>
                <w:sz w:val="20"/>
                <w:szCs w:val="20"/>
              </w:rPr>
            </w:pPr>
            <w:r>
              <w:rPr>
                <w:rFonts w:eastAsia="Times New Roman"/>
                <w:sz w:val="20"/>
                <w:szCs w:val="20"/>
              </w:rPr>
              <w:t> </w:t>
            </w:r>
          </w:p>
        </w:tc>
        <w:tc>
          <w:tcPr>
            <w:tcW w:w="500" w:type="pct"/>
            <w:shd w:val="clear" w:color="auto" w:fill="FFFFFF"/>
            <w:vAlign w:val="bottom"/>
            <w:hideMark/>
          </w:tcPr>
          <w:p w14:paraId="5FA6FDA7" w14:textId="77777777" w:rsidR="00000000" w:rsidRDefault="00847163">
            <w:pPr>
              <w:jc w:val="right"/>
              <w:rPr>
                <w:rFonts w:eastAsia="Times New Roman"/>
                <w:sz w:val="20"/>
                <w:szCs w:val="20"/>
              </w:rPr>
            </w:pPr>
            <w:r>
              <w:rPr>
                <w:rFonts w:eastAsia="Times New Roman"/>
                <w:sz w:val="20"/>
                <w:szCs w:val="20"/>
              </w:rPr>
              <w:t>(75,681</w:t>
            </w:r>
          </w:p>
        </w:tc>
        <w:tc>
          <w:tcPr>
            <w:tcW w:w="50" w:type="pct"/>
            <w:shd w:val="clear" w:color="auto" w:fill="FFFFFF"/>
            <w:vAlign w:val="bottom"/>
            <w:hideMark/>
          </w:tcPr>
          <w:p w14:paraId="245DCD7B" w14:textId="77777777" w:rsidR="00000000" w:rsidRDefault="00847163">
            <w:pPr>
              <w:rPr>
                <w:rFonts w:eastAsia="Times New Roman"/>
                <w:sz w:val="20"/>
                <w:szCs w:val="20"/>
              </w:rPr>
            </w:pPr>
            <w:r>
              <w:rPr>
                <w:rFonts w:eastAsia="Times New Roman"/>
                <w:sz w:val="20"/>
                <w:szCs w:val="20"/>
              </w:rPr>
              <w:t>)</w:t>
            </w:r>
          </w:p>
        </w:tc>
        <w:tc>
          <w:tcPr>
            <w:tcW w:w="50" w:type="pct"/>
            <w:shd w:val="clear" w:color="auto" w:fill="FFFFFF"/>
            <w:vAlign w:val="bottom"/>
            <w:hideMark/>
          </w:tcPr>
          <w:p w14:paraId="3DA0AB0B"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7CEAA26" w14:textId="77777777" w:rsidR="00000000" w:rsidRDefault="00847163">
            <w:pPr>
              <w:rPr>
                <w:rFonts w:eastAsia="Times New Roman"/>
                <w:sz w:val="20"/>
                <w:szCs w:val="20"/>
              </w:rPr>
            </w:pPr>
            <w:r>
              <w:rPr>
                <w:rFonts w:eastAsia="Times New Roman"/>
                <w:sz w:val="20"/>
                <w:szCs w:val="20"/>
              </w:rPr>
              <w:t> </w:t>
            </w:r>
          </w:p>
        </w:tc>
        <w:tc>
          <w:tcPr>
            <w:tcW w:w="500" w:type="pct"/>
            <w:shd w:val="clear" w:color="auto" w:fill="FFFFFF"/>
            <w:vAlign w:val="bottom"/>
            <w:hideMark/>
          </w:tcPr>
          <w:p w14:paraId="2E6255E3" w14:textId="77777777" w:rsidR="00000000" w:rsidRDefault="00847163">
            <w:pPr>
              <w:jc w:val="right"/>
              <w:rPr>
                <w:rFonts w:eastAsia="Times New Roman"/>
                <w:sz w:val="20"/>
                <w:szCs w:val="20"/>
              </w:rPr>
            </w:pPr>
            <w:r>
              <w:rPr>
                <w:rFonts w:eastAsia="Times New Roman"/>
                <w:sz w:val="20"/>
                <w:szCs w:val="20"/>
              </w:rPr>
              <w:t>(3,224</w:t>
            </w:r>
          </w:p>
        </w:tc>
        <w:tc>
          <w:tcPr>
            <w:tcW w:w="50" w:type="pct"/>
            <w:shd w:val="clear" w:color="auto" w:fill="FFFFFF"/>
            <w:vAlign w:val="bottom"/>
            <w:hideMark/>
          </w:tcPr>
          <w:p w14:paraId="0D85B664" w14:textId="77777777" w:rsidR="00000000" w:rsidRDefault="00847163">
            <w:pPr>
              <w:rPr>
                <w:rFonts w:eastAsia="Times New Roman"/>
                <w:sz w:val="20"/>
                <w:szCs w:val="20"/>
              </w:rPr>
            </w:pPr>
            <w:r>
              <w:rPr>
                <w:rFonts w:eastAsia="Times New Roman"/>
                <w:sz w:val="20"/>
                <w:szCs w:val="20"/>
              </w:rPr>
              <w:t>)</w:t>
            </w:r>
          </w:p>
        </w:tc>
      </w:tr>
      <w:tr w:rsidR="00000000" w14:paraId="63DD90F6" w14:textId="77777777">
        <w:trPr>
          <w:divId w:val="1720398011"/>
          <w:tblCellSpacing w:w="0" w:type="dxa"/>
        </w:trPr>
        <w:tc>
          <w:tcPr>
            <w:tcW w:w="0" w:type="auto"/>
            <w:shd w:val="clear" w:color="auto" w:fill="CCEEFF"/>
            <w:vAlign w:val="bottom"/>
            <w:hideMark/>
          </w:tcPr>
          <w:p w14:paraId="308B1E21" w14:textId="77777777" w:rsidR="00000000" w:rsidRDefault="00847163">
            <w:pPr>
              <w:pStyle w:val="a3"/>
              <w:spacing w:before="0" w:beforeAutospacing="0" w:after="0" w:afterAutospacing="0"/>
              <w:ind w:left="360"/>
              <w:rPr>
                <w:sz w:val="20"/>
                <w:szCs w:val="20"/>
              </w:rPr>
            </w:pPr>
            <w:r>
              <w:rPr>
                <w:sz w:val="20"/>
                <w:szCs w:val="20"/>
              </w:rPr>
              <w:t>Principal payments on rental property debt</w:t>
            </w:r>
          </w:p>
        </w:tc>
        <w:tc>
          <w:tcPr>
            <w:tcW w:w="50" w:type="pct"/>
            <w:shd w:val="clear" w:color="auto" w:fill="CCEEFF"/>
            <w:vAlign w:val="bottom"/>
            <w:hideMark/>
          </w:tcPr>
          <w:p w14:paraId="640F9FFE"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679C278" w14:textId="77777777" w:rsidR="00000000" w:rsidRDefault="00847163">
            <w:pPr>
              <w:rPr>
                <w:rFonts w:eastAsia="Times New Roman"/>
                <w:sz w:val="20"/>
                <w:szCs w:val="20"/>
              </w:rPr>
            </w:pPr>
            <w:r>
              <w:rPr>
                <w:rFonts w:eastAsia="Times New Roman"/>
                <w:sz w:val="20"/>
                <w:szCs w:val="20"/>
              </w:rPr>
              <w:t> </w:t>
            </w:r>
          </w:p>
        </w:tc>
        <w:tc>
          <w:tcPr>
            <w:tcW w:w="500" w:type="pct"/>
            <w:shd w:val="clear" w:color="auto" w:fill="CCEEFF"/>
            <w:vAlign w:val="bottom"/>
            <w:hideMark/>
          </w:tcPr>
          <w:p w14:paraId="48263E59" w14:textId="77777777" w:rsidR="00000000" w:rsidRDefault="00847163">
            <w:pPr>
              <w:jc w:val="right"/>
              <w:rPr>
                <w:rFonts w:eastAsia="Times New Roman"/>
                <w:sz w:val="20"/>
                <w:szCs w:val="20"/>
              </w:rPr>
            </w:pPr>
            <w:r>
              <w:rPr>
                <w:rFonts w:eastAsia="Times New Roman"/>
                <w:sz w:val="20"/>
                <w:szCs w:val="20"/>
              </w:rPr>
              <w:t>(2,742</w:t>
            </w:r>
          </w:p>
        </w:tc>
        <w:tc>
          <w:tcPr>
            <w:tcW w:w="50" w:type="pct"/>
            <w:shd w:val="clear" w:color="auto" w:fill="CCEEFF"/>
            <w:vAlign w:val="bottom"/>
            <w:hideMark/>
          </w:tcPr>
          <w:p w14:paraId="7E32C47B" w14:textId="77777777" w:rsidR="00000000" w:rsidRDefault="00847163">
            <w:pPr>
              <w:rPr>
                <w:rFonts w:eastAsia="Times New Roman"/>
                <w:sz w:val="20"/>
                <w:szCs w:val="20"/>
              </w:rPr>
            </w:pPr>
            <w:r>
              <w:rPr>
                <w:rFonts w:eastAsia="Times New Roman"/>
                <w:sz w:val="20"/>
                <w:szCs w:val="20"/>
              </w:rPr>
              <w:t>)</w:t>
            </w:r>
          </w:p>
        </w:tc>
        <w:tc>
          <w:tcPr>
            <w:tcW w:w="50" w:type="pct"/>
            <w:shd w:val="clear" w:color="auto" w:fill="CCEEFF"/>
            <w:vAlign w:val="bottom"/>
            <w:hideMark/>
          </w:tcPr>
          <w:p w14:paraId="7CA88EF4"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981129C" w14:textId="77777777" w:rsidR="00000000" w:rsidRDefault="00847163">
            <w:pPr>
              <w:rPr>
                <w:rFonts w:eastAsia="Times New Roman"/>
                <w:sz w:val="20"/>
                <w:szCs w:val="20"/>
              </w:rPr>
            </w:pPr>
            <w:r>
              <w:rPr>
                <w:rFonts w:eastAsia="Times New Roman"/>
                <w:sz w:val="20"/>
                <w:szCs w:val="20"/>
              </w:rPr>
              <w:t> </w:t>
            </w:r>
          </w:p>
        </w:tc>
        <w:tc>
          <w:tcPr>
            <w:tcW w:w="500" w:type="pct"/>
            <w:shd w:val="clear" w:color="auto" w:fill="CCEEFF"/>
            <w:vAlign w:val="bottom"/>
            <w:hideMark/>
          </w:tcPr>
          <w:p w14:paraId="17B3E123" w14:textId="77777777" w:rsidR="00000000" w:rsidRDefault="00847163">
            <w:pPr>
              <w:jc w:val="right"/>
              <w:rPr>
                <w:rFonts w:eastAsia="Times New Roman"/>
                <w:sz w:val="20"/>
                <w:szCs w:val="20"/>
              </w:rPr>
            </w:pPr>
            <w:r>
              <w:rPr>
                <w:rFonts w:eastAsia="Times New Roman"/>
                <w:sz w:val="20"/>
                <w:szCs w:val="20"/>
              </w:rPr>
              <w:t>(3,137</w:t>
            </w:r>
          </w:p>
        </w:tc>
        <w:tc>
          <w:tcPr>
            <w:tcW w:w="50" w:type="pct"/>
            <w:shd w:val="clear" w:color="auto" w:fill="CCEEFF"/>
            <w:vAlign w:val="bottom"/>
            <w:hideMark/>
          </w:tcPr>
          <w:p w14:paraId="6AD0B5DB" w14:textId="77777777" w:rsidR="00000000" w:rsidRDefault="00847163">
            <w:pPr>
              <w:rPr>
                <w:rFonts w:eastAsia="Times New Roman"/>
                <w:sz w:val="20"/>
                <w:szCs w:val="20"/>
              </w:rPr>
            </w:pPr>
            <w:r>
              <w:rPr>
                <w:rFonts w:eastAsia="Times New Roman"/>
                <w:sz w:val="20"/>
                <w:szCs w:val="20"/>
              </w:rPr>
              <w:t>)</w:t>
            </w:r>
          </w:p>
        </w:tc>
      </w:tr>
      <w:tr w:rsidR="00000000" w14:paraId="24A70A26" w14:textId="77777777">
        <w:trPr>
          <w:divId w:val="1720398011"/>
          <w:tblCellSpacing w:w="0" w:type="dxa"/>
        </w:trPr>
        <w:tc>
          <w:tcPr>
            <w:tcW w:w="0" w:type="auto"/>
            <w:shd w:val="clear" w:color="auto" w:fill="FFFFFF"/>
            <w:vAlign w:val="bottom"/>
            <w:hideMark/>
          </w:tcPr>
          <w:p w14:paraId="460F17B1" w14:textId="77777777" w:rsidR="00000000" w:rsidRDefault="00847163">
            <w:pPr>
              <w:pStyle w:val="a3"/>
              <w:spacing w:before="0" w:beforeAutospacing="0" w:after="0" w:afterAutospacing="0"/>
              <w:ind w:left="360"/>
              <w:rPr>
                <w:sz w:val="20"/>
                <w:szCs w:val="20"/>
              </w:rPr>
            </w:pPr>
            <w:r>
              <w:rPr>
                <w:sz w:val="20"/>
                <w:szCs w:val="20"/>
              </w:rPr>
              <w:t>Proceeds from construction loan financing</w:t>
            </w:r>
          </w:p>
        </w:tc>
        <w:tc>
          <w:tcPr>
            <w:tcW w:w="50" w:type="pct"/>
            <w:shd w:val="clear" w:color="auto" w:fill="FFFFFF"/>
            <w:vAlign w:val="bottom"/>
            <w:hideMark/>
          </w:tcPr>
          <w:p w14:paraId="4C0CB179"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E01566F" w14:textId="77777777" w:rsidR="00000000" w:rsidRDefault="00847163">
            <w:pPr>
              <w:rPr>
                <w:rFonts w:eastAsia="Times New Roman"/>
                <w:sz w:val="20"/>
                <w:szCs w:val="20"/>
              </w:rPr>
            </w:pPr>
            <w:r>
              <w:rPr>
                <w:rFonts w:eastAsia="Times New Roman"/>
                <w:sz w:val="20"/>
                <w:szCs w:val="20"/>
              </w:rPr>
              <w:t> </w:t>
            </w:r>
          </w:p>
        </w:tc>
        <w:tc>
          <w:tcPr>
            <w:tcW w:w="500" w:type="pct"/>
            <w:shd w:val="clear" w:color="auto" w:fill="FFFFFF"/>
            <w:vAlign w:val="bottom"/>
            <w:hideMark/>
          </w:tcPr>
          <w:p w14:paraId="345DB43F" w14:textId="77777777" w:rsidR="00000000" w:rsidRDefault="00847163">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09D89926"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5780C7D"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983EE66" w14:textId="77777777" w:rsidR="00000000" w:rsidRDefault="00847163">
            <w:pPr>
              <w:rPr>
                <w:rFonts w:eastAsia="Times New Roman"/>
                <w:sz w:val="20"/>
                <w:szCs w:val="20"/>
              </w:rPr>
            </w:pPr>
            <w:r>
              <w:rPr>
                <w:rFonts w:eastAsia="Times New Roman"/>
                <w:sz w:val="20"/>
                <w:szCs w:val="20"/>
              </w:rPr>
              <w:t> </w:t>
            </w:r>
          </w:p>
        </w:tc>
        <w:tc>
          <w:tcPr>
            <w:tcW w:w="500" w:type="pct"/>
            <w:shd w:val="clear" w:color="auto" w:fill="FFFFFF"/>
            <w:vAlign w:val="bottom"/>
            <w:hideMark/>
          </w:tcPr>
          <w:p w14:paraId="555DBAD6" w14:textId="77777777" w:rsidR="00000000" w:rsidRDefault="00847163">
            <w:pPr>
              <w:jc w:val="right"/>
              <w:rPr>
                <w:rFonts w:eastAsia="Times New Roman"/>
                <w:sz w:val="20"/>
                <w:szCs w:val="20"/>
              </w:rPr>
            </w:pPr>
            <w:r>
              <w:rPr>
                <w:rFonts w:eastAsia="Times New Roman"/>
                <w:sz w:val="20"/>
                <w:szCs w:val="20"/>
              </w:rPr>
              <w:t>3,300</w:t>
            </w:r>
          </w:p>
        </w:tc>
        <w:tc>
          <w:tcPr>
            <w:tcW w:w="50" w:type="pct"/>
            <w:shd w:val="clear" w:color="auto" w:fill="FFFFFF"/>
            <w:vAlign w:val="bottom"/>
            <w:hideMark/>
          </w:tcPr>
          <w:p w14:paraId="07D58048" w14:textId="77777777" w:rsidR="00000000" w:rsidRDefault="00847163">
            <w:pPr>
              <w:rPr>
                <w:rFonts w:eastAsia="Times New Roman"/>
                <w:sz w:val="20"/>
                <w:szCs w:val="20"/>
              </w:rPr>
            </w:pPr>
            <w:r>
              <w:rPr>
                <w:rFonts w:eastAsia="Times New Roman"/>
                <w:sz w:val="20"/>
                <w:szCs w:val="20"/>
              </w:rPr>
              <w:t> </w:t>
            </w:r>
          </w:p>
        </w:tc>
      </w:tr>
      <w:tr w:rsidR="00000000" w14:paraId="6091284E" w14:textId="77777777">
        <w:trPr>
          <w:divId w:val="1720398011"/>
          <w:tblCellSpacing w:w="0" w:type="dxa"/>
        </w:trPr>
        <w:tc>
          <w:tcPr>
            <w:tcW w:w="0" w:type="auto"/>
            <w:shd w:val="clear" w:color="auto" w:fill="CCEEFF"/>
            <w:vAlign w:val="bottom"/>
            <w:hideMark/>
          </w:tcPr>
          <w:p w14:paraId="373D0BED" w14:textId="77777777" w:rsidR="00000000" w:rsidRDefault="00847163">
            <w:pPr>
              <w:pStyle w:val="a3"/>
              <w:spacing w:before="0" w:beforeAutospacing="0" w:after="0" w:afterAutospacing="0"/>
              <w:ind w:left="360"/>
              <w:rPr>
                <w:sz w:val="20"/>
                <w:szCs w:val="20"/>
              </w:rPr>
            </w:pPr>
            <w:r>
              <w:rPr>
                <w:sz w:val="20"/>
                <w:szCs w:val="20"/>
              </w:rPr>
              <w:t>Proceeds under the unsecured revolving credit facility, net</w:t>
            </w:r>
          </w:p>
        </w:tc>
        <w:tc>
          <w:tcPr>
            <w:tcW w:w="50" w:type="pct"/>
            <w:shd w:val="clear" w:color="auto" w:fill="CCEEFF"/>
            <w:vAlign w:val="bottom"/>
            <w:hideMark/>
          </w:tcPr>
          <w:p w14:paraId="3BFF5ECF"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EE511A0" w14:textId="77777777" w:rsidR="00000000" w:rsidRDefault="00847163">
            <w:pPr>
              <w:rPr>
                <w:rFonts w:eastAsia="Times New Roman"/>
                <w:sz w:val="20"/>
                <w:szCs w:val="20"/>
              </w:rPr>
            </w:pPr>
            <w:r>
              <w:rPr>
                <w:rFonts w:eastAsia="Times New Roman"/>
                <w:sz w:val="20"/>
                <w:szCs w:val="20"/>
              </w:rPr>
              <w:t> </w:t>
            </w:r>
          </w:p>
        </w:tc>
        <w:tc>
          <w:tcPr>
            <w:tcW w:w="500" w:type="pct"/>
            <w:shd w:val="clear" w:color="auto" w:fill="CCEEFF"/>
            <w:vAlign w:val="bottom"/>
            <w:hideMark/>
          </w:tcPr>
          <w:p w14:paraId="44E20C94" w14:textId="77777777" w:rsidR="00000000" w:rsidRDefault="00847163">
            <w:pPr>
              <w:jc w:val="right"/>
              <w:rPr>
                <w:rFonts w:eastAsia="Times New Roman"/>
                <w:sz w:val="20"/>
                <w:szCs w:val="20"/>
              </w:rPr>
            </w:pPr>
            <w:r>
              <w:rPr>
                <w:rFonts w:eastAsia="Times New Roman"/>
                <w:sz w:val="20"/>
                <w:szCs w:val="20"/>
              </w:rPr>
              <w:t>475,000</w:t>
            </w:r>
          </w:p>
        </w:tc>
        <w:tc>
          <w:tcPr>
            <w:tcW w:w="50" w:type="pct"/>
            <w:shd w:val="clear" w:color="auto" w:fill="CCEEFF"/>
            <w:vAlign w:val="bottom"/>
            <w:hideMark/>
          </w:tcPr>
          <w:p w14:paraId="2F09615C"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5E8C6DD"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E21C7DB" w14:textId="77777777" w:rsidR="00000000" w:rsidRDefault="00847163">
            <w:pPr>
              <w:rPr>
                <w:rFonts w:eastAsia="Times New Roman"/>
                <w:sz w:val="20"/>
                <w:szCs w:val="20"/>
              </w:rPr>
            </w:pPr>
            <w:r>
              <w:rPr>
                <w:rFonts w:eastAsia="Times New Roman"/>
                <w:sz w:val="20"/>
                <w:szCs w:val="20"/>
              </w:rPr>
              <w:t> </w:t>
            </w:r>
          </w:p>
        </w:tc>
        <w:tc>
          <w:tcPr>
            <w:tcW w:w="500" w:type="pct"/>
            <w:shd w:val="clear" w:color="auto" w:fill="CCEEFF"/>
            <w:vAlign w:val="bottom"/>
            <w:hideMark/>
          </w:tcPr>
          <w:p w14:paraId="10FCDF8C" w14:textId="77777777" w:rsidR="00000000" w:rsidRDefault="0084716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5018C02C" w14:textId="77777777" w:rsidR="00000000" w:rsidRDefault="00847163">
            <w:pPr>
              <w:rPr>
                <w:rFonts w:eastAsia="Times New Roman"/>
                <w:sz w:val="20"/>
                <w:szCs w:val="20"/>
              </w:rPr>
            </w:pPr>
            <w:r>
              <w:rPr>
                <w:rFonts w:eastAsia="Times New Roman"/>
                <w:sz w:val="20"/>
                <w:szCs w:val="20"/>
              </w:rPr>
              <w:t> </w:t>
            </w:r>
          </w:p>
        </w:tc>
      </w:tr>
      <w:tr w:rsidR="00000000" w14:paraId="740F287E" w14:textId="77777777">
        <w:trPr>
          <w:divId w:val="1720398011"/>
          <w:tblCellSpacing w:w="0" w:type="dxa"/>
        </w:trPr>
        <w:tc>
          <w:tcPr>
            <w:tcW w:w="0" w:type="auto"/>
            <w:shd w:val="clear" w:color="auto" w:fill="FFFFFF"/>
            <w:vAlign w:val="bottom"/>
            <w:hideMark/>
          </w:tcPr>
          <w:p w14:paraId="3BC42DC0" w14:textId="77777777" w:rsidR="00000000" w:rsidRDefault="00847163">
            <w:pPr>
              <w:pStyle w:val="a3"/>
              <w:spacing w:before="0" w:beforeAutospacing="0" w:after="0" w:afterAutospacing="0"/>
              <w:ind w:left="360"/>
              <w:rPr>
                <w:sz w:val="20"/>
                <w:szCs w:val="20"/>
              </w:rPr>
            </w:pPr>
            <w:r>
              <w:rPr>
                <w:sz w:val="20"/>
                <w:szCs w:val="20"/>
              </w:rPr>
              <w:t>Financing origination costs</w:t>
            </w:r>
          </w:p>
        </w:tc>
        <w:tc>
          <w:tcPr>
            <w:tcW w:w="50" w:type="pct"/>
            <w:shd w:val="clear" w:color="auto" w:fill="FFFFFF"/>
            <w:vAlign w:val="bottom"/>
            <w:hideMark/>
          </w:tcPr>
          <w:p w14:paraId="701BEA6D"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9FD42F7" w14:textId="77777777" w:rsidR="00000000" w:rsidRDefault="00847163">
            <w:pPr>
              <w:rPr>
                <w:rFonts w:eastAsia="Times New Roman"/>
                <w:sz w:val="20"/>
                <w:szCs w:val="20"/>
              </w:rPr>
            </w:pPr>
            <w:r>
              <w:rPr>
                <w:rFonts w:eastAsia="Times New Roman"/>
                <w:sz w:val="20"/>
                <w:szCs w:val="20"/>
              </w:rPr>
              <w:t> </w:t>
            </w:r>
          </w:p>
        </w:tc>
        <w:tc>
          <w:tcPr>
            <w:tcW w:w="500" w:type="pct"/>
            <w:shd w:val="clear" w:color="auto" w:fill="FFFFFF"/>
            <w:vAlign w:val="bottom"/>
            <w:hideMark/>
          </w:tcPr>
          <w:p w14:paraId="03FF092D" w14:textId="77777777" w:rsidR="00000000" w:rsidRDefault="00847163">
            <w:pPr>
              <w:jc w:val="right"/>
              <w:rPr>
                <w:rFonts w:eastAsia="Times New Roman"/>
                <w:sz w:val="20"/>
                <w:szCs w:val="20"/>
              </w:rPr>
            </w:pPr>
            <w:r>
              <w:rPr>
                <w:rFonts w:eastAsia="Times New Roman"/>
                <w:sz w:val="20"/>
                <w:szCs w:val="20"/>
              </w:rPr>
              <w:t>(5,145</w:t>
            </w:r>
          </w:p>
        </w:tc>
        <w:tc>
          <w:tcPr>
            <w:tcW w:w="50" w:type="pct"/>
            <w:shd w:val="clear" w:color="auto" w:fill="FFFFFF"/>
            <w:vAlign w:val="bottom"/>
            <w:hideMark/>
          </w:tcPr>
          <w:p w14:paraId="6A0FB82B" w14:textId="77777777" w:rsidR="00000000" w:rsidRDefault="00847163">
            <w:pPr>
              <w:rPr>
                <w:rFonts w:eastAsia="Times New Roman"/>
                <w:sz w:val="20"/>
                <w:szCs w:val="20"/>
              </w:rPr>
            </w:pPr>
            <w:r>
              <w:rPr>
                <w:rFonts w:eastAsia="Times New Roman"/>
                <w:sz w:val="20"/>
                <w:szCs w:val="20"/>
              </w:rPr>
              <w:t>)</w:t>
            </w:r>
          </w:p>
        </w:tc>
        <w:tc>
          <w:tcPr>
            <w:tcW w:w="50" w:type="pct"/>
            <w:shd w:val="clear" w:color="auto" w:fill="FFFFFF"/>
            <w:vAlign w:val="bottom"/>
            <w:hideMark/>
          </w:tcPr>
          <w:p w14:paraId="78194BFE"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D855192" w14:textId="77777777" w:rsidR="00000000" w:rsidRDefault="00847163">
            <w:pPr>
              <w:rPr>
                <w:rFonts w:eastAsia="Times New Roman"/>
                <w:sz w:val="20"/>
                <w:szCs w:val="20"/>
              </w:rPr>
            </w:pPr>
            <w:r>
              <w:rPr>
                <w:rFonts w:eastAsia="Times New Roman"/>
                <w:sz w:val="20"/>
                <w:szCs w:val="20"/>
              </w:rPr>
              <w:t> </w:t>
            </w:r>
          </w:p>
        </w:tc>
        <w:tc>
          <w:tcPr>
            <w:tcW w:w="500" w:type="pct"/>
            <w:shd w:val="clear" w:color="auto" w:fill="FFFFFF"/>
            <w:vAlign w:val="bottom"/>
            <w:hideMark/>
          </w:tcPr>
          <w:p w14:paraId="7E974971" w14:textId="77777777" w:rsidR="00000000" w:rsidRDefault="00847163">
            <w:pPr>
              <w:jc w:val="right"/>
              <w:rPr>
                <w:rFonts w:eastAsia="Times New Roman"/>
                <w:sz w:val="20"/>
                <w:szCs w:val="20"/>
              </w:rPr>
            </w:pPr>
            <w:r>
              <w:rPr>
                <w:rFonts w:eastAsia="Times New Roman"/>
                <w:sz w:val="20"/>
                <w:szCs w:val="20"/>
              </w:rPr>
              <w:t>(3</w:t>
            </w:r>
          </w:p>
        </w:tc>
        <w:tc>
          <w:tcPr>
            <w:tcW w:w="50" w:type="pct"/>
            <w:shd w:val="clear" w:color="auto" w:fill="FFFFFF"/>
            <w:vAlign w:val="bottom"/>
            <w:hideMark/>
          </w:tcPr>
          <w:p w14:paraId="0CE97A8D" w14:textId="77777777" w:rsidR="00000000" w:rsidRDefault="00847163">
            <w:pPr>
              <w:rPr>
                <w:rFonts w:eastAsia="Times New Roman"/>
                <w:sz w:val="20"/>
                <w:szCs w:val="20"/>
              </w:rPr>
            </w:pPr>
            <w:r>
              <w:rPr>
                <w:rFonts w:eastAsia="Times New Roman"/>
                <w:sz w:val="20"/>
                <w:szCs w:val="20"/>
              </w:rPr>
              <w:t>)</w:t>
            </w:r>
          </w:p>
        </w:tc>
      </w:tr>
      <w:tr w:rsidR="00000000" w14:paraId="44A0B537" w14:textId="77777777">
        <w:trPr>
          <w:divId w:val="1720398011"/>
          <w:tblCellSpacing w:w="0" w:type="dxa"/>
        </w:trPr>
        <w:tc>
          <w:tcPr>
            <w:tcW w:w="0" w:type="auto"/>
            <w:shd w:val="clear" w:color="auto" w:fill="CCEEFF"/>
            <w:vAlign w:val="bottom"/>
            <w:hideMark/>
          </w:tcPr>
          <w:p w14:paraId="04916F99" w14:textId="77777777" w:rsidR="00000000" w:rsidRDefault="00847163">
            <w:pPr>
              <w:pStyle w:val="a3"/>
              <w:spacing w:before="0" w:beforeAutospacing="0" w:after="0" w:afterAutospacing="0"/>
              <w:ind w:left="360"/>
              <w:rPr>
                <w:sz w:val="20"/>
                <w:szCs w:val="20"/>
              </w:rPr>
            </w:pPr>
            <w:r>
              <w:rPr>
                <w:sz w:val="20"/>
                <w:szCs w:val="20"/>
              </w:rPr>
              <w:t>Payment of early extinguishment of debt charges</w:t>
            </w:r>
          </w:p>
        </w:tc>
        <w:tc>
          <w:tcPr>
            <w:tcW w:w="50" w:type="pct"/>
            <w:shd w:val="clear" w:color="auto" w:fill="CCEEFF"/>
            <w:vAlign w:val="bottom"/>
            <w:hideMark/>
          </w:tcPr>
          <w:p w14:paraId="5A7303F1"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96B19B5" w14:textId="77777777" w:rsidR="00000000" w:rsidRDefault="00847163">
            <w:pPr>
              <w:rPr>
                <w:rFonts w:eastAsia="Times New Roman"/>
                <w:sz w:val="20"/>
                <w:szCs w:val="20"/>
              </w:rPr>
            </w:pPr>
            <w:r>
              <w:rPr>
                <w:rFonts w:eastAsia="Times New Roman"/>
                <w:sz w:val="20"/>
                <w:szCs w:val="20"/>
              </w:rPr>
              <w:t> </w:t>
            </w:r>
          </w:p>
        </w:tc>
        <w:tc>
          <w:tcPr>
            <w:tcW w:w="500" w:type="pct"/>
            <w:shd w:val="clear" w:color="auto" w:fill="CCEEFF"/>
            <w:vAlign w:val="bottom"/>
            <w:hideMark/>
          </w:tcPr>
          <w:p w14:paraId="6CC5F078" w14:textId="77777777" w:rsidR="00000000" w:rsidRDefault="0084716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00A722E2"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6F1F22C"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AE4530F" w14:textId="77777777" w:rsidR="00000000" w:rsidRDefault="00847163">
            <w:pPr>
              <w:rPr>
                <w:rFonts w:eastAsia="Times New Roman"/>
                <w:sz w:val="20"/>
                <w:szCs w:val="20"/>
              </w:rPr>
            </w:pPr>
            <w:r>
              <w:rPr>
                <w:rFonts w:eastAsia="Times New Roman"/>
                <w:sz w:val="20"/>
                <w:szCs w:val="20"/>
              </w:rPr>
              <w:t> </w:t>
            </w:r>
          </w:p>
        </w:tc>
        <w:tc>
          <w:tcPr>
            <w:tcW w:w="500" w:type="pct"/>
            <w:shd w:val="clear" w:color="auto" w:fill="CCEEFF"/>
            <w:vAlign w:val="bottom"/>
            <w:hideMark/>
          </w:tcPr>
          <w:p w14:paraId="145339F6" w14:textId="77777777" w:rsidR="00000000" w:rsidRDefault="00847163">
            <w:pPr>
              <w:jc w:val="right"/>
              <w:rPr>
                <w:rFonts w:eastAsia="Times New Roman"/>
                <w:sz w:val="20"/>
                <w:szCs w:val="20"/>
              </w:rPr>
            </w:pPr>
            <w:r>
              <w:rPr>
                <w:rFonts w:eastAsia="Times New Roman"/>
                <w:sz w:val="20"/>
                <w:szCs w:val="20"/>
              </w:rPr>
              <w:t>(771</w:t>
            </w:r>
          </w:p>
        </w:tc>
        <w:tc>
          <w:tcPr>
            <w:tcW w:w="50" w:type="pct"/>
            <w:shd w:val="clear" w:color="auto" w:fill="CCEEFF"/>
            <w:vAlign w:val="bottom"/>
            <w:hideMark/>
          </w:tcPr>
          <w:p w14:paraId="57E3437B" w14:textId="77777777" w:rsidR="00000000" w:rsidRDefault="00847163">
            <w:pPr>
              <w:rPr>
                <w:rFonts w:eastAsia="Times New Roman"/>
                <w:sz w:val="20"/>
                <w:szCs w:val="20"/>
              </w:rPr>
            </w:pPr>
            <w:r>
              <w:rPr>
                <w:rFonts w:eastAsia="Times New Roman"/>
                <w:sz w:val="20"/>
                <w:szCs w:val="20"/>
              </w:rPr>
              <w:t>)</w:t>
            </w:r>
          </w:p>
        </w:tc>
      </w:tr>
      <w:tr w:rsidR="00000000" w14:paraId="21FFF851" w14:textId="77777777">
        <w:trPr>
          <w:divId w:val="1720398011"/>
          <w:tblCellSpacing w:w="0" w:type="dxa"/>
        </w:trPr>
        <w:tc>
          <w:tcPr>
            <w:tcW w:w="0" w:type="auto"/>
            <w:shd w:val="clear" w:color="auto" w:fill="FFFFFF"/>
            <w:vAlign w:val="bottom"/>
            <w:hideMark/>
          </w:tcPr>
          <w:p w14:paraId="6454D3F2" w14:textId="77777777" w:rsidR="00000000" w:rsidRDefault="00847163">
            <w:pPr>
              <w:pStyle w:val="a3"/>
              <w:spacing w:before="0" w:beforeAutospacing="0" w:after="0" w:afterAutospacing="0"/>
              <w:ind w:left="360"/>
              <w:rPr>
                <w:sz w:val="20"/>
                <w:szCs w:val="20"/>
              </w:rPr>
            </w:pPr>
            <w:r>
              <w:rPr>
                <w:sz w:val="20"/>
                <w:szCs w:val="20"/>
              </w:rPr>
              <w:t>Redemption/distribution of noncontrolling interests</w:t>
            </w:r>
          </w:p>
        </w:tc>
        <w:tc>
          <w:tcPr>
            <w:tcW w:w="50" w:type="pct"/>
            <w:shd w:val="clear" w:color="auto" w:fill="FFFFFF"/>
            <w:vAlign w:val="bottom"/>
            <w:hideMark/>
          </w:tcPr>
          <w:p w14:paraId="2553EA5E"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F52F0DE" w14:textId="77777777" w:rsidR="00000000" w:rsidRDefault="00847163">
            <w:pPr>
              <w:rPr>
                <w:rFonts w:eastAsia="Times New Roman"/>
                <w:sz w:val="20"/>
                <w:szCs w:val="20"/>
              </w:rPr>
            </w:pPr>
            <w:r>
              <w:rPr>
                <w:rFonts w:eastAsia="Times New Roman"/>
                <w:sz w:val="20"/>
                <w:szCs w:val="20"/>
              </w:rPr>
              <w:t> </w:t>
            </w:r>
          </w:p>
        </w:tc>
        <w:tc>
          <w:tcPr>
            <w:tcW w:w="500" w:type="pct"/>
            <w:shd w:val="clear" w:color="auto" w:fill="FFFFFF"/>
            <w:vAlign w:val="bottom"/>
            <w:hideMark/>
          </w:tcPr>
          <w:p w14:paraId="4BEF2A85" w14:textId="77777777" w:rsidR="00000000" w:rsidRDefault="00847163">
            <w:pPr>
              <w:jc w:val="right"/>
              <w:rPr>
                <w:rFonts w:eastAsia="Times New Roman"/>
                <w:sz w:val="20"/>
                <w:szCs w:val="20"/>
              </w:rPr>
            </w:pPr>
            <w:r>
              <w:rPr>
                <w:rFonts w:eastAsia="Times New Roman"/>
                <w:sz w:val="20"/>
                <w:szCs w:val="20"/>
              </w:rPr>
              <w:t>(20,926</w:t>
            </w:r>
          </w:p>
        </w:tc>
        <w:tc>
          <w:tcPr>
            <w:tcW w:w="50" w:type="pct"/>
            <w:shd w:val="clear" w:color="auto" w:fill="FFFFFF"/>
            <w:vAlign w:val="bottom"/>
            <w:hideMark/>
          </w:tcPr>
          <w:p w14:paraId="313F2129" w14:textId="77777777" w:rsidR="00000000" w:rsidRDefault="00847163">
            <w:pPr>
              <w:rPr>
                <w:rFonts w:eastAsia="Times New Roman"/>
                <w:sz w:val="20"/>
                <w:szCs w:val="20"/>
              </w:rPr>
            </w:pPr>
            <w:r>
              <w:rPr>
                <w:rFonts w:eastAsia="Times New Roman"/>
                <w:sz w:val="20"/>
                <w:szCs w:val="20"/>
              </w:rPr>
              <w:t>)</w:t>
            </w:r>
          </w:p>
        </w:tc>
        <w:tc>
          <w:tcPr>
            <w:tcW w:w="50" w:type="pct"/>
            <w:shd w:val="clear" w:color="auto" w:fill="FFFFFF"/>
            <w:vAlign w:val="bottom"/>
            <w:hideMark/>
          </w:tcPr>
          <w:p w14:paraId="5DE7EA80"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51C0AB7" w14:textId="77777777" w:rsidR="00000000" w:rsidRDefault="00847163">
            <w:pPr>
              <w:rPr>
                <w:rFonts w:eastAsia="Times New Roman"/>
                <w:sz w:val="20"/>
                <w:szCs w:val="20"/>
              </w:rPr>
            </w:pPr>
            <w:r>
              <w:rPr>
                <w:rFonts w:eastAsia="Times New Roman"/>
                <w:sz w:val="20"/>
                <w:szCs w:val="20"/>
              </w:rPr>
              <w:t> </w:t>
            </w:r>
          </w:p>
        </w:tc>
        <w:tc>
          <w:tcPr>
            <w:tcW w:w="500" w:type="pct"/>
            <w:shd w:val="clear" w:color="auto" w:fill="FFFFFF"/>
            <w:vAlign w:val="bottom"/>
            <w:hideMark/>
          </w:tcPr>
          <w:p w14:paraId="3FD3DCA2" w14:textId="77777777" w:rsidR="00000000" w:rsidRDefault="00847163">
            <w:pPr>
              <w:jc w:val="right"/>
              <w:rPr>
                <w:rFonts w:eastAsia="Times New Roman"/>
                <w:sz w:val="20"/>
                <w:szCs w:val="20"/>
              </w:rPr>
            </w:pPr>
            <w:r>
              <w:rPr>
                <w:rFonts w:eastAsia="Times New Roman"/>
                <w:sz w:val="20"/>
                <w:szCs w:val="20"/>
              </w:rPr>
              <w:t>(773</w:t>
            </w:r>
          </w:p>
        </w:tc>
        <w:tc>
          <w:tcPr>
            <w:tcW w:w="50" w:type="pct"/>
            <w:shd w:val="clear" w:color="auto" w:fill="FFFFFF"/>
            <w:vAlign w:val="bottom"/>
            <w:hideMark/>
          </w:tcPr>
          <w:p w14:paraId="3DC3F7A3" w14:textId="77777777" w:rsidR="00000000" w:rsidRDefault="00847163">
            <w:pPr>
              <w:rPr>
                <w:rFonts w:eastAsia="Times New Roman"/>
                <w:sz w:val="20"/>
                <w:szCs w:val="20"/>
              </w:rPr>
            </w:pPr>
            <w:r>
              <w:rPr>
                <w:rFonts w:eastAsia="Times New Roman"/>
                <w:sz w:val="20"/>
                <w:szCs w:val="20"/>
              </w:rPr>
              <w:t>)</w:t>
            </w:r>
          </w:p>
        </w:tc>
      </w:tr>
      <w:tr w:rsidR="00000000" w14:paraId="6DE3E6B3" w14:textId="77777777">
        <w:trPr>
          <w:divId w:val="1720398011"/>
          <w:tblCellSpacing w:w="0" w:type="dxa"/>
        </w:trPr>
        <w:tc>
          <w:tcPr>
            <w:tcW w:w="0" w:type="auto"/>
            <w:shd w:val="clear" w:color="auto" w:fill="CCEEFF"/>
            <w:vAlign w:val="bottom"/>
            <w:hideMark/>
          </w:tcPr>
          <w:p w14:paraId="73E5F591" w14:textId="77777777" w:rsidR="00000000" w:rsidRDefault="00847163">
            <w:pPr>
              <w:pStyle w:val="a3"/>
              <w:spacing w:before="0" w:beforeAutospacing="0" w:after="0" w:afterAutospacing="0"/>
              <w:ind w:left="360"/>
              <w:rPr>
                <w:sz w:val="20"/>
                <w:szCs w:val="20"/>
              </w:rPr>
            </w:pPr>
            <w:r>
              <w:rPr>
                <w:sz w:val="20"/>
                <w:szCs w:val="20"/>
              </w:rPr>
              <w:t>Dividends paid</w:t>
            </w:r>
          </w:p>
        </w:tc>
        <w:tc>
          <w:tcPr>
            <w:tcW w:w="50" w:type="pct"/>
            <w:shd w:val="clear" w:color="auto" w:fill="CCEEFF"/>
            <w:vAlign w:val="bottom"/>
            <w:hideMark/>
          </w:tcPr>
          <w:p w14:paraId="580ABA14"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E917B97" w14:textId="77777777" w:rsidR="00000000" w:rsidRDefault="00847163">
            <w:pPr>
              <w:rPr>
                <w:rFonts w:eastAsia="Times New Roman"/>
                <w:sz w:val="20"/>
                <w:szCs w:val="20"/>
              </w:rPr>
            </w:pPr>
            <w:r>
              <w:rPr>
                <w:rFonts w:eastAsia="Times New Roman"/>
                <w:sz w:val="20"/>
                <w:szCs w:val="20"/>
              </w:rPr>
              <w:t> </w:t>
            </w:r>
          </w:p>
        </w:tc>
        <w:tc>
          <w:tcPr>
            <w:tcW w:w="500" w:type="pct"/>
            <w:shd w:val="clear" w:color="auto" w:fill="CCEEFF"/>
            <w:vAlign w:val="bottom"/>
            <w:hideMark/>
          </w:tcPr>
          <w:p w14:paraId="1E3F2008" w14:textId="77777777" w:rsidR="00000000" w:rsidRDefault="00847163">
            <w:pPr>
              <w:jc w:val="right"/>
              <w:rPr>
                <w:rFonts w:eastAsia="Times New Roman"/>
                <w:sz w:val="20"/>
                <w:szCs w:val="20"/>
              </w:rPr>
            </w:pPr>
            <w:r>
              <w:rPr>
                <w:rFonts w:eastAsia="Times New Roman"/>
                <w:sz w:val="20"/>
                <w:szCs w:val="20"/>
              </w:rPr>
              <w:t>(127,255</w:t>
            </w:r>
          </w:p>
        </w:tc>
        <w:tc>
          <w:tcPr>
            <w:tcW w:w="50" w:type="pct"/>
            <w:shd w:val="clear" w:color="auto" w:fill="CCEEFF"/>
            <w:vAlign w:val="bottom"/>
            <w:hideMark/>
          </w:tcPr>
          <w:p w14:paraId="76BC9404" w14:textId="77777777" w:rsidR="00000000" w:rsidRDefault="00847163">
            <w:pPr>
              <w:rPr>
                <w:rFonts w:eastAsia="Times New Roman"/>
                <w:sz w:val="20"/>
                <w:szCs w:val="20"/>
              </w:rPr>
            </w:pPr>
            <w:r>
              <w:rPr>
                <w:rFonts w:eastAsia="Times New Roman"/>
                <w:sz w:val="20"/>
                <w:szCs w:val="20"/>
              </w:rPr>
              <w:t>)</w:t>
            </w:r>
          </w:p>
        </w:tc>
        <w:tc>
          <w:tcPr>
            <w:tcW w:w="50" w:type="pct"/>
            <w:shd w:val="clear" w:color="auto" w:fill="CCEEFF"/>
            <w:vAlign w:val="bottom"/>
            <w:hideMark/>
          </w:tcPr>
          <w:p w14:paraId="3B8757BD"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23DB1EB" w14:textId="77777777" w:rsidR="00000000" w:rsidRDefault="00847163">
            <w:pPr>
              <w:rPr>
                <w:rFonts w:eastAsia="Times New Roman"/>
                <w:sz w:val="20"/>
                <w:szCs w:val="20"/>
              </w:rPr>
            </w:pPr>
            <w:r>
              <w:rPr>
                <w:rFonts w:eastAsia="Times New Roman"/>
                <w:sz w:val="20"/>
                <w:szCs w:val="20"/>
              </w:rPr>
              <w:t> </w:t>
            </w:r>
          </w:p>
        </w:tc>
        <w:tc>
          <w:tcPr>
            <w:tcW w:w="500" w:type="pct"/>
            <w:shd w:val="clear" w:color="auto" w:fill="CCEEFF"/>
            <w:vAlign w:val="bottom"/>
            <w:hideMark/>
          </w:tcPr>
          <w:p w14:paraId="23DF706B" w14:textId="77777777" w:rsidR="00000000" w:rsidRDefault="00847163">
            <w:pPr>
              <w:jc w:val="right"/>
              <w:rPr>
                <w:rFonts w:eastAsia="Times New Roman"/>
                <w:sz w:val="20"/>
                <w:szCs w:val="20"/>
              </w:rPr>
            </w:pPr>
            <w:r>
              <w:rPr>
                <w:rFonts w:eastAsia="Times New Roman"/>
                <w:sz w:val="20"/>
                <w:szCs w:val="20"/>
              </w:rPr>
              <w:t>(132,521</w:t>
            </w:r>
          </w:p>
        </w:tc>
        <w:tc>
          <w:tcPr>
            <w:tcW w:w="50" w:type="pct"/>
            <w:shd w:val="clear" w:color="auto" w:fill="CCEEFF"/>
            <w:vAlign w:val="bottom"/>
            <w:hideMark/>
          </w:tcPr>
          <w:p w14:paraId="4DE88FDD" w14:textId="77777777" w:rsidR="00000000" w:rsidRDefault="00847163">
            <w:pPr>
              <w:rPr>
                <w:rFonts w:eastAsia="Times New Roman"/>
                <w:sz w:val="20"/>
                <w:szCs w:val="20"/>
              </w:rPr>
            </w:pPr>
            <w:r>
              <w:rPr>
                <w:rFonts w:eastAsia="Times New Roman"/>
                <w:sz w:val="20"/>
                <w:szCs w:val="20"/>
              </w:rPr>
              <w:t>)</w:t>
            </w:r>
          </w:p>
        </w:tc>
      </w:tr>
      <w:tr w:rsidR="00000000" w14:paraId="51D57D65" w14:textId="77777777">
        <w:trPr>
          <w:divId w:val="1720398011"/>
          <w:tblCellSpacing w:w="0" w:type="dxa"/>
        </w:trPr>
        <w:tc>
          <w:tcPr>
            <w:tcW w:w="0" w:type="auto"/>
            <w:shd w:val="clear" w:color="auto" w:fill="FFFFFF"/>
            <w:vAlign w:val="bottom"/>
            <w:hideMark/>
          </w:tcPr>
          <w:p w14:paraId="5B1663ED" w14:textId="77777777" w:rsidR="00000000" w:rsidRDefault="00847163">
            <w:pPr>
              <w:pStyle w:val="a3"/>
              <w:spacing w:before="0" w:beforeAutospacing="0" w:after="0" w:afterAutospacing="0"/>
              <w:ind w:left="360"/>
              <w:rPr>
                <w:sz w:val="20"/>
                <w:szCs w:val="20"/>
              </w:rPr>
            </w:pPr>
            <w:r>
              <w:rPr>
                <w:sz w:val="20"/>
                <w:szCs w:val="20"/>
              </w:rPr>
              <w:t>Proceeds from issuance of stock, net</w:t>
            </w:r>
          </w:p>
        </w:tc>
        <w:tc>
          <w:tcPr>
            <w:tcW w:w="50" w:type="pct"/>
            <w:shd w:val="clear" w:color="auto" w:fill="FFFFFF"/>
            <w:vAlign w:val="bottom"/>
            <w:hideMark/>
          </w:tcPr>
          <w:p w14:paraId="05046187"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41E3723" w14:textId="77777777" w:rsidR="00000000" w:rsidRDefault="00847163">
            <w:pPr>
              <w:rPr>
                <w:rFonts w:eastAsia="Times New Roman"/>
                <w:sz w:val="20"/>
                <w:szCs w:val="20"/>
              </w:rPr>
            </w:pPr>
            <w:r>
              <w:rPr>
                <w:rFonts w:eastAsia="Times New Roman"/>
                <w:sz w:val="20"/>
                <w:szCs w:val="20"/>
              </w:rPr>
              <w:t> </w:t>
            </w:r>
          </w:p>
        </w:tc>
        <w:tc>
          <w:tcPr>
            <w:tcW w:w="500" w:type="pct"/>
            <w:shd w:val="clear" w:color="auto" w:fill="FFFFFF"/>
            <w:vAlign w:val="bottom"/>
            <w:hideMark/>
          </w:tcPr>
          <w:p w14:paraId="6635EAF1" w14:textId="77777777" w:rsidR="00000000" w:rsidRDefault="00847163">
            <w:pPr>
              <w:jc w:val="right"/>
              <w:rPr>
                <w:rFonts w:eastAsia="Times New Roman"/>
                <w:sz w:val="20"/>
                <w:szCs w:val="20"/>
              </w:rPr>
            </w:pPr>
            <w:r>
              <w:rPr>
                <w:rFonts w:eastAsia="Times New Roman"/>
                <w:sz w:val="20"/>
                <w:szCs w:val="20"/>
              </w:rPr>
              <w:t>981</w:t>
            </w:r>
          </w:p>
        </w:tc>
        <w:tc>
          <w:tcPr>
            <w:tcW w:w="50" w:type="pct"/>
            <w:shd w:val="clear" w:color="auto" w:fill="FFFFFF"/>
            <w:vAlign w:val="bottom"/>
            <w:hideMark/>
          </w:tcPr>
          <w:p w14:paraId="3D83065A"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6978CA0"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EFABF79" w14:textId="77777777" w:rsidR="00000000" w:rsidRDefault="00847163">
            <w:pPr>
              <w:rPr>
                <w:rFonts w:eastAsia="Times New Roman"/>
                <w:sz w:val="20"/>
                <w:szCs w:val="20"/>
              </w:rPr>
            </w:pPr>
            <w:r>
              <w:rPr>
                <w:rFonts w:eastAsia="Times New Roman"/>
                <w:sz w:val="20"/>
                <w:szCs w:val="20"/>
              </w:rPr>
              <w:t> </w:t>
            </w:r>
          </w:p>
        </w:tc>
        <w:tc>
          <w:tcPr>
            <w:tcW w:w="500" w:type="pct"/>
            <w:shd w:val="clear" w:color="auto" w:fill="FFFFFF"/>
            <w:vAlign w:val="bottom"/>
            <w:hideMark/>
          </w:tcPr>
          <w:p w14:paraId="54906DA2" w14:textId="77777777" w:rsidR="00000000" w:rsidRDefault="00847163">
            <w:pPr>
              <w:jc w:val="right"/>
              <w:rPr>
                <w:rFonts w:eastAsia="Times New Roman"/>
                <w:sz w:val="20"/>
                <w:szCs w:val="20"/>
              </w:rPr>
            </w:pPr>
            <w:r>
              <w:rPr>
                <w:rFonts w:eastAsia="Times New Roman"/>
                <w:sz w:val="20"/>
                <w:szCs w:val="20"/>
              </w:rPr>
              <w:t>681</w:t>
            </w:r>
          </w:p>
        </w:tc>
        <w:tc>
          <w:tcPr>
            <w:tcW w:w="50" w:type="pct"/>
            <w:shd w:val="clear" w:color="auto" w:fill="FFFFFF"/>
            <w:vAlign w:val="bottom"/>
            <w:hideMark/>
          </w:tcPr>
          <w:p w14:paraId="43CAB02D" w14:textId="77777777" w:rsidR="00000000" w:rsidRDefault="00847163">
            <w:pPr>
              <w:rPr>
                <w:rFonts w:eastAsia="Times New Roman"/>
                <w:sz w:val="20"/>
                <w:szCs w:val="20"/>
              </w:rPr>
            </w:pPr>
            <w:r>
              <w:rPr>
                <w:rFonts w:eastAsia="Times New Roman"/>
                <w:sz w:val="20"/>
                <w:szCs w:val="20"/>
              </w:rPr>
              <w:t> </w:t>
            </w:r>
          </w:p>
        </w:tc>
      </w:tr>
      <w:tr w:rsidR="00000000" w14:paraId="2EAE5FBC" w14:textId="77777777">
        <w:trPr>
          <w:divId w:val="1720398011"/>
          <w:tblCellSpacing w:w="0" w:type="dxa"/>
        </w:trPr>
        <w:tc>
          <w:tcPr>
            <w:tcW w:w="0" w:type="auto"/>
            <w:shd w:val="clear" w:color="auto" w:fill="CCEEFF"/>
            <w:vAlign w:val="bottom"/>
            <w:hideMark/>
          </w:tcPr>
          <w:p w14:paraId="06387DBC" w14:textId="77777777" w:rsidR="00000000" w:rsidRDefault="00847163">
            <w:pPr>
              <w:pStyle w:val="a3"/>
              <w:spacing w:before="0" w:beforeAutospacing="0" w:after="0" w:afterAutospacing="0"/>
              <w:ind w:left="360"/>
              <w:rPr>
                <w:sz w:val="20"/>
                <w:szCs w:val="20"/>
              </w:rPr>
            </w:pPr>
            <w:r>
              <w:rPr>
                <w:sz w:val="20"/>
                <w:szCs w:val="20"/>
              </w:rPr>
              <w:t>Change in other financing liabilities</w:t>
            </w:r>
          </w:p>
        </w:tc>
        <w:tc>
          <w:tcPr>
            <w:tcW w:w="50" w:type="pct"/>
            <w:shd w:val="clear" w:color="auto" w:fill="CCEEFF"/>
            <w:tcMar>
              <w:top w:w="0" w:type="dxa"/>
              <w:left w:w="0" w:type="dxa"/>
              <w:bottom w:w="15" w:type="dxa"/>
              <w:right w:w="0" w:type="dxa"/>
            </w:tcMar>
            <w:vAlign w:val="bottom"/>
            <w:hideMark/>
          </w:tcPr>
          <w:p w14:paraId="403C5A4E" w14:textId="77777777" w:rsidR="00000000" w:rsidRDefault="0084716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66614756" w14:textId="77777777" w:rsidR="00000000" w:rsidRDefault="00847163">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14:paraId="3CFAA8C0" w14:textId="77777777" w:rsidR="00000000" w:rsidRDefault="00847163">
            <w:pPr>
              <w:jc w:val="right"/>
              <w:rPr>
                <w:rFonts w:eastAsia="Times New Roman"/>
                <w:sz w:val="20"/>
                <w:szCs w:val="20"/>
              </w:rPr>
            </w:pPr>
            <w:r>
              <w:rPr>
                <w:rFonts w:eastAsia="Times New Roman"/>
                <w:sz w:val="20"/>
                <w:szCs w:val="20"/>
              </w:rPr>
              <w:t>(5,079</w:t>
            </w:r>
          </w:p>
        </w:tc>
        <w:tc>
          <w:tcPr>
            <w:tcW w:w="50" w:type="pct"/>
            <w:shd w:val="clear" w:color="auto" w:fill="CCEEFF"/>
            <w:tcMar>
              <w:top w:w="0" w:type="dxa"/>
              <w:left w:w="0" w:type="dxa"/>
              <w:bottom w:w="15" w:type="dxa"/>
              <w:right w:w="0" w:type="dxa"/>
            </w:tcMar>
            <w:vAlign w:val="bottom"/>
            <w:hideMark/>
          </w:tcPr>
          <w:p w14:paraId="7728A6E9" w14:textId="77777777" w:rsidR="00000000" w:rsidRDefault="00847163">
            <w:pPr>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6D983EB0" w14:textId="77777777" w:rsidR="00000000" w:rsidRDefault="0084716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04A9E47F" w14:textId="77777777" w:rsidR="00000000" w:rsidRDefault="00847163">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14:paraId="04AF87AD" w14:textId="77777777" w:rsidR="00000000" w:rsidRDefault="00847163">
            <w:pPr>
              <w:jc w:val="right"/>
              <w:rPr>
                <w:rFonts w:eastAsia="Times New Roman"/>
                <w:sz w:val="20"/>
                <w:szCs w:val="20"/>
              </w:rPr>
            </w:pPr>
            <w:r>
              <w:rPr>
                <w:rFonts w:eastAsia="Times New Roman"/>
                <w:sz w:val="20"/>
                <w:szCs w:val="20"/>
              </w:rPr>
              <w:t>(3,176</w:t>
            </w:r>
          </w:p>
        </w:tc>
        <w:tc>
          <w:tcPr>
            <w:tcW w:w="50" w:type="pct"/>
            <w:shd w:val="clear" w:color="auto" w:fill="CCEEFF"/>
            <w:tcMar>
              <w:top w:w="0" w:type="dxa"/>
              <w:left w:w="0" w:type="dxa"/>
              <w:bottom w:w="15" w:type="dxa"/>
              <w:right w:w="0" w:type="dxa"/>
            </w:tcMar>
            <w:vAlign w:val="bottom"/>
            <w:hideMark/>
          </w:tcPr>
          <w:p w14:paraId="5CF4996A" w14:textId="77777777" w:rsidR="00000000" w:rsidRDefault="00847163">
            <w:pPr>
              <w:rPr>
                <w:rFonts w:eastAsia="Times New Roman"/>
                <w:sz w:val="20"/>
                <w:szCs w:val="20"/>
              </w:rPr>
            </w:pPr>
            <w:r>
              <w:rPr>
                <w:rFonts w:eastAsia="Times New Roman"/>
                <w:sz w:val="20"/>
                <w:szCs w:val="20"/>
              </w:rPr>
              <w:t>)</w:t>
            </w:r>
          </w:p>
        </w:tc>
      </w:tr>
      <w:tr w:rsidR="00000000" w14:paraId="16C49185" w14:textId="77777777">
        <w:trPr>
          <w:divId w:val="1720398011"/>
          <w:tblCellSpacing w:w="0" w:type="dxa"/>
        </w:trPr>
        <w:tc>
          <w:tcPr>
            <w:tcW w:w="0" w:type="auto"/>
            <w:shd w:val="clear" w:color="auto" w:fill="FFFFFF"/>
            <w:vAlign w:val="bottom"/>
            <w:hideMark/>
          </w:tcPr>
          <w:p w14:paraId="729B7C2C" w14:textId="77777777" w:rsidR="00000000" w:rsidRDefault="00847163">
            <w:pPr>
              <w:pStyle w:val="a3"/>
              <w:spacing w:before="0" w:beforeAutospacing="0" w:after="0" w:afterAutospacing="0"/>
              <w:ind w:left="720"/>
              <w:rPr>
                <w:sz w:val="20"/>
                <w:szCs w:val="20"/>
              </w:rPr>
            </w:pPr>
            <w:r>
              <w:rPr>
                <w:sz w:val="20"/>
                <w:szCs w:val="20"/>
              </w:rPr>
              <w:t>Net cash flow provided by/(used for) financing activities</w:t>
            </w:r>
          </w:p>
        </w:tc>
        <w:tc>
          <w:tcPr>
            <w:tcW w:w="50" w:type="pct"/>
            <w:shd w:val="clear" w:color="auto" w:fill="FFFFFF"/>
            <w:vAlign w:val="bottom"/>
            <w:hideMark/>
          </w:tcPr>
          <w:p w14:paraId="51F78BC2" w14:textId="77777777" w:rsidR="00000000" w:rsidRDefault="0084716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20B98159" w14:textId="77777777" w:rsidR="00000000" w:rsidRDefault="00847163">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FFFFFF"/>
            <w:vAlign w:val="bottom"/>
            <w:hideMark/>
          </w:tcPr>
          <w:p w14:paraId="07A3EE14" w14:textId="77777777" w:rsidR="00000000" w:rsidRDefault="00847163">
            <w:pPr>
              <w:jc w:val="right"/>
              <w:rPr>
                <w:rFonts w:eastAsia="Times New Roman"/>
                <w:sz w:val="20"/>
                <w:szCs w:val="20"/>
              </w:rPr>
            </w:pPr>
            <w:r>
              <w:rPr>
                <w:rFonts w:eastAsia="Times New Roman"/>
                <w:sz w:val="20"/>
                <w:szCs w:val="20"/>
              </w:rPr>
              <w:t>239,153</w:t>
            </w:r>
          </w:p>
        </w:tc>
        <w:tc>
          <w:tcPr>
            <w:tcW w:w="50" w:type="pct"/>
            <w:shd w:val="clear" w:color="auto" w:fill="FFFFFF"/>
            <w:tcMar>
              <w:top w:w="0" w:type="dxa"/>
              <w:left w:w="0" w:type="dxa"/>
              <w:bottom w:w="15" w:type="dxa"/>
              <w:right w:w="0" w:type="dxa"/>
            </w:tcMar>
            <w:vAlign w:val="bottom"/>
            <w:hideMark/>
          </w:tcPr>
          <w:p w14:paraId="36F13854"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F0AB7CB" w14:textId="77777777" w:rsidR="00000000" w:rsidRDefault="0084716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3939D950" w14:textId="77777777" w:rsidR="00000000" w:rsidRDefault="00847163">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FFFFFF"/>
            <w:vAlign w:val="bottom"/>
            <w:hideMark/>
          </w:tcPr>
          <w:p w14:paraId="7B52A17C" w14:textId="77777777" w:rsidR="00000000" w:rsidRDefault="00847163">
            <w:pPr>
              <w:jc w:val="right"/>
              <w:rPr>
                <w:rFonts w:eastAsia="Times New Roman"/>
                <w:sz w:val="20"/>
                <w:szCs w:val="20"/>
              </w:rPr>
            </w:pPr>
            <w:r>
              <w:rPr>
                <w:rFonts w:eastAsia="Times New Roman"/>
                <w:sz w:val="20"/>
                <w:szCs w:val="20"/>
              </w:rPr>
              <w:t>(139,624</w:t>
            </w:r>
          </w:p>
        </w:tc>
        <w:tc>
          <w:tcPr>
            <w:tcW w:w="50" w:type="pct"/>
            <w:shd w:val="clear" w:color="auto" w:fill="FFFFFF"/>
            <w:tcMar>
              <w:top w:w="0" w:type="dxa"/>
              <w:left w:w="0" w:type="dxa"/>
              <w:bottom w:w="15" w:type="dxa"/>
              <w:right w:w="0" w:type="dxa"/>
            </w:tcMar>
            <w:vAlign w:val="bottom"/>
            <w:hideMark/>
          </w:tcPr>
          <w:p w14:paraId="2C0A0091" w14:textId="77777777" w:rsidR="00000000" w:rsidRDefault="00847163">
            <w:pPr>
              <w:rPr>
                <w:rFonts w:eastAsia="Times New Roman"/>
                <w:sz w:val="20"/>
                <w:szCs w:val="20"/>
              </w:rPr>
            </w:pPr>
            <w:r>
              <w:rPr>
                <w:rFonts w:eastAsia="Times New Roman"/>
                <w:sz w:val="20"/>
                <w:szCs w:val="20"/>
              </w:rPr>
              <w:t>)</w:t>
            </w:r>
          </w:p>
        </w:tc>
      </w:tr>
      <w:tr w:rsidR="00000000" w14:paraId="08F0C2F4" w14:textId="77777777">
        <w:trPr>
          <w:divId w:val="1720398011"/>
          <w:tblCellSpacing w:w="0" w:type="dxa"/>
        </w:trPr>
        <w:tc>
          <w:tcPr>
            <w:tcW w:w="0" w:type="auto"/>
            <w:shd w:val="clear" w:color="auto" w:fill="CCEEFF"/>
            <w:vAlign w:val="bottom"/>
            <w:hideMark/>
          </w:tcPr>
          <w:p w14:paraId="0E0F62CD"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F4E10E2"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0EABA11"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F103B3"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27EF06"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B09A2E7"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BB5D25"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DF13D7D"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AD0D7BA" w14:textId="77777777" w:rsidR="00000000" w:rsidRDefault="00847163">
            <w:pPr>
              <w:rPr>
                <w:rFonts w:eastAsia="Times New Roman"/>
                <w:sz w:val="20"/>
                <w:szCs w:val="20"/>
              </w:rPr>
            </w:pPr>
            <w:r>
              <w:rPr>
                <w:rFonts w:eastAsia="Times New Roman"/>
                <w:sz w:val="20"/>
                <w:szCs w:val="20"/>
              </w:rPr>
              <w:t> </w:t>
            </w:r>
          </w:p>
        </w:tc>
      </w:tr>
      <w:tr w:rsidR="00000000" w14:paraId="20A61279" w14:textId="77777777">
        <w:trPr>
          <w:divId w:val="1720398011"/>
          <w:tblCellSpacing w:w="0" w:type="dxa"/>
        </w:trPr>
        <w:tc>
          <w:tcPr>
            <w:tcW w:w="0" w:type="auto"/>
            <w:shd w:val="clear" w:color="auto" w:fill="FFFFFF"/>
            <w:vAlign w:val="bottom"/>
            <w:hideMark/>
          </w:tcPr>
          <w:p w14:paraId="1773CFF4" w14:textId="77777777" w:rsidR="00000000" w:rsidRDefault="00847163">
            <w:pPr>
              <w:pStyle w:val="a3"/>
              <w:spacing w:before="0" w:beforeAutospacing="0" w:after="0" w:afterAutospacing="0"/>
              <w:rPr>
                <w:sz w:val="20"/>
                <w:szCs w:val="20"/>
              </w:rPr>
            </w:pPr>
            <w:r>
              <w:rPr>
                <w:sz w:val="20"/>
                <w:szCs w:val="20"/>
              </w:rPr>
              <w:t>Net change in cash and cash equivalents</w:t>
            </w:r>
          </w:p>
        </w:tc>
        <w:tc>
          <w:tcPr>
            <w:tcW w:w="50" w:type="pct"/>
            <w:shd w:val="clear" w:color="auto" w:fill="FFFFFF"/>
            <w:vAlign w:val="bottom"/>
            <w:hideMark/>
          </w:tcPr>
          <w:p w14:paraId="50FD77CA"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6E96A68" w14:textId="77777777" w:rsidR="00000000" w:rsidRDefault="00847163">
            <w:pPr>
              <w:rPr>
                <w:rFonts w:eastAsia="Times New Roman"/>
                <w:sz w:val="20"/>
                <w:szCs w:val="20"/>
              </w:rPr>
            </w:pPr>
            <w:r>
              <w:rPr>
                <w:rFonts w:eastAsia="Times New Roman"/>
                <w:sz w:val="20"/>
                <w:szCs w:val="20"/>
              </w:rPr>
              <w:t> </w:t>
            </w:r>
          </w:p>
        </w:tc>
        <w:tc>
          <w:tcPr>
            <w:tcW w:w="500" w:type="pct"/>
            <w:shd w:val="clear" w:color="auto" w:fill="FFFFFF"/>
            <w:vAlign w:val="bottom"/>
            <w:hideMark/>
          </w:tcPr>
          <w:p w14:paraId="63A3F271" w14:textId="77777777" w:rsidR="00000000" w:rsidRDefault="00847163">
            <w:pPr>
              <w:jc w:val="right"/>
              <w:rPr>
                <w:rFonts w:eastAsia="Times New Roman"/>
                <w:sz w:val="20"/>
                <w:szCs w:val="20"/>
              </w:rPr>
            </w:pPr>
            <w:r>
              <w:rPr>
                <w:rFonts w:eastAsia="Times New Roman"/>
                <w:sz w:val="20"/>
                <w:szCs w:val="20"/>
              </w:rPr>
              <w:t>327,849</w:t>
            </w:r>
          </w:p>
        </w:tc>
        <w:tc>
          <w:tcPr>
            <w:tcW w:w="50" w:type="pct"/>
            <w:shd w:val="clear" w:color="auto" w:fill="FFFFFF"/>
            <w:vAlign w:val="bottom"/>
            <w:hideMark/>
          </w:tcPr>
          <w:p w14:paraId="2398D103"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8973283"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B799DF0" w14:textId="77777777" w:rsidR="00000000" w:rsidRDefault="00847163">
            <w:pPr>
              <w:rPr>
                <w:rFonts w:eastAsia="Times New Roman"/>
                <w:sz w:val="20"/>
                <w:szCs w:val="20"/>
              </w:rPr>
            </w:pPr>
            <w:r>
              <w:rPr>
                <w:rFonts w:eastAsia="Times New Roman"/>
                <w:sz w:val="20"/>
                <w:szCs w:val="20"/>
              </w:rPr>
              <w:t> </w:t>
            </w:r>
          </w:p>
        </w:tc>
        <w:tc>
          <w:tcPr>
            <w:tcW w:w="500" w:type="pct"/>
            <w:shd w:val="clear" w:color="auto" w:fill="FFFFFF"/>
            <w:vAlign w:val="bottom"/>
            <w:hideMark/>
          </w:tcPr>
          <w:p w14:paraId="23ACCB91" w14:textId="77777777" w:rsidR="00000000" w:rsidRDefault="00847163">
            <w:pPr>
              <w:jc w:val="right"/>
              <w:rPr>
                <w:rFonts w:eastAsia="Times New Roman"/>
                <w:sz w:val="20"/>
                <w:szCs w:val="20"/>
              </w:rPr>
            </w:pPr>
            <w:r>
              <w:rPr>
                <w:rFonts w:eastAsia="Times New Roman"/>
                <w:sz w:val="20"/>
                <w:szCs w:val="20"/>
              </w:rPr>
              <w:t>92</w:t>
            </w:r>
          </w:p>
        </w:tc>
        <w:tc>
          <w:tcPr>
            <w:tcW w:w="50" w:type="pct"/>
            <w:shd w:val="clear" w:color="auto" w:fill="FFFFFF"/>
            <w:vAlign w:val="bottom"/>
            <w:hideMark/>
          </w:tcPr>
          <w:p w14:paraId="370A492D" w14:textId="77777777" w:rsidR="00000000" w:rsidRDefault="00847163">
            <w:pPr>
              <w:rPr>
                <w:rFonts w:eastAsia="Times New Roman"/>
                <w:sz w:val="20"/>
                <w:szCs w:val="20"/>
              </w:rPr>
            </w:pPr>
            <w:r>
              <w:rPr>
                <w:rFonts w:eastAsia="Times New Roman"/>
                <w:sz w:val="20"/>
                <w:szCs w:val="20"/>
              </w:rPr>
              <w:t> </w:t>
            </w:r>
          </w:p>
        </w:tc>
      </w:tr>
      <w:tr w:rsidR="00000000" w14:paraId="1B91858A" w14:textId="77777777">
        <w:trPr>
          <w:divId w:val="1720398011"/>
          <w:tblCellSpacing w:w="0" w:type="dxa"/>
        </w:trPr>
        <w:tc>
          <w:tcPr>
            <w:tcW w:w="0" w:type="auto"/>
            <w:shd w:val="clear" w:color="auto" w:fill="CCEEFF"/>
            <w:vAlign w:val="bottom"/>
            <w:hideMark/>
          </w:tcPr>
          <w:p w14:paraId="1E1F7E9B" w14:textId="77777777" w:rsidR="00000000" w:rsidRDefault="00847163">
            <w:pPr>
              <w:pStyle w:val="a3"/>
              <w:spacing w:before="0" w:beforeAutospacing="0" w:after="0" w:afterAutospacing="0"/>
              <w:rPr>
                <w:sz w:val="20"/>
                <w:szCs w:val="20"/>
              </w:rPr>
            </w:pPr>
            <w:r>
              <w:rPr>
                <w:sz w:val="20"/>
                <w:szCs w:val="20"/>
              </w:rPr>
              <w:t>Cash and cash equivalents, beginning of the period</w:t>
            </w:r>
          </w:p>
        </w:tc>
        <w:tc>
          <w:tcPr>
            <w:tcW w:w="50" w:type="pct"/>
            <w:shd w:val="clear" w:color="auto" w:fill="CCEEFF"/>
            <w:tcMar>
              <w:top w:w="0" w:type="dxa"/>
              <w:left w:w="0" w:type="dxa"/>
              <w:bottom w:w="15" w:type="dxa"/>
              <w:right w:w="0" w:type="dxa"/>
            </w:tcMar>
            <w:vAlign w:val="bottom"/>
            <w:hideMark/>
          </w:tcPr>
          <w:p w14:paraId="3948C132" w14:textId="77777777" w:rsidR="00000000" w:rsidRDefault="0084716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3728808B" w14:textId="77777777" w:rsidR="00000000" w:rsidRDefault="00847163">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14:paraId="27D8251F" w14:textId="77777777" w:rsidR="00000000" w:rsidRDefault="00847163">
            <w:pPr>
              <w:jc w:val="right"/>
              <w:rPr>
                <w:rFonts w:eastAsia="Times New Roman"/>
                <w:sz w:val="20"/>
                <w:szCs w:val="20"/>
              </w:rPr>
            </w:pPr>
            <w:r>
              <w:rPr>
                <w:rFonts w:eastAsia="Times New Roman"/>
                <w:sz w:val="20"/>
                <w:szCs w:val="20"/>
              </w:rPr>
              <w:t>123,947</w:t>
            </w:r>
          </w:p>
        </w:tc>
        <w:tc>
          <w:tcPr>
            <w:tcW w:w="50" w:type="pct"/>
            <w:shd w:val="clear" w:color="auto" w:fill="CCEEFF"/>
            <w:tcMar>
              <w:top w:w="0" w:type="dxa"/>
              <w:left w:w="0" w:type="dxa"/>
              <w:bottom w:w="15" w:type="dxa"/>
              <w:right w:w="0" w:type="dxa"/>
            </w:tcMar>
            <w:vAlign w:val="bottom"/>
            <w:hideMark/>
          </w:tcPr>
          <w:p w14:paraId="2A14DAD3"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14:paraId="7D1B8BD8" w14:textId="77777777" w:rsidR="00000000" w:rsidRDefault="0084716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24D0CA57" w14:textId="77777777" w:rsidR="00000000" w:rsidRDefault="00847163">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14:paraId="78EF4298" w14:textId="77777777" w:rsidR="00000000" w:rsidRDefault="00847163">
            <w:pPr>
              <w:jc w:val="right"/>
              <w:rPr>
                <w:rFonts w:eastAsia="Times New Roman"/>
                <w:sz w:val="20"/>
                <w:szCs w:val="20"/>
              </w:rPr>
            </w:pPr>
            <w:r>
              <w:rPr>
                <w:rFonts w:eastAsia="Times New Roman"/>
                <w:sz w:val="20"/>
                <w:szCs w:val="20"/>
              </w:rPr>
              <w:t>143,581</w:t>
            </w:r>
          </w:p>
        </w:tc>
        <w:tc>
          <w:tcPr>
            <w:tcW w:w="50" w:type="pct"/>
            <w:shd w:val="clear" w:color="auto" w:fill="CCEEFF"/>
            <w:tcMar>
              <w:top w:w="0" w:type="dxa"/>
              <w:left w:w="0" w:type="dxa"/>
              <w:bottom w:w="15" w:type="dxa"/>
              <w:right w:w="0" w:type="dxa"/>
            </w:tcMar>
            <w:vAlign w:val="bottom"/>
            <w:hideMark/>
          </w:tcPr>
          <w:p w14:paraId="0DDABD01" w14:textId="77777777" w:rsidR="00000000" w:rsidRDefault="00847163">
            <w:pPr>
              <w:rPr>
                <w:rFonts w:eastAsia="Times New Roman"/>
                <w:sz w:val="20"/>
                <w:szCs w:val="20"/>
              </w:rPr>
            </w:pPr>
            <w:r>
              <w:rPr>
                <w:rFonts w:eastAsia="Times New Roman"/>
                <w:sz w:val="20"/>
                <w:szCs w:val="20"/>
              </w:rPr>
              <w:t> </w:t>
            </w:r>
          </w:p>
        </w:tc>
      </w:tr>
      <w:tr w:rsidR="00000000" w14:paraId="7D63718D" w14:textId="77777777">
        <w:trPr>
          <w:divId w:val="1720398011"/>
          <w:tblCellSpacing w:w="0" w:type="dxa"/>
        </w:trPr>
        <w:tc>
          <w:tcPr>
            <w:tcW w:w="0" w:type="auto"/>
            <w:shd w:val="clear" w:color="auto" w:fill="FFFFFF"/>
            <w:vAlign w:val="bottom"/>
            <w:hideMark/>
          </w:tcPr>
          <w:p w14:paraId="38BCBF1F" w14:textId="77777777" w:rsidR="00000000" w:rsidRDefault="00847163">
            <w:pPr>
              <w:pStyle w:val="a3"/>
              <w:spacing w:before="0" w:beforeAutospacing="0" w:after="0" w:afterAutospacing="0"/>
              <w:ind w:left="720"/>
              <w:rPr>
                <w:sz w:val="20"/>
                <w:szCs w:val="20"/>
              </w:rPr>
            </w:pPr>
            <w:r>
              <w:rPr>
                <w:sz w:val="20"/>
                <w:szCs w:val="20"/>
              </w:rPr>
              <w:t>Cash and cash equivalents, end of the period</w:t>
            </w:r>
          </w:p>
        </w:tc>
        <w:tc>
          <w:tcPr>
            <w:tcW w:w="50" w:type="pct"/>
            <w:shd w:val="clear" w:color="auto" w:fill="FFFFFF"/>
            <w:vAlign w:val="bottom"/>
            <w:hideMark/>
          </w:tcPr>
          <w:p w14:paraId="3BFCE6BF" w14:textId="77777777" w:rsidR="00000000" w:rsidRDefault="0084716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702D0919" w14:textId="77777777" w:rsidR="00000000" w:rsidRDefault="00847163">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FFFFFF"/>
            <w:vAlign w:val="bottom"/>
            <w:hideMark/>
          </w:tcPr>
          <w:p w14:paraId="0AC2EA83" w14:textId="77777777" w:rsidR="00000000" w:rsidRDefault="00847163">
            <w:pPr>
              <w:jc w:val="right"/>
              <w:rPr>
                <w:rFonts w:eastAsia="Times New Roman"/>
                <w:sz w:val="20"/>
                <w:szCs w:val="20"/>
              </w:rPr>
            </w:pPr>
            <w:r>
              <w:rPr>
                <w:rFonts w:eastAsia="Times New Roman"/>
                <w:sz w:val="20"/>
                <w:szCs w:val="20"/>
              </w:rPr>
              <w:t>451,796</w:t>
            </w:r>
          </w:p>
        </w:tc>
        <w:tc>
          <w:tcPr>
            <w:tcW w:w="50" w:type="pct"/>
            <w:shd w:val="clear" w:color="auto" w:fill="FFFFFF"/>
            <w:tcMar>
              <w:top w:w="0" w:type="dxa"/>
              <w:left w:w="0" w:type="dxa"/>
              <w:bottom w:w="45" w:type="dxa"/>
              <w:right w:w="0" w:type="dxa"/>
            </w:tcMar>
            <w:vAlign w:val="bottom"/>
            <w:hideMark/>
          </w:tcPr>
          <w:p w14:paraId="72AB62C0"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3F864AD" w14:textId="77777777" w:rsidR="00000000" w:rsidRDefault="0084716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5B3AFD50" w14:textId="77777777" w:rsidR="00000000" w:rsidRDefault="00847163">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FFFFFF"/>
            <w:vAlign w:val="bottom"/>
            <w:hideMark/>
          </w:tcPr>
          <w:p w14:paraId="0114D64F" w14:textId="77777777" w:rsidR="00000000" w:rsidRDefault="00847163">
            <w:pPr>
              <w:jc w:val="right"/>
              <w:rPr>
                <w:rFonts w:eastAsia="Times New Roman"/>
                <w:sz w:val="20"/>
                <w:szCs w:val="20"/>
              </w:rPr>
            </w:pPr>
            <w:r>
              <w:rPr>
                <w:rFonts w:eastAsia="Times New Roman"/>
                <w:sz w:val="20"/>
                <w:szCs w:val="20"/>
              </w:rPr>
              <w:t>143,673</w:t>
            </w:r>
          </w:p>
        </w:tc>
        <w:tc>
          <w:tcPr>
            <w:tcW w:w="50" w:type="pct"/>
            <w:shd w:val="clear" w:color="auto" w:fill="FFFFFF"/>
            <w:tcMar>
              <w:top w:w="0" w:type="dxa"/>
              <w:left w:w="0" w:type="dxa"/>
              <w:bottom w:w="45" w:type="dxa"/>
              <w:right w:w="0" w:type="dxa"/>
            </w:tcMar>
            <w:vAlign w:val="bottom"/>
            <w:hideMark/>
          </w:tcPr>
          <w:p w14:paraId="176E4BED" w14:textId="77777777" w:rsidR="00000000" w:rsidRDefault="00847163">
            <w:pPr>
              <w:rPr>
                <w:rFonts w:eastAsia="Times New Roman"/>
                <w:sz w:val="20"/>
                <w:szCs w:val="20"/>
              </w:rPr>
            </w:pPr>
            <w:r>
              <w:rPr>
                <w:rFonts w:eastAsia="Times New Roman"/>
                <w:sz w:val="20"/>
                <w:szCs w:val="20"/>
              </w:rPr>
              <w:t> </w:t>
            </w:r>
          </w:p>
        </w:tc>
      </w:tr>
      <w:tr w:rsidR="00000000" w14:paraId="1DBA4B51" w14:textId="77777777">
        <w:trPr>
          <w:divId w:val="1720398011"/>
          <w:tblCellSpacing w:w="0" w:type="dxa"/>
        </w:trPr>
        <w:tc>
          <w:tcPr>
            <w:tcW w:w="0" w:type="auto"/>
            <w:shd w:val="clear" w:color="auto" w:fill="CCEEFF"/>
            <w:vAlign w:val="bottom"/>
            <w:hideMark/>
          </w:tcPr>
          <w:p w14:paraId="6B082B3D"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14:paraId="336FB2E1" w14:textId="77777777" w:rsidR="00000000" w:rsidRDefault="00847163">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14:paraId="5F2E34FB" w14:textId="77777777" w:rsidR="00000000" w:rsidRDefault="00847163">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14:paraId="0AB379D2"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14:paraId="225531B3"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14:paraId="396073A6" w14:textId="77777777" w:rsidR="00000000" w:rsidRDefault="00847163">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14:paraId="4441760E" w14:textId="77777777" w:rsidR="00000000" w:rsidRDefault="00847163">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14:paraId="1E5ACD41"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14:paraId="1C810C1C" w14:textId="77777777" w:rsidR="00000000" w:rsidRDefault="00847163">
            <w:pPr>
              <w:rPr>
                <w:rFonts w:eastAsia="Times New Roman"/>
                <w:sz w:val="20"/>
                <w:szCs w:val="20"/>
              </w:rPr>
            </w:pPr>
            <w:r>
              <w:rPr>
                <w:rFonts w:eastAsia="Times New Roman"/>
                <w:sz w:val="20"/>
                <w:szCs w:val="20"/>
              </w:rPr>
              <w:t> </w:t>
            </w:r>
          </w:p>
        </w:tc>
      </w:tr>
      <w:tr w:rsidR="00000000" w14:paraId="03496685" w14:textId="77777777">
        <w:trPr>
          <w:divId w:val="1720398011"/>
          <w:tblCellSpacing w:w="0" w:type="dxa"/>
        </w:trPr>
        <w:tc>
          <w:tcPr>
            <w:tcW w:w="0" w:type="auto"/>
            <w:shd w:val="clear" w:color="auto" w:fill="FFFFFF"/>
            <w:vAlign w:val="bottom"/>
            <w:hideMark/>
          </w:tcPr>
          <w:p w14:paraId="0EE81E4C" w14:textId="77777777" w:rsidR="00000000" w:rsidRDefault="00847163">
            <w:pPr>
              <w:pStyle w:val="a3"/>
              <w:spacing w:before="0" w:beforeAutospacing="0" w:after="0" w:afterAutospacing="0"/>
              <w:ind w:left="180" w:hanging="180"/>
              <w:rPr>
                <w:sz w:val="20"/>
                <w:szCs w:val="20"/>
              </w:rPr>
            </w:pPr>
            <w:r>
              <w:rPr>
                <w:sz w:val="20"/>
                <w:szCs w:val="20"/>
              </w:rPr>
              <w:t>Interest paid during the period including payment of early extinguishment of debt charges of</w:t>
            </w:r>
            <w:r>
              <w:rPr>
                <w:sz w:val="20"/>
                <w:szCs w:val="20"/>
              </w:rPr>
              <w:t xml:space="preserve"> </w:t>
            </w:r>
            <w:r>
              <w:rPr>
                <w:sz w:val="20"/>
                <w:szCs w:val="20"/>
              </w:rPr>
              <w:t>$</w:t>
            </w:r>
            <w:r>
              <w:rPr>
                <w:sz w:val="20"/>
                <w:szCs w:val="20"/>
              </w:rPr>
              <w:t>0</w:t>
            </w:r>
            <w:r>
              <w:rPr>
                <w:sz w:val="20"/>
                <w:szCs w:val="20"/>
              </w:rPr>
              <w:t xml:space="preserve"> and</w:t>
            </w:r>
            <w:r>
              <w:rPr>
                <w:sz w:val="20"/>
                <w:szCs w:val="20"/>
              </w:rPr>
              <w:t xml:space="preserve"> </w:t>
            </w:r>
            <w:r>
              <w:rPr>
                <w:sz w:val="20"/>
                <w:szCs w:val="20"/>
              </w:rPr>
              <w:t>$77</w:t>
            </w:r>
            <w:r>
              <w:rPr>
                <w:sz w:val="20"/>
                <w:szCs w:val="20"/>
              </w:rPr>
              <w:t>1</w:t>
            </w:r>
            <w:r>
              <w:rPr>
                <w:sz w:val="20"/>
                <w:szCs w:val="20"/>
              </w:rPr>
              <w:t>, respectively (net of capitalized interest of</w:t>
            </w:r>
            <w:r>
              <w:rPr>
                <w:sz w:val="20"/>
                <w:szCs w:val="20"/>
              </w:rPr>
              <w:t xml:space="preserve"> </w:t>
            </w:r>
            <w:r>
              <w:rPr>
                <w:sz w:val="20"/>
                <w:szCs w:val="20"/>
              </w:rPr>
              <w:t>$4,36</w:t>
            </w:r>
            <w:r>
              <w:rPr>
                <w:sz w:val="20"/>
                <w:szCs w:val="20"/>
              </w:rPr>
              <w:t>4</w:t>
            </w:r>
            <w:r>
              <w:rPr>
                <w:sz w:val="20"/>
                <w:szCs w:val="20"/>
              </w:rPr>
              <w:t xml:space="preserve"> and</w:t>
            </w:r>
            <w:r>
              <w:rPr>
                <w:sz w:val="20"/>
                <w:szCs w:val="20"/>
              </w:rPr>
              <w:t xml:space="preserve"> </w:t>
            </w:r>
            <w:r>
              <w:rPr>
                <w:sz w:val="20"/>
                <w:szCs w:val="20"/>
              </w:rPr>
              <w:t>$3,13</w:t>
            </w:r>
            <w:r>
              <w:rPr>
                <w:sz w:val="20"/>
                <w:szCs w:val="20"/>
              </w:rPr>
              <w:t>7</w:t>
            </w:r>
            <w:r>
              <w:rPr>
                <w:sz w:val="20"/>
                <w:szCs w:val="20"/>
              </w:rPr>
              <w:t xml:space="preserve"> respectively)</w:t>
            </w:r>
          </w:p>
        </w:tc>
        <w:tc>
          <w:tcPr>
            <w:tcW w:w="50" w:type="pct"/>
            <w:shd w:val="clear" w:color="auto" w:fill="FFFFFF"/>
            <w:vAlign w:val="bottom"/>
            <w:hideMark/>
          </w:tcPr>
          <w:p w14:paraId="79DF021A" w14:textId="77777777" w:rsidR="00000000" w:rsidRDefault="0084716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7B609DFF" w14:textId="77777777" w:rsidR="00000000" w:rsidRDefault="00847163">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FFFFFF"/>
            <w:vAlign w:val="bottom"/>
            <w:hideMark/>
          </w:tcPr>
          <w:p w14:paraId="449A37E6" w14:textId="77777777" w:rsidR="00000000" w:rsidRDefault="00847163">
            <w:pPr>
              <w:jc w:val="right"/>
              <w:rPr>
                <w:rFonts w:eastAsia="Times New Roman"/>
                <w:sz w:val="20"/>
                <w:szCs w:val="20"/>
              </w:rPr>
            </w:pPr>
            <w:r>
              <w:rPr>
                <w:rFonts w:eastAsia="Times New Roman"/>
                <w:sz w:val="20"/>
                <w:szCs w:val="20"/>
              </w:rPr>
              <w:t>25,383</w:t>
            </w:r>
          </w:p>
        </w:tc>
        <w:tc>
          <w:tcPr>
            <w:tcW w:w="50" w:type="pct"/>
            <w:shd w:val="clear" w:color="auto" w:fill="FFFFFF"/>
            <w:tcMar>
              <w:top w:w="0" w:type="dxa"/>
              <w:left w:w="0" w:type="dxa"/>
              <w:bottom w:w="45" w:type="dxa"/>
              <w:right w:w="0" w:type="dxa"/>
            </w:tcMar>
            <w:vAlign w:val="bottom"/>
            <w:hideMark/>
          </w:tcPr>
          <w:p w14:paraId="6B5F3A8F"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F566F25" w14:textId="77777777" w:rsidR="00000000" w:rsidRDefault="0084716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71F2A732" w14:textId="77777777" w:rsidR="00000000" w:rsidRDefault="00847163">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FFFFFF"/>
            <w:vAlign w:val="bottom"/>
            <w:hideMark/>
          </w:tcPr>
          <w:p w14:paraId="05051151" w14:textId="77777777" w:rsidR="00000000" w:rsidRDefault="00847163">
            <w:pPr>
              <w:jc w:val="right"/>
              <w:rPr>
                <w:rFonts w:eastAsia="Times New Roman"/>
                <w:sz w:val="20"/>
                <w:szCs w:val="20"/>
              </w:rPr>
            </w:pPr>
            <w:r>
              <w:rPr>
                <w:rFonts w:eastAsia="Times New Roman"/>
                <w:sz w:val="20"/>
                <w:szCs w:val="20"/>
              </w:rPr>
              <w:t>27,026</w:t>
            </w:r>
          </w:p>
        </w:tc>
        <w:tc>
          <w:tcPr>
            <w:tcW w:w="50" w:type="pct"/>
            <w:shd w:val="clear" w:color="auto" w:fill="FFFFFF"/>
            <w:tcMar>
              <w:top w:w="0" w:type="dxa"/>
              <w:left w:w="0" w:type="dxa"/>
              <w:bottom w:w="45" w:type="dxa"/>
              <w:right w:w="0" w:type="dxa"/>
            </w:tcMar>
            <w:vAlign w:val="bottom"/>
            <w:hideMark/>
          </w:tcPr>
          <w:p w14:paraId="2E76167C" w14:textId="77777777" w:rsidR="00000000" w:rsidRDefault="00847163">
            <w:pPr>
              <w:rPr>
                <w:rFonts w:eastAsia="Times New Roman"/>
                <w:sz w:val="20"/>
                <w:szCs w:val="20"/>
              </w:rPr>
            </w:pPr>
            <w:r>
              <w:rPr>
                <w:rFonts w:eastAsia="Times New Roman"/>
                <w:sz w:val="20"/>
                <w:szCs w:val="20"/>
              </w:rPr>
              <w:t> </w:t>
            </w:r>
          </w:p>
        </w:tc>
      </w:tr>
    </w:tbl>
    <w:p w14:paraId="31EEBD21" w14:textId="77777777" w:rsidR="00000000" w:rsidRDefault="00847163">
      <w:pPr>
        <w:pStyle w:val="a3"/>
        <w:spacing w:before="0" w:beforeAutospacing="0" w:after="0" w:afterAutospacing="0"/>
        <w:rPr>
          <w:sz w:val="20"/>
          <w:szCs w:val="20"/>
        </w:rPr>
      </w:pPr>
      <w:r>
        <w:rPr>
          <w:sz w:val="20"/>
          <w:szCs w:val="20"/>
        </w:rPr>
        <w:t> </w:t>
      </w:r>
    </w:p>
    <w:p w14:paraId="2EDA7967" w14:textId="77777777" w:rsidR="00000000" w:rsidRDefault="00847163">
      <w:pPr>
        <w:pStyle w:val="a3"/>
        <w:spacing w:before="0" w:beforeAutospacing="0" w:after="0" w:afterAutospacing="0"/>
        <w:jc w:val="center"/>
        <w:rPr>
          <w:sz w:val="20"/>
          <w:szCs w:val="20"/>
        </w:rPr>
      </w:pPr>
      <w:r>
        <w:rPr>
          <w:sz w:val="20"/>
          <w:szCs w:val="20"/>
        </w:rPr>
        <w:t>The accompanying notes are an integral part of these condensed consolidated financial statements.</w:t>
      </w:r>
    </w:p>
    <w:p w14:paraId="0E7029CE" w14:textId="77777777" w:rsidR="00000000" w:rsidRDefault="00847163">
      <w:pPr>
        <w:pStyle w:val="a3"/>
        <w:spacing w:before="0" w:beforeAutospacing="0" w:after="0" w:afterAutospacing="0"/>
        <w:jc w:val="center"/>
        <w:rPr>
          <w:sz w:val="20"/>
          <w:szCs w:val="20"/>
        </w:rPr>
      </w:pPr>
      <w:r>
        <w:rPr>
          <w:sz w:val="20"/>
          <w:szCs w:val="20"/>
        </w:rPr>
        <w:t> </w:t>
      </w:r>
    </w:p>
    <w:p w14:paraId="00007EF5" w14:textId="77777777" w:rsidR="00000000" w:rsidRDefault="00847163">
      <w:pPr>
        <w:jc w:val="center"/>
        <w:divId w:val="417792228"/>
        <w:rPr>
          <w:rFonts w:eastAsia="Times New Roman"/>
          <w:sz w:val="20"/>
          <w:szCs w:val="20"/>
        </w:rPr>
      </w:pPr>
      <w:r>
        <w:rPr>
          <w:rFonts w:eastAsia="Times New Roman"/>
          <w:sz w:val="20"/>
          <w:szCs w:val="20"/>
        </w:rPr>
        <w:t xml:space="preserve">6 </w:t>
      </w:r>
    </w:p>
    <w:p w14:paraId="2E133C8B" w14:textId="77777777" w:rsidR="00000000" w:rsidRDefault="00847163">
      <w:pPr>
        <w:divId w:val="2016416247"/>
        <w:rPr>
          <w:rFonts w:eastAsia="Times New Roman"/>
          <w:sz w:val="20"/>
          <w:szCs w:val="20"/>
        </w:rPr>
      </w:pPr>
      <w:r>
        <w:rPr>
          <w:rFonts w:eastAsia="Times New Roman"/>
          <w:sz w:val="20"/>
          <w:szCs w:val="20"/>
        </w:rPr>
        <w:pict w14:anchorId="1E6E6F39">
          <v:rect id="_x0000_i1034" style="width:0;height:1.5pt" o:hralign="center" o:hrstd="t" o:hr="t" fillcolor="#a0a0a0" stroked="f"/>
        </w:pict>
      </w:r>
    </w:p>
    <w:p w14:paraId="33067B89" w14:textId="77777777" w:rsidR="00000000" w:rsidRDefault="00847163">
      <w:pPr>
        <w:divId w:val="724455409"/>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1ABE12A2" w14:textId="77777777" w:rsidR="00000000" w:rsidRDefault="00847163">
      <w:pPr>
        <w:pStyle w:val="a3"/>
        <w:spacing w:before="0" w:beforeAutospacing="0" w:after="0" w:afterAutospacing="0"/>
        <w:rPr>
          <w:sz w:val="20"/>
          <w:szCs w:val="20"/>
        </w:rPr>
      </w:pPr>
      <w:r>
        <w:rPr>
          <w:sz w:val="20"/>
          <w:szCs w:val="20"/>
        </w:rPr>
        <w:t> </w:t>
      </w:r>
    </w:p>
    <w:p w14:paraId="08DD9EDB" w14:textId="77777777" w:rsidR="00000000" w:rsidRDefault="00847163">
      <w:pPr>
        <w:pStyle w:val="a3"/>
        <w:spacing w:before="0" w:beforeAutospacing="0" w:after="0" w:afterAutospacing="0"/>
        <w:jc w:val="center"/>
        <w:rPr>
          <w:sz w:val="20"/>
          <w:szCs w:val="20"/>
        </w:rPr>
      </w:pPr>
      <w:r>
        <w:rPr>
          <w:sz w:val="20"/>
          <w:szCs w:val="20"/>
        </w:rPr>
        <w:t>KIMCO REALTY CORPORATION AND SUBSIDIARIES</w:t>
      </w:r>
    </w:p>
    <w:p w14:paraId="3923EE68" w14:textId="77777777" w:rsidR="00000000" w:rsidRDefault="00847163">
      <w:pPr>
        <w:pStyle w:val="a3"/>
        <w:spacing w:before="0" w:beforeAutospacing="0" w:after="0" w:afterAutospacing="0"/>
        <w:rPr>
          <w:sz w:val="20"/>
          <w:szCs w:val="20"/>
        </w:rPr>
      </w:pPr>
      <w:r>
        <w:rPr>
          <w:sz w:val="20"/>
          <w:szCs w:val="20"/>
        </w:rPr>
        <w:t> </w:t>
      </w:r>
    </w:p>
    <w:p w14:paraId="327DE41F" w14:textId="77777777" w:rsidR="00000000" w:rsidRDefault="00847163">
      <w:pPr>
        <w:pStyle w:val="a3"/>
        <w:spacing w:before="0" w:beforeAutospacing="0" w:after="0" w:afterAutospacing="0"/>
        <w:jc w:val="center"/>
        <w:rPr>
          <w:sz w:val="20"/>
          <w:szCs w:val="20"/>
        </w:rPr>
      </w:pPr>
      <w:r>
        <w:rPr>
          <w:sz w:val="20"/>
          <w:szCs w:val="20"/>
        </w:rPr>
        <w:t>NOTES TO CONDENSED CONSOLIDATED FINANCIAL STATEMENTS</w:t>
      </w:r>
    </w:p>
    <w:p w14:paraId="22A55906" w14:textId="77777777" w:rsidR="00000000" w:rsidRDefault="00847163">
      <w:pPr>
        <w:pStyle w:val="a3"/>
        <w:spacing w:before="0" w:beforeAutospacing="0" w:after="0" w:afterAutospacing="0"/>
        <w:jc w:val="center"/>
        <w:rPr>
          <w:sz w:val="20"/>
          <w:szCs w:val="20"/>
        </w:rPr>
      </w:pPr>
      <w:r>
        <w:rPr>
          <w:sz w:val="20"/>
          <w:szCs w:val="20"/>
        </w:rPr>
        <w:t>                                        </w:t>
      </w:r>
    </w:p>
    <w:p w14:paraId="3C54F3E7" w14:textId="77777777" w:rsidR="00000000" w:rsidRDefault="00847163">
      <w:pPr>
        <w:divId w:val="771122747"/>
        <w:rPr>
          <w:rFonts w:eastAsia="Times New Roman"/>
          <w:sz w:val="20"/>
          <w:szCs w:val="20"/>
        </w:rPr>
      </w:pPr>
      <w:r>
        <w:rPr>
          <w:rFonts w:eastAsia="Times New Roman"/>
          <w:sz w:val="20"/>
          <w:szCs w:val="20"/>
        </w:rPr>
        <w:t xml:space="preserve">  </w:t>
      </w:r>
    </w:p>
    <w:p w14:paraId="221DABA7" w14:textId="77777777" w:rsidR="00000000" w:rsidRDefault="00847163">
      <w:pPr>
        <w:pStyle w:val="a3"/>
        <w:spacing w:before="0" w:beforeAutospacing="0" w:after="0" w:afterAutospacing="0"/>
        <w:jc w:val="both"/>
        <w:rPr>
          <w:sz w:val="20"/>
          <w:szCs w:val="20"/>
        </w:rPr>
      </w:pPr>
      <w:r>
        <w:rPr>
          <w:rStyle w:val="a6"/>
          <w:sz w:val="20"/>
          <w:szCs w:val="20"/>
        </w:rPr>
        <w:t>1.</w:t>
      </w:r>
      <w:r>
        <w:rPr>
          <w:sz w:val="20"/>
          <w:szCs w:val="20"/>
        </w:rPr>
        <w:t xml:space="preserve"> </w:t>
      </w:r>
      <w:r>
        <w:rPr>
          <w:sz w:val="20"/>
          <w:szCs w:val="20"/>
          <w:u w:val="single"/>
        </w:rPr>
        <w:t>B</w:t>
      </w:r>
      <w:r>
        <w:rPr>
          <w:sz w:val="20"/>
          <w:szCs w:val="20"/>
          <w:u w:val="single"/>
        </w:rPr>
        <w:t>usiness and Organization</w:t>
      </w:r>
    </w:p>
    <w:p w14:paraId="674EEB20" w14:textId="77777777" w:rsidR="00000000" w:rsidRDefault="00847163">
      <w:pPr>
        <w:pStyle w:val="a3"/>
        <w:spacing w:before="0" w:beforeAutospacing="0" w:after="0" w:afterAutospacing="0"/>
        <w:jc w:val="both"/>
        <w:rPr>
          <w:sz w:val="20"/>
          <w:szCs w:val="20"/>
        </w:rPr>
      </w:pPr>
      <w:r>
        <w:rPr>
          <w:sz w:val="20"/>
          <w:szCs w:val="20"/>
        </w:rPr>
        <w:t> </w:t>
      </w:r>
    </w:p>
    <w:p w14:paraId="599F1313" w14:textId="77777777" w:rsidR="00000000" w:rsidRDefault="00847163">
      <w:pPr>
        <w:pStyle w:val="a3"/>
        <w:spacing w:before="0" w:beforeAutospacing="0" w:after="0" w:afterAutospacing="0"/>
        <w:ind w:firstLine="360"/>
        <w:jc w:val="both"/>
        <w:rPr>
          <w:sz w:val="20"/>
          <w:szCs w:val="20"/>
        </w:rPr>
      </w:pPr>
      <w:r>
        <w:rPr>
          <w:sz w:val="20"/>
          <w:szCs w:val="20"/>
        </w:rPr>
        <w:t xml:space="preserve">Kimco Realty Corporation, a Maryland corporation, is </w:t>
      </w:r>
      <w:r>
        <w:rPr>
          <w:rStyle w:val="a6"/>
          <w:sz w:val="20"/>
          <w:szCs w:val="20"/>
        </w:rPr>
        <w:t>one</w:t>
      </w:r>
      <w:r>
        <w:rPr>
          <w:sz w:val="20"/>
          <w:szCs w:val="20"/>
        </w:rPr>
        <w:t xml:space="preserve"> of North America’</w:t>
      </w:r>
      <w:r>
        <w:rPr>
          <w:sz w:val="20"/>
          <w:szCs w:val="20"/>
        </w:rPr>
        <w:t>s largest publicly traded owners and operators of open-air shopping centers and mixed-use properties.  The terms “Kimco,” the “Company,” “we,” “our” and “us” each refer to Kimco Realty Corporation and our subsidiaries, unless the context indicates otherwis</w:t>
      </w:r>
      <w:r>
        <w:rPr>
          <w:sz w:val="20"/>
          <w:szCs w:val="20"/>
        </w:rPr>
        <w:t>e. The Company, its affiliates and related real estate joint ventures are engaged principally in the ownership, management, development and operation of open-air shopping centers, which are anchored generally by grocery stores, off-price retailers, home im</w:t>
      </w:r>
      <w:r>
        <w:rPr>
          <w:sz w:val="20"/>
          <w:szCs w:val="20"/>
        </w:rPr>
        <w:t>provement centers, discounters and/or service-oriented tenants. Additionally, the Company provides complementary services that capitalize on the Company’s established retail real estate expertise.</w:t>
      </w:r>
    </w:p>
    <w:p w14:paraId="46ABA1AF" w14:textId="77777777" w:rsidR="00000000" w:rsidRDefault="00847163">
      <w:pPr>
        <w:pStyle w:val="a3"/>
        <w:spacing w:before="0" w:beforeAutospacing="0" w:after="0" w:afterAutospacing="0"/>
        <w:ind w:left="360"/>
        <w:jc w:val="both"/>
        <w:rPr>
          <w:sz w:val="20"/>
          <w:szCs w:val="20"/>
        </w:rPr>
      </w:pPr>
      <w:r>
        <w:rPr>
          <w:sz w:val="20"/>
          <w:szCs w:val="20"/>
        </w:rPr>
        <w:t> </w:t>
      </w:r>
    </w:p>
    <w:p w14:paraId="416691FD" w14:textId="77777777" w:rsidR="00000000" w:rsidRDefault="00847163">
      <w:pPr>
        <w:pStyle w:val="a3"/>
        <w:spacing w:before="0" w:beforeAutospacing="0" w:after="0" w:afterAutospacing="0"/>
        <w:ind w:firstLine="360"/>
        <w:jc w:val="both"/>
        <w:rPr>
          <w:sz w:val="20"/>
          <w:szCs w:val="20"/>
        </w:rPr>
      </w:pPr>
      <w:r>
        <w:rPr>
          <w:sz w:val="20"/>
          <w:szCs w:val="20"/>
        </w:rPr>
        <w:t>The Company elected status as a Real Estate Investment Tr</w:t>
      </w:r>
      <w:r>
        <w:rPr>
          <w:sz w:val="20"/>
          <w:szCs w:val="20"/>
        </w:rPr>
        <w:t xml:space="preserve">ust (a “REIT”) for federal income tax purposes beginning in its taxable year ended </w:t>
      </w:r>
      <w:r>
        <w:rPr>
          <w:rStyle w:val="a6"/>
          <w:sz w:val="20"/>
          <w:szCs w:val="20"/>
        </w:rPr>
        <w:t xml:space="preserve">December 31, 1991 </w:t>
      </w:r>
      <w:r>
        <w:rPr>
          <w:sz w:val="20"/>
          <w:szCs w:val="20"/>
        </w:rPr>
        <w:t>and operates in a manner that enables the Company to maintain its status as a REIT.  As a REIT, with respect to each taxable year, the Company must distrib</w:t>
      </w:r>
      <w:r>
        <w:rPr>
          <w:sz w:val="20"/>
          <w:szCs w:val="20"/>
        </w:rPr>
        <w:t xml:space="preserve">ute at least </w:t>
      </w:r>
      <w:r>
        <w:rPr>
          <w:rStyle w:val="a6"/>
          <w:sz w:val="20"/>
          <w:szCs w:val="20"/>
        </w:rPr>
        <w:t>90</w:t>
      </w:r>
      <w:r>
        <w:rPr>
          <w:sz w:val="20"/>
          <w:szCs w:val="20"/>
        </w:rPr>
        <w:t xml:space="preserve"> percent of its taxable income (excluding capital gain) and does </w:t>
      </w:r>
      <w:r>
        <w:rPr>
          <w:rStyle w:val="a6"/>
          <w:sz w:val="20"/>
          <w:szCs w:val="20"/>
        </w:rPr>
        <w:t>not</w:t>
      </w:r>
      <w:r>
        <w:rPr>
          <w:sz w:val="20"/>
          <w:szCs w:val="20"/>
        </w:rPr>
        <w:t xml:space="preserve"> pay federal income taxes on the amount distributed to its shareholders.  The Company is </w:t>
      </w:r>
      <w:r>
        <w:rPr>
          <w:rStyle w:val="a6"/>
          <w:sz w:val="20"/>
          <w:szCs w:val="20"/>
        </w:rPr>
        <w:t>not</w:t>
      </w:r>
      <w:r>
        <w:rPr>
          <w:sz w:val="20"/>
          <w:szCs w:val="20"/>
        </w:rPr>
        <w:t xml:space="preserve"> generally subject to federal income taxes if it distributes </w:t>
      </w:r>
      <w:r>
        <w:rPr>
          <w:rStyle w:val="a6"/>
          <w:sz w:val="20"/>
          <w:szCs w:val="20"/>
        </w:rPr>
        <w:t>100</w:t>
      </w:r>
      <w:r>
        <w:rPr>
          <w:sz w:val="20"/>
          <w:szCs w:val="20"/>
        </w:rPr>
        <w:t xml:space="preserve"> percent of its t</w:t>
      </w:r>
      <w:r>
        <w:rPr>
          <w:sz w:val="20"/>
          <w:szCs w:val="20"/>
        </w:rPr>
        <w:t>axable income.  Most states where the Company holds investments in real estate, conform to the federal rules recognizing REITs.  Certain subsidiaries have made a joint election with the Company to be treated as taxable REIT subsidiaries (“TRSs”), which per</w:t>
      </w:r>
      <w:r>
        <w:rPr>
          <w:sz w:val="20"/>
          <w:szCs w:val="20"/>
        </w:rPr>
        <w:t xml:space="preserve">mit the Company to engage in certain business activities which the REIT </w:t>
      </w:r>
      <w:r>
        <w:rPr>
          <w:rStyle w:val="a6"/>
          <w:sz w:val="20"/>
          <w:szCs w:val="20"/>
        </w:rPr>
        <w:t>may not</w:t>
      </w:r>
      <w:r>
        <w:rPr>
          <w:sz w:val="20"/>
          <w:szCs w:val="20"/>
        </w:rPr>
        <w:t xml:space="preserve"> conduct directly.  A TRS is subject to federal and state income taxes on its income, and the Company includes, when applicable, a provision for taxes in its condensed consolida</w:t>
      </w:r>
      <w:r>
        <w:rPr>
          <w:sz w:val="20"/>
          <w:szCs w:val="20"/>
        </w:rPr>
        <w:t xml:space="preserve">ted financial statements.  The Company is subject to and also includes in its tax provision non-U.S. income taxes on certain investments located in jurisdictions outside the U.S. These investments are held by the Company at the REIT level and </w:t>
      </w:r>
      <w:r>
        <w:rPr>
          <w:rStyle w:val="a6"/>
          <w:sz w:val="20"/>
          <w:szCs w:val="20"/>
        </w:rPr>
        <w:t>not</w:t>
      </w:r>
      <w:r>
        <w:rPr>
          <w:sz w:val="20"/>
          <w:szCs w:val="20"/>
        </w:rPr>
        <w:t xml:space="preserve"> in the Co</w:t>
      </w:r>
      <w:r>
        <w:rPr>
          <w:sz w:val="20"/>
          <w:szCs w:val="20"/>
        </w:rPr>
        <w:t xml:space="preserve">mpany’s taxable REIT subsidiaries. Accordingly, the Company does </w:t>
      </w:r>
      <w:r>
        <w:rPr>
          <w:rStyle w:val="a6"/>
          <w:sz w:val="20"/>
          <w:szCs w:val="20"/>
        </w:rPr>
        <w:t>not</w:t>
      </w:r>
      <w:r>
        <w:rPr>
          <w:sz w:val="20"/>
          <w:szCs w:val="20"/>
        </w:rPr>
        <w:t xml:space="preserve"> expect a U.S. income tax impact associated with the repatriation of undistributed earnings from the Company’s foreign subsidiaries.</w:t>
      </w:r>
    </w:p>
    <w:p w14:paraId="16FB6177" w14:textId="77777777" w:rsidR="00000000" w:rsidRDefault="00847163">
      <w:pPr>
        <w:pStyle w:val="a3"/>
        <w:spacing w:before="0" w:beforeAutospacing="0" w:after="0" w:afterAutospacing="0"/>
        <w:ind w:firstLine="360"/>
        <w:jc w:val="both"/>
        <w:rPr>
          <w:sz w:val="20"/>
          <w:szCs w:val="20"/>
        </w:rPr>
      </w:pPr>
      <w:r>
        <w:rPr>
          <w:sz w:val="20"/>
          <w:szCs w:val="20"/>
        </w:rPr>
        <w:t> </w:t>
      </w:r>
    </w:p>
    <w:p w14:paraId="44D6E1CE" w14:textId="77777777" w:rsidR="00000000" w:rsidRDefault="00847163">
      <w:pPr>
        <w:pStyle w:val="a3"/>
        <w:spacing w:before="0" w:beforeAutospacing="0" w:after="0" w:afterAutospacing="0"/>
        <w:ind w:firstLine="360"/>
        <w:jc w:val="both"/>
        <w:rPr>
          <w:sz w:val="20"/>
          <w:szCs w:val="20"/>
        </w:rPr>
      </w:pPr>
      <w:r>
        <w:rPr>
          <w:i/>
          <w:iCs/>
          <w:sz w:val="20"/>
          <w:szCs w:val="20"/>
        </w:rPr>
        <w:t>The Company’s response to the COVID-</w:t>
      </w:r>
      <w:r>
        <w:rPr>
          <w:rStyle w:val="a6"/>
          <w:sz w:val="20"/>
          <w:szCs w:val="20"/>
        </w:rPr>
        <w:t>19</w:t>
      </w:r>
      <w:r>
        <w:rPr>
          <w:i/>
          <w:iCs/>
          <w:sz w:val="20"/>
          <w:szCs w:val="20"/>
        </w:rPr>
        <w:t xml:space="preserve"> pandemic -</w:t>
      </w:r>
    </w:p>
    <w:p w14:paraId="02A171EF" w14:textId="77777777" w:rsidR="00000000" w:rsidRDefault="00847163">
      <w:pPr>
        <w:pStyle w:val="a3"/>
        <w:spacing w:before="0" w:beforeAutospacing="0" w:after="0" w:afterAutospacing="0"/>
        <w:ind w:firstLine="360"/>
        <w:jc w:val="both"/>
        <w:rPr>
          <w:sz w:val="20"/>
          <w:szCs w:val="20"/>
        </w:rPr>
      </w:pPr>
      <w:r>
        <w:rPr>
          <w:sz w:val="20"/>
          <w:szCs w:val="20"/>
        </w:rPr>
        <w:t> </w:t>
      </w:r>
    </w:p>
    <w:p w14:paraId="069C85FD" w14:textId="77777777" w:rsidR="00000000" w:rsidRDefault="00847163">
      <w:pPr>
        <w:pStyle w:val="a3"/>
        <w:spacing w:before="0" w:beforeAutospacing="0" w:after="0" w:afterAutospacing="0"/>
        <w:ind w:firstLine="360"/>
        <w:jc w:val="both"/>
        <w:rPr>
          <w:sz w:val="20"/>
          <w:szCs w:val="20"/>
        </w:rPr>
      </w:pPr>
      <w:r>
        <w:rPr>
          <w:sz w:val="20"/>
          <w:szCs w:val="20"/>
        </w:rPr>
        <w:t>I</w:t>
      </w:r>
      <w:r>
        <w:rPr>
          <w:sz w:val="20"/>
          <w:szCs w:val="20"/>
        </w:rPr>
        <w:t xml:space="preserve">n </w:t>
      </w:r>
      <w:r>
        <w:rPr>
          <w:rStyle w:val="a6"/>
          <w:sz w:val="20"/>
          <w:szCs w:val="20"/>
        </w:rPr>
        <w:t xml:space="preserve">March 2020, </w:t>
      </w:r>
      <w:r>
        <w:rPr>
          <w:sz w:val="20"/>
          <w:szCs w:val="20"/>
        </w:rPr>
        <w:t xml:space="preserve">coronavirus disease </w:t>
      </w:r>
      <w:r>
        <w:rPr>
          <w:rStyle w:val="a6"/>
          <w:sz w:val="20"/>
          <w:szCs w:val="20"/>
        </w:rPr>
        <w:t>2019</w:t>
      </w:r>
      <w:r>
        <w:rPr>
          <w:sz w:val="20"/>
          <w:szCs w:val="20"/>
        </w:rPr>
        <w:t xml:space="preserve"> (“COVID-</w:t>
      </w:r>
      <w:r>
        <w:rPr>
          <w:rStyle w:val="a6"/>
          <w:sz w:val="20"/>
          <w:szCs w:val="20"/>
        </w:rPr>
        <w:t>19”</w:t>
      </w:r>
      <w:r>
        <w:rPr>
          <w:sz w:val="20"/>
          <w:szCs w:val="20"/>
        </w:rPr>
        <w:t>) was recognized as a pandemic by the World Health Organization (WHO). Shortly thereafter, the President of the United States declared a national emergency throughout the United States. The COVID-</w:t>
      </w:r>
      <w:r>
        <w:rPr>
          <w:rStyle w:val="a6"/>
          <w:sz w:val="20"/>
          <w:szCs w:val="20"/>
        </w:rPr>
        <w:t>19</w:t>
      </w:r>
      <w:r>
        <w:rPr>
          <w:sz w:val="20"/>
          <w:szCs w:val="20"/>
        </w:rPr>
        <w:t xml:space="preserve"> pandemi</w:t>
      </w:r>
      <w:r>
        <w:rPr>
          <w:sz w:val="20"/>
          <w:szCs w:val="20"/>
        </w:rPr>
        <w:t>c has resulted in a widespread health crisis that has adversely affected businesses, economies, and financial markets worldwide, and has caused significant volatility in U.S. and international debt and equity markets. The impact of COVID-</w:t>
      </w:r>
      <w:r>
        <w:rPr>
          <w:rStyle w:val="a6"/>
          <w:sz w:val="20"/>
          <w:szCs w:val="20"/>
        </w:rPr>
        <w:t>19</w:t>
      </w:r>
      <w:r>
        <w:rPr>
          <w:sz w:val="20"/>
          <w:szCs w:val="20"/>
        </w:rPr>
        <w:t xml:space="preserve"> on the retail i</w:t>
      </w:r>
      <w:r>
        <w:rPr>
          <w:sz w:val="20"/>
          <w:szCs w:val="20"/>
        </w:rPr>
        <w:t xml:space="preserve">ndustry for both landlords and tenants has been wide ranging, including, but </w:t>
      </w:r>
      <w:r>
        <w:rPr>
          <w:rStyle w:val="a6"/>
          <w:sz w:val="20"/>
          <w:szCs w:val="20"/>
        </w:rPr>
        <w:t>not</w:t>
      </w:r>
      <w:r>
        <w:rPr>
          <w:sz w:val="20"/>
          <w:szCs w:val="20"/>
        </w:rPr>
        <w:t xml:space="preserve"> limited to, the temporary closures of many businesses, "shelter in place" orders, social distancing guidelines and other governmental, business and individual actions taken in</w:t>
      </w:r>
      <w:r>
        <w:rPr>
          <w:sz w:val="20"/>
          <w:szCs w:val="20"/>
        </w:rPr>
        <w:t xml:space="preserve"> response to the COVID-</w:t>
      </w:r>
      <w:r>
        <w:rPr>
          <w:rStyle w:val="a6"/>
          <w:sz w:val="20"/>
          <w:szCs w:val="20"/>
        </w:rPr>
        <w:t>19</w:t>
      </w:r>
      <w:r>
        <w:rPr>
          <w:sz w:val="20"/>
          <w:szCs w:val="20"/>
        </w:rPr>
        <w:t xml:space="preserve"> pandemic. There has also been reduced consumer spending due to job losses, government restrictions in response to COVID-</w:t>
      </w:r>
      <w:r>
        <w:rPr>
          <w:rStyle w:val="a6"/>
          <w:sz w:val="20"/>
          <w:szCs w:val="20"/>
        </w:rPr>
        <w:t>19</w:t>
      </w:r>
      <w:r>
        <w:rPr>
          <w:sz w:val="20"/>
          <w:szCs w:val="20"/>
        </w:rPr>
        <w:t xml:space="preserve"> and other effects attributable to COVID-</w:t>
      </w:r>
      <w:r>
        <w:rPr>
          <w:rStyle w:val="a6"/>
          <w:sz w:val="20"/>
          <w:szCs w:val="20"/>
        </w:rPr>
        <w:t>19.</w:t>
      </w:r>
      <w:r>
        <w:rPr>
          <w:sz w:val="20"/>
          <w:szCs w:val="20"/>
        </w:rPr>
        <w:t> </w:t>
      </w:r>
    </w:p>
    <w:p w14:paraId="3DCCFC2D" w14:textId="77777777" w:rsidR="00000000" w:rsidRDefault="00847163">
      <w:pPr>
        <w:pStyle w:val="a3"/>
        <w:spacing w:before="0" w:beforeAutospacing="0" w:after="0" w:afterAutospacing="0"/>
        <w:ind w:firstLine="360"/>
        <w:jc w:val="both"/>
        <w:rPr>
          <w:sz w:val="20"/>
          <w:szCs w:val="20"/>
        </w:rPr>
      </w:pPr>
      <w:r>
        <w:rPr>
          <w:sz w:val="20"/>
          <w:szCs w:val="20"/>
        </w:rPr>
        <w:t> </w:t>
      </w:r>
    </w:p>
    <w:p w14:paraId="7BF31CD5" w14:textId="77777777" w:rsidR="00000000" w:rsidRDefault="00847163">
      <w:pPr>
        <w:pStyle w:val="a3"/>
        <w:spacing w:before="0" w:beforeAutospacing="0" w:after="0" w:afterAutospacing="0"/>
        <w:ind w:firstLine="360"/>
        <w:jc w:val="both"/>
        <w:rPr>
          <w:sz w:val="20"/>
          <w:szCs w:val="20"/>
        </w:rPr>
      </w:pPr>
      <w:r>
        <w:rPr>
          <w:sz w:val="20"/>
          <w:szCs w:val="20"/>
        </w:rPr>
        <w:t>The COVID-</w:t>
      </w:r>
      <w:r>
        <w:rPr>
          <w:rStyle w:val="a6"/>
          <w:sz w:val="20"/>
          <w:szCs w:val="20"/>
        </w:rPr>
        <w:t>19</w:t>
      </w:r>
      <w:r>
        <w:rPr>
          <w:sz w:val="20"/>
          <w:szCs w:val="20"/>
        </w:rPr>
        <w:t xml:space="preserve"> pandemic, while still unfolding, has significan</w:t>
      </w:r>
      <w:r>
        <w:rPr>
          <w:sz w:val="20"/>
          <w:szCs w:val="20"/>
        </w:rPr>
        <w:t>tly impacted each of the Company’s stakeholders. The Company is aware of the critical role its shopping centers play in the communities they serve, often providing access to essential goods and services such as groceries, drug stores, and medical care. Wit</w:t>
      </w:r>
      <w:r>
        <w:rPr>
          <w:sz w:val="20"/>
          <w:szCs w:val="20"/>
        </w:rPr>
        <w:t>h very few exceptions, the Company’s shopping centers generally remain open to continue to provide access to these essential goods and services, and the Company has taken steps to protect the shoppers and tenants at its sites, following the guidance of the</w:t>
      </w:r>
      <w:r>
        <w:rPr>
          <w:sz w:val="20"/>
          <w:szCs w:val="20"/>
        </w:rPr>
        <w:t xml:space="preserve"> Centers for Disease Control and Prevention (CDC) and the WHO.</w:t>
      </w:r>
    </w:p>
    <w:p w14:paraId="38A607C6" w14:textId="77777777" w:rsidR="00000000" w:rsidRDefault="00847163">
      <w:pPr>
        <w:pStyle w:val="a3"/>
        <w:spacing w:before="0" w:beforeAutospacing="0" w:after="0" w:afterAutospacing="0"/>
        <w:ind w:firstLine="360"/>
        <w:jc w:val="both"/>
        <w:rPr>
          <w:sz w:val="20"/>
          <w:szCs w:val="20"/>
        </w:rPr>
      </w:pPr>
      <w:r>
        <w:rPr>
          <w:sz w:val="20"/>
          <w:szCs w:val="20"/>
        </w:rPr>
        <w:t> </w:t>
      </w:r>
    </w:p>
    <w:p w14:paraId="5484FC16" w14:textId="77777777" w:rsidR="00000000" w:rsidRDefault="00847163">
      <w:pPr>
        <w:pStyle w:val="a3"/>
        <w:spacing w:before="0" w:beforeAutospacing="0" w:after="0" w:afterAutospacing="0"/>
        <w:ind w:firstLine="360"/>
        <w:jc w:val="both"/>
        <w:rPr>
          <w:sz w:val="20"/>
          <w:szCs w:val="20"/>
        </w:rPr>
      </w:pPr>
      <w:r>
        <w:rPr>
          <w:sz w:val="20"/>
          <w:szCs w:val="20"/>
        </w:rPr>
        <w:t xml:space="preserve">On </w:t>
      </w:r>
      <w:r>
        <w:rPr>
          <w:rStyle w:val="a6"/>
          <w:sz w:val="20"/>
          <w:szCs w:val="20"/>
        </w:rPr>
        <w:t xml:space="preserve">March 27, 2020, </w:t>
      </w:r>
      <w:r>
        <w:rPr>
          <w:sz w:val="20"/>
          <w:szCs w:val="20"/>
        </w:rPr>
        <w:t>the President of the United States signed into law the Coronavirus Aid, Relief, and Economic Security (“CARES”) Act, a substantial tax and spending package intended to prov</w:t>
      </w:r>
      <w:r>
        <w:rPr>
          <w:sz w:val="20"/>
          <w:szCs w:val="20"/>
        </w:rPr>
        <w:t>ide additional economic stimulus to address the impact of the COVID-</w:t>
      </w:r>
      <w:r>
        <w:rPr>
          <w:rStyle w:val="a6"/>
          <w:sz w:val="20"/>
          <w:szCs w:val="20"/>
        </w:rPr>
        <w:t>19</w:t>
      </w:r>
      <w:r>
        <w:rPr>
          <w:sz w:val="20"/>
          <w:szCs w:val="20"/>
        </w:rPr>
        <w:t> pandemic. The Company continues to monitor the impact of the COVID-</w:t>
      </w:r>
      <w:r>
        <w:rPr>
          <w:rStyle w:val="a6"/>
          <w:sz w:val="20"/>
          <w:szCs w:val="20"/>
        </w:rPr>
        <w:t>19</w:t>
      </w:r>
      <w:r>
        <w:rPr>
          <w:sz w:val="20"/>
          <w:szCs w:val="20"/>
        </w:rPr>
        <w:t xml:space="preserve"> pandemic closely, as well as any effects that </w:t>
      </w:r>
      <w:r>
        <w:rPr>
          <w:rStyle w:val="a6"/>
          <w:sz w:val="20"/>
          <w:szCs w:val="20"/>
        </w:rPr>
        <w:t xml:space="preserve">may </w:t>
      </w:r>
      <w:r>
        <w:rPr>
          <w:sz w:val="20"/>
          <w:szCs w:val="20"/>
        </w:rPr>
        <w:t>result from the CARES Act.</w:t>
      </w:r>
    </w:p>
    <w:p w14:paraId="0CC7CAF0" w14:textId="77777777" w:rsidR="00000000" w:rsidRDefault="00847163">
      <w:pPr>
        <w:pStyle w:val="a3"/>
        <w:spacing w:before="0" w:beforeAutospacing="0" w:after="0" w:afterAutospacing="0"/>
        <w:ind w:firstLine="360"/>
        <w:jc w:val="both"/>
        <w:rPr>
          <w:sz w:val="20"/>
          <w:szCs w:val="20"/>
        </w:rPr>
      </w:pPr>
      <w:r>
        <w:rPr>
          <w:sz w:val="20"/>
          <w:szCs w:val="20"/>
        </w:rPr>
        <w:t> </w:t>
      </w:r>
    </w:p>
    <w:p w14:paraId="67C0FEB9" w14:textId="77777777" w:rsidR="00000000" w:rsidRDefault="00847163">
      <w:pPr>
        <w:pStyle w:val="a3"/>
        <w:spacing w:before="0" w:beforeAutospacing="0" w:after="0" w:afterAutospacing="0"/>
        <w:ind w:firstLine="360"/>
        <w:jc w:val="both"/>
        <w:rPr>
          <w:sz w:val="20"/>
          <w:szCs w:val="20"/>
        </w:rPr>
      </w:pPr>
      <w:r>
        <w:rPr>
          <w:sz w:val="20"/>
          <w:szCs w:val="20"/>
        </w:rPr>
        <w:t xml:space="preserve">As of </w:t>
      </w:r>
      <w:r>
        <w:rPr>
          <w:rStyle w:val="a6"/>
          <w:sz w:val="20"/>
          <w:szCs w:val="20"/>
        </w:rPr>
        <w:t xml:space="preserve">March 31, 2020, </w:t>
      </w:r>
      <w:r>
        <w:rPr>
          <w:sz w:val="20"/>
          <w:szCs w:val="20"/>
        </w:rPr>
        <w:t>the Company ha</w:t>
      </w:r>
      <w:r>
        <w:rPr>
          <w:sz w:val="20"/>
          <w:szCs w:val="20"/>
        </w:rPr>
        <w:t xml:space="preserve">s </w:t>
      </w:r>
      <w:r>
        <w:rPr>
          <w:rStyle w:val="a6"/>
          <w:sz w:val="20"/>
          <w:szCs w:val="20"/>
        </w:rPr>
        <w:t>not</w:t>
      </w:r>
      <w:r>
        <w:rPr>
          <w:sz w:val="20"/>
          <w:szCs w:val="20"/>
        </w:rPr>
        <w:t xml:space="preserve"> incurred any significant disruptions to its business activities. Management cannot, at this point, estimate ultimate losses related to the COVID-</w:t>
      </w:r>
      <w:r>
        <w:rPr>
          <w:rStyle w:val="a6"/>
          <w:sz w:val="20"/>
          <w:szCs w:val="20"/>
        </w:rPr>
        <w:t>19</w:t>
      </w:r>
      <w:r>
        <w:rPr>
          <w:sz w:val="20"/>
          <w:szCs w:val="20"/>
        </w:rPr>
        <w:t xml:space="preserve"> pandemic, and accordingly </w:t>
      </w:r>
      <w:r>
        <w:rPr>
          <w:rStyle w:val="a6"/>
          <w:sz w:val="20"/>
          <w:szCs w:val="20"/>
        </w:rPr>
        <w:t>no</w:t>
      </w:r>
      <w:r>
        <w:rPr>
          <w:sz w:val="20"/>
          <w:szCs w:val="20"/>
        </w:rPr>
        <w:t xml:space="preserve"> </w:t>
      </w:r>
      <w:r>
        <w:rPr>
          <w:sz w:val="20"/>
          <w:szCs w:val="20"/>
        </w:rPr>
        <w:t>impairment charges were reflected in the Company’s Condensed Consolidated Statements of Income related to this matter. The Company will continue to monitor the economic, financial, and social conditions resulting from the COVID-</w:t>
      </w:r>
      <w:r>
        <w:rPr>
          <w:rStyle w:val="a6"/>
          <w:sz w:val="20"/>
          <w:szCs w:val="20"/>
        </w:rPr>
        <w:t>19</w:t>
      </w:r>
      <w:r>
        <w:rPr>
          <w:sz w:val="20"/>
          <w:szCs w:val="20"/>
        </w:rPr>
        <w:t xml:space="preserve"> pandemic and will assess </w:t>
      </w:r>
      <w:r>
        <w:rPr>
          <w:sz w:val="20"/>
          <w:szCs w:val="20"/>
        </w:rPr>
        <w:t>its asset portfolio for any impairment indicators. In addition, the extent to which the COVID-</w:t>
      </w:r>
      <w:r>
        <w:rPr>
          <w:rStyle w:val="a6"/>
          <w:sz w:val="20"/>
          <w:szCs w:val="20"/>
        </w:rPr>
        <w:t>19</w:t>
      </w:r>
      <w:r>
        <w:rPr>
          <w:sz w:val="20"/>
          <w:szCs w:val="20"/>
        </w:rPr>
        <w:t xml:space="preserve"> pandemic impacts the Company’s financial condition, results of operations and cash flows, in the near term, will depend on future developments, which are highl</w:t>
      </w:r>
      <w:r>
        <w:rPr>
          <w:sz w:val="20"/>
          <w:szCs w:val="20"/>
        </w:rPr>
        <w:t>y uncertain and cannot be predicted at this time. The Company will continue to monitor for any material or adverse effects resulting from the COVID-</w:t>
      </w:r>
      <w:r>
        <w:rPr>
          <w:rStyle w:val="a6"/>
          <w:sz w:val="20"/>
          <w:szCs w:val="20"/>
        </w:rPr>
        <w:t>19</w:t>
      </w:r>
      <w:r>
        <w:rPr>
          <w:sz w:val="20"/>
          <w:szCs w:val="20"/>
        </w:rPr>
        <w:t xml:space="preserve"> pandemic. See Footnote </w:t>
      </w:r>
      <w:r>
        <w:rPr>
          <w:rStyle w:val="a6"/>
          <w:sz w:val="20"/>
          <w:szCs w:val="20"/>
        </w:rPr>
        <w:t>16</w:t>
      </w:r>
      <w:r>
        <w:rPr>
          <w:sz w:val="20"/>
          <w:szCs w:val="20"/>
        </w:rPr>
        <w:t xml:space="preserve"> to the Notes to the Company’s Condensed Consolidated Financial Statements for a</w:t>
      </w:r>
      <w:r>
        <w:rPr>
          <w:sz w:val="20"/>
          <w:szCs w:val="20"/>
        </w:rPr>
        <w:t>dditional discussion.</w:t>
      </w:r>
    </w:p>
    <w:p w14:paraId="71F8FF7B" w14:textId="77777777" w:rsidR="00000000" w:rsidRDefault="00847163">
      <w:pPr>
        <w:pStyle w:val="a3"/>
        <w:spacing w:before="0" w:beforeAutospacing="0" w:after="0" w:afterAutospacing="0"/>
        <w:ind w:firstLine="360"/>
        <w:jc w:val="both"/>
        <w:rPr>
          <w:sz w:val="20"/>
          <w:szCs w:val="20"/>
        </w:rPr>
      </w:pPr>
      <w:r>
        <w:rPr>
          <w:sz w:val="20"/>
          <w:szCs w:val="20"/>
        </w:rPr>
        <w:t> </w:t>
      </w:r>
    </w:p>
    <w:p w14:paraId="786E10AF" w14:textId="77777777" w:rsidR="00000000" w:rsidRDefault="00847163">
      <w:pPr>
        <w:jc w:val="center"/>
        <w:divId w:val="281426324"/>
        <w:rPr>
          <w:rFonts w:eastAsia="Times New Roman"/>
          <w:sz w:val="20"/>
          <w:szCs w:val="20"/>
        </w:rPr>
      </w:pPr>
      <w:r>
        <w:rPr>
          <w:rStyle w:val="a6"/>
          <w:rFonts w:eastAsia="Times New Roman"/>
          <w:sz w:val="20"/>
          <w:szCs w:val="20"/>
        </w:rPr>
        <w:t>7</w:t>
      </w:r>
      <w:r>
        <w:rPr>
          <w:rFonts w:eastAsia="Times New Roman"/>
          <w:sz w:val="20"/>
          <w:szCs w:val="20"/>
        </w:rPr>
        <w:t xml:space="preserve"> </w:t>
      </w:r>
    </w:p>
    <w:p w14:paraId="31830548" w14:textId="77777777" w:rsidR="00000000" w:rsidRDefault="00847163">
      <w:pPr>
        <w:divId w:val="322706092"/>
        <w:rPr>
          <w:rFonts w:eastAsia="Times New Roman"/>
          <w:sz w:val="20"/>
          <w:szCs w:val="20"/>
        </w:rPr>
      </w:pPr>
      <w:r>
        <w:rPr>
          <w:rFonts w:eastAsia="Times New Roman"/>
          <w:sz w:val="20"/>
          <w:szCs w:val="20"/>
        </w:rPr>
        <w:pict w14:anchorId="0DADB1DB">
          <v:rect id="_x0000_i1035" style="width:415.3pt;height:1.5pt" o:hralign="center" o:hrstd="t" o:hrnoshade="t" o:hr="t" fillcolor="black" stroked="f"/>
        </w:pict>
      </w:r>
    </w:p>
    <w:p w14:paraId="0A6E70CE" w14:textId="77777777" w:rsidR="00000000" w:rsidRDefault="00847163">
      <w:pPr>
        <w:divId w:val="2050182016"/>
        <w:rPr>
          <w:rFonts w:eastAsia="Times New Roman"/>
          <w:sz w:val="20"/>
          <w:szCs w:val="20"/>
        </w:rPr>
      </w:pPr>
      <w:hyperlink w:anchor="toc" w:history="1">
        <w:r>
          <w:rPr>
            <w:rStyle w:val="a4"/>
            <w:rFonts w:eastAsia="Times New Roman"/>
            <w:sz w:val="20"/>
            <w:szCs w:val="20"/>
          </w:rPr>
          <w:t>Table of Contents</w:t>
        </w:r>
      </w:hyperlink>
    </w:p>
    <w:p w14:paraId="49EA338D" w14:textId="77777777" w:rsidR="00000000" w:rsidRDefault="00847163">
      <w:pPr>
        <w:pStyle w:val="a3"/>
        <w:spacing w:before="0" w:beforeAutospacing="0" w:after="0" w:afterAutospacing="0"/>
        <w:rPr>
          <w:sz w:val="20"/>
          <w:szCs w:val="20"/>
        </w:rPr>
      </w:pPr>
      <w:r>
        <w:rPr>
          <w:sz w:val="20"/>
          <w:szCs w:val="20"/>
        </w:rPr>
        <w:t> </w:t>
      </w:r>
    </w:p>
    <w:p w14:paraId="38C88236" w14:textId="77777777" w:rsidR="00000000" w:rsidRDefault="00847163">
      <w:pPr>
        <w:pStyle w:val="a3"/>
        <w:spacing w:before="0" w:beforeAutospacing="0" w:after="0" w:afterAutospacing="0"/>
        <w:ind w:firstLine="360"/>
        <w:jc w:val="both"/>
        <w:rPr>
          <w:sz w:val="20"/>
          <w:szCs w:val="20"/>
        </w:rPr>
      </w:pPr>
      <w:r>
        <w:rPr>
          <w:sz w:val="20"/>
          <w:szCs w:val="20"/>
        </w:rPr>
        <w:t>The health and safety of the Company’</w:t>
      </w:r>
      <w:r>
        <w:rPr>
          <w:sz w:val="20"/>
          <w:szCs w:val="20"/>
        </w:rPr>
        <w:t>s employees and their families is a top priority. The Company has taken the necessary steps to protect its employees and to empower them to work from home and care for their family members and children whose lives have also been impacted.</w:t>
      </w:r>
    </w:p>
    <w:p w14:paraId="7F383139" w14:textId="77777777" w:rsidR="00000000" w:rsidRDefault="00847163">
      <w:pPr>
        <w:pStyle w:val="a3"/>
        <w:spacing w:before="0" w:beforeAutospacing="0" w:after="0" w:afterAutospacing="0"/>
        <w:ind w:firstLine="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24730D86" w14:textId="77777777">
        <w:trPr>
          <w:tblCellSpacing w:w="0" w:type="dxa"/>
        </w:trPr>
        <w:tc>
          <w:tcPr>
            <w:tcW w:w="360" w:type="dxa"/>
            <w:hideMark/>
          </w:tcPr>
          <w:p w14:paraId="29C54F38" w14:textId="77777777" w:rsidR="00000000" w:rsidRDefault="00847163">
            <w:pPr>
              <w:rPr>
                <w:rFonts w:eastAsia="Times New Roman"/>
              </w:rPr>
            </w:pPr>
            <w:r>
              <w:rPr>
                <w:rFonts w:eastAsia="Times New Roman"/>
              </w:rPr>
              <w:t> </w:t>
            </w:r>
          </w:p>
        </w:tc>
        <w:tc>
          <w:tcPr>
            <w:tcW w:w="360" w:type="dxa"/>
            <w:hideMark/>
          </w:tcPr>
          <w:p w14:paraId="117CE665" w14:textId="77777777" w:rsidR="00000000" w:rsidRDefault="00847163">
            <w:pPr>
              <w:pStyle w:val="a3"/>
              <w:spacing w:before="0" w:beforeAutospacing="0" w:after="0" w:afterAutospacing="0"/>
              <w:jc w:val="both"/>
              <w:rPr>
                <w:sz w:val="20"/>
                <w:szCs w:val="20"/>
              </w:rPr>
            </w:pPr>
            <w:r>
              <w:rPr>
                <w:sz w:val="20"/>
                <w:szCs w:val="20"/>
              </w:rPr>
              <w:t>●</w:t>
            </w:r>
          </w:p>
        </w:tc>
        <w:tc>
          <w:tcPr>
            <w:tcW w:w="0" w:type="auto"/>
            <w:hideMark/>
          </w:tcPr>
          <w:p w14:paraId="7F9F7C5E" w14:textId="77777777" w:rsidR="00000000" w:rsidRDefault="00847163">
            <w:pPr>
              <w:pStyle w:val="a3"/>
              <w:spacing w:before="0" w:beforeAutospacing="0" w:after="0" w:afterAutospacing="0"/>
              <w:jc w:val="both"/>
              <w:rPr>
                <w:sz w:val="20"/>
                <w:szCs w:val="20"/>
              </w:rPr>
            </w:pPr>
            <w:r>
              <w:rPr>
                <w:sz w:val="20"/>
                <w:szCs w:val="20"/>
              </w:rPr>
              <w:t>Beginning </w:t>
            </w:r>
            <w:r>
              <w:rPr>
                <w:rStyle w:val="a6"/>
                <w:sz w:val="20"/>
                <w:szCs w:val="20"/>
              </w:rPr>
              <w:t xml:space="preserve"> March 11, 2020, </w:t>
            </w:r>
            <w:r>
              <w:rPr>
                <w:sz w:val="20"/>
                <w:szCs w:val="20"/>
              </w:rPr>
              <w:t xml:space="preserve">the Company transitioned nearly </w:t>
            </w:r>
            <w:r>
              <w:rPr>
                <w:rStyle w:val="a6"/>
                <w:sz w:val="20"/>
                <w:szCs w:val="20"/>
              </w:rPr>
              <w:t>100%</w:t>
            </w:r>
            <w:r>
              <w:rPr>
                <w:sz w:val="20"/>
                <w:szCs w:val="20"/>
              </w:rPr>
              <w:t xml:space="preserve"> of its workforce to work from home, ensuring they are safely situated during this critical social distancing period.</w:t>
            </w:r>
          </w:p>
        </w:tc>
      </w:tr>
    </w:tbl>
    <w:p w14:paraId="6CDA8C64" w14:textId="77777777" w:rsidR="00000000" w:rsidRDefault="00847163">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43ED09B4" w14:textId="77777777">
        <w:trPr>
          <w:tblCellSpacing w:w="0" w:type="dxa"/>
        </w:trPr>
        <w:tc>
          <w:tcPr>
            <w:tcW w:w="360" w:type="dxa"/>
            <w:hideMark/>
          </w:tcPr>
          <w:p w14:paraId="1748D9CF" w14:textId="77777777" w:rsidR="00000000" w:rsidRDefault="00847163">
            <w:pPr>
              <w:rPr>
                <w:rFonts w:eastAsia="Times New Roman"/>
              </w:rPr>
            </w:pPr>
            <w:r>
              <w:rPr>
                <w:rFonts w:eastAsia="Times New Roman"/>
              </w:rPr>
              <w:t> </w:t>
            </w:r>
          </w:p>
        </w:tc>
        <w:tc>
          <w:tcPr>
            <w:tcW w:w="360" w:type="dxa"/>
            <w:hideMark/>
          </w:tcPr>
          <w:p w14:paraId="60D888E1" w14:textId="77777777" w:rsidR="00000000" w:rsidRDefault="00847163">
            <w:pPr>
              <w:pStyle w:val="a3"/>
              <w:spacing w:before="0" w:beforeAutospacing="0" w:after="0" w:afterAutospacing="0"/>
              <w:jc w:val="both"/>
              <w:rPr>
                <w:sz w:val="20"/>
                <w:szCs w:val="20"/>
              </w:rPr>
            </w:pPr>
            <w:r>
              <w:rPr>
                <w:sz w:val="20"/>
                <w:szCs w:val="20"/>
              </w:rPr>
              <w:t>●</w:t>
            </w:r>
          </w:p>
        </w:tc>
        <w:tc>
          <w:tcPr>
            <w:tcW w:w="0" w:type="auto"/>
            <w:hideMark/>
          </w:tcPr>
          <w:p w14:paraId="6E07FFCB" w14:textId="77777777" w:rsidR="00000000" w:rsidRDefault="00847163">
            <w:pPr>
              <w:pStyle w:val="a3"/>
              <w:spacing w:before="0" w:beforeAutospacing="0" w:after="0" w:afterAutospacing="0"/>
              <w:jc w:val="both"/>
              <w:rPr>
                <w:sz w:val="20"/>
                <w:szCs w:val="20"/>
              </w:rPr>
            </w:pPr>
            <w:r>
              <w:rPr>
                <w:sz w:val="20"/>
                <w:szCs w:val="20"/>
              </w:rPr>
              <w:t>All business travel has been stopped until further notice.</w:t>
            </w:r>
          </w:p>
        </w:tc>
      </w:tr>
    </w:tbl>
    <w:p w14:paraId="779A1B13" w14:textId="77777777" w:rsidR="00000000" w:rsidRDefault="00847163">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6DA4ABC1" w14:textId="77777777">
        <w:trPr>
          <w:tblCellSpacing w:w="0" w:type="dxa"/>
        </w:trPr>
        <w:tc>
          <w:tcPr>
            <w:tcW w:w="360" w:type="dxa"/>
            <w:hideMark/>
          </w:tcPr>
          <w:p w14:paraId="6E0D9C30" w14:textId="77777777" w:rsidR="00000000" w:rsidRDefault="00847163">
            <w:pPr>
              <w:rPr>
                <w:rFonts w:eastAsia="Times New Roman"/>
              </w:rPr>
            </w:pPr>
            <w:r>
              <w:rPr>
                <w:rFonts w:eastAsia="Times New Roman"/>
              </w:rPr>
              <w:t> </w:t>
            </w:r>
          </w:p>
        </w:tc>
        <w:tc>
          <w:tcPr>
            <w:tcW w:w="360" w:type="dxa"/>
            <w:hideMark/>
          </w:tcPr>
          <w:p w14:paraId="1B2DDA0C" w14:textId="77777777" w:rsidR="00000000" w:rsidRDefault="00847163">
            <w:pPr>
              <w:pStyle w:val="a3"/>
              <w:spacing w:before="0" w:beforeAutospacing="0" w:after="0" w:afterAutospacing="0"/>
              <w:jc w:val="both"/>
              <w:rPr>
                <w:sz w:val="20"/>
                <w:szCs w:val="20"/>
              </w:rPr>
            </w:pPr>
            <w:r>
              <w:rPr>
                <w:sz w:val="20"/>
                <w:szCs w:val="20"/>
              </w:rPr>
              <w:t>●</w:t>
            </w:r>
          </w:p>
        </w:tc>
        <w:tc>
          <w:tcPr>
            <w:tcW w:w="0" w:type="auto"/>
            <w:hideMark/>
          </w:tcPr>
          <w:p w14:paraId="4912B488" w14:textId="77777777" w:rsidR="00000000" w:rsidRDefault="00847163">
            <w:pPr>
              <w:pStyle w:val="a3"/>
              <w:spacing w:before="0" w:beforeAutospacing="0" w:after="0" w:afterAutospacing="0"/>
              <w:jc w:val="both"/>
              <w:rPr>
                <w:sz w:val="20"/>
                <w:szCs w:val="20"/>
              </w:rPr>
            </w:pPr>
            <w:r>
              <w:rPr>
                <w:sz w:val="20"/>
                <w:szCs w:val="20"/>
              </w:rPr>
              <w:t xml:space="preserve">The </w:t>
            </w:r>
            <w:r>
              <w:rPr>
                <w:sz w:val="20"/>
                <w:szCs w:val="20"/>
              </w:rPr>
              <w:t>Company has benefited from recent investments in new technology and software over the last year, as its entire team is equipped with new laptops and cellular capability to enable them to work remotely.</w:t>
            </w:r>
          </w:p>
        </w:tc>
      </w:tr>
    </w:tbl>
    <w:p w14:paraId="615E0FF6" w14:textId="77777777" w:rsidR="00000000" w:rsidRDefault="00847163">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3D899BFC" w14:textId="77777777">
        <w:trPr>
          <w:tblCellSpacing w:w="0" w:type="dxa"/>
        </w:trPr>
        <w:tc>
          <w:tcPr>
            <w:tcW w:w="360" w:type="dxa"/>
            <w:hideMark/>
          </w:tcPr>
          <w:p w14:paraId="70972C27" w14:textId="77777777" w:rsidR="00000000" w:rsidRDefault="00847163">
            <w:pPr>
              <w:rPr>
                <w:rFonts w:eastAsia="Times New Roman"/>
              </w:rPr>
            </w:pPr>
            <w:r>
              <w:rPr>
                <w:rFonts w:eastAsia="Times New Roman"/>
              </w:rPr>
              <w:t> </w:t>
            </w:r>
          </w:p>
        </w:tc>
        <w:tc>
          <w:tcPr>
            <w:tcW w:w="360" w:type="dxa"/>
            <w:hideMark/>
          </w:tcPr>
          <w:p w14:paraId="7285C18F" w14:textId="77777777" w:rsidR="00000000" w:rsidRDefault="00847163">
            <w:pPr>
              <w:pStyle w:val="a3"/>
              <w:spacing w:before="0" w:beforeAutospacing="0" w:after="0" w:afterAutospacing="0"/>
              <w:jc w:val="both"/>
              <w:rPr>
                <w:sz w:val="20"/>
                <w:szCs w:val="20"/>
              </w:rPr>
            </w:pPr>
            <w:r>
              <w:rPr>
                <w:sz w:val="20"/>
                <w:szCs w:val="20"/>
              </w:rPr>
              <w:t>●</w:t>
            </w:r>
          </w:p>
        </w:tc>
        <w:tc>
          <w:tcPr>
            <w:tcW w:w="0" w:type="auto"/>
            <w:hideMark/>
          </w:tcPr>
          <w:p w14:paraId="105F92A6" w14:textId="77777777" w:rsidR="00000000" w:rsidRDefault="00847163">
            <w:pPr>
              <w:pStyle w:val="a3"/>
              <w:spacing w:before="0" w:beforeAutospacing="0" w:after="0" w:afterAutospacing="0"/>
              <w:jc w:val="both"/>
              <w:rPr>
                <w:sz w:val="20"/>
                <w:szCs w:val="20"/>
              </w:rPr>
            </w:pPr>
            <w:r>
              <w:rPr>
                <w:sz w:val="20"/>
                <w:szCs w:val="20"/>
              </w:rPr>
              <w:t>Daily webinar training is being provided to ensu</w:t>
            </w:r>
            <w:r>
              <w:rPr>
                <w:sz w:val="20"/>
                <w:szCs w:val="20"/>
              </w:rPr>
              <w:t xml:space="preserve">re associates are fully supported to work from home. The Company’s human resources and information technology teams are available to all employees to address any needs or concerns they </w:t>
            </w:r>
            <w:r>
              <w:rPr>
                <w:rStyle w:val="a6"/>
                <w:sz w:val="20"/>
                <w:szCs w:val="20"/>
              </w:rPr>
              <w:t xml:space="preserve">may </w:t>
            </w:r>
            <w:r>
              <w:rPr>
                <w:sz w:val="20"/>
                <w:szCs w:val="20"/>
              </w:rPr>
              <w:t>have.</w:t>
            </w:r>
          </w:p>
        </w:tc>
      </w:tr>
    </w:tbl>
    <w:p w14:paraId="6331D66E" w14:textId="77777777" w:rsidR="00000000" w:rsidRDefault="00847163">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21FBA169" w14:textId="77777777">
        <w:trPr>
          <w:tblCellSpacing w:w="0" w:type="dxa"/>
        </w:trPr>
        <w:tc>
          <w:tcPr>
            <w:tcW w:w="360" w:type="dxa"/>
            <w:hideMark/>
          </w:tcPr>
          <w:p w14:paraId="09FC2988" w14:textId="77777777" w:rsidR="00000000" w:rsidRDefault="00847163">
            <w:pPr>
              <w:rPr>
                <w:rFonts w:eastAsia="Times New Roman"/>
              </w:rPr>
            </w:pPr>
            <w:r>
              <w:rPr>
                <w:rFonts w:eastAsia="Times New Roman"/>
              </w:rPr>
              <w:t> </w:t>
            </w:r>
          </w:p>
        </w:tc>
        <w:tc>
          <w:tcPr>
            <w:tcW w:w="360" w:type="dxa"/>
            <w:hideMark/>
          </w:tcPr>
          <w:p w14:paraId="29D20BA4" w14:textId="77777777" w:rsidR="00000000" w:rsidRDefault="00847163">
            <w:pPr>
              <w:pStyle w:val="a3"/>
              <w:spacing w:before="0" w:beforeAutospacing="0" w:after="0" w:afterAutospacing="0"/>
              <w:jc w:val="both"/>
              <w:rPr>
                <w:sz w:val="20"/>
                <w:szCs w:val="20"/>
              </w:rPr>
            </w:pPr>
            <w:r>
              <w:rPr>
                <w:sz w:val="20"/>
                <w:szCs w:val="20"/>
              </w:rPr>
              <w:t>●</w:t>
            </w:r>
          </w:p>
        </w:tc>
        <w:tc>
          <w:tcPr>
            <w:tcW w:w="0" w:type="auto"/>
            <w:hideMark/>
          </w:tcPr>
          <w:p w14:paraId="7A15661F" w14:textId="77777777" w:rsidR="00000000" w:rsidRDefault="00847163">
            <w:pPr>
              <w:pStyle w:val="a3"/>
              <w:spacing w:before="0" w:beforeAutospacing="0" w:after="0" w:afterAutospacing="0"/>
              <w:jc w:val="both"/>
              <w:rPr>
                <w:sz w:val="20"/>
                <w:szCs w:val="20"/>
              </w:rPr>
            </w:pPr>
            <w:r>
              <w:rPr>
                <w:sz w:val="20"/>
                <w:szCs w:val="20"/>
              </w:rPr>
              <w:t>Associates will be provided paid time off to care for t</w:t>
            </w:r>
            <w:r>
              <w:rPr>
                <w:sz w:val="20"/>
                <w:szCs w:val="20"/>
              </w:rPr>
              <w:t>hemselves or family members diagnosed with COVID-</w:t>
            </w:r>
            <w:r>
              <w:rPr>
                <w:rStyle w:val="a6"/>
                <w:sz w:val="20"/>
                <w:szCs w:val="20"/>
              </w:rPr>
              <w:t>19.</w:t>
            </w:r>
          </w:p>
        </w:tc>
      </w:tr>
    </w:tbl>
    <w:p w14:paraId="4D6BED38" w14:textId="77777777" w:rsidR="00000000" w:rsidRDefault="00847163">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420B3075" w14:textId="77777777">
        <w:trPr>
          <w:tblCellSpacing w:w="0" w:type="dxa"/>
        </w:trPr>
        <w:tc>
          <w:tcPr>
            <w:tcW w:w="360" w:type="dxa"/>
            <w:hideMark/>
          </w:tcPr>
          <w:p w14:paraId="40786066" w14:textId="77777777" w:rsidR="00000000" w:rsidRDefault="00847163">
            <w:pPr>
              <w:rPr>
                <w:rFonts w:eastAsia="Times New Roman"/>
              </w:rPr>
            </w:pPr>
            <w:r>
              <w:rPr>
                <w:rFonts w:eastAsia="Times New Roman"/>
              </w:rPr>
              <w:t> </w:t>
            </w:r>
          </w:p>
        </w:tc>
        <w:tc>
          <w:tcPr>
            <w:tcW w:w="360" w:type="dxa"/>
            <w:hideMark/>
          </w:tcPr>
          <w:p w14:paraId="651707D6" w14:textId="77777777" w:rsidR="00000000" w:rsidRDefault="00847163">
            <w:pPr>
              <w:pStyle w:val="a3"/>
              <w:spacing w:before="0" w:beforeAutospacing="0" w:after="0" w:afterAutospacing="0"/>
              <w:jc w:val="both"/>
              <w:rPr>
                <w:sz w:val="20"/>
                <w:szCs w:val="20"/>
              </w:rPr>
            </w:pPr>
            <w:r>
              <w:rPr>
                <w:sz w:val="20"/>
                <w:szCs w:val="20"/>
              </w:rPr>
              <w:t>●</w:t>
            </w:r>
          </w:p>
        </w:tc>
        <w:tc>
          <w:tcPr>
            <w:tcW w:w="0" w:type="auto"/>
            <w:hideMark/>
          </w:tcPr>
          <w:p w14:paraId="3F949454" w14:textId="77777777" w:rsidR="00000000" w:rsidRDefault="00847163">
            <w:pPr>
              <w:pStyle w:val="a3"/>
              <w:spacing w:before="0" w:beforeAutospacing="0" w:after="0" w:afterAutospacing="0"/>
              <w:jc w:val="both"/>
              <w:rPr>
                <w:sz w:val="20"/>
                <w:szCs w:val="20"/>
              </w:rPr>
            </w:pPr>
            <w:r>
              <w:rPr>
                <w:sz w:val="20"/>
                <w:szCs w:val="20"/>
              </w:rPr>
              <w:t>The Company has ramped up communications at all levels and has initiated Company-wide virtual meetings such that executives are accessible, able to keep associates informed, and able to answer questions.</w:t>
            </w:r>
          </w:p>
        </w:tc>
      </w:tr>
    </w:tbl>
    <w:p w14:paraId="424EDF75" w14:textId="77777777" w:rsidR="00000000" w:rsidRDefault="00847163">
      <w:pPr>
        <w:pStyle w:val="a3"/>
        <w:spacing w:before="0" w:beforeAutospacing="0" w:after="0" w:afterAutospacing="0"/>
        <w:ind w:firstLine="360"/>
        <w:jc w:val="both"/>
        <w:rPr>
          <w:sz w:val="20"/>
          <w:szCs w:val="20"/>
        </w:rPr>
      </w:pPr>
      <w:r>
        <w:rPr>
          <w:sz w:val="20"/>
          <w:szCs w:val="20"/>
        </w:rPr>
        <w:t> </w:t>
      </w:r>
    </w:p>
    <w:p w14:paraId="66DF5502" w14:textId="77777777" w:rsidR="00000000" w:rsidRDefault="00847163">
      <w:pPr>
        <w:pStyle w:val="a3"/>
        <w:spacing w:before="0" w:beforeAutospacing="0" w:after="0" w:afterAutospacing="0"/>
        <w:ind w:firstLine="360"/>
        <w:jc w:val="both"/>
        <w:rPr>
          <w:sz w:val="20"/>
          <w:szCs w:val="20"/>
        </w:rPr>
      </w:pPr>
      <w:r>
        <w:rPr>
          <w:sz w:val="20"/>
          <w:szCs w:val="20"/>
        </w:rPr>
        <w:t xml:space="preserve">The Company will continue to evaluate individual </w:t>
      </w:r>
      <w:r>
        <w:rPr>
          <w:sz w:val="20"/>
          <w:szCs w:val="20"/>
        </w:rPr>
        <w:t>situations as they arise and adjust its approach as appropriate, with the goal to enable its employees to be as productive as possible while offering them the flexibility they need to care for themselves and their families.</w:t>
      </w:r>
    </w:p>
    <w:p w14:paraId="20CD0ED6" w14:textId="77777777" w:rsidR="00000000" w:rsidRDefault="00847163">
      <w:pPr>
        <w:pStyle w:val="a3"/>
        <w:spacing w:before="0" w:beforeAutospacing="0" w:after="0" w:afterAutospacing="0"/>
        <w:ind w:firstLine="360"/>
        <w:jc w:val="both"/>
        <w:rPr>
          <w:sz w:val="20"/>
          <w:szCs w:val="20"/>
        </w:rPr>
      </w:pPr>
      <w:r>
        <w:rPr>
          <w:sz w:val="20"/>
          <w:szCs w:val="20"/>
        </w:rPr>
        <w:t> </w:t>
      </w:r>
    </w:p>
    <w:p w14:paraId="75BEEACD" w14:textId="77777777" w:rsidR="00000000" w:rsidRDefault="00847163">
      <w:pPr>
        <w:divId w:val="23026274"/>
        <w:rPr>
          <w:rFonts w:eastAsia="Times New Roman"/>
          <w:sz w:val="20"/>
          <w:szCs w:val="20"/>
        </w:rPr>
      </w:pPr>
      <w:r>
        <w:rPr>
          <w:rFonts w:eastAsia="Times New Roman"/>
          <w:sz w:val="20"/>
          <w:szCs w:val="20"/>
        </w:rPr>
        <w:t xml:space="preserve">  </w:t>
      </w:r>
    </w:p>
    <w:p w14:paraId="3842AA1E" w14:textId="77777777" w:rsidR="00000000" w:rsidRDefault="00847163">
      <w:pPr>
        <w:pStyle w:val="a3"/>
        <w:spacing w:before="0" w:beforeAutospacing="0" w:after="0" w:afterAutospacing="0"/>
        <w:jc w:val="both"/>
        <w:rPr>
          <w:sz w:val="20"/>
          <w:szCs w:val="20"/>
        </w:rPr>
      </w:pPr>
      <w:r>
        <w:rPr>
          <w:rStyle w:val="a6"/>
          <w:sz w:val="20"/>
          <w:szCs w:val="20"/>
        </w:rPr>
        <w:t>2.</w:t>
      </w:r>
      <w:r>
        <w:rPr>
          <w:sz w:val="20"/>
          <w:szCs w:val="20"/>
        </w:rPr>
        <w:t xml:space="preserve"> </w:t>
      </w:r>
      <w:r>
        <w:rPr>
          <w:sz w:val="20"/>
          <w:szCs w:val="20"/>
          <w:u w:val="single"/>
        </w:rPr>
        <w:t>Summary of Significant A</w:t>
      </w:r>
      <w:r>
        <w:rPr>
          <w:sz w:val="20"/>
          <w:szCs w:val="20"/>
          <w:u w:val="single"/>
        </w:rPr>
        <w:t>ccounting Policies</w:t>
      </w:r>
    </w:p>
    <w:p w14:paraId="70850D3F" w14:textId="77777777" w:rsidR="00000000" w:rsidRDefault="00847163">
      <w:pPr>
        <w:pStyle w:val="a3"/>
        <w:spacing w:before="0" w:beforeAutospacing="0" w:after="0" w:afterAutospacing="0"/>
        <w:jc w:val="both"/>
        <w:rPr>
          <w:sz w:val="20"/>
          <w:szCs w:val="20"/>
        </w:rPr>
      </w:pPr>
      <w:r>
        <w:rPr>
          <w:i/>
          <w:iCs/>
          <w:sz w:val="20"/>
          <w:szCs w:val="20"/>
        </w:rPr>
        <w:t> </w:t>
      </w:r>
    </w:p>
    <w:p w14:paraId="3B5A2D9C" w14:textId="77777777" w:rsidR="00000000" w:rsidRDefault="00847163">
      <w:pPr>
        <w:pStyle w:val="a3"/>
        <w:spacing w:before="0" w:beforeAutospacing="0" w:after="0" w:afterAutospacing="0"/>
        <w:jc w:val="both"/>
        <w:rPr>
          <w:sz w:val="20"/>
          <w:szCs w:val="20"/>
        </w:rPr>
      </w:pPr>
      <w:r>
        <w:rPr>
          <w:i/>
          <w:iCs/>
          <w:sz w:val="20"/>
          <w:szCs w:val="20"/>
        </w:rPr>
        <w:t>Principles of Consolidation -</w:t>
      </w:r>
    </w:p>
    <w:p w14:paraId="0D94A01A" w14:textId="77777777" w:rsidR="00000000" w:rsidRDefault="00847163">
      <w:pPr>
        <w:pStyle w:val="a3"/>
        <w:spacing w:before="0" w:beforeAutospacing="0" w:after="0" w:afterAutospacing="0"/>
        <w:jc w:val="both"/>
        <w:rPr>
          <w:sz w:val="20"/>
          <w:szCs w:val="20"/>
        </w:rPr>
      </w:pPr>
      <w:r>
        <w:rPr>
          <w:sz w:val="20"/>
          <w:szCs w:val="20"/>
        </w:rPr>
        <w:t> </w:t>
      </w:r>
    </w:p>
    <w:p w14:paraId="19CEC48A" w14:textId="77777777" w:rsidR="00000000" w:rsidRDefault="00847163">
      <w:pPr>
        <w:pStyle w:val="a3"/>
        <w:spacing w:before="0" w:beforeAutospacing="0" w:after="0" w:afterAutospacing="0"/>
        <w:ind w:firstLine="360"/>
        <w:jc w:val="both"/>
        <w:rPr>
          <w:sz w:val="20"/>
          <w:szCs w:val="20"/>
        </w:rPr>
      </w:pPr>
      <w:r>
        <w:rPr>
          <w:sz w:val="20"/>
          <w:szCs w:val="20"/>
        </w:rPr>
        <w:t>The accompanying Condensed Consolidated Financial Statements include the accounts of the Company. The Company’s subsidiaries include subsidiaries which are wholly-owned or which the Company has a control</w:t>
      </w:r>
      <w:r>
        <w:rPr>
          <w:sz w:val="20"/>
          <w:szCs w:val="20"/>
        </w:rPr>
        <w:t>ling interest, including where the Company has been determined to be a primary beneficiary of a variable interest entity (“VIE”) in accordance with the Consolidation guidance of the Financial Accounting Standards Board (“FASB”) Accounting Standards Codific</w:t>
      </w:r>
      <w:r>
        <w:rPr>
          <w:sz w:val="20"/>
          <w:szCs w:val="20"/>
        </w:rPr>
        <w:t xml:space="preserve">ation (“ASC”). All inter-company balances and transactions have been eliminated in consolidation. The information presented in the accompanying Condensed Consolidated Financial Statements is unaudited and reflects all adjustments which are, in the opinion </w:t>
      </w:r>
      <w:r>
        <w:rPr>
          <w:sz w:val="20"/>
          <w:szCs w:val="20"/>
        </w:rPr>
        <w:t>of management, necessary to reflect a fair statement of the results for the interim periods presented, and all such adjustments are of a normal recurring nature.  These Condensed Consolidated Financial Statements should be read in conjunction with the Comp</w:t>
      </w:r>
      <w:r>
        <w:rPr>
          <w:sz w:val="20"/>
          <w:szCs w:val="20"/>
        </w:rPr>
        <w:t xml:space="preserve">any's audited Annual Report on Form </w:t>
      </w:r>
      <w:r>
        <w:rPr>
          <w:rStyle w:val="a6"/>
          <w:sz w:val="20"/>
          <w:szCs w:val="20"/>
        </w:rPr>
        <w:t>10</w:t>
      </w:r>
      <w:r>
        <w:rPr>
          <w:sz w:val="20"/>
          <w:szCs w:val="20"/>
        </w:rPr>
        <w:t xml:space="preserve">-K for the year ended </w:t>
      </w:r>
      <w:r>
        <w:rPr>
          <w:rStyle w:val="a6"/>
          <w:sz w:val="20"/>
          <w:szCs w:val="20"/>
        </w:rPr>
        <w:t>December 31, 2019 (</w:t>
      </w:r>
      <w:r>
        <w:rPr>
          <w:sz w:val="20"/>
          <w:szCs w:val="20"/>
        </w:rPr>
        <w:t xml:space="preserve">the </w:t>
      </w:r>
      <w:r>
        <w:rPr>
          <w:rStyle w:val="a6"/>
          <w:sz w:val="20"/>
          <w:szCs w:val="20"/>
        </w:rPr>
        <w:t>“10</w:t>
      </w:r>
      <w:r>
        <w:rPr>
          <w:sz w:val="20"/>
          <w:szCs w:val="20"/>
        </w:rPr>
        <w:t xml:space="preserve">-K”), as certain disclosures in this Quarterly Report on Form </w:t>
      </w:r>
      <w:r>
        <w:rPr>
          <w:rStyle w:val="a6"/>
          <w:sz w:val="20"/>
          <w:szCs w:val="20"/>
        </w:rPr>
        <w:t>10</w:t>
      </w:r>
      <w:r>
        <w:rPr>
          <w:sz w:val="20"/>
          <w:szCs w:val="20"/>
        </w:rPr>
        <w:t xml:space="preserve">-Q for the quarterly period ended </w:t>
      </w:r>
      <w:r>
        <w:rPr>
          <w:rStyle w:val="a6"/>
          <w:sz w:val="20"/>
          <w:szCs w:val="20"/>
        </w:rPr>
        <w:t xml:space="preserve">March 31, 2020, </w:t>
      </w:r>
      <w:r>
        <w:rPr>
          <w:sz w:val="20"/>
          <w:szCs w:val="20"/>
        </w:rPr>
        <w:t xml:space="preserve">that would duplicate those included in the </w:t>
      </w:r>
      <w:r>
        <w:rPr>
          <w:rStyle w:val="a6"/>
          <w:sz w:val="20"/>
          <w:szCs w:val="20"/>
        </w:rPr>
        <w:t>10</w:t>
      </w:r>
      <w:r>
        <w:rPr>
          <w:sz w:val="20"/>
          <w:szCs w:val="20"/>
        </w:rPr>
        <w:t xml:space="preserve">-K are </w:t>
      </w:r>
      <w:r>
        <w:rPr>
          <w:rStyle w:val="a6"/>
          <w:sz w:val="20"/>
          <w:szCs w:val="20"/>
        </w:rPr>
        <w:t>not</w:t>
      </w:r>
      <w:r>
        <w:rPr>
          <w:sz w:val="20"/>
          <w:szCs w:val="20"/>
        </w:rPr>
        <w:t xml:space="preserve"> </w:t>
      </w:r>
      <w:r>
        <w:rPr>
          <w:sz w:val="20"/>
          <w:szCs w:val="20"/>
        </w:rPr>
        <w:t>included in these Condensed Consolidated Financial Statements.</w:t>
      </w:r>
    </w:p>
    <w:p w14:paraId="2C56935D" w14:textId="77777777" w:rsidR="00000000" w:rsidRDefault="00847163">
      <w:pPr>
        <w:pStyle w:val="a3"/>
        <w:spacing w:before="0" w:beforeAutospacing="0" w:after="0" w:afterAutospacing="0"/>
        <w:ind w:firstLine="360"/>
        <w:jc w:val="both"/>
        <w:rPr>
          <w:sz w:val="20"/>
          <w:szCs w:val="20"/>
        </w:rPr>
      </w:pPr>
      <w:r>
        <w:rPr>
          <w:sz w:val="20"/>
          <w:szCs w:val="20"/>
        </w:rPr>
        <w:t> </w:t>
      </w:r>
    </w:p>
    <w:p w14:paraId="1060173A" w14:textId="77777777" w:rsidR="00000000" w:rsidRDefault="00847163">
      <w:pPr>
        <w:pStyle w:val="a3"/>
        <w:spacing w:before="0" w:beforeAutospacing="0" w:after="0" w:afterAutospacing="0"/>
        <w:jc w:val="both"/>
        <w:rPr>
          <w:sz w:val="20"/>
          <w:szCs w:val="20"/>
        </w:rPr>
      </w:pPr>
      <w:r>
        <w:rPr>
          <w:i/>
          <w:iCs/>
          <w:sz w:val="20"/>
          <w:szCs w:val="20"/>
        </w:rPr>
        <w:t>Subsequent Events -</w:t>
      </w:r>
    </w:p>
    <w:p w14:paraId="5167C7A3" w14:textId="77777777" w:rsidR="00000000" w:rsidRDefault="00847163">
      <w:pPr>
        <w:pStyle w:val="a3"/>
        <w:spacing w:before="0" w:beforeAutospacing="0" w:after="0" w:afterAutospacing="0"/>
        <w:jc w:val="both"/>
        <w:rPr>
          <w:sz w:val="20"/>
          <w:szCs w:val="20"/>
        </w:rPr>
      </w:pPr>
      <w:r>
        <w:rPr>
          <w:sz w:val="20"/>
          <w:szCs w:val="20"/>
        </w:rPr>
        <w:t> </w:t>
      </w:r>
    </w:p>
    <w:p w14:paraId="1562A191" w14:textId="77777777" w:rsidR="00000000" w:rsidRDefault="00847163">
      <w:pPr>
        <w:pStyle w:val="a3"/>
        <w:spacing w:before="0" w:beforeAutospacing="0" w:after="0" w:afterAutospacing="0"/>
        <w:ind w:firstLine="360"/>
        <w:jc w:val="both"/>
        <w:rPr>
          <w:sz w:val="20"/>
          <w:szCs w:val="20"/>
        </w:rPr>
      </w:pPr>
      <w:r>
        <w:rPr>
          <w:sz w:val="20"/>
          <w:szCs w:val="20"/>
        </w:rPr>
        <w:t xml:space="preserve">The Company has evaluated subsequent events and transactions for potential recognition or disclosure in its condensed consolidated financial statements (See Footnotes </w:t>
      </w:r>
      <w:r>
        <w:rPr>
          <w:rStyle w:val="a6"/>
          <w:sz w:val="20"/>
          <w:szCs w:val="20"/>
        </w:rPr>
        <w:t>8</w:t>
      </w:r>
      <w:r>
        <w:rPr>
          <w:sz w:val="20"/>
          <w:szCs w:val="20"/>
        </w:rPr>
        <w:t xml:space="preserve"> </w:t>
      </w:r>
      <w:r>
        <w:rPr>
          <w:sz w:val="20"/>
          <w:szCs w:val="20"/>
        </w:rPr>
        <w:t xml:space="preserve">and </w:t>
      </w:r>
      <w:r>
        <w:rPr>
          <w:rStyle w:val="a6"/>
          <w:sz w:val="20"/>
          <w:szCs w:val="20"/>
        </w:rPr>
        <w:t>16</w:t>
      </w:r>
      <w:r>
        <w:rPr>
          <w:sz w:val="20"/>
          <w:szCs w:val="20"/>
        </w:rPr>
        <w:t xml:space="preserve"> to the Notes to the Company’s Condensed Consolidated Financial Statements).</w:t>
      </w:r>
    </w:p>
    <w:p w14:paraId="03DCF9FE" w14:textId="77777777" w:rsidR="00000000" w:rsidRDefault="00847163">
      <w:pPr>
        <w:pStyle w:val="a3"/>
        <w:spacing w:before="0" w:beforeAutospacing="0" w:after="0" w:afterAutospacing="0"/>
        <w:jc w:val="both"/>
        <w:rPr>
          <w:sz w:val="20"/>
          <w:szCs w:val="20"/>
        </w:rPr>
      </w:pPr>
      <w:r>
        <w:rPr>
          <w:sz w:val="20"/>
          <w:szCs w:val="20"/>
        </w:rPr>
        <w:t> </w:t>
      </w:r>
    </w:p>
    <w:p w14:paraId="4F6F2F3C" w14:textId="77777777" w:rsidR="00000000" w:rsidRDefault="00847163">
      <w:pPr>
        <w:pStyle w:val="a3"/>
        <w:spacing w:before="0" w:beforeAutospacing="0" w:after="0" w:afterAutospacing="0"/>
        <w:rPr>
          <w:sz w:val="20"/>
          <w:szCs w:val="20"/>
        </w:rPr>
      </w:pPr>
      <w:r>
        <w:rPr>
          <w:i/>
          <w:iCs/>
          <w:sz w:val="20"/>
          <w:szCs w:val="20"/>
        </w:rPr>
        <w:t>New Accounting Pronouncements –</w:t>
      </w:r>
    </w:p>
    <w:p w14:paraId="7773DFD8" w14:textId="77777777" w:rsidR="00000000" w:rsidRDefault="00847163">
      <w:pPr>
        <w:pStyle w:val="a3"/>
        <w:spacing w:before="0" w:beforeAutospacing="0" w:after="0" w:afterAutospacing="0"/>
        <w:rPr>
          <w:sz w:val="20"/>
          <w:szCs w:val="20"/>
        </w:rPr>
      </w:pPr>
      <w:r>
        <w:rPr>
          <w:i/>
          <w:iCs/>
          <w:sz w:val="20"/>
          <w:szCs w:val="20"/>
        </w:rPr>
        <w:t> </w:t>
      </w:r>
    </w:p>
    <w:p w14:paraId="335F5383" w14:textId="77777777" w:rsidR="00000000" w:rsidRDefault="00847163">
      <w:pPr>
        <w:pStyle w:val="a3"/>
        <w:spacing w:before="0" w:beforeAutospacing="0" w:after="0" w:afterAutospacing="0"/>
        <w:ind w:firstLine="360"/>
        <w:jc w:val="both"/>
        <w:rPr>
          <w:sz w:val="20"/>
          <w:szCs w:val="20"/>
        </w:rPr>
      </w:pPr>
      <w:r>
        <w:rPr>
          <w:sz w:val="20"/>
          <w:szCs w:val="20"/>
        </w:rPr>
        <w:t xml:space="preserve">In </w:t>
      </w:r>
      <w:r>
        <w:rPr>
          <w:rStyle w:val="a6"/>
          <w:sz w:val="20"/>
          <w:szCs w:val="20"/>
        </w:rPr>
        <w:t xml:space="preserve">April 2020, </w:t>
      </w:r>
      <w:r>
        <w:rPr>
          <w:sz w:val="20"/>
          <w:szCs w:val="20"/>
        </w:rPr>
        <w:t xml:space="preserve">the FASB staff developed a question-and-answer document, </w:t>
      </w:r>
      <w:r>
        <w:rPr>
          <w:i/>
          <w:iCs/>
          <w:sz w:val="20"/>
          <w:szCs w:val="20"/>
        </w:rPr>
        <w:t xml:space="preserve">Topic </w:t>
      </w:r>
      <w:r>
        <w:rPr>
          <w:rStyle w:val="a6"/>
          <w:sz w:val="20"/>
          <w:szCs w:val="20"/>
        </w:rPr>
        <w:t>842</w:t>
      </w:r>
      <w:r>
        <w:rPr>
          <w:i/>
          <w:iCs/>
          <w:sz w:val="20"/>
          <w:szCs w:val="20"/>
        </w:rPr>
        <w:t xml:space="preserve"> and Topic </w:t>
      </w:r>
      <w:r>
        <w:rPr>
          <w:rStyle w:val="a6"/>
          <w:sz w:val="20"/>
          <w:szCs w:val="20"/>
        </w:rPr>
        <w:t>840:</w:t>
      </w:r>
      <w:r>
        <w:rPr>
          <w:i/>
          <w:iCs/>
          <w:sz w:val="20"/>
          <w:szCs w:val="20"/>
        </w:rPr>
        <w:t xml:space="preserve"> </w:t>
      </w:r>
      <w:r>
        <w:rPr>
          <w:i/>
          <w:iCs/>
          <w:sz w:val="20"/>
          <w:szCs w:val="20"/>
        </w:rPr>
        <w:t>Accounting for Lease Concessions related to the Effects of the COVID-</w:t>
      </w:r>
      <w:r>
        <w:rPr>
          <w:rStyle w:val="a6"/>
          <w:sz w:val="20"/>
          <w:szCs w:val="20"/>
        </w:rPr>
        <w:t>19</w:t>
      </w:r>
      <w:r>
        <w:rPr>
          <w:i/>
          <w:iCs/>
          <w:sz w:val="20"/>
          <w:szCs w:val="20"/>
        </w:rPr>
        <w:t xml:space="preserve"> Pandemic</w:t>
      </w:r>
      <w:r>
        <w:rPr>
          <w:sz w:val="20"/>
          <w:szCs w:val="20"/>
        </w:rPr>
        <w:t xml:space="preserve">, which focuses on the application of the lease guidance in Topic </w:t>
      </w:r>
      <w:r>
        <w:rPr>
          <w:rStyle w:val="a6"/>
          <w:sz w:val="20"/>
          <w:szCs w:val="20"/>
        </w:rPr>
        <w:t>842,</w:t>
      </w:r>
      <w:r>
        <w:rPr>
          <w:sz w:val="20"/>
          <w:szCs w:val="20"/>
        </w:rPr>
        <w:t xml:space="preserve"> Leases, and Topic </w:t>
      </w:r>
      <w:r>
        <w:rPr>
          <w:rStyle w:val="a6"/>
          <w:sz w:val="20"/>
          <w:szCs w:val="20"/>
        </w:rPr>
        <w:t>840,</w:t>
      </w:r>
      <w:r>
        <w:rPr>
          <w:sz w:val="20"/>
          <w:szCs w:val="20"/>
        </w:rPr>
        <w:t xml:space="preserve"> Leases (if Topic </w:t>
      </w:r>
      <w:r>
        <w:rPr>
          <w:rStyle w:val="a6"/>
          <w:sz w:val="20"/>
          <w:szCs w:val="20"/>
        </w:rPr>
        <w:t>842</w:t>
      </w:r>
      <w:r>
        <w:rPr>
          <w:sz w:val="20"/>
          <w:szCs w:val="20"/>
        </w:rPr>
        <w:t xml:space="preserve"> has </w:t>
      </w:r>
      <w:r>
        <w:rPr>
          <w:rStyle w:val="a6"/>
          <w:sz w:val="20"/>
          <w:szCs w:val="20"/>
        </w:rPr>
        <w:t>not</w:t>
      </w:r>
      <w:r>
        <w:rPr>
          <w:sz w:val="20"/>
          <w:szCs w:val="20"/>
        </w:rPr>
        <w:t xml:space="preserve"> yet been adopted) for lease concessions related to th</w:t>
      </w:r>
      <w:r>
        <w:rPr>
          <w:sz w:val="20"/>
          <w:szCs w:val="20"/>
        </w:rPr>
        <w:t>e effects of the COVID-</w:t>
      </w:r>
      <w:r>
        <w:rPr>
          <w:rStyle w:val="a6"/>
          <w:sz w:val="20"/>
          <w:szCs w:val="20"/>
        </w:rPr>
        <w:t>19</w:t>
      </w:r>
      <w:r>
        <w:rPr>
          <w:sz w:val="20"/>
          <w:szCs w:val="20"/>
        </w:rPr>
        <w:t xml:space="preserve"> pandemic. The FASB staff has been made aware that, given the unprecedented and global nature of the COVID-</w:t>
      </w:r>
      <w:r>
        <w:rPr>
          <w:rStyle w:val="a6"/>
          <w:sz w:val="20"/>
          <w:szCs w:val="20"/>
        </w:rPr>
        <w:t>19</w:t>
      </w:r>
      <w:r>
        <w:rPr>
          <w:sz w:val="20"/>
          <w:szCs w:val="20"/>
        </w:rPr>
        <w:t xml:space="preserve"> pandemic, it </w:t>
      </w:r>
      <w:r>
        <w:rPr>
          <w:rStyle w:val="a6"/>
          <w:sz w:val="20"/>
          <w:szCs w:val="20"/>
        </w:rPr>
        <w:t xml:space="preserve">may </w:t>
      </w:r>
      <w:r>
        <w:rPr>
          <w:sz w:val="20"/>
          <w:szCs w:val="20"/>
        </w:rPr>
        <w:t>be exceedingly challenging for entities to determine whether existing contracts provide enforceable righ</w:t>
      </w:r>
      <w:r>
        <w:rPr>
          <w:sz w:val="20"/>
          <w:szCs w:val="20"/>
        </w:rPr>
        <w:t xml:space="preserve">ts and obligations for lease concessions and, if so, whether those concessions are consistent with the terms of the contract or are modifications to a contract. As such, an entity can elect </w:t>
      </w:r>
      <w:r>
        <w:rPr>
          <w:rStyle w:val="a6"/>
          <w:sz w:val="20"/>
          <w:szCs w:val="20"/>
        </w:rPr>
        <w:t>not</w:t>
      </w:r>
      <w:r>
        <w:rPr>
          <w:sz w:val="20"/>
          <w:szCs w:val="20"/>
        </w:rPr>
        <w:t xml:space="preserve"> to evaluate whether certain relief provided by a lessor in res</w:t>
      </w:r>
      <w:r>
        <w:rPr>
          <w:sz w:val="20"/>
          <w:szCs w:val="20"/>
        </w:rPr>
        <w:t>ponse to the COVID-</w:t>
      </w:r>
      <w:r>
        <w:rPr>
          <w:rStyle w:val="a6"/>
          <w:sz w:val="20"/>
          <w:szCs w:val="20"/>
        </w:rPr>
        <w:t>19</w:t>
      </w:r>
      <w:r>
        <w:rPr>
          <w:sz w:val="20"/>
          <w:szCs w:val="20"/>
        </w:rPr>
        <w:t xml:space="preserve"> pandemic is a lease modification. An entity that makes this election can then elect to apply the modification guidance to that relief or account for the concession as if it were contemplated as part of the existing contract. This elec</w:t>
      </w:r>
      <w:r>
        <w:rPr>
          <w:sz w:val="20"/>
          <w:szCs w:val="20"/>
        </w:rPr>
        <w:t>tion is available for concessions related to the effects of the COVID-</w:t>
      </w:r>
      <w:r>
        <w:rPr>
          <w:rStyle w:val="a6"/>
          <w:sz w:val="20"/>
          <w:szCs w:val="20"/>
        </w:rPr>
        <w:t>19</w:t>
      </w:r>
      <w:r>
        <w:rPr>
          <w:sz w:val="20"/>
          <w:szCs w:val="20"/>
        </w:rPr>
        <w:t xml:space="preserve"> pandemic that do </w:t>
      </w:r>
      <w:r>
        <w:rPr>
          <w:rStyle w:val="a6"/>
          <w:sz w:val="20"/>
          <w:szCs w:val="20"/>
        </w:rPr>
        <w:t>not</w:t>
      </w:r>
      <w:r>
        <w:rPr>
          <w:sz w:val="20"/>
          <w:szCs w:val="20"/>
        </w:rPr>
        <w:t xml:space="preserve"> result in a substantial increase in the rights of the lessor or the obligations of the lessee. For example, this election is available for concessions that result</w:t>
      </w:r>
      <w:r>
        <w:rPr>
          <w:sz w:val="20"/>
          <w:szCs w:val="20"/>
        </w:rPr>
        <w:t xml:space="preserve"> in the total payments required by the modified contract being substantially the same as or less than total payments required by the original contract.</w:t>
      </w:r>
    </w:p>
    <w:p w14:paraId="6B138DBF" w14:textId="77777777" w:rsidR="00000000" w:rsidRDefault="00847163">
      <w:pPr>
        <w:pStyle w:val="a3"/>
        <w:spacing w:before="0" w:beforeAutospacing="0" w:after="0" w:afterAutospacing="0"/>
        <w:ind w:firstLine="360"/>
        <w:jc w:val="both"/>
        <w:rPr>
          <w:sz w:val="20"/>
          <w:szCs w:val="20"/>
        </w:rPr>
      </w:pPr>
      <w:r>
        <w:rPr>
          <w:sz w:val="20"/>
          <w:szCs w:val="20"/>
        </w:rPr>
        <w:t> </w:t>
      </w:r>
    </w:p>
    <w:p w14:paraId="6831CB53" w14:textId="77777777" w:rsidR="00000000" w:rsidRDefault="00847163">
      <w:pPr>
        <w:pStyle w:val="a3"/>
        <w:spacing w:before="0" w:beforeAutospacing="0" w:after="0" w:afterAutospacing="0"/>
        <w:ind w:firstLine="360"/>
        <w:jc w:val="both"/>
        <w:rPr>
          <w:sz w:val="20"/>
          <w:szCs w:val="20"/>
        </w:rPr>
      </w:pPr>
      <w:r>
        <w:rPr>
          <w:sz w:val="20"/>
          <w:szCs w:val="20"/>
        </w:rPr>
        <w:t xml:space="preserve">Some concessions will provide a deferral of payments with </w:t>
      </w:r>
      <w:r>
        <w:rPr>
          <w:rStyle w:val="a6"/>
          <w:sz w:val="20"/>
          <w:szCs w:val="20"/>
        </w:rPr>
        <w:t>no</w:t>
      </w:r>
      <w:r>
        <w:rPr>
          <w:sz w:val="20"/>
          <w:szCs w:val="20"/>
        </w:rPr>
        <w:t xml:space="preserve"> substantive changes to the consideration </w:t>
      </w:r>
      <w:r>
        <w:rPr>
          <w:sz w:val="20"/>
          <w:szCs w:val="20"/>
        </w:rPr>
        <w:t xml:space="preserve">in the original contract. A deferral affects the timing of cash receipts, but the amount of the consideration is substantially the same as that required by the original contract. The FASB staff expects that there will be multiple ways to account for those </w:t>
      </w:r>
      <w:r>
        <w:rPr>
          <w:sz w:val="20"/>
          <w:szCs w:val="20"/>
        </w:rPr>
        <w:t xml:space="preserve">deferrals, </w:t>
      </w:r>
      <w:r>
        <w:rPr>
          <w:rStyle w:val="a6"/>
          <w:sz w:val="20"/>
          <w:szCs w:val="20"/>
        </w:rPr>
        <w:t>none</w:t>
      </w:r>
      <w:r>
        <w:rPr>
          <w:sz w:val="20"/>
          <w:szCs w:val="20"/>
        </w:rPr>
        <w:t xml:space="preserve"> of which the FASB staff believes are preferable to the others. Two of those methods are:</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36EE9B12" w14:textId="77777777">
        <w:trPr>
          <w:tblCellSpacing w:w="0" w:type="dxa"/>
        </w:trPr>
        <w:tc>
          <w:tcPr>
            <w:tcW w:w="360" w:type="dxa"/>
            <w:hideMark/>
          </w:tcPr>
          <w:p w14:paraId="59522191" w14:textId="77777777" w:rsidR="00000000" w:rsidRDefault="00847163">
            <w:pPr>
              <w:rPr>
                <w:rFonts w:eastAsia="Times New Roman"/>
              </w:rPr>
            </w:pPr>
            <w:r>
              <w:rPr>
                <w:rFonts w:eastAsia="Times New Roman"/>
              </w:rPr>
              <w:t> </w:t>
            </w:r>
          </w:p>
        </w:tc>
        <w:tc>
          <w:tcPr>
            <w:tcW w:w="360" w:type="dxa"/>
            <w:hideMark/>
          </w:tcPr>
          <w:p w14:paraId="3EDE9F87" w14:textId="77777777" w:rsidR="00000000" w:rsidRDefault="00847163">
            <w:pPr>
              <w:pStyle w:val="a3"/>
              <w:spacing w:before="0" w:beforeAutospacing="0" w:after="0" w:afterAutospacing="0"/>
              <w:jc w:val="both"/>
              <w:rPr>
                <w:sz w:val="20"/>
                <w:szCs w:val="20"/>
              </w:rPr>
            </w:pPr>
            <w:r>
              <w:rPr>
                <w:sz w:val="20"/>
                <w:szCs w:val="20"/>
              </w:rPr>
              <w:t>(i)</w:t>
            </w:r>
          </w:p>
        </w:tc>
        <w:tc>
          <w:tcPr>
            <w:tcW w:w="0" w:type="auto"/>
            <w:hideMark/>
          </w:tcPr>
          <w:p w14:paraId="7D9ACE70" w14:textId="77777777" w:rsidR="00000000" w:rsidRDefault="00847163">
            <w:pPr>
              <w:pStyle w:val="a3"/>
              <w:spacing w:before="0" w:beforeAutospacing="0" w:after="0" w:afterAutospacing="0"/>
              <w:jc w:val="both"/>
              <w:rPr>
                <w:sz w:val="20"/>
                <w:szCs w:val="20"/>
              </w:rPr>
            </w:pPr>
            <w:r>
              <w:rPr>
                <w:sz w:val="20"/>
                <w:szCs w:val="20"/>
              </w:rPr>
              <w:t xml:space="preserve">Account for the concessions as if </w:t>
            </w:r>
            <w:r>
              <w:rPr>
                <w:rStyle w:val="a6"/>
                <w:sz w:val="20"/>
                <w:szCs w:val="20"/>
              </w:rPr>
              <w:t>no</w:t>
            </w:r>
            <w:r>
              <w:rPr>
                <w:sz w:val="20"/>
                <w:szCs w:val="20"/>
              </w:rPr>
              <w:t xml:space="preserve"> changes to the lease contract were made. Under that accounting, a lessor would increase its lease receivable</w:t>
            </w:r>
            <w:r>
              <w:rPr>
                <w:sz w:val="20"/>
                <w:szCs w:val="20"/>
              </w:rPr>
              <w:t>, and a lessee would increase its accounts payable as receivables/payments accrue. In its income statement, a lessor would continue to recognize income, and a lessee would continue to recognize expense during the deferral period.</w:t>
            </w:r>
          </w:p>
        </w:tc>
      </w:tr>
    </w:tbl>
    <w:p w14:paraId="7ABFC918" w14:textId="77777777" w:rsidR="00000000" w:rsidRDefault="00847163">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4819FDA3" w14:textId="77777777">
        <w:trPr>
          <w:tblCellSpacing w:w="0" w:type="dxa"/>
        </w:trPr>
        <w:tc>
          <w:tcPr>
            <w:tcW w:w="360" w:type="dxa"/>
            <w:hideMark/>
          </w:tcPr>
          <w:p w14:paraId="2A928978" w14:textId="77777777" w:rsidR="00000000" w:rsidRDefault="00847163">
            <w:pPr>
              <w:rPr>
                <w:rFonts w:eastAsia="Times New Roman"/>
              </w:rPr>
            </w:pPr>
            <w:r>
              <w:rPr>
                <w:rFonts w:eastAsia="Times New Roman"/>
              </w:rPr>
              <w:t> </w:t>
            </w:r>
          </w:p>
        </w:tc>
        <w:tc>
          <w:tcPr>
            <w:tcW w:w="360" w:type="dxa"/>
            <w:hideMark/>
          </w:tcPr>
          <w:p w14:paraId="52B07BDC" w14:textId="77777777" w:rsidR="00000000" w:rsidRDefault="00847163">
            <w:pPr>
              <w:pStyle w:val="a3"/>
              <w:spacing w:before="0" w:beforeAutospacing="0" w:after="0" w:afterAutospacing="0"/>
              <w:jc w:val="both"/>
              <w:rPr>
                <w:sz w:val="20"/>
                <w:szCs w:val="20"/>
              </w:rPr>
            </w:pPr>
            <w:r>
              <w:rPr>
                <w:sz w:val="20"/>
                <w:szCs w:val="20"/>
              </w:rPr>
              <w:t>(ii)</w:t>
            </w:r>
          </w:p>
        </w:tc>
        <w:tc>
          <w:tcPr>
            <w:tcW w:w="0" w:type="auto"/>
            <w:hideMark/>
          </w:tcPr>
          <w:p w14:paraId="578C9AC3" w14:textId="77777777" w:rsidR="00000000" w:rsidRDefault="00847163">
            <w:pPr>
              <w:pStyle w:val="a3"/>
              <w:spacing w:before="0" w:beforeAutospacing="0" w:after="0" w:afterAutospacing="0"/>
              <w:jc w:val="both"/>
              <w:rPr>
                <w:sz w:val="20"/>
                <w:szCs w:val="20"/>
              </w:rPr>
            </w:pPr>
            <w:r>
              <w:rPr>
                <w:sz w:val="20"/>
                <w:szCs w:val="20"/>
              </w:rPr>
              <w:t>Account for the d</w:t>
            </w:r>
            <w:r>
              <w:rPr>
                <w:sz w:val="20"/>
                <w:szCs w:val="20"/>
              </w:rPr>
              <w:t>eferred payments as variable lease payments.</w:t>
            </w:r>
          </w:p>
        </w:tc>
      </w:tr>
    </w:tbl>
    <w:p w14:paraId="2824250B" w14:textId="77777777" w:rsidR="00000000" w:rsidRDefault="00847163">
      <w:pPr>
        <w:pStyle w:val="a3"/>
        <w:spacing w:before="0" w:beforeAutospacing="0" w:after="0" w:afterAutospacing="0"/>
        <w:jc w:val="both"/>
        <w:rPr>
          <w:sz w:val="20"/>
          <w:szCs w:val="20"/>
        </w:rPr>
      </w:pPr>
      <w:r>
        <w:rPr>
          <w:sz w:val="20"/>
          <w:szCs w:val="20"/>
        </w:rPr>
        <w:t> </w:t>
      </w:r>
    </w:p>
    <w:p w14:paraId="0DADCDC6" w14:textId="77777777" w:rsidR="00000000" w:rsidRDefault="00847163">
      <w:pPr>
        <w:pStyle w:val="a3"/>
        <w:spacing w:before="0" w:beforeAutospacing="0" w:after="0" w:afterAutospacing="0"/>
        <w:ind w:firstLine="360"/>
        <w:jc w:val="both"/>
        <w:rPr>
          <w:sz w:val="20"/>
          <w:szCs w:val="20"/>
        </w:rPr>
      </w:pPr>
      <w:r>
        <w:rPr>
          <w:sz w:val="20"/>
          <w:szCs w:val="20"/>
        </w:rPr>
        <w:t xml:space="preserve">As of </w:t>
      </w:r>
      <w:r>
        <w:rPr>
          <w:rStyle w:val="a6"/>
          <w:sz w:val="20"/>
          <w:szCs w:val="20"/>
        </w:rPr>
        <w:t xml:space="preserve">March 31, 2020, </w:t>
      </w:r>
      <w:r>
        <w:rPr>
          <w:sz w:val="20"/>
          <w:szCs w:val="20"/>
        </w:rPr>
        <w:t xml:space="preserve">the Company did </w:t>
      </w:r>
      <w:r>
        <w:rPr>
          <w:rStyle w:val="a6"/>
          <w:sz w:val="20"/>
          <w:szCs w:val="20"/>
        </w:rPr>
        <w:t>not</w:t>
      </w:r>
      <w:r>
        <w:rPr>
          <w:sz w:val="20"/>
          <w:szCs w:val="20"/>
        </w:rPr>
        <w:t xml:space="preserve"> provide and/or enter into lease concessions related to the COVID-</w:t>
      </w:r>
      <w:r>
        <w:rPr>
          <w:rStyle w:val="a6"/>
          <w:sz w:val="20"/>
          <w:szCs w:val="20"/>
        </w:rPr>
        <w:t>19</w:t>
      </w:r>
      <w:r>
        <w:rPr>
          <w:sz w:val="20"/>
          <w:szCs w:val="20"/>
        </w:rPr>
        <w:t xml:space="preserve"> pandemic as a lessor or lessee related to rental income/expense recognized during the </w:t>
      </w:r>
      <w:r>
        <w:rPr>
          <w:rStyle w:val="a6"/>
          <w:sz w:val="20"/>
          <w:szCs w:val="20"/>
        </w:rPr>
        <w:t>three</w:t>
      </w:r>
      <w:r>
        <w:rPr>
          <w:sz w:val="20"/>
          <w:szCs w:val="20"/>
        </w:rPr>
        <w:t xml:space="preserve"> months</w:t>
      </w:r>
      <w:r>
        <w:rPr>
          <w:sz w:val="20"/>
          <w:szCs w:val="20"/>
        </w:rPr>
        <w:t xml:space="preserve"> ended </w:t>
      </w:r>
      <w:r>
        <w:rPr>
          <w:rStyle w:val="a6"/>
          <w:sz w:val="20"/>
          <w:szCs w:val="20"/>
        </w:rPr>
        <w:t xml:space="preserve">March 31, 2020. </w:t>
      </w:r>
      <w:r>
        <w:rPr>
          <w:sz w:val="20"/>
          <w:szCs w:val="20"/>
        </w:rPr>
        <w:t>The Company is currently assessing and continuing to evaluate the impact of this lease guidance for any lease concessions related to the effects of the COVID-</w:t>
      </w:r>
      <w:r>
        <w:rPr>
          <w:rStyle w:val="a6"/>
          <w:sz w:val="20"/>
          <w:szCs w:val="20"/>
        </w:rPr>
        <w:t>19</w:t>
      </w:r>
      <w:r>
        <w:rPr>
          <w:sz w:val="20"/>
          <w:szCs w:val="20"/>
        </w:rPr>
        <w:t xml:space="preserve"> pandemic on the Company’s financial position and/or results of operation</w:t>
      </w:r>
      <w:r>
        <w:rPr>
          <w:sz w:val="20"/>
          <w:szCs w:val="20"/>
        </w:rPr>
        <w:t xml:space="preserve">s subsequent to </w:t>
      </w:r>
      <w:r>
        <w:rPr>
          <w:rStyle w:val="a6"/>
          <w:sz w:val="20"/>
          <w:szCs w:val="20"/>
        </w:rPr>
        <w:t>March 31, 2020.</w:t>
      </w:r>
    </w:p>
    <w:p w14:paraId="5FBBCFF0" w14:textId="77777777" w:rsidR="00000000" w:rsidRDefault="00847163">
      <w:pPr>
        <w:pStyle w:val="a3"/>
        <w:spacing w:before="0" w:beforeAutospacing="0" w:after="0" w:afterAutospacing="0"/>
        <w:rPr>
          <w:sz w:val="20"/>
          <w:szCs w:val="20"/>
        </w:rPr>
      </w:pPr>
      <w:r>
        <w:rPr>
          <w:i/>
          <w:iCs/>
          <w:sz w:val="20"/>
          <w:szCs w:val="20"/>
        </w:rPr>
        <w:t> </w:t>
      </w:r>
    </w:p>
    <w:p w14:paraId="43250E11" w14:textId="77777777" w:rsidR="00000000" w:rsidRDefault="00847163">
      <w:pPr>
        <w:jc w:val="center"/>
        <w:divId w:val="1228539438"/>
        <w:rPr>
          <w:rFonts w:eastAsia="Times New Roman"/>
          <w:sz w:val="20"/>
          <w:szCs w:val="20"/>
        </w:rPr>
      </w:pPr>
      <w:r>
        <w:rPr>
          <w:rStyle w:val="a6"/>
          <w:rFonts w:eastAsia="Times New Roman"/>
          <w:sz w:val="20"/>
          <w:szCs w:val="20"/>
        </w:rPr>
        <w:t>8</w:t>
      </w:r>
      <w:r>
        <w:rPr>
          <w:rFonts w:eastAsia="Times New Roman"/>
          <w:sz w:val="20"/>
          <w:szCs w:val="20"/>
        </w:rPr>
        <w:t xml:space="preserve"> </w:t>
      </w:r>
    </w:p>
    <w:p w14:paraId="7F9980E2" w14:textId="77777777" w:rsidR="00000000" w:rsidRDefault="00847163">
      <w:pPr>
        <w:divId w:val="1711152176"/>
        <w:rPr>
          <w:rFonts w:eastAsia="Times New Roman"/>
          <w:sz w:val="20"/>
          <w:szCs w:val="20"/>
        </w:rPr>
      </w:pPr>
      <w:r>
        <w:rPr>
          <w:rFonts w:eastAsia="Times New Roman"/>
          <w:sz w:val="20"/>
          <w:szCs w:val="20"/>
        </w:rPr>
        <w:pict w14:anchorId="5B8CD15C">
          <v:rect id="_x0000_i1036" style="width:415.3pt;height:1.5pt" o:hralign="center" o:hrstd="t" o:hrnoshade="t" o:hr="t" fillcolor="black" stroked="f"/>
        </w:pict>
      </w:r>
    </w:p>
    <w:p w14:paraId="3EF24EB8" w14:textId="77777777" w:rsidR="00000000" w:rsidRDefault="00847163">
      <w:pPr>
        <w:divId w:val="677120677"/>
        <w:rPr>
          <w:rFonts w:eastAsia="Times New Roman"/>
          <w:sz w:val="20"/>
          <w:szCs w:val="20"/>
        </w:rPr>
      </w:pPr>
      <w:hyperlink w:anchor="toc" w:history="1">
        <w:r>
          <w:rPr>
            <w:rStyle w:val="a4"/>
            <w:rFonts w:eastAsia="Times New Roman"/>
            <w:sz w:val="20"/>
            <w:szCs w:val="20"/>
          </w:rPr>
          <w:t>Table of Contents</w:t>
        </w:r>
      </w:hyperlink>
    </w:p>
    <w:p w14:paraId="70C2C2FB" w14:textId="77777777" w:rsidR="00000000" w:rsidRDefault="00847163">
      <w:pPr>
        <w:pStyle w:val="a3"/>
        <w:spacing w:before="0" w:beforeAutospacing="0" w:after="0" w:afterAutospacing="0"/>
        <w:rPr>
          <w:sz w:val="20"/>
          <w:szCs w:val="20"/>
        </w:rPr>
      </w:pPr>
      <w:r>
        <w:rPr>
          <w:sz w:val="20"/>
          <w:szCs w:val="20"/>
        </w:rPr>
        <w:t> </w:t>
      </w:r>
    </w:p>
    <w:p w14:paraId="7ABF04BA" w14:textId="77777777" w:rsidR="00000000" w:rsidRDefault="00847163">
      <w:pPr>
        <w:pStyle w:val="a3"/>
        <w:spacing w:before="0" w:beforeAutospacing="0" w:after="0" w:afterAutospacing="0"/>
        <w:ind w:firstLine="360"/>
        <w:jc w:val="both"/>
        <w:rPr>
          <w:sz w:val="20"/>
          <w:szCs w:val="20"/>
        </w:rPr>
      </w:pPr>
      <w:r>
        <w:rPr>
          <w:sz w:val="20"/>
          <w:szCs w:val="20"/>
        </w:rPr>
        <w:t xml:space="preserve">The following table represents ASUs to the FASB’s ASC that, as of </w:t>
      </w:r>
      <w:r>
        <w:rPr>
          <w:rStyle w:val="a6"/>
          <w:sz w:val="20"/>
          <w:szCs w:val="20"/>
        </w:rPr>
        <w:t xml:space="preserve">March 31, 2020, </w:t>
      </w:r>
      <w:r>
        <w:rPr>
          <w:sz w:val="20"/>
          <w:szCs w:val="20"/>
        </w:rPr>
        <w:t xml:space="preserve">are </w:t>
      </w:r>
      <w:r>
        <w:rPr>
          <w:rStyle w:val="a6"/>
          <w:sz w:val="20"/>
          <w:szCs w:val="20"/>
        </w:rPr>
        <w:t>not</w:t>
      </w:r>
      <w:r>
        <w:rPr>
          <w:sz w:val="20"/>
          <w:szCs w:val="20"/>
        </w:rPr>
        <w:t xml:space="preserve"> </w:t>
      </w:r>
      <w:r>
        <w:rPr>
          <w:sz w:val="20"/>
          <w:szCs w:val="20"/>
        </w:rPr>
        <w:t xml:space="preserve">yet effective for the Company and for which the Company has </w:t>
      </w:r>
      <w:r>
        <w:rPr>
          <w:rStyle w:val="a6"/>
          <w:sz w:val="20"/>
          <w:szCs w:val="20"/>
        </w:rPr>
        <w:t>not</w:t>
      </w:r>
      <w:r>
        <w:rPr>
          <w:sz w:val="20"/>
          <w:szCs w:val="20"/>
        </w:rPr>
        <w:t xml:space="preserve"> elected early adoption, where permitted:</w:t>
      </w:r>
    </w:p>
    <w:p w14:paraId="0D2542FE" w14:textId="77777777" w:rsidR="00000000" w:rsidRDefault="00847163">
      <w:pPr>
        <w:pStyle w:val="a3"/>
        <w:spacing w:before="0" w:beforeAutospacing="0" w:after="0" w:afterAutospacing="0"/>
        <w:jc w:val="both"/>
        <w:rPr>
          <w:sz w:val="20"/>
          <w:szCs w:val="20"/>
        </w:rPr>
      </w:pPr>
      <w:r>
        <w:rPr>
          <w:sz w:val="20"/>
          <w:szCs w:val="20"/>
        </w:rPr>
        <w:t> </w:t>
      </w:r>
    </w:p>
    <w:tbl>
      <w:tblPr>
        <w:tblW w:w="5000" w:type="pct"/>
        <w:tblCellSpacing w:w="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70"/>
        <w:gridCol w:w="1645"/>
        <w:gridCol w:w="155"/>
        <w:gridCol w:w="140"/>
        <w:gridCol w:w="3303"/>
        <w:gridCol w:w="70"/>
        <w:gridCol w:w="70"/>
        <w:gridCol w:w="1148"/>
        <w:gridCol w:w="70"/>
        <w:gridCol w:w="70"/>
        <w:gridCol w:w="1479"/>
        <w:gridCol w:w="70"/>
      </w:tblGrid>
      <w:tr w:rsidR="00000000" w14:paraId="50AEE88C" w14:textId="77777777">
        <w:trPr>
          <w:tblCellSpacing w:w="0" w:type="dxa"/>
        </w:trPr>
        <w:tc>
          <w:tcPr>
            <w:tcW w:w="50" w:type="pct"/>
            <w:tcBorders>
              <w:bottom w:val="single" w:sz="6" w:space="0" w:color="000000"/>
            </w:tcBorders>
            <w:vAlign w:val="bottom"/>
            <w:hideMark/>
          </w:tcPr>
          <w:p w14:paraId="6987C1A5" w14:textId="77777777" w:rsidR="00000000" w:rsidRDefault="00847163">
            <w:pPr>
              <w:rPr>
                <w:rFonts w:eastAsia="Times New Roman"/>
                <w:sz w:val="20"/>
                <w:szCs w:val="20"/>
              </w:rPr>
            </w:pPr>
            <w:r>
              <w:rPr>
                <w:rFonts w:eastAsia="Times New Roman"/>
                <w:sz w:val="20"/>
                <w:szCs w:val="20"/>
              </w:rPr>
              <w:t> </w:t>
            </w:r>
          </w:p>
        </w:tc>
        <w:tc>
          <w:tcPr>
            <w:tcW w:w="1000" w:type="pct"/>
            <w:tcBorders>
              <w:bottom w:val="single" w:sz="6" w:space="0" w:color="000000"/>
            </w:tcBorders>
            <w:vAlign w:val="bottom"/>
            <w:hideMark/>
          </w:tcPr>
          <w:p w14:paraId="181CB9B3" w14:textId="77777777" w:rsidR="00000000" w:rsidRDefault="00847163">
            <w:pPr>
              <w:pStyle w:val="a3"/>
              <w:spacing w:before="0" w:beforeAutospacing="0" w:after="0" w:afterAutospacing="0"/>
              <w:jc w:val="center"/>
              <w:rPr>
                <w:sz w:val="20"/>
                <w:szCs w:val="20"/>
              </w:rPr>
            </w:pPr>
            <w:r>
              <w:rPr>
                <w:b/>
                <w:bCs/>
                <w:sz w:val="20"/>
                <w:szCs w:val="20"/>
              </w:rPr>
              <w:t>ASU</w:t>
            </w:r>
          </w:p>
        </w:tc>
        <w:tc>
          <w:tcPr>
            <w:tcW w:w="50" w:type="pct"/>
            <w:tcBorders>
              <w:bottom w:val="single" w:sz="6" w:space="0" w:color="000000"/>
              <w:right w:val="single" w:sz="6" w:space="0" w:color="000000"/>
            </w:tcBorders>
            <w:vAlign w:val="bottom"/>
            <w:hideMark/>
          </w:tcPr>
          <w:p w14:paraId="210CCAF1" w14:textId="77777777" w:rsidR="00000000" w:rsidRDefault="00847163">
            <w:pPr>
              <w:rPr>
                <w:rFonts w:eastAsia="Times New Roman"/>
                <w:sz w:val="20"/>
                <w:szCs w:val="20"/>
              </w:rPr>
            </w:pPr>
            <w:r>
              <w:rPr>
                <w:rFonts w:eastAsia="Times New Roman"/>
                <w:sz w:val="20"/>
                <w:szCs w:val="20"/>
              </w:rPr>
              <w:t> </w:t>
            </w:r>
          </w:p>
        </w:tc>
        <w:tc>
          <w:tcPr>
            <w:tcW w:w="50" w:type="pct"/>
            <w:tcBorders>
              <w:bottom w:val="single" w:sz="6" w:space="0" w:color="000000"/>
            </w:tcBorders>
            <w:vAlign w:val="bottom"/>
            <w:hideMark/>
          </w:tcPr>
          <w:p w14:paraId="02D23AE6" w14:textId="77777777" w:rsidR="00000000" w:rsidRDefault="00847163">
            <w:pPr>
              <w:rPr>
                <w:rFonts w:eastAsia="Times New Roman"/>
                <w:sz w:val="20"/>
                <w:szCs w:val="20"/>
              </w:rPr>
            </w:pPr>
            <w:r>
              <w:rPr>
                <w:rFonts w:eastAsia="Times New Roman"/>
                <w:sz w:val="20"/>
                <w:szCs w:val="20"/>
              </w:rPr>
              <w:t> </w:t>
            </w:r>
          </w:p>
        </w:tc>
        <w:tc>
          <w:tcPr>
            <w:tcW w:w="2000" w:type="pct"/>
            <w:tcBorders>
              <w:bottom w:val="single" w:sz="6" w:space="0" w:color="000000"/>
            </w:tcBorders>
            <w:vAlign w:val="bottom"/>
            <w:hideMark/>
          </w:tcPr>
          <w:p w14:paraId="562A37A2" w14:textId="77777777" w:rsidR="00000000" w:rsidRDefault="00847163">
            <w:pPr>
              <w:pStyle w:val="a3"/>
              <w:spacing w:before="0" w:beforeAutospacing="0" w:after="0" w:afterAutospacing="0"/>
              <w:jc w:val="center"/>
              <w:rPr>
                <w:sz w:val="20"/>
                <w:szCs w:val="20"/>
              </w:rPr>
            </w:pPr>
            <w:r>
              <w:rPr>
                <w:b/>
                <w:bCs/>
                <w:sz w:val="20"/>
                <w:szCs w:val="20"/>
              </w:rPr>
              <w:t>Description</w:t>
            </w:r>
          </w:p>
        </w:tc>
        <w:tc>
          <w:tcPr>
            <w:tcW w:w="50" w:type="pct"/>
            <w:tcBorders>
              <w:bottom w:val="single" w:sz="6" w:space="0" w:color="000000"/>
              <w:right w:val="single" w:sz="6" w:space="0" w:color="000000"/>
            </w:tcBorders>
            <w:vAlign w:val="bottom"/>
            <w:hideMark/>
          </w:tcPr>
          <w:p w14:paraId="2CA536E5" w14:textId="77777777" w:rsidR="00000000" w:rsidRDefault="00847163">
            <w:pPr>
              <w:rPr>
                <w:rFonts w:eastAsia="Times New Roman"/>
                <w:sz w:val="20"/>
                <w:szCs w:val="20"/>
              </w:rPr>
            </w:pPr>
            <w:r>
              <w:rPr>
                <w:rFonts w:eastAsia="Times New Roman"/>
                <w:sz w:val="20"/>
                <w:szCs w:val="20"/>
              </w:rPr>
              <w:t> </w:t>
            </w:r>
          </w:p>
        </w:tc>
        <w:tc>
          <w:tcPr>
            <w:tcW w:w="50" w:type="pct"/>
            <w:tcBorders>
              <w:bottom w:val="single" w:sz="6" w:space="0" w:color="000000"/>
            </w:tcBorders>
            <w:vAlign w:val="bottom"/>
            <w:hideMark/>
          </w:tcPr>
          <w:p w14:paraId="5937AF07" w14:textId="77777777" w:rsidR="00000000" w:rsidRDefault="00847163">
            <w:pPr>
              <w:rPr>
                <w:rFonts w:eastAsia="Times New Roman"/>
                <w:sz w:val="20"/>
                <w:szCs w:val="20"/>
              </w:rPr>
            </w:pPr>
            <w:r>
              <w:rPr>
                <w:rFonts w:eastAsia="Times New Roman"/>
                <w:sz w:val="20"/>
                <w:szCs w:val="20"/>
              </w:rPr>
              <w:t> </w:t>
            </w:r>
          </w:p>
        </w:tc>
        <w:tc>
          <w:tcPr>
            <w:tcW w:w="700" w:type="pct"/>
            <w:tcBorders>
              <w:bottom w:val="single" w:sz="6" w:space="0" w:color="000000"/>
            </w:tcBorders>
            <w:vAlign w:val="bottom"/>
            <w:hideMark/>
          </w:tcPr>
          <w:p w14:paraId="48429674" w14:textId="77777777" w:rsidR="00000000" w:rsidRDefault="00847163">
            <w:pPr>
              <w:pStyle w:val="a3"/>
              <w:spacing w:before="0" w:beforeAutospacing="0" w:after="0" w:afterAutospacing="0"/>
              <w:jc w:val="center"/>
              <w:rPr>
                <w:sz w:val="20"/>
                <w:szCs w:val="20"/>
              </w:rPr>
            </w:pPr>
            <w:r>
              <w:rPr>
                <w:b/>
                <w:bCs/>
                <w:sz w:val="20"/>
                <w:szCs w:val="20"/>
              </w:rPr>
              <w:t xml:space="preserve">Effective </w:t>
            </w:r>
          </w:p>
          <w:p w14:paraId="3D92C418" w14:textId="77777777" w:rsidR="00000000" w:rsidRDefault="00847163">
            <w:pPr>
              <w:pStyle w:val="a3"/>
              <w:spacing w:before="0" w:beforeAutospacing="0" w:after="0" w:afterAutospacing="0"/>
              <w:jc w:val="center"/>
              <w:rPr>
                <w:sz w:val="20"/>
                <w:szCs w:val="20"/>
              </w:rPr>
            </w:pPr>
            <w:r>
              <w:rPr>
                <w:b/>
                <w:bCs/>
                <w:sz w:val="20"/>
                <w:szCs w:val="20"/>
              </w:rPr>
              <w:t>Date</w:t>
            </w:r>
          </w:p>
        </w:tc>
        <w:tc>
          <w:tcPr>
            <w:tcW w:w="50" w:type="pct"/>
            <w:tcBorders>
              <w:bottom w:val="single" w:sz="6" w:space="0" w:color="000000"/>
              <w:right w:val="single" w:sz="6" w:space="0" w:color="000000"/>
            </w:tcBorders>
            <w:vAlign w:val="bottom"/>
            <w:hideMark/>
          </w:tcPr>
          <w:p w14:paraId="4279B266" w14:textId="77777777" w:rsidR="00000000" w:rsidRDefault="00847163">
            <w:pPr>
              <w:rPr>
                <w:rFonts w:eastAsia="Times New Roman"/>
                <w:sz w:val="20"/>
                <w:szCs w:val="20"/>
              </w:rPr>
            </w:pPr>
            <w:r>
              <w:rPr>
                <w:rFonts w:eastAsia="Times New Roman"/>
                <w:sz w:val="20"/>
                <w:szCs w:val="20"/>
              </w:rPr>
              <w:t> </w:t>
            </w:r>
          </w:p>
        </w:tc>
        <w:tc>
          <w:tcPr>
            <w:tcW w:w="50" w:type="pct"/>
            <w:tcBorders>
              <w:bottom w:val="single" w:sz="6" w:space="0" w:color="000000"/>
            </w:tcBorders>
            <w:vAlign w:val="bottom"/>
            <w:hideMark/>
          </w:tcPr>
          <w:p w14:paraId="51BDB930" w14:textId="77777777" w:rsidR="00000000" w:rsidRDefault="00847163">
            <w:pPr>
              <w:rPr>
                <w:rFonts w:eastAsia="Times New Roman"/>
                <w:sz w:val="20"/>
                <w:szCs w:val="20"/>
              </w:rPr>
            </w:pPr>
            <w:r>
              <w:rPr>
                <w:rFonts w:eastAsia="Times New Roman"/>
                <w:sz w:val="20"/>
                <w:szCs w:val="20"/>
              </w:rPr>
              <w:t> </w:t>
            </w:r>
          </w:p>
        </w:tc>
        <w:tc>
          <w:tcPr>
            <w:tcW w:w="900" w:type="pct"/>
            <w:tcBorders>
              <w:bottom w:val="single" w:sz="6" w:space="0" w:color="000000"/>
            </w:tcBorders>
            <w:vAlign w:val="bottom"/>
            <w:hideMark/>
          </w:tcPr>
          <w:p w14:paraId="767640DF" w14:textId="77777777" w:rsidR="00000000" w:rsidRDefault="00847163">
            <w:pPr>
              <w:pStyle w:val="a3"/>
              <w:spacing w:before="0" w:beforeAutospacing="0" w:after="0" w:afterAutospacing="0"/>
              <w:jc w:val="center"/>
              <w:rPr>
                <w:sz w:val="20"/>
                <w:szCs w:val="20"/>
              </w:rPr>
            </w:pPr>
            <w:r>
              <w:rPr>
                <w:b/>
                <w:bCs/>
                <w:sz w:val="20"/>
                <w:szCs w:val="20"/>
              </w:rPr>
              <w:t xml:space="preserve">Effect on the financial </w:t>
            </w:r>
          </w:p>
          <w:p w14:paraId="31A3B46E" w14:textId="77777777" w:rsidR="00000000" w:rsidRDefault="00847163">
            <w:pPr>
              <w:pStyle w:val="a3"/>
              <w:spacing w:before="0" w:beforeAutospacing="0" w:after="0" w:afterAutospacing="0"/>
              <w:jc w:val="center"/>
              <w:rPr>
                <w:sz w:val="20"/>
                <w:szCs w:val="20"/>
              </w:rPr>
            </w:pPr>
            <w:r>
              <w:rPr>
                <w:b/>
                <w:bCs/>
                <w:sz w:val="20"/>
                <w:szCs w:val="20"/>
              </w:rPr>
              <w:t xml:space="preserve">statements or other </w:t>
            </w:r>
          </w:p>
          <w:p w14:paraId="704DBEE4" w14:textId="77777777" w:rsidR="00000000" w:rsidRDefault="00847163">
            <w:pPr>
              <w:pStyle w:val="a3"/>
              <w:spacing w:before="0" w:beforeAutospacing="0" w:after="0" w:afterAutospacing="0"/>
              <w:jc w:val="center"/>
              <w:rPr>
                <w:sz w:val="20"/>
                <w:szCs w:val="20"/>
              </w:rPr>
            </w:pPr>
            <w:r>
              <w:rPr>
                <w:b/>
                <w:bCs/>
                <w:sz w:val="20"/>
                <w:szCs w:val="20"/>
              </w:rPr>
              <w:t>significant matters</w:t>
            </w:r>
          </w:p>
        </w:tc>
        <w:tc>
          <w:tcPr>
            <w:tcW w:w="50" w:type="pct"/>
            <w:tcBorders>
              <w:bottom w:val="single" w:sz="6" w:space="0" w:color="000000"/>
            </w:tcBorders>
            <w:vAlign w:val="bottom"/>
            <w:hideMark/>
          </w:tcPr>
          <w:p w14:paraId="71A13659" w14:textId="77777777" w:rsidR="00000000" w:rsidRDefault="00847163">
            <w:pPr>
              <w:rPr>
                <w:rFonts w:eastAsia="Times New Roman"/>
                <w:sz w:val="20"/>
                <w:szCs w:val="20"/>
              </w:rPr>
            </w:pPr>
            <w:r>
              <w:rPr>
                <w:rFonts w:eastAsia="Times New Roman"/>
                <w:sz w:val="20"/>
                <w:szCs w:val="20"/>
              </w:rPr>
              <w:t> </w:t>
            </w:r>
          </w:p>
        </w:tc>
      </w:tr>
      <w:tr w:rsidR="00000000" w14:paraId="20C7F5CE" w14:textId="77777777">
        <w:trPr>
          <w:tblCellSpacing w:w="0" w:type="dxa"/>
        </w:trPr>
        <w:tc>
          <w:tcPr>
            <w:tcW w:w="50" w:type="pct"/>
            <w:shd w:val="clear" w:color="auto" w:fill="CCEEFF"/>
            <w:hideMark/>
          </w:tcPr>
          <w:p w14:paraId="611C1235" w14:textId="77777777" w:rsidR="00000000" w:rsidRDefault="00847163">
            <w:pPr>
              <w:rPr>
                <w:rFonts w:eastAsia="Times New Roman"/>
                <w:sz w:val="20"/>
                <w:szCs w:val="20"/>
              </w:rPr>
            </w:pPr>
            <w:r>
              <w:rPr>
                <w:rFonts w:eastAsia="Times New Roman"/>
                <w:sz w:val="20"/>
                <w:szCs w:val="20"/>
              </w:rPr>
              <w:t> </w:t>
            </w:r>
          </w:p>
        </w:tc>
        <w:tc>
          <w:tcPr>
            <w:tcW w:w="1000" w:type="pct"/>
            <w:shd w:val="clear" w:color="auto" w:fill="CCEEFF"/>
            <w:hideMark/>
          </w:tcPr>
          <w:p w14:paraId="0CF362CF" w14:textId="77777777" w:rsidR="00000000" w:rsidRDefault="00847163">
            <w:pPr>
              <w:pStyle w:val="a3"/>
              <w:spacing w:before="0" w:beforeAutospacing="0" w:after="0" w:afterAutospacing="0"/>
              <w:rPr>
                <w:sz w:val="20"/>
                <w:szCs w:val="20"/>
              </w:rPr>
            </w:pPr>
            <w:r>
              <w:rPr>
                <w:sz w:val="20"/>
                <w:szCs w:val="20"/>
              </w:rPr>
              <w:t xml:space="preserve">ASU </w:t>
            </w:r>
            <w:r>
              <w:rPr>
                <w:rStyle w:val="a6"/>
                <w:sz w:val="20"/>
                <w:szCs w:val="20"/>
              </w:rPr>
              <w:t>2020</w:t>
            </w:r>
            <w:r>
              <w:rPr>
                <w:sz w:val="20"/>
                <w:szCs w:val="20"/>
              </w:rPr>
              <w:t>-</w:t>
            </w:r>
            <w:r>
              <w:rPr>
                <w:rStyle w:val="a6"/>
                <w:sz w:val="20"/>
                <w:szCs w:val="20"/>
              </w:rPr>
              <w:t>01,</w:t>
            </w:r>
            <w:r>
              <w:rPr>
                <w:sz w:val="20"/>
                <w:szCs w:val="20"/>
              </w:rPr>
              <w:t xml:space="preserve"> </w:t>
            </w:r>
            <w:r>
              <w:rPr>
                <w:sz w:val="20"/>
                <w:szCs w:val="20"/>
              </w:rPr>
              <w:t xml:space="preserve">Investments – Equity Securities (Topic </w:t>
            </w:r>
            <w:r>
              <w:rPr>
                <w:rStyle w:val="a6"/>
                <w:sz w:val="20"/>
                <w:szCs w:val="20"/>
              </w:rPr>
              <w:t>321</w:t>
            </w:r>
            <w:r>
              <w:rPr>
                <w:sz w:val="20"/>
                <w:szCs w:val="20"/>
              </w:rPr>
              <w:t xml:space="preserve">), Investments – Equity Method and Joint Ventures (Topic </w:t>
            </w:r>
            <w:r>
              <w:rPr>
                <w:rStyle w:val="a6"/>
                <w:sz w:val="20"/>
                <w:szCs w:val="20"/>
              </w:rPr>
              <w:t>323</w:t>
            </w:r>
            <w:r>
              <w:rPr>
                <w:sz w:val="20"/>
                <w:szCs w:val="20"/>
              </w:rPr>
              <w:t xml:space="preserve">), and Derivatives and Hedging (Topic </w:t>
            </w:r>
            <w:r>
              <w:rPr>
                <w:rStyle w:val="a6"/>
                <w:sz w:val="20"/>
                <w:szCs w:val="20"/>
              </w:rPr>
              <w:t>815</w:t>
            </w:r>
            <w:r>
              <w:rPr>
                <w:sz w:val="20"/>
                <w:szCs w:val="20"/>
              </w:rPr>
              <w:t xml:space="preserve">)—Clarifying the Interactions between Topic </w:t>
            </w:r>
            <w:r>
              <w:rPr>
                <w:rStyle w:val="a6"/>
                <w:sz w:val="20"/>
                <w:szCs w:val="20"/>
              </w:rPr>
              <w:t>321,</w:t>
            </w:r>
            <w:r>
              <w:rPr>
                <w:sz w:val="20"/>
                <w:szCs w:val="20"/>
              </w:rPr>
              <w:t xml:space="preserve"> Topic </w:t>
            </w:r>
            <w:r>
              <w:rPr>
                <w:rStyle w:val="a6"/>
                <w:sz w:val="20"/>
                <w:szCs w:val="20"/>
              </w:rPr>
              <w:t>323,</w:t>
            </w:r>
            <w:r>
              <w:rPr>
                <w:sz w:val="20"/>
                <w:szCs w:val="20"/>
              </w:rPr>
              <w:t xml:space="preserve"> and Topic </w:t>
            </w:r>
            <w:r>
              <w:rPr>
                <w:rStyle w:val="a6"/>
                <w:sz w:val="20"/>
                <w:szCs w:val="20"/>
              </w:rPr>
              <w:t>815</w:t>
            </w:r>
            <w:r>
              <w:rPr>
                <w:sz w:val="20"/>
                <w:szCs w:val="20"/>
              </w:rPr>
              <w:t xml:space="preserve"> (a consensus of the Emerging Issues Tas</w:t>
            </w:r>
            <w:r>
              <w:rPr>
                <w:sz w:val="20"/>
                <w:szCs w:val="20"/>
              </w:rPr>
              <w:t>k Force)</w:t>
            </w:r>
          </w:p>
        </w:tc>
        <w:tc>
          <w:tcPr>
            <w:tcW w:w="50" w:type="pct"/>
            <w:tcBorders>
              <w:right w:val="single" w:sz="6" w:space="0" w:color="000000"/>
            </w:tcBorders>
            <w:shd w:val="clear" w:color="auto" w:fill="CCEEFF"/>
            <w:tcMar>
              <w:top w:w="45" w:type="dxa"/>
              <w:left w:w="45" w:type="dxa"/>
              <w:bottom w:w="45" w:type="dxa"/>
              <w:right w:w="45" w:type="dxa"/>
            </w:tcMar>
            <w:hideMark/>
          </w:tcPr>
          <w:p w14:paraId="702253B9"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tcMar>
              <w:top w:w="45" w:type="dxa"/>
              <w:left w:w="45" w:type="dxa"/>
              <w:bottom w:w="45" w:type="dxa"/>
              <w:right w:w="45" w:type="dxa"/>
            </w:tcMar>
            <w:hideMark/>
          </w:tcPr>
          <w:p w14:paraId="6FF2C6B5" w14:textId="77777777" w:rsidR="00000000" w:rsidRDefault="00847163">
            <w:pPr>
              <w:rPr>
                <w:rFonts w:eastAsia="Times New Roman"/>
                <w:sz w:val="20"/>
                <w:szCs w:val="20"/>
              </w:rPr>
            </w:pPr>
            <w:r>
              <w:rPr>
                <w:rFonts w:eastAsia="Times New Roman"/>
                <w:sz w:val="20"/>
                <w:szCs w:val="20"/>
              </w:rPr>
              <w:t> </w:t>
            </w:r>
          </w:p>
        </w:tc>
        <w:tc>
          <w:tcPr>
            <w:tcW w:w="2000" w:type="pct"/>
            <w:shd w:val="clear" w:color="auto" w:fill="CCEEFF"/>
            <w:tcMar>
              <w:top w:w="45" w:type="dxa"/>
              <w:left w:w="45" w:type="dxa"/>
              <w:bottom w:w="45" w:type="dxa"/>
              <w:right w:w="45" w:type="dxa"/>
            </w:tcMar>
            <w:hideMark/>
          </w:tcPr>
          <w:p w14:paraId="4FBDFA2D" w14:textId="77777777" w:rsidR="00000000" w:rsidRDefault="00847163">
            <w:pPr>
              <w:pStyle w:val="a3"/>
              <w:spacing w:before="0" w:beforeAutospacing="0" w:after="0" w:afterAutospacing="0"/>
              <w:jc w:val="both"/>
              <w:rPr>
                <w:sz w:val="20"/>
                <w:szCs w:val="20"/>
              </w:rPr>
            </w:pPr>
            <w:r>
              <w:rPr>
                <w:sz w:val="20"/>
                <w:szCs w:val="20"/>
              </w:rPr>
              <w:t xml:space="preserve">The amendments clarify the interaction between the accounting for equity securities, equity method investments, and certain derivative instruments. This ASU, among other things, clarifies that an entity should consider observable transactions </w:t>
            </w:r>
            <w:r>
              <w:rPr>
                <w:sz w:val="20"/>
                <w:szCs w:val="20"/>
              </w:rPr>
              <w:t xml:space="preserve">that require a company to either apply or discontinue the equity method of accounting under Topic </w:t>
            </w:r>
            <w:r>
              <w:rPr>
                <w:rStyle w:val="a6"/>
                <w:sz w:val="20"/>
                <w:szCs w:val="20"/>
              </w:rPr>
              <w:t>323</w:t>
            </w:r>
            <w:r>
              <w:rPr>
                <w:sz w:val="20"/>
                <w:szCs w:val="20"/>
              </w:rPr>
              <w:t xml:space="preserve"> for the purposes of applying the measurement alternative in accordance with Topic </w:t>
            </w:r>
            <w:r>
              <w:rPr>
                <w:rStyle w:val="a6"/>
                <w:sz w:val="20"/>
                <w:szCs w:val="20"/>
              </w:rPr>
              <w:t>321</w:t>
            </w:r>
            <w:r>
              <w:rPr>
                <w:sz w:val="20"/>
                <w:szCs w:val="20"/>
              </w:rPr>
              <w:t xml:space="preserve"> immediately before applying or upon discontinuing the equity method.</w:t>
            </w:r>
          </w:p>
        </w:tc>
        <w:tc>
          <w:tcPr>
            <w:tcW w:w="50" w:type="pct"/>
            <w:tcBorders>
              <w:right w:val="single" w:sz="6" w:space="0" w:color="000000"/>
            </w:tcBorders>
            <w:shd w:val="clear" w:color="auto" w:fill="CCEEFF"/>
            <w:hideMark/>
          </w:tcPr>
          <w:p w14:paraId="463363E5"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hideMark/>
          </w:tcPr>
          <w:p w14:paraId="3C8C0FF9" w14:textId="77777777" w:rsidR="00000000" w:rsidRDefault="00847163">
            <w:pPr>
              <w:rPr>
                <w:rFonts w:eastAsia="Times New Roman"/>
                <w:sz w:val="20"/>
                <w:szCs w:val="20"/>
              </w:rPr>
            </w:pPr>
            <w:r>
              <w:rPr>
                <w:rFonts w:eastAsia="Times New Roman"/>
                <w:sz w:val="20"/>
                <w:szCs w:val="20"/>
              </w:rPr>
              <w:t> </w:t>
            </w:r>
          </w:p>
        </w:tc>
        <w:tc>
          <w:tcPr>
            <w:tcW w:w="700" w:type="pct"/>
            <w:shd w:val="clear" w:color="auto" w:fill="CCEEFF"/>
            <w:hideMark/>
          </w:tcPr>
          <w:p w14:paraId="644D9DBE" w14:textId="77777777" w:rsidR="00000000" w:rsidRDefault="00847163">
            <w:pPr>
              <w:pStyle w:val="a3"/>
              <w:spacing w:before="0" w:beforeAutospacing="0" w:after="0" w:afterAutospacing="0"/>
              <w:jc w:val="center"/>
              <w:rPr>
                <w:sz w:val="20"/>
                <w:szCs w:val="20"/>
              </w:rPr>
            </w:pPr>
            <w:r>
              <w:rPr>
                <w:rStyle w:val="a6"/>
                <w:sz w:val="20"/>
                <w:szCs w:val="20"/>
              </w:rPr>
              <w:t xml:space="preserve">January 1, 2021; </w:t>
            </w:r>
            <w:r>
              <w:rPr>
                <w:sz w:val="20"/>
                <w:szCs w:val="20"/>
              </w:rPr>
              <w:t>Early adoption permitted</w:t>
            </w:r>
          </w:p>
        </w:tc>
        <w:tc>
          <w:tcPr>
            <w:tcW w:w="50" w:type="pct"/>
            <w:tcBorders>
              <w:right w:val="single" w:sz="6" w:space="0" w:color="000000"/>
            </w:tcBorders>
            <w:shd w:val="clear" w:color="auto" w:fill="CCEEFF"/>
            <w:hideMark/>
          </w:tcPr>
          <w:p w14:paraId="10A97D82"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hideMark/>
          </w:tcPr>
          <w:p w14:paraId="5140A4E4" w14:textId="77777777" w:rsidR="00000000" w:rsidRDefault="00847163">
            <w:pPr>
              <w:rPr>
                <w:rFonts w:eastAsia="Times New Roman"/>
                <w:sz w:val="20"/>
                <w:szCs w:val="20"/>
              </w:rPr>
            </w:pPr>
            <w:r>
              <w:rPr>
                <w:rFonts w:eastAsia="Times New Roman"/>
                <w:sz w:val="20"/>
                <w:szCs w:val="20"/>
              </w:rPr>
              <w:t> </w:t>
            </w:r>
          </w:p>
        </w:tc>
        <w:tc>
          <w:tcPr>
            <w:tcW w:w="900" w:type="pct"/>
            <w:shd w:val="clear" w:color="auto" w:fill="CCEEFF"/>
            <w:hideMark/>
          </w:tcPr>
          <w:p w14:paraId="38028F4D" w14:textId="77777777" w:rsidR="00000000" w:rsidRDefault="00847163">
            <w:pPr>
              <w:pStyle w:val="a3"/>
              <w:spacing w:before="0" w:beforeAutospacing="0" w:after="0" w:afterAutospacing="0"/>
              <w:rPr>
                <w:sz w:val="20"/>
                <w:szCs w:val="20"/>
              </w:rPr>
            </w:pPr>
            <w:r>
              <w:rPr>
                <w:sz w:val="20"/>
                <w:szCs w:val="20"/>
              </w:rPr>
              <w:t xml:space="preserve">The adoption of this ASU is </w:t>
            </w:r>
            <w:r>
              <w:rPr>
                <w:rStyle w:val="a6"/>
                <w:sz w:val="20"/>
                <w:szCs w:val="20"/>
              </w:rPr>
              <w:t>not</w:t>
            </w:r>
            <w:r>
              <w:rPr>
                <w:sz w:val="20"/>
                <w:szCs w:val="20"/>
              </w:rPr>
              <w:t xml:space="preserve"> expected to have a material impact on the Company’s financial position and/or results of operations.</w:t>
            </w:r>
          </w:p>
        </w:tc>
        <w:tc>
          <w:tcPr>
            <w:tcW w:w="50" w:type="pct"/>
            <w:shd w:val="clear" w:color="auto" w:fill="CCEEFF"/>
            <w:hideMark/>
          </w:tcPr>
          <w:p w14:paraId="554059F5" w14:textId="77777777" w:rsidR="00000000" w:rsidRDefault="00847163">
            <w:pPr>
              <w:rPr>
                <w:rFonts w:eastAsia="Times New Roman"/>
                <w:sz w:val="20"/>
                <w:szCs w:val="20"/>
              </w:rPr>
            </w:pPr>
            <w:r>
              <w:rPr>
                <w:rFonts w:eastAsia="Times New Roman"/>
                <w:sz w:val="20"/>
                <w:szCs w:val="20"/>
              </w:rPr>
              <w:t> </w:t>
            </w:r>
          </w:p>
        </w:tc>
      </w:tr>
    </w:tbl>
    <w:p w14:paraId="322DA598" w14:textId="77777777" w:rsidR="00000000" w:rsidRDefault="00847163">
      <w:pPr>
        <w:pStyle w:val="a3"/>
        <w:spacing w:before="0" w:beforeAutospacing="0" w:after="0" w:afterAutospacing="0"/>
        <w:ind w:firstLine="360"/>
        <w:jc w:val="both"/>
        <w:rPr>
          <w:sz w:val="20"/>
          <w:szCs w:val="20"/>
        </w:rPr>
      </w:pPr>
      <w:r>
        <w:rPr>
          <w:sz w:val="20"/>
          <w:szCs w:val="20"/>
        </w:rPr>
        <w:t> </w:t>
      </w:r>
    </w:p>
    <w:p w14:paraId="1C36962E" w14:textId="77777777" w:rsidR="00000000" w:rsidRDefault="00847163">
      <w:pPr>
        <w:pStyle w:val="a3"/>
        <w:spacing w:before="0" w:beforeAutospacing="0" w:after="0" w:afterAutospacing="0"/>
        <w:ind w:left="360"/>
        <w:jc w:val="both"/>
        <w:rPr>
          <w:sz w:val="20"/>
          <w:szCs w:val="20"/>
        </w:rPr>
      </w:pPr>
      <w:r>
        <w:rPr>
          <w:sz w:val="20"/>
          <w:szCs w:val="20"/>
        </w:rPr>
        <w:t>The following ASUs to the FASB’s ASC have been adopted by the Compa</w:t>
      </w:r>
      <w:r>
        <w:rPr>
          <w:sz w:val="20"/>
          <w:szCs w:val="20"/>
        </w:rPr>
        <w:t>ny as of the date listed:</w:t>
      </w:r>
    </w:p>
    <w:p w14:paraId="752C3401" w14:textId="77777777" w:rsidR="00000000" w:rsidRDefault="00847163">
      <w:pPr>
        <w:pStyle w:val="a3"/>
        <w:spacing w:before="0" w:beforeAutospacing="0" w:after="0" w:afterAutospacing="0"/>
        <w:rPr>
          <w:sz w:val="20"/>
          <w:szCs w:val="20"/>
        </w:rPr>
      </w:pPr>
      <w:r>
        <w:rPr>
          <w:i/>
          <w:iCs/>
          <w:sz w:val="20"/>
          <w:szCs w:val="20"/>
        </w:rPr>
        <w:t> </w:t>
      </w:r>
    </w:p>
    <w:tbl>
      <w:tblPr>
        <w:tblW w:w="5000" w:type="pct"/>
        <w:tblCellSpacing w:w="0" w:type="dxa"/>
        <w:tblBorders>
          <w:top w:val="single" w:sz="6" w:space="0" w:color="000000"/>
          <w:left w:val="single" w:sz="6" w:space="0" w:color="000000"/>
          <w:bottom w:val="single" w:sz="6" w:space="0" w:color="000000"/>
          <w:right w:val="single" w:sz="6" w:space="0" w:color="000000"/>
        </w:tblBorders>
        <w:tblCellMar>
          <w:top w:w="36" w:type="dxa"/>
          <w:left w:w="36" w:type="dxa"/>
          <w:bottom w:w="36" w:type="dxa"/>
          <w:right w:w="36" w:type="dxa"/>
        </w:tblCellMar>
        <w:tblLook w:val="04A0" w:firstRow="1" w:lastRow="0" w:firstColumn="1" w:lastColumn="0" w:noHBand="0" w:noVBand="1"/>
      </w:tblPr>
      <w:tblGrid>
        <w:gridCol w:w="137"/>
        <w:gridCol w:w="1917"/>
        <w:gridCol w:w="137"/>
        <w:gridCol w:w="122"/>
        <w:gridCol w:w="3100"/>
        <w:gridCol w:w="137"/>
        <w:gridCol w:w="122"/>
        <w:gridCol w:w="1150"/>
        <w:gridCol w:w="137"/>
        <w:gridCol w:w="122"/>
        <w:gridCol w:w="1072"/>
        <w:gridCol w:w="137"/>
      </w:tblGrid>
      <w:tr w:rsidR="00000000" w14:paraId="0D098EA1" w14:textId="77777777">
        <w:trPr>
          <w:tblCellSpacing w:w="0" w:type="dxa"/>
        </w:trPr>
        <w:tc>
          <w:tcPr>
            <w:tcW w:w="50" w:type="pct"/>
            <w:tcBorders>
              <w:bottom w:val="single" w:sz="6" w:space="0" w:color="000000"/>
            </w:tcBorders>
            <w:vAlign w:val="bottom"/>
            <w:hideMark/>
          </w:tcPr>
          <w:p w14:paraId="3BD40DA3" w14:textId="77777777" w:rsidR="00000000" w:rsidRDefault="00847163">
            <w:pPr>
              <w:rPr>
                <w:rFonts w:eastAsia="Times New Roman"/>
                <w:sz w:val="20"/>
                <w:szCs w:val="20"/>
              </w:rPr>
            </w:pPr>
            <w:r>
              <w:rPr>
                <w:rFonts w:eastAsia="Times New Roman"/>
                <w:sz w:val="20"/>
                <w:szCs w:val="20"/>
              </w:rPr>
              <w:t> </w:t>
            </w:r>
          </w:p>
        </w:tc>
        <w:tc>
          <w:tcPr>
            <w:tcW w:w="1000" w:type="pct"/>
            <w:tcBorders>
              <w:bottom w:val="single" w:sz="6" w:space="0" w:color="000000"/>
            </w:tcBorders>
            <w:vAlign w:val="bottom"/>
            <w:hideMark/>
          </w:tcPr>
          <w:p w14:paraId="511C090B" w14:textId="77777777" w:rsidR="00000000" w:rsidRDefault="00847163">
            <w:pPr>
              <w:pStyle w:val="a3"/>
              <w:spacing w:before="0" w:beforeAutospacing="0" w:after="0" w:afterAutospacing="0"/>
              <w:jc w:val="center"/>
              <w:rPr>
                <w:sz w:val="20"/>
                <w:szCs w:val="20"/>
              </w:rPr>
            </w:pPr>
            <w:r>
              <w:rPr>
                <w:b/>
                <w:bCs/>
                <w:sz w:val="20"/>
                <w:szCs w:val="20"/>
              </w:rPr>
              <w:t>ASU</w:t>
            </w:r>
          </w:p>
        </w:tc>
        <w:tc>
          <w:tcPr>
            <w:tcW w:w="50" w:type="pct"/>
            <w:tcBorders>
              <w:bottom w:val="single" w:sz="6" w:space="0" w:color="000000"/>
              <w:right w:val="single" w:sz="6" w:space="0" w:color="000000"/>
            </w:tcBorders>
            <w:vAlign w:val="bottom"/>
            <w:hideMark/>
          </w:tcPr>
          <w:p w14:paraId="3B93DB3D" w14:textId="77777777" w:rsidR="00000000" w:rsidRDefault="00847163">
            <w:pPr>
              <w:rPr>
                <w:rFonts w:eastAsia="Times New Roman"/>
                <w:sz w:val="20"/>
                <w:szCs w:val="20"/>
              </w:rPr>
            </w:pPr>
            <w:r>
              <w:rPr>
                <w:rFonts w:eastAsia="Times New Roman"/>
                <w:sz w:val="20"/>
                <w:szCs w:val="20"/>
              </w:rPr>
              <w:t> </w:t>
            </w:r>
          </w:p>
        </w:tc>
        <w:tc>
          <w:tcPr>
            <w:tcW w:w="50" w:type="pct"/>
            <w:tcBorders>
              <w:bottom w:val="single" w:sz="6" w:space="0" w:color="000000"/>
            </w:tcBorders>
            <w:vAlign w:val="bottom"/>
            <w:hideMark/>
          </w:tcPr>
          <w:p w14:paraId="324E90BF" w14:textId="77777777" w:rsidR="00000000" w:rsidRDefault="00847163">
            <w:pPr>
              <w:rPr>
                <w:rFonts w:eastAsia="Times New Roman"/>
                <w:sz w:val="20"/>
                <w:szCs w:val="20"/>
              </w:rPr>
            </w:pPr>
            <w:r>
              <w:rPr>
                <w:rFonts w:eastAsia="Times New Roman"/>
                <w:sz w:val="20"/>
                <w:szCs w:val="20"/>
              </w:rPr>
              <w:t> </w:t>
            </w:r>
          </w:p>
        </w:tc>
        <w:tc>
          <w:tcPr>
            <w:tcW w:w="2000" w:type="pct"/>
            <w:tcBorders>
              <w:bottom w:val="single" w:sz="6" w:space="0" w:color="000000"/>
            </w:tcBorders>
            <w:vAlign w:val="bottom"/>
            <w:hideMark/>
          </w:tcPr>
          <w:p w14:paraId="0B13C436" w14:textId="77777777" w:rsidR="00000000" w:rsidRDefault="00847163">
            <w:pPr>
              <w:pStyle w:val="a3"/>
              <w:spacing w:before="0" w:beforeAutospacing="0" w:after="0" w:afterAutospacing="0"/>
              <w:jc w:val="center"/>
              <w:rPr>
                <w:sz w:val="20"/>
                <w:szCs w:val="20"/>
              </w:rPr>
            </w:pPr>
            <w:r>
              <w:rPr>
                <w:b/>
                <w:bCs/>
                <w:sz w:val="20"/>
                <w:szCs w:val="20"/>
              </w:rPr>
              <w:t>Description</w:t>
            </w:r>
          </w:p>
        </w:tc>
        <w:tc>
          <w:tcPr>
            <w:tcW w:w="50" w:type="pct"/>
            <w:tcBorders>
              <w:bottom w:val="single" w:sz="6" w:space="0" w:color="000000"/>
              <w:right w:val="single" w:sz="6" w:space="0" w:color="000000"/>
            </w:tcBorders>
            <w:vAlign w:val="bottom"/>
            <w:hideMark/>
          </w:tcPr>
          <w:p w14:paraId="105AF069" w14:textId="77777777" w:rsidR="00000000" w:rsidRDefault="00847163">
            <w:pPr>
              <w:rPr>
                <w:rFonts w:eastAsia="Times New Roman"/>
                <w:sz w:val="20"/>
                <w:szCs w:val="20"/>
              </w:rPr>
            </w:pPr>
            <w:r>
              <w:rPr>
                <w:rFonts w:eastAsia="Times New Roman"/>
                <w:sz w:val="20"/>
                <w:szCs w:val="20"/>
              </w:rPr>
              <w:t> </w:t>
            </w:r>
          </w:p>
        </w:tc>
        <w:tc>
          <w:tcPr>
            <w:tcW w:w="50" w:type="pct"/>
            <w:tcBorders>
              <w:bottom w:val="single" w:sz="6" w:space="0" w:color="000000"/>
            </w:tcBorders>
            <w:vAlign w:val="bottom"/>
            <w:hideMark/>
          </w:tcPr>
          <w:p w14:paraId="0BC5A6BE" w14:textId="77777777" w:rsidR="00000000" w:rsidRDefault="00847163">
            <w:pPr>
              <w:rPr>
                <w:rFonts w:eastAsia="Times New Roman"/>
                <w:sz w:val="20"/>
                <w:szCs w:val="20"/>
              </w:rPr>
            </w:pPr>
            <w:r>
              <w:rPr>
                <w:rFonts w:eastAsia="Times New Roman"/>
                <w:sz w:val="20"/>
                <w:szCs w:val="20"/>
              </w:rPr>
              <w:t> </w:t>
            </w:r>
          </w:p>
        </w:tc>
        <w:tc>
          <w:tcPr>
            <w:tcW w:w="700" w:type="pct"/>
            <w:tcBorders>
              <w:bottom w:val="single" w:sz="6" w:space="0" w:color="000000"/>
            </w:tcBorders>
            <w:vAlign w:val="bottom"/>
            <w:hideMark/>
          </w:tcPr>
          <w:p w14:paraId="389A7C26" w14:textId="77777777" w:rsidR="00000000" w:rsidRDefault="00847163">
            <w:pPr>
              <w:pStyle w:val="a3"/>
              <w:spacing w:before="0" w:beforeAutospacing="0" w:after="0" w:afterAutospacing="0"/>
              <w:jc w:val="center"/>
              <w:rPr>
                <w:sz w:val="20"/>
                <w:szCs w:val="20"/>
              </w:rPr>
            </w:pPr>
            <w:r>
              <w:rPr>
                <w:b/>
                <w:bCs/>
                <w:sz w:val="20"/>
                <w:szCs w:val="20"/>
              </w:rPr>
              <w:t>Adoption</w:t>
            </w:r>
          </w:p>
          <w:p w14:paraId="19998F54" w14:textId="77777777" w:rsidR="00000000" w:rsidRDefault="00847163">
            <w:pPr>
              <w:pStyle w:val="a3"/>
              <w:spacing w:before="0" w:beforeAutospacing="0" w:after="0" w:afterAutospacing="0"/>
              <w:jc w:val="center"/>
              <w:rPr>
                <w:sz w:val="20"/>
                <w:szCs w:val="20"/>
              </w:rPr>
            </w:pPr>
            <w:r>
              <w:rPr>
                <w:b/>
                <w:bCs/>
                <w:sz w:val="20"/>
                <w:szCs w:val="20"/>
              </w:rPr>
              <w:t>Date</w:t>
            </w:r>
          </w:p>
        </w:tc>
        <w:tc>
          <w:tcPr>
            <w:tcW w:w="50" w:type="pct"/>
            <w:tcBorders>
              <w:bottom w:val="single" w:sz="6" w:space="0" w:color="000000"/>
              <w:right w:val="single" w:sz="6" w:space="0" w:color="000000"/>
            </w:tcBorders>
            <w:vAlign w:val="bottom"/>
            <w:hideMark/>
          </w:tcPr>
          <w:p w14:paraId="331C54F8" w14:textId="77777777" w:rsidR="00000000" w:rsidRDefault="00847163">
            <w:pPr>
              <w:rPr>
                <w:rFonts w:eastAsia="Times New Roman"/>
                <w:sz w:val="20"/>
                <w:szCs w:val="20"/>
              </w:rPr>
            </w:pPr>
            <w:r>
              <w:rPr>
                <w:rFonts w:eastAsia="Times New Roman"/>
                <w:sz w:val="20"/>
                <w:szCs w:val="20"/>
              </w:rPr>
              <w:t> </w:t>
            </w:r>
          </w:p>
        </w:tc>
        <w:tc>
          <w:tcPr>
            <w:tcW w:w="50" w:type="pct"/>
            <w:tcBorders>
              <w:bottom w:val="single" w:sz="6" w:space="0" w:color="000000"/>
            </w:tcBorders>
            <w:vAlign w:val="bottom"/>
            <w:hideMark/>
          </w:tcPr>
          <w:p w14:paraId="60F4848F" w14:textId="77777777" w:rsidR="00000000" w:rsidRDefault="00847163">
            <w:pPr>
              <w:rPr>
                <w:rFonts w:eastAsia="Times New Roman"/>
                <w:sz w:val="20"/>
                <w:szCs w:val="20"/>
              </w:rPr>
            </w:pPr>
            <w:r>
              <w:rPr>
                <w:rFonts w:eastAsia="Times New Roman"/>
                <w:sz w:val="20"/>
                <w:szCs w:val="20"/>
              </w:rPr>
              <w:t> </w:t>
            </w:r>
          </w:p>
        </w:tc>
        <w:tc>
          <w:tcPr>
            <w:tcW w:w="900" w:type="pct"/>
            <w:tcBorders>
              <w:bottom w:val="single" w:sz="6" w:space="0" w:color="000000"/>
            </w:tcBorders>
            <w:vAlign w:val="bottom"/>
            <w:hideMark/>
          </w:tcPr>
          <w:p w14:paraId="1F8E5351" w14:textId="77777777" w:rsidR="00000000" w:rsidRDefault="00847163">
            <w:pPr>
              <w:pStyle w:val="a3"/>
              <w:spacing w:before="0" w:beforeAutospacing="0" w:after="0" w:afterAutospacing="0"/>
              <w:jc w:val="center"/>
              <w:rPr>
                <w:sz w:val="20"/>
                <w:szCs w:val="20"/>
              </w:rPr>
            </w:pPr>
            <w:r>
              <w:rPr>
                <w:b/>
                <w:bCs/>
                <w:sz w:val="20"/>
                <w:szCs w:val="20"/>
              </w:rPr>
              <w:t xml:space="preserve">Effect on the financial </w:t>
            </w:r>
          </w:p>
          <w:p w14:paraId="321F1D73" w14:textId="77777777" w:rsidR="00000000" w:rsidRDefault="00847163">
            <w:pPr>
              <w:pStyle w:val="a3"/>
              <w:spacing w:before="0" w:beforeAutospacing="0" w:after="0" w:afterAutospacing="0"/>
              <w:jc w:val="center"/>
              <w:rPr>
                <w:sz w:val="20"/>
                <w:szCs w:val="20"/>
              </w:rPr>
            </w:pPr>
            <w:r>
              <w:rPr>
                <w:b/>
                <w:bCs/>
                <w:sz w:val="20"/>
                <w:szCs w:val="20"/>
              </w:rPr>
              <w:t xml:space="preserve">statements or other </w:t>
            </w:r>
          </w:p>
          <w:p w14:paraId="6EB98224" w14:textId="77777777" w:rsidR="00000000" w:rsidRDefault="00847163">
            <w:pPr>
              <w:pStyle w:val="a3"/>
              <w:spacing w:before="0" w:beforeAutospacing="0" w:after="0" w:afterAutospacing="0"/>
              <w:jc w:val="center"/>
              <w:rPr>
                <w:sz w:val="20"/>
                <w:szCs w:val="20"/>
              </w:rPr>
            </w:pPr>
            <w:r>
              <w:rPr>
                <w:b/>
                <w:bCs/>
                <w:sz w:val="20"/>
                <w:szCs w:val="20"/>
              </w:rPr>
              <w:t>significant matters</w:t>
            </w:r>
          </w:p>
        </w:tc>
        <w:tc>
          <w:tcPr>
            <w:tcW w:w="50" w:type="pct"/>
            <w:tcBorders>
              <w:bottom w:val="single" w:sz="6" w:space="0" w:color="000000"/>
            </w:tcBorders>
            <w:vAlign w:val="bottom"/>
            <w:hideMark/>
          </w:tcPr>
          <w:p w14:paraId="5DC29636" w14:textId="77777777" w:rsidR="00000000" w:rsidRDefault="00847163">
            <w:pPr>
              <w:rPr>
                <w:rFonts w:eastAsia="Times New Roman"/>
                <w:sz w:val="20"/>
                <w:szCs w:val="20"/>
              </w:rPr>
            </w:pPr>
            <w:r>
              <w:rPr>
                <w:rFonts w:eastAsia="Times New Roman"/>
                <w:sz w:val="20"/>
                <w:szCs w:val="20"/>
              </w:rPr>
              <w:t> </w:t>
            </w:r>
          </w:p>
        </w:tc>
      </w:tr>
      <w:tr w:rsidR="00000000" w14:paraId="5ACC1ADD" w14:textId="77777777">
        <w:trPr>
          <w:tblCellSpacing w:w="0" w:type="dxa"/>
        </w:trPr>
        <w:tc>
          <w:tcPr>
            <w:tcW w:w="50" w:type="pct"/>
            <w:tcBorders>
              <w:bottom w:val="single" w:sz="6" w:space="0" w:color="000000"/>
            </w:tcBorders>
            <w:shd w:val="clear" w:color="auto" w:fill="CCEEFF"/>
            <w:hideMark/>
          </w:tcPr>
          <w:p w14:paraId="42B17760" w14:textId="77777777" w:rsidR="00000000" w:rsidRDefault="00847163">
            <w:pPr>
              <w:rPr>
                <w:rFonts w:eastAsia="Times New Roman"/>
                <w:sz w:val="20"/>
                <w:szCs w:val="20"/>
              </w:rPr>
            </w:pPr>
            <w:r>
              <w:rPr>
                <w:rFonts w:eastAsia="Times New Roman"/>
                <w:sz w:val="20"/>
                <w:szCs w:val="20"/>
              </w:rPr>
              <w:t> </w:t>
            </w:r>
          </w:p>
        </w:tc>
        <w:tc>
          <w:tcPr>
            <w:tcW w:w="1000" w:type="pct"/>
            <w:tcBorders>
              <w:bottom w:val="single" w:sz="6" w:space="0" w:color="000000"/>
            </w:tcBorders>
            <w:shd w:val="clear" w:color="auto" w:fill="CCEEFF"/>
            <w:hideMark/>
          </w:tcPr>
          <w:p w14:paraId="2D3D8341" w14:textId="77777777" w:rsidR="00000000" w:rsidRDefault="00847163">
            <w:pPr>
              <w:pStyle w:val="a3"/>
              <w:spacing w:before="0" w:beforeAutospacing="0" w:after="0" w:afterAutospacing="0"/>
              <w:rPr>
                <w:sz w:val="20"/>
                <w:szCs w:val="20"/>
              </w:rPr>
            </w:pPr>
            <w:r>
              <w:rPr>
                <w:sz w:val="20"/>
                <w:szCs w:val="20"/>
              </w:rPr>
              <w:t xml:space="preserve">ASU </w:t>
            </w:r>
            <w:r>
              <w:rPr>
                <w:rStyle w:val="a6"/>
                <w:sz w:val="20"/>
                <w:szCs w:val="20"/>
              </w:rPr>
              <w:t>2020</w:t>
            </w:r>
            <w:r>
              <w:rPr>
                <w:sz w:val="20"/>
                <w:szCs w:val="20"/>
              </w:rPr>
              <w:t>-</w:t>
            </w:r>
            <w:r>
              <w:rPr>
                <w:rStyle w:val="a6"/>
                <w:sz w:val="20"/>
                <w:szCs w:val="20"/>
              </w:rPr>
              <w:t>03,</w:t>
            </w:r>
            <w:r>
              <w:rPr>
                <w:sz w:val="20"/>
                <w:szCs w:val="20"/>
              </w:rPr>
              <w:t xml:space="preserve"> Codification Improvements to Financial Instruments</w:t>
            </w:r>
          </w:p>
        </w:tc>
        <w:tc>
          <w:tcPr>
            <w:tcW w:w="50" w:type="pct"/>
            <w:tcBorders>
              <w:bottom w:val="single" w:sz="6" w:space="0" w:color="000000"/>
              <w:right w:val="single" w:sz="6" w:space="0" w:color="000000"/>
            </w:tcBorders>
            <w:shd w:val="clear" w:color="auto" w:fill="CCEEFF"/>
            <w:hideMark/>
          </w:tcPr>
          <w:p w14:paraId="2BE1253D" w14:textId="77777777" w:rsidR="00000000" w:rsidRDefault="0084716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hideMark/>
          </w:tcPr>
          <w:p w14:paraId="775E59B7" w14:textId="77777777" w:rsidR="00000000" w:rsidRDefault="00847163">
            <w:pPr>
              <w:rPr>
                <w:rFonts w:eastAsia="Times New Roman"/>
                <w:sz w:val="20"/>
                <w:szCs w:val="20"/>
              </w:rPr>
            </w:pPr>
            <w:r>
              <w:rPr>
                <w:rFonts w:eastAsia="Times New Roman"/>
                <w:sz w:val="20"/>
                <w:szCs w:val="20"/>
              </w:rPr>
              <w:t> </w:t>
            </w:r>
          </w:p>
        </w:tc>
        <w:tc>
          <w:tcPr>
            <w:tcW w:w="2000" w:type="pct"/>
            <w:tcBorders>
              <w:bottom w:val="single" w:sz="6" w:space="0" w:color="000000"/>
            </w:tcBorders>
            <w:shd w:val="clear" w:color="auto" w:fill="CCEEFF"/>
            <w:hideMark/>
          </w:tcPr>
          <w:p w14:paraId="79A4C966" w14:textId="77777777" w:rsidR="00000000" w:rsidRDefault="00847163">
            <w:pPr>
              <w:pStyle w:val="a3"/>
              <w:spacing w:before="0" w:beforeAutospacing="0" w:after="0" w:afterAutospacing="0"/>
              <w:jc w:val="both"/>
              <w:rPr>
                <w:sz w:val="20"/>
                <w:szCs w:val="20"/>
              </w:rPr>
            </w:pPr>
            <w:r>
              <w:rPr>
                <w:sz w:val="20"/>
                <w:szCs w:val="20"/>
              </w:rPr>
              <w:t xml:space="preserve">This ASU improves and clarifies various financial instruments topics. The ASU includes </w:t>
            </w:r>
            <w:r>
              <w:rPr>
                <w:rStyle w:val="a6"/>
                <w:sz w:val="20"/>
                <w:szCs w:val="20"/>
              </w:rPr>
              <w:t>seven</w:t>
            </w:r>
            <w:r>
              <w:rPr>
                <w:sz w:val="20"/>
                <w:szCs w:val="20"/>
              </w:rPr>
              <w:t xml:space="preserve"> different issues that describe the areas of improvement and the related amendments to GAAP, intended to make the standards easier to understand and apply by elimin</w:t>
            </w:r>
            <w:r>
              <w:rPr>
                <w:sz w:val="20"/>
                <w:szCs w:val="20"/>
              </w:rPr>
              <w:t>ating inconsistencies and providing clarifications.</w:t>
            </w:r>
          </w:p>
        </w:tc>
        <w:tc>
          <w:tcPr>
            <w:tcW w:w="50" w:type="pct"/>
            <w:tcBorders>
              <w:bottom w:val="single" w:sz="6" w:space="0" w:color="000000"/>
              <w:right w:val="single" w:sz="6" w:space="0" w:color="000000"/>
            </w:tcBorders>
            <w:shd w:val="clear" w:color="auto" w:fill="CCEEFF"/>
            <w:hideMark/>
          </w:tcPr>
          <w:p w14:paraId="41CF3B13" w14:textId="77777777" w:rsidR="00000000" w:rsidRDefault="0084716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hideMark/>
          </w:tcPr>
          <w:p w14:paraId="461A2CD5" w14:textId="77777777" w:rsidR="00000000" w:rsidRDefault="00847163">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hideMark/>
          </w:tcPr>
          <w:p w14:paraId="7536B48D" w14:textId="77777777" w:rsidR="00000000" w:rsidRDefault="00847163">
            <w:pPr>
              <w:pStyle w:val="a3"/>
              <w:spacing w:before="0" w:beforeAutospacing="0" w:after="0" w:afterAutospacing="0"/>
              <w:jc w:val="center"/>
              <w:rPr>
                <w:sz w:val="20"/>
                <w:szCs w:val="20"/>
              </w:rPr>
            </w:pPr>
            <w:r>
              <w:rPr>
                <w:sz w:val="20"/>
                <w:szCs w:val="20"/>
              </w:rPr>
              <w:t xml:space="preserve">The amendment is divided into issues </w:t>
            </w:r>
            <w:r>
              <w:rPr>
                <w:rStyle w:val="a6"/>
                <w:sz w:val="20"/>
                <w:szCs w:val="20"/>
              </w:rPr>
              <w:t>1</w:t>
            </w:r>
            <w:r>
              <w:rPr>
                <w:sz w:val="20"/>
                <w:szCs w:val="20"/>
              </w:rPr>
              <w:t xml:space="preserve"> to </w:t>
            </w:r>
            <w:r>
              <w:rPr>
                <w:rStyle w:val="a6"/>
                <w:sz w:val="20"/>
                <w:szCs w:val="20"/>
              </w:rPr>
              <w:t>7</w:t>
            </w:r>
            <w:r>
              <w:rPr>
                <w:sz w:val="20"/>
                <w:szCs w:val="20"/>
              </w:rPr>
              <w:t xml:space="preserve"> with different effective dates.</w:t>
            </w:r>
          </w:p>
        </w:tc>
        <w:tc>
          <w:tcPr>
            <w:tcW w:w="50" w:type="pct"/>
            <w:tcBorders>
              <w:bottom w:val="single" w:sz="6" w:space="0" w:color="000000"/>
              <w:right w:val="single" w:sz="6" w:space="0" w:color="000000"/>
            </w:tcBorders>
            <w:shd w:val="clear" w:color="auto" w:fill="CCEEFF"/>
            <w:hideMark/>
          </w:tcPr>
          <w:p w14:paraId="4EB988DF" w14:textId="77777777" w:rsidR="00000000" w:rsidRDefault="0084716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hideMark/>
          </w:tcPr>
          <w:p w14:paraId="3EC4B265" w14:textId="77777777" w:rsidR="00000000" w:rsidRDefault="00847163">
            <w:pPr>
              <w:rPr>
                <w:rFonts w:eastAsia="Times New Roman"/>
                <w:sz w:val="20"/>
                <w:szCs w:val="20"/>
              </w:rPr>
            </w:pPr>
            <w:r>
              <w:rPr>
                <w:rFonts w:eastAsia="Times New Roman"/>
                <w:sz w:val="20"/>
                <w:szCs w:val="20"/>
              </w:rPr>
              <w:t> </w:t>
            </w:r>
          </w:p>
        </w:tc>
        <w:tc>
          <w:tcPr>
            <w:tcW w:w="900" w:type="pct"/>
            <w:tcBorders>
              <w:bottom w:val="single" w:sz="6" w:space="0" w:color="000000"/>
            </w:tcBorders>
            <w:shd w:val="clear" w:color="auto" w:fill="CCEEFF"/>
            <w:hideMark/>
          </w:tcPr>
          <w:p w14:paraId="1AFCAF4D" w14:textId="77777777" w:rsidR="00000000" w:rsidRDefault="00847163">
            <w:pPr>
              <w:pStyle w:val="a3"/>
              <w:spacing w:before="0" w:beforeAutospacing="0" w:after="0" w:afterAutospacing="0"/>
              <w:rPr>
                <w:sz w:val="20"/>
                <w:szCs w:val="20"/>
              </w:rPr>
            </w:pPr>
            <w:r>
              <w:rPr>
                <w:sz w:val="20"/>
                <w:szCs w:val="20"/>
              </w:rPr>
              <w:t xml:space="preserve">The Company adopted issues </w:t>
            </w:r>
            <w:r>
              <w:rPr>
                <w:rStyle w:val="a6"/>
                <w:sz w:val="20"/>
                <w:szCs w:val="20"/>
              </w:rPr>
              <w:t>1</w:t>
            </w:r>
            <w:r>
              <w:rPr>
                <w:sz w:val="20"/>
                <w:szCs w:val="20"/>
              </w:rPr>
              <w:t>-</w:t>
            </w:r>
            <w:r>
              <w:rPr>
                <w:rStyle w:val="a6"/>
                <w:sz w:val="20"/>
                <w:szCs w:val="20"/>
              </w:rPr>
              <w:t>7</w:t>
            </w:r>
            <w:r>
              <w:rPr>
                <w:sz w:val="20"/>
                <w:szCs w:val="20"/>
              </w:rPr>
              <w:t xml:space="preserve"> of this ASU, the adoption did </w:t>
            </w:r>
            <w:r>
              <w:rPr>
                <w:rStyle w:val="a6"/>
                <w:sz w:val="20"/>
                <w:szCs w:val="20"/>
              </w:rPr>
              <w:t>not</w:t>
            </w:r>
            <w:r>
              <w:rPr>
                <w:sz w:val="20"/>
                <w:szCs w:val="20"/>
              </w:rPr>
              <w:t xml:space="preserve"> have a material impact on the Company’s financial posit</w:t>
            </w:r>
            <w:r>
              <w:rPr>
                <w:sz w:val="20"/>
                <w:szCs w:val="20"/>
              </w:rPr>
              <w:t>ion and/or results of operations.</w:t>
            </w:r>
          </w:p>
        </w:tc>
        <w:tc>
          <w:tcPr>
            <w:tcW w:w="50" w:type="pct"/>
            <w:tcBorders>
              <w:bottom w:val="single" w:sz="6" w:space="0" w:color="000000"/>
            </w:tcBorders>
            <w:shd w:val="clear" w:color="auto" w:fill="CCEEFF"/>
            <w:hideMark/>
          </w:tcPr>
          <w:p w14:paraId="6ADDD1F2" w14:textId="77777777" w:rsidR="00000000" w:rsidRDefault="00847163">
            <w:pPr>
              <w:rPr>
                <w:rFonts w:eastAsia="Times New Roman"/>
                <w:sz w:val="20"/>
                <w:szCs w:val="20"/>
              </w:rPr>
            </w:pPr>
            <w:r>
              <w:rPr>
                <w:rFonts w:eastAsia="Times New Roman"/>
                <w:sz w:val="20"/>
                <w:szCs w:val="20"/>
              </w:rPr>
              <w:t> </w:t>
            </w:r>
          </w:p>
        </w:tc>
      </w:tr>
      <w:tr w:rsidR="00000000" w14:paraId="5896C5DC" w14:textId="77777777">
        <w:trPr>
          <w:tblCellSpacing w:w="0" w:type="dxa"/>
        </w:trPr>
        <w:tc>
          <w:tcPr>
            <w:tcW w:w="50" w:type="pct"/>
            <w:tcBorders>
              <w:bottom w:val="single" w:sz="6" w:space="0" w:color="000000"/>
            </w:tcBorders>
            <w:shd w:val="clear" w:color="auto" w:fill="FFFFFF"/>
            <w:hideMark/>
          </w:tcPr>
          <w:p w14:paraId="632F6421" w14:textId="77777777" w:rsidR="00000000" w:rsidRDefault="00847163">
            <w:pPr>
              <w:rPr>
                <w:rFonts w:eastAsia="Times New Roman"/>
                <w:sz w:val="20"/>
                <w:szCs w:val="20"/>
              </w:rPr>
            </w:pPr>
            <w:r>
              <w:rPr>
                <w:rFonts w:eastAsia="Times New Roman"/>
                <w:sz w:val="20"/>
                <w:szCs w:val="20"/>
              </w:rPr>
              <w:t> </w:t>
            </w:r>
          </w:p>
        </w:tc>
        <w:tc>
          <w:tcPr>
            <w:tcW w:w="1000" w:type="pct"/>
            <w:tcBorders>
              <w:bottom w:val="single" w:sz="6" w:space="0" w:color="000000"/>
            </w:tcBorders>
            <w:shd w:val="clear" w:color="auto" w:fill="FFFFFF"/>
            <w:hideMark/>
          </w:tcPr>
          <w:p w14:paraId="2C2129A5" w14:textId="77777777" w:rsidR="00000000" w:rsidRDefault="00847163">
            <w:pPr>
              <w:pStyle w:val="a3"/>
              <w:spacing w:before="0" w:beforeAutospacing="0" w:after="0" w:afterAutospacing="0"/>
              <w:rPr>
                <w:sz w:val="20"/>
                <w:szCs w:val="20"/>
              </w:rPr>
            </w:pPr>
            <w:r>
              <w:rPr>
                <w:sz w:val="20"/>
                <w:szCs w:val="20"/>
              </w:rPr>
              <w:t xml:space="preserve">ASU </w:t>
            </w:r>
            <w:r>
              <w:rPr>
                <w:rStyle w:val="a6"/>
                <w:sz w:val="20"/>
                <w:szCs w:val="20"/>
              </w:rPr>
              <w:t>2020</w:t>
            </w:r>
            <w:r>
              <w:rPr>
                <w:sz w:val="20"/>
                <w:szCs w:val="20"/>
              </w:rPr>
              <w:t>-</w:t>
            </w:r>
            <w:r>
              <w:rPr>
                <w:rStyle w:val="a6"/>
                <w:sz w:val="20"/>
                <w:szCs w:val="20"/>
              </w:rPr>
              <w:t>04,</w:t>
            </w:r>
            <w:r>
              <w:rPr>
                <w:sz w:val="20"/>
                <w:szCs w:val="20"/>
              </w:rPr>
              <w:t xml:space="preserve"> Reference Rate Reform (Topic </w:t>
            </w:r>
            <w:r>
              <w:rPr>
                <w:rStyle w:val="a6"/>
                <w:sz w:val="20"/>
                <w:szCs w:val="20"/>
              </w:rPr>
              <w:t>848</w:t>
            </w:r>
            <w:r>
              <w:rPr>
                <w:sz w:val="20"/>
                <w:szCs w:val="20"/>
              </w:rPr>
              <w:t>) – Facilitation of the Effects of Reference Rate Reform on Financial Reporting</w:t>
            </w:r>
          </w:p>
        </w:tc>
        <w:tc>
          <w:tcPr>
            <w:tcW w:w="50" w:type="pct"/>
            <w:tcBorders>
              <w:bottom w:val="single" w:sz="6" w:space="0" w:color="000000"/>
              <w:right w:val="single" w:sz="6" w:space="0" w:color="000000"/>
            </w:tcBorders>
            <w:shd w:val="clear" w:color="auto" w:fill="FFFFFF"/>
            <w:hideMark/>
          </w:tcPr>
          <w:p w14:paraId="0F4768C0" w14:textId="77777777" w:rsidR="00000000" w:rsidRDefault="0084716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hideMark/>
          </w:tcPr>
          <w:p w14:paraId="418A3E01" w14:textId="77777777" w:rsidR="00000000" w:rsidRDefault="00847163">
            <w:pPr>
              <w:rPr>
                <w:rFonts w:eastAsia="Times New Roman"/>
                <w:sz w:val="20"/>
                <w:szCs w:val="20"/>
              </w:rPr>
            </w:pPr>
            <w:r>
              <w:rPr>
                <w:rFonts w:eastAsia="Times New Roman"/>
                <w:sz w:val="20"/>
                <w:szCs w:val="20"/>
              </w:rPr>
              <w:t> </w:t>
            </w:r>
          </w:p>
        </w:tc>
        <w:tc>
          <w:tcPr>
            <w:tcW w:w="2000" w:type="pct"/>
            <w:tcBorders>
              <w:bottom w:val="single" w:sz="6" w:space="0" w:color="000000"/>
            </w:tcBorders>
            <w:shd w:val="clear" w:color="auto" w:fill="FFFFFF"/>
            <w:hideMark/>
          </w:tcPr>
          <w:p w14:paraId="6F79854D" w14:textId="77777777" w:rsidR="00000000" w:rsidRDefault="00847163">
            <w:pPr>
              <w:pStyle w:val="a3"/>
              <w:spacing w:before="0" w:beforeAutospacing="0" w:after="0" w:afterAutospacing="0"/>
              <w:jc w:val="both"/>
              <w:rPr>
                <w:sz w:val="20"/>
                <w:szCs w:val="20"/>
              </w:rPr>
            </w:pPr>
            <w:r>
              <w:rPr>
                <w:sz w:val="20"/>
                <w:szCs w:val="20"/>
              </w:rPr>
              <w:t xml:space="preserve">This ASU is intended to provide temporary optional expedients and exceptions to the US GAAP guidance on contract modifications and hedge accounting to ease the financial reporting burdens related to the expected market transition from the London Interbank </w:t>
            </w:r>
            <w:r>
              <w:rPr>
                <w:sz w:val="20"/>
                <w:szCs w:val="20"/>
              </w:rPr>
              <w:t>Offered Rate (LIBOR) and other interbank offered rates to alternative reference rates.</w:t>
            </w:r>
          </w:p>
        </w:tc>
        <w:tc>
          <w:tcPr>
            <w:tcW w:w="50" w:type="pct"/>
            <w:tcBorders>
              <w:bottom w:val="single" w:sz="6" w:space="0" w:color="000000"/>
              <w:right w:val="single" w:sz="6" w:space="0" w:color="000000"/>
            </w:tcBorders>
            <w:shd w:val="clear" w:color="auto" w:fill="FFFFFF"/>
            <w:hideMark/>
          </w:tcPr>
          <w:p w14:paraId="23FBCC1E" w14:textId="77777777" w:rsidR="00000000" w:rsidRDefault="0084716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hideMark/>
          </w:tcPr>
          <w:p w14:paraId="0DD2592B" w14:textId="77777777" w:rsidR="00000000" w:rsidRDefault="00847163">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hideMark/>
          </w:tcPr>
          <w:p w14:paraId="59B377EC" w14:textId="77777777" w:rsidR="00000000" w:rsidRDefault="00847163">
            <w:pPr>
              <w:pStyle w:val="a3"/>
              <w:spacing w:before="0" w:beforeAutospacing="0" w:after="0" w:afterAutospacing="0"/>
              <w:jc w:val="center"/>
              <w:rPr>
                <w:sz w:val="20"/>
                <w:szCs w:val="20"/>
              </w:rPr>
            </w:pPr>
            <w:r>
              <w:rPr>
                <w:sz w:val="20"/>
                <w:szCs w:val="20"/>
              </w:rPr>
              <w:t xml:space="preserve">This guidance is effective immediately, and the Company </w:t>
            </w:r>
            <w:r>
              <w:rPr>
                <w:rStyle w:val="a6"/>
                <w:sz w:val="20"/>
                <w:szCs w:val="20"/>
              </w:rPr>
              <w:t xml:space="preserve">may </w:t>
            </w:r>
            <w:r>
              <w:rPr>
                <w:sz w:val="20"/>
                <w:szCs w:val="20"/>
              </w:rPr>
              <w:t xml:space="preserve">elect to apply the amendments prospectively through </w:t>
            </w:r>
            <w:r>
              <w:rPr>
                <w:rStyle w:val="a6"/>
                <w:sz w:val="20"/>
                <w:szCs w:val="20"/>
              </w:rPr>
              <w:t>December 31, 2022.</w:t>
            </w:r>
          </w:p>
        </w:tc>
        <w:tc>
          <w:tcPr>
            <w:tcW w:w="50" w:type="pct"/>
            <w:tcBorders>
              <w:bottom w:val="single" w:sz="6" w:space="0" w:color="000000"/>
              <w:right w:val="single" w:sz="6" w:space="0" w:color="000000"/>
            </w:tcBorders>
            <w:shd w:val="clear" w:color="auto" w:fill="FFFFFF"/>
            <w:hideMark/>
          </w:tcPr>
          <w:p w14:paraId="550C8681" w14:textId="77777777" w:rsidR="00000000" w:rsidRDefault="0084716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hideMark/>
          </w:tcPr>
          <w:p w14:paraId="5C90E0AC" w14:textId="77777777" w:rsidR="00000000" w:rsidRDefault="00847163">
            <w:pPr>
              <w:rPr>
                <w:rFonts w:eastAsia="Times New Roman"/>
                <w:sz w:val="20"/>
                <w:szCs w:val="20"/>
              </w:rPr>
            </w:pPr>
            <w:r>
              <w:rPr>
                <w:rFonts w:eastAsia="Times New Roman"/>
                <w:sz w:val="20"/>
                <w:szCs w:val="20"/>
              </w:rPr>
              <w:t> </w:t>
            </w:r>
          </w:p>
        </w:tc>
        <w:tc>
          <w:tcPr>
            <w:tcW w:w="900" w:type="pct"/>
            <w:tcBorders>
              <w:bottom w:val="single" w:sz="6" w:space="0" w:color="000000"/>
            </w:tcBorders>
            <w:shd w:val="clear" w:color="auto" w:fill="FFFFFF"/>
            <w:hideMark/>
          </w:tcPr>
          <w:p w14:paraId="3D081035" w14:textId="77777777" w:rsidR="00000000" w:rsidRDefault="00847163">
            <w:pPr>
              <w:pStyle w:val="a3"/>
              <w:spacing w:before="0" w:beforeAutospacing="0" w:after="0" w:afterAutospacing="0"/>
              <w:rPr>
                <w:sz w:val="20"/>
                <w:szCs w:val="20"/>
              </w:rPr>
            </w:pPr>
            <w:r>
              <w:rPr>
                <w:sz w:val="20"/>
                <w:szCs w:val="20"/>
              </w:rPr>
              <w:t xml:space="preserve">The adoption of this ASU did </w:t>
            </w:r>
            <w:r>
              <w:rPr>
                <w:rStyle w:val="a6"/>
                <w:sz w:val="20"/>
                <w:szCs w:val="20"/>
              </w:rPr>
              <w:t>n</w:t>
            </w:r>
            <w:r>
              <w:rPr>
                <w:rStyle w:val="a6"/>
                <w:sz w:val="20"/>
                <w:szCs w:val="20"/>
              </w:rPr>
              <w:t>ot</w:t>
            </w:r>
            <w:r>
              <w:rPr>
                <w:sz w:val="20"/>
                <w:szCs w:val="20"/>
              </w:rPr>
              <w:t xml:space="preserve"> have a material impact on the Company’s financial position and/or results of operations.</w:t>
            </w:r>
          </w:p>
        </w:tc>
        <w:tc>
          <w:tcPr>
            <w:tcW w:w="50" w:type="pct"/>
            <w:tcBorders>
              <w:bottom w:val="single" w:sz="6" w:space="0" w:color="000000"/>
            </w:tcBorders>
            <w:shd w:val="clear" w:color="auto" w:fill="FFFFFF"/>
            <w:hideMark/>
          </w:tcPr>
          <w:p w14:paraId="7962A667" w14:textId="77777777" w:rsidR="00000000" w:rsidRDefault="00847163">
            <w:pPr>
              <w:rPr>
                <w:rFonts w:eastAsia="Times New Roman"/>
                <w:sz w:val="20"/>
                <w:szCs w:val="20"/>
              </w:rPr>
            </w:pPr>
            <w:r>
              <w:rPr>
                <w:rFonts w:eastAsia="Times New Roman"/>
                <w:sz w:val="20"/>
                <w:szCs w:val="20"/>
              </w:rPr>
              <w:t> </w:t>
            </w:r>
          </w:p>
        </w:tc>
      </w:tr>
      <w:tr w:rsidR="00000000" w14:paraId="776CD538" w14:textId="77777777">
        <w:trPr>
          <w:tblCellSpacing w:w="0" w:type="dxa"/>
        </w:trPr>
        <w:tc>
          <w:tcPr>
            <w:tcW w:w="50" w:type="pct"/>
            <w:tcBorders>
              <w:bottom w:val="single" w:sz="6" w:space="0" w:color="000000"/>
            </w:tcBorders>
            <w:shd w:val="clear" w:color="auto" w:fill="CCEEFF"/>
            <w:hideMark/>
          </w:tcPr>
          <w:p w14:paraId="2B318049" w14:textId="77777777" w:rsidR="00000000" w:rsidRDefault="00847163">
            <w:pPr>
              <w:rPr>
                <w:rFonts w:eastAsia="Times New Roman"/>
                <w:sz w:val="20"/>
                <w:szCs w:val="20"/>
              </w:rPr>
            </w:pPr>
            <w:r>
              <w:rPr>
                <w:rFonts w:eastAsia="Times New Roman"/>
                <w:sz w:val="20"/>
                <w:szCs w:val="20"/>
              </w:rPr>
              <w:t> </w:t>
            </w:r>
          </w:p>
        </w:tc>
        <w:tc>
          <w:tcPr>
            <w:tcW w:w="1000" w:type="pct"/>
            <w:tcBorders>
              <w:bottom w:val="single" w:sz="6" w:space="0" w:color="000000"/>
            </w:tcBorders>
            <w:shd w:val="clear" w:color="auto" w:fill="CCEEFF"/>
            <w:hideMark/>
          </w:tcPr>
          <w:p w14:paraId="2513318F" w14:textId="77777777" w:rsidR="00000000" w:rsidRDefault="00847163">
            <w:pPr>
              <w:pStyle w:val="a3"/>
              <w:spacing w:before="0" w:beforeAutospacing="0" w:after="0" w:afterAutospacing="0"/>
              <w:rPr>
                <w:sz w:val="20"/>
                <w:szCs w:val="20"/>
              </w:rPr>
            </w:pPr>
            <w:r>
              <w:rPr>
                <w:sz w:val="20"/>
                <w:szCs w:val="20"/>
              </w:rPr>
              <w:t xml:space="preserve">ASU </w:t>
            </w:r>
            <w:r>
              <w:rPr>
                <w:rStyle w:val="a6"/>
                <w:sz w:val="20"/>
                <w:szCs w:val="20"/>
              </w:rPr>
              <w:t>2018</w:t>
            </w:r>
            <w:r>
              <w:rPr>
                <w:sz w:val="20"/>
                <w:szCs w:val="20"/>
              </w:rPr>
              <w:t>-</w:t>
            </w:r>
            <w:r>
              <w:rPr>
                <w:rStyle w:val="a6"/>
                <w:sz w:val="20"/>
                <w:szCs w:val="20"/>
              </w:rPr>
              <w:t>17,</w:t>
            </w:r>
            <w:r>
              <w:rPr>
                <w:sz w:val="20"/>
                <w:szCs w:val="20"/>
              </w:rPr>
              <w:t xml:space="preserve"> Consolidation (Topic </w:t>
            </w:r>
            <w:r>
              <w:rPr>
                <w:rStyle w:val="a6"/>
                <w:sz w:val="20"/>
                <w:szCs w:val="20"/>
              </w:rPr>
              <w:t>810</w:t>
            </w:r>
            <w:r>
              <w:rPr>
                <w:sz w:val="20"/>
                <w:szCs w:val="20"/>
              </w:rPr>
              <w:t xml:space="preserve">) – </w:t>
            </w:r>
            <w:r>
              <w:rPr>
                <w:sz w:val="20"/>
                <w:szCs w:val="20"/>
              </w:rPr>
              <w:t>Targeted Improvements to Related Party Guidance for Variable Interest Entities</w:t>
            </w:r>
          </w:p>
        </w:tc>
        <w:tc>
          <w:tcPr>
            <w:tcW w:w="50" w:type="pct"/>
            <w:tcBorders>
              <w:bottom w:val="single" w:sz="6" w:space="0" w:color="000000"/>
              <w:right w:val="single" w:sz="6" w:space="0" w:color="000000"/>
            </w:tcBorders>
            <w:shd w:val="clear" w:color="auto" w:fill="CCEEFF"/>
            <w:hideMark/>
          </w:tcPr>
          <w:p w14:paraId="6C6107E6" w14:textId="77777777" w:rsidR="00000000" w:rsidRDefault="0084716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hideMark/>
          </w:tcPr>
          <w:p w14:paraId="6178F14C" w14:textId="77777777" w:rsidR="00000000" w:rsidRDefault="00847163">
            <w:pPr>
              <w:rPr>
                <w:rFonts w:eastAsia="Times New Roman"/>
                <w:sz w:val="20"/>
                <w:szCs w:val="20"/>
              </w:rPr>
            </w:pPr>
            <w:r>
              <w:rPr>
                <w:rFonts w:eastAsia="Times New Roman"/>
                <w:sz w:val="20"/>
                <w:szCs w:val="20"/>
              </w:rPr>
              <w:t> </w:t>
            </w:r>
          </w:p>
        </w:tc>
        <w:tc>
          <w:tcPr>
            <w:tcW w:w="2000" w:type="pct"/>
            <w:tcBorders>
              <w:bottom w:val="single" w:sz="6" w:space="0" w:color="000000"/>
            </w:tcBorders>
            <w:shd w:val="clear" w:color="auto" w:fill="CCEEFF"/>
            <w:hideMark/>
          </w:tcPr>
          <w:p w14:paraId="77CDDC6E" w14:textId="77777777" w:rsidR="00000000" w:rsidRDefault="00847163">
            <w:pPr>
              <w:pStyle w:val="a3"/>
              <w:spacing w:before="0" w:beforeAutospacing="0" w:after="0" w:afterAutospacing="0"/>
              <w:jc w:val="both"/>
              <w:rPr>
                <w:sz w:val="20"/>
                <w:szCs w:val="20"/>
              </w:rPr>
            </w:pPr>
            <w:r>
              <w:rPr>
                <w:sz w:val="20"/>
                <w:szCs w:val="20"/>
              </w:rPr>
              <w:t xml:space="preserve">The amendment to Topic </w:t>
            </w:r>
            <w:r>
              <w:rPr>
                <w:rStyle w:val="a6"/>
                <w:sz w:val="20"/>
                <w:szCs w:val="20"/>
              </w:rPr>
              <w:t>810</w:t>
            </w:r>
            <w:r>
              <w:rPr>
                <w:sz w:val="20"/>
                <w:szCs w:val="20"/>
              </w:rPr>
              <w:t xml:space="preserve"> clarifies the following areas:</w:t>
            </w:r>
          </w:p>
          <w:p w14:paraId="2F8E506A" w14:textId="77777777" w:rsidR="00000000" w:rsidRDefault="00847163">
            <w:pPr>
              <w:pStyle w:val="a3"/>
              <w:spacing w:before="0" w:beforeAutospacing="0" w:after="0" w:afterAutospacing="0"/>
              <w:ind w:left="360" w:hanging="360"/>
              <w:jc w:val="both"/>
              <w:rPr>
                <w:sz w:val="20"/>
                <w:szCs w:val="20"/>
              </w:rPr>
            </w:pPr>
            <w:r>
              <w:rPr>
                <w:sz w:val="20"/>
                <w:szCs w:val="20"/>
              </w:rPr>
              <w:t>(i)   Applying the variable interest entity (VIE) guidance to private companies under common control, and</w:t>
            </w:r>
          </w:p>
          <w:p w14:paraId="01AFAE14" w14:textId="77777777" w:rsidR="00000000" w:rsidRDefault="00847163">
            <w:pPr>
              <w:pStyle w:val="a3"/>
              <w:spacing w:before="0" w:beforeAutospacing="0" w:after="0" w:afterAutospacing="0"/>
              <w:ind w:left="360" w:hanging="360"/>
              <w:jc w:val="both"/>
              <w:rPr>
                <w:sz w:val="20"/>
                <w:szCs w:val="20"/>
              </w:rPr>
            </w:pPr>
            <w:r>
              <w:rPr>
                <w:sz w:val="20"/>
                <w:szCs w:val="20"/>
              </w:rPr>
              <w:t>(ii)  Con</w:t>
            </w:r>
            <w:r>
              <w:rPr>
                <w:sz w:val="20"/>
                <w:szCs w:val="20"/>
              </w:rPr>
              <w:t>sidering indirect interests held through related parties under common control, for determining whether fees paid to decision makers and service providers are variable interests.</w:t>
            </w:r>
          </w:p>
          <w:p w14:paraId="4BB5F840" w14:textId="77777777" w:rsidR="00000000" w:rsidRDefault="00847163">
            <w:pPr>
              <w:pStyle w:val="a3"/>
              <w:spacing w:before="0" w:beforeAutospacing="0" w:after="0" w:afterAutospacing="0"/>
              <w:jc w:val="both"/>
              <w:rPr>
                <w:sz w:val="20"/>
                <w:szCs w:val="20"/>
              </w:rPr>
            </w:pPr>
            <w:r>
              <w:rPr>
                <w:sz w:val="20"/>
                <w:szCs w:val="20"/>
              </w:rPr>
              <w:t> </w:t>
            </w:r>
          </w:p>
          <w:p w14:paraId="1F0197EE" w14:textId="77777777" w:rsidR="00000000" w:rsidRDefault="00847163">
            <w:pPr>
              <w:pStyle w:val="a3"/>
              <w:spacing w:before="0" w:beforeAutospacing="0" w:after="0" w:afterAutospacing="0"/>
              <w:rPr>
                <w:sz w:val="20"/>
                <w:szCs w:val="20"/>
              </w:rPr>
            </w:pPr>
            <w:r>
              <w:rPr>
                <w:sz w:val="20"/>
                <w:szCs w:val="20"/>
              </w:rPr>
              <w:t>This update improves the accounting for those areas, thereby improving gener</w:t>
            </w:r>
            <w:r>
              <w:rPr>
                <w:sz w:val="20"/>
                <w:szCs w:val="20"/>
              </w:rPr>
              <w:t>al purpose financial reporting. Retrospective adoption is required.</w:t>
            </w:r>
          </w:p>
          <w:p w14:paraId="1B2E466D" w14:textId="77777777" w:rsidR="00000000" w:rsidRDefault="00847163">
            <w:pPr>
              <w:pStyle w:val="a3"/>
              <w:spacing w:before="0" w:beforeAutospacing="0" w:after="0" w:afterAutospacing="0"/>
              <w:jc w:val="both"/>
              <w:rPr>
                <w:sz w:val="20"/>
                <w:szCs w:val="20"/>
              </w:rPr>
            </w:pPr>
            <w:r>
              <w:rPr>
                <w:sz w:val="20"/>
                <w:szCs w:val="20"/>
              </w:rPr>
              <w:t> </w:t>
            </w:r>
          </w:p>
        </w:tc>
        <w:tc>
          <w:tcPr>
            <w:tcW w:w="50" w:type="pct"/>
            <w:tcBorders>
              <w:bottom w:val="single" w:sz="6" w:space="0" w:color="000000"/>
              <w:right w:val="single" w:sz="6" w:space="0" w:color="000000"/>
            </w:tcBorders>
            <w:shd w:val="clear" w:color="auto" w:fill="CCEEFF"/>
            <w:hideMark/>
          </w:tcPr>
          <w:p w14:paraId="59508994" w14:textId="77777777" w:rsidR="00000000" w:rsidRDefault="0084716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hideMark/>
          </w:tcPr>
          <w:p w14:paraId="01BAE5A3" w14:textId="77777777" w:rsidR="00000000" w:rsidRDefault="00847163">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hideMark/>
          </w:tcPr>
          <w:p w14:paraId="7A083CC8" w14:textId="77777777" w:rsidR="00000000" w:rsidRDefault="00847163">
            <w:pPr>
              <w:pStyle w:val="a3"/>
              <w:spacing w:before="0" w:beforeAutospacing="0" w:after="0" w:afterAutospacing="0"/>
              <w:jc w:val="center"/>
              <w:rPr>
                <w:sz w:val="20"/>
                <w:szCs w:val="20"/>
              </w:rPr>
            </w:pPr>
            <w:r>
              <w:rPr>
                <w:rStyle w:val="a6"/>
                <w:sz w:val="20"/>
                <w:szCs w:val="20"/>
              </w:rPr>
              <w:t xml:space="preserve">January 1, 2020; </w:t>
            </w:r>
            <w:r>
              <w:rPr>
                <w:sz w:val="20"/>
                <w:szCs w:val="20"/>
              </w:rPr>
              <w:t>Early adoption permitted</w:t>
            </w:r>
          </w:p>
        </w:tc>
        <w:tc>
          <w:tcPr>
            <w:tcW w:w="50" w:type="pct"/>
            <w:tcBorders>
              <w:bottom w:val="single" w:sz="6" w:space="0" w:color="000000"/>
              <w:right w:val="single" w:sz="6" w:space="0" w:color="000000"/>
            </w:tcBorders>
            <w:shd w:val="clear" w:color="auto" w:fill="CCEEFF"/>
            <w:hideMark/>
          </w:tcPr>
          <w:p w14:paraId="2910C90F" w14:textId="77777777" w:rsidR="00000000" w:rsidRDefault="0084716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hideMark/>
          </w:tcPr>
          <w:p w14:paraId="03FE0D5C" w14:textId="77777777" w:rsidR="00000000" w:rsidRDefault="00847163">
            <w:pPr>
              <w:rPr>
                <w:rFonts w:eastAsia="Times New Roman"/>
                <w:sz w:val="20"/>
                <w:szCs w:val="20"/>
              </w:rPr>
            </w:pPr>
            <w:r>
              <w:rPr>
                <w:rFonts w:eastAsia="Times New Roman"/>
                <w:sz w:val="20"/>
                <w:szCs w:val="20"/>
              </w:rPr>
              <w:t> </w:t>
            </w:r>
          </w:p>
        </w:tc>
        <w:tc>
          <w:tcPr>
            <w:tcW w:w="900" w:type="pct"/>
            <w:tcBorders>
              <w:bottom w:val="single" w:sz="6" w:space="0" w:color="000000"/>
            </w:tcBorders>
            <w:shd w:val="clear" w:color="auto" w:fill="CCEEFF"/>
            <w:hideMark/>
          </w:tcPr>
          <w:p w14:paraId="44532BC8" w14:textId="77777777" w:rsidR="00000000" w:rsidRDefault="00847163">
            <w:pPr>
              <w:pStyle w:val="a3"/>
              <w:spacing w:before="0" w:beforeAutospacing="0" w:after="0" w:afterAutospacing="0"/>
              <w:rPr>
                <w:sz w:val="20"/>
                <w:szCs w:val="20"/>
              </w:rPr>
            </w:pPr>
            <w:r>
              <w:rPr>
                <w:sz w:val="20"/>
                <w:szCs w:val="20"/>
              </w:rPr>
              <w:t xml:space="preserve">The adoption of this ASU did </w:t>
            </w:r>
            <w:r>
              <w:rPr>
                <w:rStyle w:val="a6"/>
                <w:sz w:val="20"/>
                <w:szCs w:val="20"/>
              </w:rPr>
              <w:t>not</w:t>
            </w:r>
            <w:r>
              <w:rPr>
                <w:sz w:val="20"/>
                <w:szCs w:val="20"/>
              </w:rPr>
              <w:t xml:space="preserve"> have a material impact on the Company’s financial position and/or results of operations</w:t>
            </w:r>
          </w:p>
        </w:tc>
        <w:tc>
          <w:tcPr>
            <w:tcW w:w="50" w:type="pct"/>
            <w:tcBorders>
              <w:bottom w:val="single" w:sz="6" w:space="0" w:color="000000"/>
            </w:tcBorders>
            <w:shd w:val="clear" w:color="auto" w:fill="CCEEFF"/>
            <w:hideMark/>
          </w:tcPr>
          <w:p w14:paraId="45C37BAF" w14:textId="77777777" w:rsidR="00000000" w:rsidRDefault="00847163">
            <w:pPr>
              <w:rPr>
                <w:rFonts w:eastAsia="Times New Roman"/>
                <w:sz w:val="20"/>
                <w:szCs w:val="20"/>
              </w:rPr>
            </w:pPr>
            <w:r>
              <w:rPr>
                <w:rFonts w:eastAsia="Times New Roman"/>
                <w:sz w:val="20"/>
                <w:szCs w:val="20"/>
              </w:rPr>
              <w:t> </w:t>
            </w:r>
          </w:p>
        </w:tc>
      </w:tr>
      <w:tr w:rsidR="00000000" w14:paraId="61AF5196" w14:textId="77777777">
        <w:trPr>
          <w:tblCellSpacing w:w="0" w:type="dxa"/>
        </w:trPr>
        <w:tc>
          <w:tcPr>
            <w:tcW w:w="50" w:type="pct"/>
            <w:shd w:val="clear" w:color="auto" w:fill="FFFFFF"/>
            <w:hideMark/>
          </w:tcPr>
          <w:p w14:paraId="253CADB9" w14:textId="77777777" w:rsidR="00000000" w:rsidRDefault="00847163">
            <w:pPr>
              <w:rPr>
                <w:rFonts w:eastAsia="Times New Roman"/>
                <w:sz w:val="20"/>
                <w:szCs w:val="20"/>
              </w:rPr>
            </w:pPr>
            <w:r>
              <w:rPr>
                <w:rFonts w:eastAsia="Times New Roman"/>
                <w:sz w:val="20"/>
                <w:szCs w:val="20"/>
              </w:rPr>
              <w:t> </w:t>
            </w:r>
          </w:p>
        </w:tc>
        <w:tc>
          <w:tcPr>
            <w:tcW w:w="1000" w:type="pct"/>
            <w:shd w:val="clear" w:color="auto" w:fill="FFFFFF"/>
            <w:hideMark/>
          </w:tcPr>
          <w:p w14:paraId="23E146BC" w14:textId="77777777" w:rsidR="00000000" w:rsidRDefault="00847163">
            <w:pPr>
              <w:pStyle w:val="a3"/>
              <w:spacing w:before="0" w:beforeAutospacing="0" w:after="0" w:afterAutospacing="0"/>
              <w:rPr>
                <w:sz w:val="20"/>
                <w:szCs w:val="20"/>
              </w:rPr>
            </w:pPr>
            <w:r>
              <w:rPr>
                <w:sz w:val="20"/>
                <w:szCs w:val="20"/>
              </w:rPr>
              <w:t xml:space="preserve">ASU </w:t>
            </w:r>
            <w:r>
              <w:rPr>
                <w:rStyle w:val="a6"/>
                <w:sz w:val="20"/>
                <w:szCs w:val="20"/>
              </w:rPr>
              <w:t>2018</w:t>
            </w:r>
            <w:r>
              <w:rPr>
                <w:sz w:val="20"/>
                <w:szCs w:val="20"/>
              </w:rPr>
              <w:t>-</w:t>
            </w:r>
            <w:r>
              <w:rPr>
                <w:rStyle w:val="a6"/>
                <w:sz w:val="20"/>
                <w:szCs w:val="20"/>
              </w:rPr>
              <w:t>15,</w:t>
            </w:r>
            <w:r>
              <w:rPr>
                <w:sz w:val="20"/>
                <w:szCs w:val="20"/>
              </w:rPr>
              <w:t xml:space="preserve"> Intangibles – Goodwill and Other – Internal-Use Software (Subtopic </w:t>
            </w:r>
            <w:r>
              <w:rPr>
                <w:rStyle w:val="a6"/>
                <w:sz w:val="20"/>
                <w:szCs w:val="20"/>
              </w:rPr>
              <w:t>350</w:t>
            </w:r>
            <w:r>
              <w:rPr>
                <w:sz w:val="20"/>
                <w:szCs w:val="20"/>
              </w:rPr>
              <w:t>-</w:t>
            </w:r>
            <w:r>
              <w:rPr>
                <w:rStyle w:val="a6"/>
                <w:sz w:val="20"/>
                <w:szCs w:val="20"/>
              </w:rPr>
              <w:t>40</w:t>
            </w:r>
            <w:r>
              <w:rPr>
                <w:sz w:val="20"/>
                <w:szCs w:val="20"/>
              </w:rPr>
              <w:t>): Customer’s Accounting for Implementation Costs Incurred in a Cloud Computing Arrangement that is a Service Contract</w:t>
            </w:r>
          </w:p>
          <w:p w14:paraId="14635A70" w14:textId="77777777" w:rsidR="00000000" w:rsidRDefault="00847163">
            <w:pPr>
              <w:pStyle w:val="a3"/>
              <w:spacing w:before="0" w:beforeAutospacing="0" w:after="0" w:afterAutospacing="0"/>
              <w:rPr>
                <w:sz w:val="20"/>
                <w:szCs w:val="20"/>
              </w:rPr>
            </w:pPr>
            <w:r>
              <w:rPr>
                <w:sz w:val="20"/>
                <w:szCs w:val="20"/>
              </w:rPr>
              <w:t> </w:t>
            </w:r>
          </w:p>
        </w:tc>
        <w:tc>
          <w:tcPr>
            <w:tcW w:w="50" w:type="pct"/>
            <w:tcBorders>
              <w:right w:val="single" w:sz="6" w:space="0" w:color="000000"/>
            </w:tcBorders>
            <w:shd w:val="clear" w:color="auto" w:fill="FFFFFF"/>
            <w:hideMark/>
          </w:tcPr>
          <w:p w14:paraId="429140BF"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hideMark/>
          </w:tcPr>
          <w:p w14:paraId="596DB2DB" w14:textId="77777777" w:rsidR="00000000" w:rsidRDefault="00847163">
            <w:pPr>
              <w:rPr>
                <w:rFonts w:eastAsia="Times New Roman"/>
                <w:sz w:val="20"/>
                <w:szCs w:val="20"/>
              </w:rPr>
            </w:pPr>
            <w:r>
              <w:rPr>
                <w:rFonts w:eastAsia="Times New Roman"/>
                <w:sz w:val="20"/>
                <w:szCs w:val="20"/>
              </w:rPr>
              <w:t> </w:t>
            </w:r>
          </w:p>
        </w:tc>
        <w:tc>
          <w:tcPr>
            <w:tcW w:w="2000" w:type="pct"/>
            <w:shd w:val="clear" w:color="auto" w:fill="FFFFFF"/>
            <w:hideMark/>
          </w:tcPr>
          <w:p w14:paraId="607362BC" w14:textId="77777777" w:rsidR="00000000" w:rsidRDefault="00847163">
            <w:pPr>
              <w:pStyle w:val="a3"/>
              <w:spacing w:before="0" w:beforeAutospacing="0" w:after="0" w:afterAutospacing="0"/>
              <w:jc w:val="both"/>
              <w:rPr>
                <w:sz w:val="20"/>
                <w:szCs w:val="20"/>
              </w:rPr>
            </w:pPr>
            <w:r>
              <w:rPr>
                <w:sz w:val="20"/>
                <w:szCs w:val="20"/>
              </w:rPr>
              <w:t>The amendment aligns the requirements for capital</w:t>
            </w:r>
            <w:r>
              <w:rPr>
                <w:sz w:val="20"/>
                <w:szCs w:val="20"/>
              </w:rPr>
              <w:t>izing implementation costs incurred in a hosting arrangement that is a service contract with the requirements for capitalizing implementation costs incurred to develop or obtain internal-use software.</w:t>
            </w:r>
          </w:p>
        </w:tc>
        <w:tc>
          <w:tcPr>
            <w:tcW w:w="50" w:type="pct"/>
            <w:tcBorders>
              <w:right w:val="single" w:sz="6" w:space="0" w:color="000000"/>
            </w:tcBorders>
            <w:shd w:val="clear" w:color="auto" w:fill="FFFFFF"/>
            <w:hideMark/>
          </w:tcPr>
          <w:p w14:paraId="459FA4B5"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hideMark/>
          </w:tcPr>
          <w:p w14:paraId="187E8880" w14:textId="77777777" w:rsidR="00000000" w:rsidRDefault="00847163">
            <w:pPr>
              <w:rPr>
                <w:rFonts w:eastAsia="Times New Roman"/>
                <w:sz w:val="20"/>
                <w:szCs w:val="20"/>
              </w:rPr>
            </w:pPr>
            <w:r>
              <w:rPr>
                <w:rFonts w:eastAsia="Times New Roman"/>
                <w:sz w:val="20"/>
                <w:szCs w:val="20"/>
              </w:rPr>
              <w:t> </w:t>
            </w:r>
          </w:p>
        </w:tc>
        <w:tc>
          <w:tcPr>
            <w:tcW w:w="700" w:type="pct"/>
            <w:shd w:val="clear" w:color="auto" w:fill="FFFFFF"/>
            <w:hideMark/>
          </w:tcPr>
          <w:p w14:paraId="49475AAF" w14:textId="77777777" w:rsidR="00000000" w:rsidRDefault="00847163">
            <w:pPr>
              <w:pStyle w:val="a3"/>
              <w:spacing w:before="0" w:beforeAutospacing="0" w:after="0" w:afterAutospacing="0"/>
              <w:jc w:val="center"/>
              <w:rPr>
                <w:sz w:val="20"/>
                <w:szCs w:val="20"/>
              </w:rPr>
            </w:pPr>
            <w:r>
              <w:rPr>
                <w:rStyle w:val="a6"/>
                <w:sz w:val="20"/>
                <w:szCs w:val="20"/>
              </w:rPr>
              <w:t xml:space="preserve">January 1, 2020; </w:t>
            </w:r>
            <w:r>
              <w:rPr>
                <w:sz w:val="20"/>
                <w:szCs w:val="20"/>
              </w:rPr>
              <w:t>Early adoption permitted</w:t>
            </w:r>
          </w:p>
        </w:tc>
        <w:tc>
          <w:tcPr>
            <w:tcW w:w="50" w:type="pct"/>
            <w:tcBorders>
              <w:right w:val="single" w:sz="6" w:space="0" w:color="000000"/>
            </w:tcBorders>
            <w:shd w:val="clear" w:color="auto" w:fill="FFFFFF"/>
            <w:hideMark/>
          </w:tcPr>
          <w:p w14:paraId="516ED0A7"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hideMark/>
          </w:tcPr>
          <w:p w14:paraId="234771C8" w14:textId="77777777" w:rsidR="00000000" w:rsidRDefault="00847163">
            <w:pPr>
              <w:rPr>
                <w:rFonts w:eastAsia="Times New Roman"/>
                <w:sz w:val="20"/>
                <w:szCs w:val="20"/>
              </w:rPr>
            </w:pPr>
            <w:r>
              <w:rPr>
                <w:rFonts w:eastAsia="Times New Roman"/>
                <w:sz w:val="20"/>
                <w:szCs w:val="20"/>
              </w:rPr>
              <w:t> </w:t>
            </w:r>
          </w:p>
        </w:tc>
        <w:tc>
          <w:tcPr>
            <w:tcW w:w="900" w:type="pct"/>
            <w:shd w:val="clear" w:color="auto" w:fill="FFFFFF"/>
            <w:hideMark/>
          </w:tcPr>
          <w:p w14:paraId="06E4DAB4" w14:textId="77777777" w:rsidR="00000000" w:rsidRDefault="00847163">
            <w:pPr>
              <w:pStyle w:val="a3"/>
              <w:spacing w:before="0" w:beforeAutospacing="0" w:after="0" w:afterAutospacing="0"/>
              <w:rPr>
                <w:sz w:val="20"/>
                <w:szCs w:val="20"/>
              </w:rPr>
            </w:pPr>
            <w:r>
              <w:rPr>
                <w:sz w:val="20"/>
                <w:szCs w:val="20"/>
              </w:rPr>
              <w:t>The a</w:t>
            </w:r>
            <w:r>
              <w:rPr>
                <w:sz w:val="20"/>
                <w:szCs w:val="20"/>
              </w:rPr>
              <w:t xml:space="preserve">doption of this ASU did </w:t>
            </w:r>
            <w:r>
              <w:rPr>
                <w:rStyle w:val="a6"/>
                <w:sz w:val="20"/>
                <w:szCs w:val="20"/>
              </w:rPr>
              <w:t>not</w:t>
            </w:r>
            <w:r>
              <w:rPr>
                <w:sz w:val="20"/>
                <w:szCs w:val="20"/>
              </w:rPr>
              <w:t xml:space="preserve"> have a material impact on the Company’s financial position and/or results of operations</w:t>
            </w:r>
          </w:p>
        </w:tc>
        <w:tc>
          <w:tcPr>
            <w:tcW w:w="50" w:type="pct"/>
            <w:shd w:val="clear" w:color="auto" w:fill="FFFFFF"/>
            <w:hideMark/>
          </w:tcPr>
          <w:p w14:paraId="14A6E517" w14:textId="77777777" w:rsidR="00000000" w:rsidRDefault="00847163">
            <w:pPr>
              <w:rPr>
                <w:rFonts w:eastAsia="Times New Roman"/>
                <w:sz w:val="20"/>
                <w:szCs w:val="20"/>
              </w:rPr>
            </w:pPr>
            <w:r>
              <w:rPr>
                <w:rFonts w:eastAsia="Times New Roman"/>
                <w:sz w:val="20"/>
                <w:szCs w:val="20"/>
              </w:rPr>
              <w:t> </w:t>
            </w:r>
          </w:p>
        </w:tc>
      </w:tr>
    </w:tbl>
    <w:p w14:paraId="1DD9C41B" w14:textId="77777777" w:rsidR="00000000" w:rsidRDefault="00847163">
      <w:pPr>
        <w:pStyle w:val="a3"/>
        <w:spacing w:before="0" w:beforeAutospacing="0" w:after="0" w:afterAutospacing="0"/>
        <w:rPr>
          <w:sz w:val="20"/>
          <w:szCs w:val="20"/>
        </w:rPr>
      </w:pPr>
      <w:r>
        <w:rPr>
          <w:sz w:val="20"/>
          <w:szCs w:val="20"/>
        </w:rPr>
        <w:t> </w:t>
      </w:r>
    </w:p>
    <w:p w14:paraId="464506C4" w14:textId="77777777" w:rsidR="00000000" w:rsidRDefault="00847163">
      <w:pPr>
        <w:jc w:val="center"/>
        <w:divId w:val="723259795"/>
        <w:rPr>
          <w:rFonts w:eastAsia="Times New Roman"/>
          <w:sz w:val="20"/>
          <w:szCs w:val="20"/>
        </w:rPr>
      </w:pPr>
      <w:r>
        <w:rPr>
          <w:rStyle w:val="a6"/>
          <w:rFonts w:eastAsia="Times New Roman"/>
          <w:sz w:val="20"/>
          <w:szCs w:val="20"/>
        </w:rPr>
        <w:t>9</w:t>
      </w:r>
      <w:r>
        <w:rPr>
          <w:rFonts w:eastAsia="Times New Roman"/>
          <w:sz w:val="20"/>
          <w:szCs w:val="20"/>
        </w:rPr>
        <w:t xml:space="preserve"> </w:t>
      </w:r>
    </w:p>
    <w:p w14:paraId="61216791" w14:textId="77777777" w:rsidR="00000000" w:rsidRDefault="00847163">
      <w:pPr>
        <w:divId w:val="909659917"/>
        <w:rPr>
          <w:rFonts w:eastAsia="Times New Roman"/>
          <w:sz w:val="20"/>
          <w:szCs w:val="20"/>
        </w:rPr>
      </w:pPr>
      <w:r>
        <w:rPr>
          <w:rFonts w:eastAsia="Times New Roman"/>
          <w:sz w:val="20"/>
          <w:szCs w:val="20"/>
        </w:rPr>
        <w:pict w14:anchorId="4448961B">
          <v:rect id="_x0000_i1037" style="width:415.3pt;height:1.5pt" o:hralign="center" o:hrstd="t" o:hrnoshade="t" o:hr="t" fillcolor="black" stroked="f"/>
        </w:pict>
      </w:r>
    </w:p>
    <w:p w14:paraId="598F01C3" w14:textId="77777777" w:rsidR="00000000" w:rsidRDefault="00847163">
      <w:pPr>
        <w:divId w:val="785928349"/>
        <w:rPr>
          <w:rFonts w:eastAsia="Times New Roman"/>
          <w:sz w:val="20"/>
          <w:szCs w:val="20"/>
        </w:rPr>
      </w:pPr>
      <w:hyperlink w:anchor="toc" w:history="1">
        <w:r>
          <w:rPr>
            <w:rStyle w:val="a4"/>
            <w:rFonts w:eastAsia="Times New Roman"/>
            <w:sz w:val="20"/>
            <w:szCs w:val="20"/>
          </w:rPr>
          <w:t>Table of Contents</w:t>
        </w:r>
      </w:hyperlink>
    </w:p>
    <w:p w14:paraId="5E4378BE" w14:textId="77777777" w:rsidR="00000000" w:rsidRDefault="00847163">
      <w:pPr>
        <w:pStyle w:val="a3"/>
        <w:spacing w:before="0" w:beforeAutospacing="0" w:after="0" w:afterAutospacing="0"/>
        <w:rPr>
          <w:sz w:val="20"/>
          <w:szCs w:val="20"/>
        </w:rPr>
      </w:pPr>
      <w:r>
        <w:rPr>
          <w:sz w:val="20"/>
          <w:szCs w:val="20"/>
        </w:rPr>
        <w:t> </w:t>
      </w:r>
    </w:p>
    <w:tbl>
      <w:tblPr>
        <w:tblW w:w="5000" w:type="pct"/>
        <w:tblCellSpacing w:w="0" w:type="dxa"/>
        <w:tblBorders>
          <w:top w:val="single" w:sz="6" w:space="0" w:color="000000"/>
          <w:left w:val="single" w:sz="6" w:space="0" w:color="000000"/>
          <w:bottom w:val="single" w:sz="6" w:space="0" w:color="000000"/>
          <w:right w:val="single" w:sz="6" w:space="0" w:color="000000"/>
        </w:tblBorders>
        <w:tblCellMar>
          <w:top w:w="36" w:type="dxa"/>
          <w:left w:w="36" w:type="dxa"/>
          <w:bottom w:w="36" w:type="dxa"/>
          <w:right w:w="36" w:type="dxa"/>
        </w:tblCellMar>
        <w:tblLook w:val="04A0" w:firstRow="1" w:lastRow="0" w:firstColumn="1" w:lastColumn="0" w:noHBand="0" w:noVBand="1"/>
      </w:tblPr>
      <w:tblGrid>
        <w:gridCol w:w="137"/>
        <w:gridCol w:w="1717"/>
        <w:gridCol w:w="137"/>
        <w:gridCol w:w="122"/>
        <w:gridCol w:w="3167"/>
        <w:gridCol w:w="137"/>
        <w:gridCol w:w="122"/>
        <w:gridCol w:w="1012"/>
        <w:gridCol w:w="137"/>
        <w:gridCol w:w="122"/>
        <w:gridCol w:w="1343"/>
        <w:gridCol w:w="137"/>
      </w:tblGrid>
      <w:tr w:rsidR="00000000" w14:paraId="18673B91" w14:textId="77777777">
        <w:trPr>
          <w:tblCellSpacing w:w="0" w:type="dxa"/>
        </w:trPr>
        <w:tc>
          <w:tcPr>
            <w:tcW w:w="50" w:type="pct"/>
            <w:tcBorders>
              <w:bottom w:val="single" w:sz="6" w:space="0" w:color="000000"/>
            </w:tcBorders>
            <w:shd w:val="clear" w:color="auto" w:fill="CCEEFF"/>
            <w:hideMark/>
          </w:tcPr>
          <w:p w14:paraId="5D7C083C" w14:textId="77777777" w:rsidR="00000000" w:rsidRDefault="00847163">
            <w:pPr>
              <w:rPr>
                <w:rFonts w:eastAsia="Times New Roman"/>
                <w:sz w:val="20"/>
                <w:szCs w:val="20"/>
              </w:rPr>
            </w:pPr>
            <w:r>
              <w:rPr>
                <w:rFonts w:eastAsia="Times New Roman"/>
                <w:sz w:val="20"/>
                <w:szCs w:val="20"/>
              </w:rPr>
              <w:t> </w:t>
            </w:r>
          </w:p>
        </w:tc>
        <w:tc>
          <w:tcPr>
            <w:tcW w:w="1000" w:type="pct"/>
            <w:tcBorders>
              <w:bottom w:val="single" w:sz="6" w:space="0" w:color="000000"/>
            </w:tcBorders>
            <w:shd w:val="clear" w:color="auto" w:fill="CCEEFF"/>
            <w:hideMark/>
          </w:tcPr>
          <w:p w14:paraId="7A54BF42" w14:textId="77777777" w:rsidR="00000000" w:rsidRDefault="00847163">
            <w:pPr>
              <w:pStyle w:val="a3"/>
              <w:spacing w:before="0" w:beforeAutospacing="0" w:after="0" w:afterAutospacing="0"/>
              <w:rPr>
                <w:sz w:val="20"/>
                <w:szCs w:val="20"/>
              </w:rPr>
            </w:pPr>
            <w:r>
              <w:rPr>
                <w:sz w:val="20"/>
                <w:szCs w:val="20"/>
              </w:rPr>
              <w:t>AS</w:t>
            </w:r>
            <w:r>
              <w:rPr>
                <w:sz w:val="20"/>
                <w:szCs w:val="20"/>
              </w:rPr>
              <w:t xml:space="preserve">U </w:t>
            </w:r>
            <w:r>
              <w:rPr>
                <w:rStyle w:val="a6"/>
                <w:sz w:val="20"/>
                <w:szCs w:val="20"/>
              </w:rPr>
              <w:t>2018</w:t>
            </w:r>
            <w:r>
              <w:rPr>
                <w:sz w:val="20"/>
                <w:szCs w:val="20"/>
              </w:rPr>
              <w:t>-</w:t>
            </w:r>
            <w:r>
              <w:rPr>
                <w:rStyle w:val="a6"/>
                <w:sz w:val="20"/>
                <w:szCs w:val="20"/>
              </w:rPr>
              <w:t>13,</w:t>
            </w:r>
            <w:r>
              <w:rPr>
                <w:sz w:val="20"/>
                <w:szCs w:val="20"/>
              </w:rPr>
              <w:t xml:space="preserve"> Fair Value Measurement (Topic </w:t>
            </w:r>
            <w:r>
              <w:rPr>
                <w:rStyle w:val="a6"/>
                <w:sz w:val="20"/>
                <w:szCs w:val="20"/>
              </w:rPr>
              <w:t>820</w:t>
            </w:r>
            <w:r>
              <w:rPr>
                <w:sz w:val="20"/>
                <w:szCs w:val="20"/>
              </w:rPr>
              <w:t>): Disclosure Framework – Changes to the Disclosure Requirements for Fair Value Measurement</w:t>
            </w:r>
          </w:p>
          <w:p w14:paraId="203A4289" w14:textId="77777777" w:rsidR="00000000" w:rsidRDefault="00847163">
            <w:pPr>
              <w:pStyle w:val="a3"/>
              <w:spacing w:before="0" w:beforeAutospacing="0" w:after="0" w:afterAutospacing="0"/>
              <w:rPr>
                <w:sz w:val="20"/>
                <w:szCs w:val="20"/>
              </w:rPr>
            </w:pPr>
            <w:r>
              <w:rPr>
                <w:sz w:val="20"/>
                <w:szCs w:val="20"/>
              </w:rPr>
              <w:t> </w:t>
            </w:r>
          </w:p>
        </w:tc>
        <w:tc>
          <w:tcPr>
            <w:tcW w:w="50" w:type="pct"/>
            <w:tcBorders>
              <w:bottom w:val="single" w:sz="6" w:space="0" w:color="000000"/>
              <w:right w:val="single" w:sz="6" w:space="0" w:color="000000"/>
            </w:tcBorders>
            <w:shd w:val="clear" w:color="auto" w:fill="CCEEFF"/>
            <w:hideMark/>
          </w:tcPr>
          <w:p w14:paraId="76174979" w14:textId="77777777" w:rsidR="00000000" w:rsidRDefault="0084716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hideMark/>
          </w:tcPr>
          <w:p w14:paraId="766AA0A3" w14:textId="77777777" w:rsidR="00000000" w:rsidRDefault="00847163">
            <w:pPr>
              <w:rPr>
                <w:rFonts w:eastAsia="Times New Roman"/>
                <w:sz w:val="20"/>
                <w:szCs w:val="20"/>
              </w:rPr>
            </w:pPr>
            <w:r>
              <w:rPr>
                <w:rFonts w:eastAsia="Times New Roman"/>
                <w:sz w:val="20"/>
                <w:szCs w:val="20"/>
              </w:rPr>
              <w:t> </w:t>
            </w:r>
          </w:p>
        </w:tc>
        <w:tc>
          <w:tcPr>
            <w:tcW w:w="2000" w:type="pct"/>
            <w:tcBorders>
              <w:bottom w:val="single" w:sz="6" w:space="0" w:color="000000"/>
            </w:tcBorders>
            <w:shd w:val="clear" w:color="auto" w:fill="CCEEFF"/>
            <w:hideMark/>
          </w:tcPr>
          <w:p w14:paraId="73A18CD1" w14:textId="77777777" w:rsidR="00000000" w:rsidRDefault="00847163">
            <w:pPr>
              <w:pStyle w:val="a3"/>
              <w:spacing w:before="0" w:beforeAutospacing="0" w:after="0" w:afterAutospacing="0"/>
              <w:jc w:val="both"/>
              <w:rPr>
                <w:sz w:val="20"/>
                <w:szCs w:val="20"/>
              </w:rPr>
            </w:pPr>
            <w:r>
              <w:rPr>
                <w:sz w:val="20"/>
                <w:szCs w:val="20"/>
              </w:rPr>
              <w:t xml:space="preserve">The amendment modifies the disclosure requirements for fair value measurements in Topic </w:t>
            </w:r>
            <w:r>
              <w:rPr>
                <w:rStyle w:val="a6"/>
                <w:sz w:val="20"/>
                <w:szCs w:val="20"/>
              </w:rPr>
              <w:t>820,</w:t>
            </w:r>
            <w:r>
              <w:rPr>
                <w:sz w:val="20"/>
                <w:szCs w:val="20"/>
              </w:rPr>
              <w:t xml:space="preserve"> based on the concepts in the FASB Concepts Statement, </w:t>
            </w:r>
            <w:r>
              <w:rPr>
                <w:i/>
                <w:iCs/>
                <w:sz w:val="20"/>
                <w:szCs w:val="20"/>
              </w:rPr>
              <w:t xml:space="preserve">Conceptual Framework for Financial Reporting – Chapter </w:t>
            </w:r>
            <w:r>
              <w:rPr>
                <w:rStyle w:val="a6"/>
                <w:sz w:val="20"/>
                <w:szCs w:val="20"/>
              </w:rPr>
              <w:t>8:</w:t>
            </w:r>
            <w:r>
              <w:rPr>
                <w:i/>
                <w:iCs/>
                <w:sz w:val="20"/>
                <w:szCs w:val="20"/>
              </w:rPr>
              <w:t xml:space="preserve"> Notes to Financial Statements</w:t>
            </w:r>
            <w:r>
              <w:rPr>
                <w:sz w:val="20"/>
                <w:szCs w:val="20"/>
              </w:rPr>
              <w:t>, including the consid</w:t>
            </w:r>
            <w:r>
              <w:rPr>
                <w:sz w:val="20"/>
                <w:szCs w:val="20"/>
              </w:rPr>
              <w:t>eration of costs and benefits.</w:t>
            </w:r>
          </w:p>
        </w:tc>
        <w:tc>
          <w:tcPr>
            <w:tcW w:w="50" w:type="pct"/>
            <w:tcBorders>
              <w:bottom w:val="single" w:sz="6" w:space="0" w:color="000000"/>
              <w:right w:val="single" w:sz="6" w:space="0" w:color="000000"/>
            </w:tcBorders>
            <w:shd w:val="clear" w:color="auto" w:fill="CCEEFF"/>
            <w:hideMark/>
          </w:tcPr>
          <w:p w14:paraId="17A414A8" w14:textId="77777777" w:rsidR="00000000" w:rsidRDefault="0084716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hideMark/>
          </w:tcPr>
          <w:p w14:paraId="0CB925B6" w14:textId="77777777" w:rsidR="00000000" w:rsidRDefault="00847163">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hideMark/>
          </w:tcPr>
          <w:p w14:paraId="35E85ED5" w14:textId="77777777" w:rsidR="00000000" w:rsidRDefault="00847163">
            <w:pPr>
              <w:pStyle w:val="a3"/>
              <w:spacing w:before="0" w:beforeAutospacing="0" w:after="0" w:afterAutospacing="0"/>
              <w:jc w:val="center"/>
              <w:rPr>
                <w:sz w:val="20"/>
                <w:szCs w:val="20"/>
              </w:rPr>
            </w:pPr>
            <w:r>
              <w:rPr>
                <w:rStyle w:val="a6"/>
                <w:sz w:val="20"/>
                <w:szCs w:val="20"/>
              </w:rPr>
              <w:t xml:space="preserve">January 1, 2020; </w:t>
            </w:r>
            <w:r>
              <w:rPr>
                <w:sz w:val="20"/>
                <w:szCs w:val="20"/>
              </w:rPr>
              <w:t>Early adoption permitted</w:t>
            </w:r>
          </w:p>
        </w:tc>
        <w:tc>
          <w:tcPr>
            <w:tcW w:w="50" w:type="pct"/>
            <w:tcBorders>
              <w:bottom w:val="single" w:sz="6" w:space="0" w:color="000000"/>
              <w:right w:val="single" w:sz="6" w:space="0" w:color="000000"/>
            </w:tcBorders>
            <w:shd w:val="clear" w:color="auto" w:fill="CCEEFF"/>
            <w:hideMark/>
          </w:tcPr>
          <w:p w14:paraId="2E8ACF32" w14:textId="77777777" w:rsidR="00000000" w:rsidRDefault="0084716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hideMark/>
          </w:tcPr>
          <w:p w14:paraId="1E3B8563" w14:textId="77777777" w:rsidR="00000000" w:rsidRDefault="00847163">
            <w:pPr>
              <w:rPr>
                <w:rFonts w:eastAsia="Times New Roman"/>
                <w:sz w:val="20"/>
                <w:szCs w:val="20"/>
              </w:rPr>
            </w:pPr>
            <w:r>
              <w:rPr>
                <w:rFonts w:eastAsia="Times New Roman"/>
                <w:sz w:val="20"/>
                <w:szCs w:val="20"/>
              </w:rPr>
              <w:t> </w:t>
            </w:r>
          </w:p>
        </w:tc>
        <w:tc>
          <w:tcPr>
            <w:tcW w:w="900" w:type="pct"/>
            <w:tcBorders>
              <w:bottom w:val="single" w:sz="6" w:space="0" w:color="000000"/>
            </w:tcBorders>
            <w:shd w:val="clear" w:color="auto" w:fill="CCEEFF"/>
            <w:hideMark/>
          </w:tcPr>
          <w:p w14:paraId="6C78E0BB" w14:textId="77777777" w:rsidR="00000000" w:rsidRDefault="00847163">
            <w:pPr>
              <w:pStyle w:val="a3"/>
              <w:spacing w:before="0" w:beforeAutospacing="0" w:after="0" w:afterAutospacing="0"/>
              <w:rPr>
                <w:sz w:val="20"/>
                <w:szCs w:val="20"/>
              </w:rPr>
            </w:pPr>
            <w:r>
              <w:rPr>
                <w:sz w:val="20"/>
                <w:szCs w:val="20"/>
              </w:rPr>
              <w:t xml:space="preserve">The adoption of this ASU did </w:t>
            </w:r>
            <w:r>
              <w:rPr>
                <w:rStyle w:val="a6"/>
                <w:sz w:val="20"/>
                <w:szCs w:val="20"/>
              </w:rPr>
              <w:t>not</w:t>
            </w:r>
            <w:r>
              <w:rPr>
                <w:sz w:val="20"/>
                <w:szCs w:val="20"/>
              </w:rPr>
              <w:t xml:space="preserve"> have a material impact on the Company’s financial position and/or results of operations.</w:t>
            </w:r>
          </w:p>
        </w:tc>
        <w:tc>
          <w:tcPr>
            <w:tcW w:w="50" w:type="pct"/>
            <w:tcBorders>
              <w:bottom w:val="single" w:sz="6" w:space="0" w:color="000000"/>
            </w:tcBorders>
            <w:shd w:val="clear" w:color="auto" w:fill="CCEEFF"/>
            <w:hideMark/>
          </w:tcPr>
          <w:p w14:paraId="745267DB" w14:textId="77777777" w:rsidR="00000000" w:rsidRDefault="00847163">
            <w:pPr>
              <w:rPr>
                <w:rFonts w:eastAsia="Times New Roman"/>
                <w:sz w:val="20"/>
                <w:szCs w:val="20"/>
              </w:rPr>
            </w:pPr>
            <w:r>
              <w:rPr>
                <w:rFonts w:eastAsia="Times New Roman"/>
                <w:sz w:val="20"/>
                <w:szCs w:val="20"/>
              </w:rPr>
              <w:t> </w:t>
            </w:r>
          </w:p>
        </w:tc>
      </w:tr>
      <w:tr w:rsidR="00000000" w14:paraId="25ADBDE7" w14:textId="77777777">
        <w:trPr>
          <w:tblCellSpacing w:w="0" w:type="dxa"/>
        </w:trPr>
        <w:tc>
          <w:tcPr>
            <w:tcW w:w="50" w:type="pct"/>
            <w:shd w:val="clear" w:color="auto" w:fill="FFFFFF"/>
            <w:hideMark/>
          </w:tcPr>
          <w:p w14:paraId="4B64D8A8" w14:textId="77777777" w:rsidR="00000000" w:rsidRDefault="00847163">
            <w:pPr>
              <w:rPr>
                <w:rFonts w:eastAsia="Times New Roman"/>
                <w:sz w:val="20"/>
                <w:szCs w:val="20"/>
              </w:rPr>
            </w:pPr>
            <w:r>
              <w:rPr>
                <w:rFonts w:eastAsia="Times New Roman"/>
                <w:sz w:val="20"/>
                <w:szCs w:val="20"/>
              </w:rPr>
              <w:t> </w:t>
            </w:r>
          </w:p>
        </w:tc>
        <w:tc>
          <w:tcPr>
            <w:tcW w:w="1000" w:type="pct"/>
            <w:shd w:val="clear" w:color="auto" w:fill="FFFFFF"/>
            <w:hideMark/>
          </w:tcPr>
          <w:p w14:paraId="76D87A99" w14:textId="77777777" w:rsidR="00000000" w:rsidRDefault="00847163">
            <w:pPr>
              <w:pStyle w:val="a3"/>
              <w:spacing w:before="0" w:beforeAutospacing="0" w:after="0" w:afterAutospacing="0"/>
              <w:rPr>
                <w:sz w:val="20"/>
                <w:szCs w:val="20"/>
              </w:rPr>
            </w:pPr>
            <w:r>
              <w:rPr>
                <w:sz w:val="20"/>
                <w:szCs w:val="20"/>
              </w:rPr>
              <w:t xml:space="preserve">ASU </w:t>
            </w:r>
            <w:r>
              <w:rPr>
                <w:rStyle w:val="a6"/>
                <w:sz w:val="20"/>
                <w:szCs w:val="20"/>
              </w:rPr>
              <w:t>2016</w:t>
            </w:r>
            <w:r>
              <w:rPr>
                <w:sz w:val="20"/>
                <w:szCs w:val="20"/>
              </w:rPr>
              <w:t>-</w:t>
            </w:r>
            <w:r>
              <w:rPr>
                <w:rStyle w:val="a6"/>
                <w:sz w:val="20"/>
                <w:szCs w:val="20"/>
              </w:rPr>
              <w:t>13,</w:t>
            </w:r>
            <w:r>
              <w:rPr>
                <w:sz w:val="20"/>
                <w:szCs w:val="20"/>
              </w:rPr>
              <w:t xml:space="preserve"> Financial Instruments – Credit Loss</w:t>
            </w:r>
            <w:r>
              <w:rPr>
                <w:sz w:val="20"/>
                <w:szCs w:val="20"/>
              </w:rPr>
              <w:t xml:space="preserve">es (Topic </w:t>
            </w:r>
            <w:r>
              <w:rPr>
                <w:rStyle w:val="a6"/>
                <w:sz w:val="20"/>
                <w:szCs w:val="20"/>
              </w:rPr>
              <w:t>326</w:t>
            </w:r>
            <w:r>
              <w:rPr>
                <w:sz w:val="20"/>
                <w:szCs w:val="20"/>
              </w:rPr>
              <w:t>): Measurement of Credit Losses on Financial Instruments</w:t>
            </w:r>
          </w:p>
          <w:p w14:paraId="69E42A0E" w14:textId="77777777" w:rsidR="00000000" w:rsidRDefault="00847163">
            <w:pPr>
              <w:pStyle w:val="a3"/>
              <w:spacing w:before="0" w:beforeAutospacing="0" w:after="0" w:afterAutospacing="0"/>
              <w:rPr>
                <w:sz w:val="20"/>
                <w:szCs w:val="20"/>
              </w:rPr>
            </w:pPr>
            <w:r>
              <w:rPr>
                <w:sz w:val="20"/>
                <w:szCs w:val="20"/>
              </w:rPr>
              <w:t> </w:t>
            </w:r>
          </w:p>
          <w:p w14:paraId="712E3945" w14:textId="77777777" w:rsidR="00000000" w:rsidRDefault="00847163">
            <w:pPr>
              <w:pStyle w:val="a3"/>
              <w:spacing w:before="0" w:beforeAutospacing="0" w:after="0" w:afterAutospacing="0"/>
              <w:rPr>
                <w:sz w:val="20"/>
                <w:szCs w:val="20"/>
              </w:rPr>
            </w:pPr>
            <w:r>
              <w:rPr>
                <w:sz w:val="20"/>
                <w:szCs w:val="20"/>
              </w:rPr>
              <w:t xml:space="preserve">ASU </w:t>
            </w:r>
            <w:r>
              <w:rPr>
                <w:rStyle w:val="a6"/>
                <w:sz w:val="20"/>
                <w:szCs w:val="20"/>
              </w:rPr>
              <w:t>2018</w:t>
            </w:r>
            <w:r>
              <w:rPr>
                <w:sz w:val="20"/>
                <w:szCs w:val="20"/>
              </w:rPr>
              <w:t>-</w:t>
            </w:r>
            <w:r>
              <w:rPr>
                <w:rStyle w:val="a6"/>
                <w:sz w:val="20"/>
                <w:szCs w:val="20"/>
              </w:rPr>
              <w:t>19,</w:t>
            </w:r>
            <w:r>
              <w:rPr>
                <w:sz w:val="20"/>
                <w:szCs w:val="20"/>
              </w:rPr>
              <w:t xml:space="preserve"> Codification Improvements to Topic </w:t>
            </w:r>
            <w:r>
              <w:rPr>
                <w:rStyle w:val="a6"/>
                <w:sz w:val="20"/>
                <w:szCs w:val="20"/>
              </w:rPr>
              <w:t>326,</w:t>
            </w:r>
            <w:r>
              <w:rPr>
                <w:sz w:val="20"/>
                <w:szCs w:val="20"/>
              </w:rPr>
              <w:t> Financial Instruments – Credit Losses</w:t>
            </w:r>
          </w:p>
          <w:p w14:paraId="1557F246" w14:textId="77777777" w:rsidR="00000000" w:rsidRDefault="00847163">
            <w:pPr>
              <w:pStyle w:val="a3"/>
              <w:spacing w:before="0" w:beforeAutospacing="0" w:after="0" w:afterAutospacing="0"/>
              <w:rPr>
                <w:sz w:val="20"/>
                <w:szCs w:val="20"/>
              </w:rPr>
            </w:pPr>
            <w:r>
              <w:rPr>
                <w:sz w:val="20"/>
                <w:szCs w:val="20"/>
              </w:rPr>
              <w:t> </w:t>
            </w:r>
          </w:p>
          <w:p w14:paraId="69F6119D" w14:textId="77777777" w:rsidR="00000000" w:rsidRDefault="00847163">
            <w:pPr>
              <w:pStyle w:val="a3"/>
              <w:spacing w:before="0" w:beforeAutospacing="0" w:after="0" w:afterAutospacing="0"/>
              <w:rPr>
                <w:sz w:val="20"/>
                <w:szCs w:val="20"/>
              </w:rPr>
            </w:pPr>
            <w:r>
              <w:rPr>
                <w:sz w:val="20"/>
                <w:szCs w:val="20"/>
              </w:rPr>
              <w:t xml:space="preserve">ASU </w:t>
            </w:r>
            <w:r>
              <w:rPr>
                <w:rStyle w:val="a6"/>
                <w:sz w:val="20"/>
                <w:szCs w:val="20"/>
              </w:rPr>
              <w:t>2019</w:t>
            </w:r>
            <w:r>
              <w:rPr>
                <w:sz w:val="20"/>
                <w:szCs w:val="20"/>
              </w:rPr>
              <w:t>-</w:t>
            </w:r>
            <w:r>
              <w:rPr>
                <w:rStyle w:val="a6"/>
                <w:sz w:val="20"/>
                <w:szCs w:val="20"/>
              </w:rPr>
              <w:t>05,</w:t>
            </w:r>
            <w:r>
              <w:rPr>
                <w:sz w:val="20"/>
                <w:szCs w:val="20"/>
              </w:rPr>
              <w:t xml:space="preserve"> Financial Instruments – Credit Losses (Topic </w:t>
            </w:r>
            <w:r>
              <w:rPr>
                <w:rStyle w:val="a6"/>
                <w:sz w:val="20"/>
                <w:szCs w:val="20"/>
              </w:rPr>
              <w:t>326</w:t>
            </w:r>
            <w:r>
              <w:rPr>
                <w:sz w:val="20"/>
                <w:szCs w:val="20"/>
              </w:rPr>
              <w:t>), Targeted Transition Relief</w:t>
            </w:r>
          </w:p>
          <w:p w14:paraId="200E97FE" w14:textId="77777777" w:rsidR="00000000" w:rsidRDefault="00847163">
            <w:pPr>
              <w:pStyle w:val="a3"/>
              <w:spacing w:before="0" w:beforeAutospacing="0" w:after="0" w:afterAutospacing="0"/>
              <w:rPr>
                <w:sz w:val="20"/>
                <w:szCs w:val="20"/>
              </w:rPr>
            </w:pPr>
            <w:r>
              <w:rPr>
                <w:sz w:val="20"/>
                <w:szCs w:val="20"/>
              </w:rPr>
              <w:t> </w:t>
            </w:r>
          </w:p>
          <w:p w14:paraId="6AE9AA96" w14:textId="77777777" w:rsidR="00000000" w:rsidRDefault="00847163">
            <w:pPr>
              <w:pStyle w:val="a3"/>
              <w:spacing w:before="0" w:beforeAutospacing="0" w:after="0" w:afterAutospacing="0"/>
              <w:rPr>
                <w:sz w:val="20"/>
                <w:szCs w:val="20"/>
              </w:rPr>
            </w:pPr>
            <w:r>
              <w:rPr>
                <w:sz w:val="20"/>
                <w:szCs w:val="20"/>
              </w:rPr>
              <w:t xml:space="preserve">ASU </w:t>
            </w:r>
            <w:r>
              <w:rPr>
                <w:rStyle w:val="a6"/>
                <w:sz w:val="20"/>
                <w:szCs w:val="20"/>
              </w:rPr>
              <w:t>2019</w:t>
            </w:r>
            <w:r>
              <w:rPr>
                <w:sz w:val="20"/>
                <w:szCs w:val="20"/>
              </w:rPr>
              <w:t>-</w:t>
            </w:r>
            <w:r>
              <w:rPr>
                <w:rStyle w:val="a6"/>
                <w:sz w:val="20"/>
                <w:szCs w:val="20"/>
              </w:rPr>
              <w:t>11,</w:t>
            </w:r>
            <w:r>
              <w:rPr>
                <w:sz w:val="20"/>
                <w:szCs w:val="20"/>
              </w:rPr>
              <w:t xml:space="preserve"> Codification Improvements to Topic </w:t>
            </w:r>
            <w:r>
              <w:rPr>
                <w:rStyle w:val="a6"/>
                <w:sz w:val="20"/>
                <w:szCs w:val="20"/>
              </w:rPr>
              <w:t>326,</w:t>
            </w:r>
            <w:r>
              <w:rPr>
                <w:sz w:val="20"/>
                <w:szCs w:val="20"/>
              </w:rPr>
              <w:t xml:space="preserve"> Financial Instruments – Credit Losses</w:t>
            </w:r>
          </w:p>
        </w:tc>
        <w:tc>
          <w:tcPr>
            <w:tcW w:w="50" w:type="pct"/>
            <w:tcBorders>
              <w:right w:val="single" w:sz="6" w:space="0" w:color="000000"/>
            </w:tcBorders>
            <w:shd w:val="clear" w:color="auto" w:fill="FFFFFF"/>
            <w:hideMark/>
          </w:tcPr>
          <w:p w14:paraId="214228FE"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hideMark/>
          </w:tcPr>
          <w:p w14:paraId="022B4C5A" w14:textId="77777777" w:rsidR="00000000" w:rsidRDefault="00847163">
            <w:pPr>
              <w:rPr>
                <w:rFonts w:eastAsia="Times New Roman"/>
                <w:sz w:val="20"/>
                <w:szCs w:val="20"/>
              </w:rPr>
            </w:pPr>
            <w:r>
              <w:rPr>
                <w:rFonts w:eastAsia="Times New Roman"/>
                <w:sz w:val="20"/>
                <w:szCs w:val="20"/>
              </w:rPr>
              <w:t> </w:t>
            </w:r>
          </w:p>
        </w:tc>
        <w:tc>
          <w:tcPr>
            <w:tcW w:w="2000" w:type="pct"/>
            <w:shd w:val="clear" w:color="auto" w:fill="FFFFFF"/>
            <w:hideMark/>
          </w:tcPr>
          <w:p w14:paraId="521CD563" w14:textId="77777777" w:rsidR="00000000" w:rsidRDefault="00847163">
            <w:pPr>
              <w:pStyle w:val="a3"/>
              <w:spacing w:before="0" w:beforeAutospacing="0" w:after="0" w:afterAutospacing="0"/>
              <w:jc w:val="both"/>
              <w:rPr>
                <w:sz w:val="20"/>
                <w:szCs w:val="20"/>
              </w:rPr>
            </w:pPr>
            <w:r>
              <w:rPr>
                <w:sz w:val="20"/>
                <w:szCs w:val="20"/>
              </w:rPr>
              <w:t>The new guidance introduces a new model for estimating credit losses for certain types of financial instruments, including loans receivable, held-to-maturity debt securities, and net investments in direct financing leases, amongst other financial instrumen</w:t>
            </w:r>
            <w:r>
              <w:rPr>
                <w:sz w:val="20"/>
                <w:szCs w:val="20"/>
              </w:rPr>
              <w:t xml:space="preserve">ts. ASU </w:t>
            </w:r>
            <w:r>
              <w:rPr>
                <w:rStyle w:val="a6"/>
                <w:sz w:val="20"/>
                <w:szCs w:val="20"/>
              </w:rPr>
              <w:t>2016</w:t>
            </w:r>
            <w:r>
              <w:rPr>
                <w:sz w:val="20"/>
                <w:szCs w:val="20"/>
              </w:rPr>
              <w:t>-</w:t>
            </w:r>
            <w:r>
              <w:rPr>
                <w:rStyle w:val="a6"/>
                <w:sz w:val="20"/>
                <w:szCs w:val="20"/>
              </w:rPr>
              <w:t>13</w:t>
            </w:r>
            <w:r>
              <w:rPr>
                <w:sz w:val="20"/>
                <w:szCs w:val="20"/>
              </w:rPr>
              <w:t xml:space="preserve"> also modifies the impairment model for available-for-sale debt securities and expands the disclosure requirements regarding an entity’s assumptions, models, and methods for estimating the allowance for losses.</w:t>
            </w:r>
          </w:p>
          <w:p w14:paraId="373315C1" w14:textId="77777777" w:rsidR="00000000" w:rsidRDefault="00847163">
            <w:pPr>
              <w:pStyle w:val="a3"/>
              <w:spacing w:before="0" w:beforeAutospacing="0" w:after="0" w:afterAutospacing="0"/>
              <w:jc w:val="both"/>
              <w:rPr>
                <w:sz w:val="20"/>
                <w:szCs w:val="20"/>
              </w:rPr>
            </w:pPr>
            <w:r>
              <w:rPr>
                <w:sz w:val="20"/>
                <w:szCs w:val="20"/>
              </w:rPr>
              <w:t> </w:t>
            </w:r>
          </w:p>
          <w:p w14:paraId="3DD64EFA" w14:textId="77777777" w:rsidR="00000000" w:rsidRDefault="00847163">
            <w:pPr>
              <w:pStyle w:val="a3"/>
              <w:spacing w:before="0" w:beforeAutospacing="0" w:after="0" w:afterAutospacing="0"/>
              <w:jc w:val="both"/>
              <w:rPr>
                <w:sz w:val="20"/>
                <w:szCs w:val="20"/>
              </w:rPr>
            </w:pPr>
            <w:r>
              <w:rPr>
                <w:sz w:val="20"/>
                <w:szCs w:val="20"/>
              </w:rPr>
              <w:t xml:space="preserve">In </w:t>
            </w:r>
            <w:r>
              <w:rPr>
                <w:rStyle w:val="a6"/>
                <w:sz w:val="20"/>
                <w:szCs w:val="20"/>
              </w:rPr>
              <w:t xml:space="preserve">November 2018, </w:t>
            </w:r>
            <w:r>
              <w:rPr>
                <w:sz w:val="20"/>
                <w:szCs w:val="20"/>
              </w:rPr>
              <w:t>the FASB i</w:t>
            </w:r>
            <w:r>
              <w:rPr>
                <w:sz w:val="20"/>
                <w:szCs w:val="20"/>
              </w:rPr>
              <w:t xml:space="preserve">ssued ASU </w:t>
            </w:r>
            <w:r>
              <w:rPr>
                <w:rStyle w:val="a6"/>
                <w:sz w:val="20"/>
                <w:szCs w:val="20"/>
              </w:rPr>
              <w:t>2018</w:t>
            </w:r>
            <w:r>
              <w:rPr>
                <w:sz w:val="20"/>
                <w:szCs w:val="20"/>
              </w:rPr>
              <w:t>-</w:t>
            </w:r>
            <w:r>
              <w:rPr>
                <w:rStyle w:val="a6"/>
                <w:sz w:val="20"/>
                <w:szCs w:val="20"/>
              </w:rPr>
              <w:t>19,</w:t>
            </w:r>
            <w:r>
              <w:rPr>
                <w:sz w:val="20"/>
                <w:szCs w:val="20"/>
              </w:rPr>
              <w:t xml:space="preserve"> which includes amendments to (i) clarify receivables arising from operating leases are within the scope of the new leasing standard (Topic </w:t>
            </w:r>
            <w:r>
              <w:rPr>
                <w:rStyle w:val="a6"/>
                <w:sz w:val="20"/>
                <w:szCs w:val="20"/>
              </w:rPr>
              <w:t>842</w:t>
            </w:r>
            <w:r>
              <w:rPr>
                <w:sz w:val="20"/>
                <w:szCs w:val="20"/>
              </w:rPr>
              <w:t>) discussed below and (ii) align the implementation date for nonpublic entities’ annual financi</w:t>
            </w:r>
            <w:r>
              <w:rPr>
                <w:sz w:val="20"/>
                <w:szCs w:val="20"/>
              </w:rPr>
              <w:t>al statements with the implementation date for their interim financial statements. Early adoption is permitted as of the original effective date.</w:t>
            </w:r>
          </w:p>
          <w:p w14:paraId="61A099B2" w14:textId="77777777" w:rsidR="00000000" w:rsidRDefault="00847163">
            <w:pPr>
              <w:pStyle w:val="a3"/>
              <w:spacing w:before="0" w:beforeAutospacing="0" w:after="0" w:afterAutospacing="0"/>
              <w:jc w:val="both"/>
              <w:rPr>
                <w:sz w:val="20"/>
                <w:szCs w:val="20"/>
              </w:rPr>
            </w:pPr>
            <w:r>
              <w:rPr>
                <w:sz w:val="20"/>
                <w:szCs w:val="20"/>
              </w:rPr>
              <w:t> </w:t>
            </w:r>
          </w:p>
          <w:p w14:paraId="69352970" w14:textId="77777777" w:rsidR="00000000" w:rsidRDefault="00847163">
            <w:pPr>
              <w:pStyle w:val="a3"/>
              <w:spacing w:before="0" w:beforeAutospacing="0" w:after="0" w:afterAutospacing="0"/>
              <w:jc w:val="both"/>
              <w:rPr>
                <w:sz w:val="20"/>
                <w:szCs w:val="20"/>
              </w:rPr>
            </w:pPr>
            <w:r>
              <w:rPr>
                <w:sz w:val="20"/>
                <w:szCs w:val="20"/>
              </w:rPr>
              <w:t>In </w:t>
            </w:r>
            <w:r>
              <w:rPr>
                <w:rStyle w:val="a6"/>
                <w:sz w:val="20"/>
                <w:szCs w:val="20"/>
              </w:rPr>
              <w:t xml:space="preserve"> May 2019,</w:t>
            </w:r>
            <w:r>
              <w:rPr>
                <w:sz w:val="20"/>
                <w:szCs w:val="20"/>
              </w:rPr>
              <w:t xml:space="preserve"> the FASB issued ASU </w:t>
            </w:r>
            <w:r>
              <w:rPr>
                <w:rStyle w:val="a6"/>
                <w:sz w:val="20"/>
                <w:szCs w:val="20"/>
              </w:rPr>
              <w:t>2019</w:t>
            </w:r>
            <w:r>
              <w:rPr>
                <w:sz w:val="20"/>
                <w:szCs w:val="20"/>
              </w:rPr>
              <w:t>-</w:t>
            </w:r>
            <w:r>
              <w:rPr>
                <w:rStyle w:val="a6"/>
                <w:sz w:val="20"/>
                <w:szCs w:val="20"/>
              </w:rPr>
              <w:t>05,</w:t>
            </w:r>
            <w:r>
              <w:rPr>
                <w:sz w:val="20"/>
                <w:szCs w:val="20"/>
              </w:rPr>
              <w:t xml:space="preserve"> which amends ASU </w:t>
            </w:r>
            <w:r>
              <w:rPr>
                <w:rStyle w:val="a6"/>
                <w:sz w:val="20"/>
                <w:szCs w:val="20"/>
              </w:rPr>
              <w:t>2016</w:t>
            </w:r>
            <w:r>
              <w:rPr>
                <w:sz w:val="20"/>
                <w:szCs w:val="20"/>
              </w:rPr>
              <w:t>-</w:t>
            </w:r>
            <w:r>
              <w:rPr>
                <w:rStyle w:val="a6"/>
                <w:sz w:val="20"/>
                <w:szCs w:val="20"/>
              </w:rPr>
              <w:t>13</w:t>
            </w:r>
            <w:r>
              <w:rPr>
                <w:sz w:val="20"/>
                <w:szCs w:val="20"/>
              </w:rPr>
              <w:t xml:space="preserve"> to allow companies to irrevocably elect,</w:t>
            </w:r>
            <w:r>
              <w:rPr>
                <w:sz w:val="20"/>
                <w:szCs w:val="20"/>
              </w:rPr>
              <w:t xml:space="preserve"> upon adoption of ASU </w:t>
            </w:r>
            <w:r>
              <w:rPr>
                <w:rStyle w:val="a6"/>
                <w:sz w:val="20"/>
                <w:szCs w:val="20"/>
              </w:rPr>
              <w:t>2016</w:t>
            </w:r>
            <w:r>
              <w:rPr>
                <w:sz w:val="20"/>
                <w:szCs w:val="20"/>
              </w:rPr>
              <w:t>-</w:t>
            </w:r>
            <w:r>
              <w:rPr>
                <w:rStyle w:val="a6"/>
                <w:sz w:val="20"/>
                <w:szCs w:val="20"/>
              </w:rPr>
              <w:t>13,</w:t>
            </w:r>
            <w:r>
              <w:rPr>
                <w:sz w:val="20"/>
                <w:szCs w:val="20"/>
              </w:rPr>
              <w:t xml:space="preserve"> the fair value option on financial instruments that (i) were previously recorded at amortized cost and (ii) are within the scope of ASC </w:t>
            </w:r>
            <w:r>
              <w:rPr>
                <w:rStyle w:val="a6"/>
                <w:sz w:val="20"/>
                <w:szCs w:val="20"/>
              </w:rPr>
              <w:t>326</w:t>
            </w:r>
            <w:r>
              <w:rPr>
                <w:sz w:val="20"/>
                <w:szCs w:val="20"/>
              </w:rPr>
              <w:t>-</w:t>
            </w:r>
            <w:r>
              <w:rPr>
                <w:rStyle w:val="a6"/>
                <w:sz w:val="20"/>
                <w:szCs w:val="20"/>
              </w:rPr>
              <w:t>203</w:t>
            </w:r>
            <w:r>
              <w:rPr>
                <w:sz w:val="20"/>
                <w:szCs w:val="20"/>
              </w:rPr>
              <w:t xml:space="preserve"> if the instruments are eligible for the fair value option under ASC </w:t>
            </w:r>
            <w:r>
              <w:rPr>
                <w:rStyle w:val="a6"/>
                <w:sz w:val="20"/>
                <w:szCs w:val="20"/>
              </w:rPr>
              <w:t>825</w:t>
            </w:r>
            <w:r>
              <w:rPr>
                <w:sz w:val="20"/>
                <w:szCs w:val="20"/>
              </w:rPr>
              <w:t>-</w:t>
            </w:r>
            <w:r>
              <w:rPr>
                <w:rStyle w:val="a6"/>
                <w:sz w:val="20"/>
                <w:szCs w:val="20"/>
              </w:rPr>
              <w:t>10.4.</w:t>
            </w:r>
            <w:r>
              <w:rPr>
                <w:sz w:val="20"/>
                <w:szCs w:val="20"/>
              </w:rPr>
              <w:t xml:space="preserve"> The</w:t>
            </w:r>
            <w:r>
              <w:rPr>
                <w:sz w:val="20"/>
                <w:szCs w:val="20"/>
              </w:rPr>
              <w:t xml:space="preserve"> fair value option election does </w:t>
            </w:r>
            <w:r>
              <w:rPr>
                <w:rStyle w:val="a6"/>
                <w:sz w:val="20"/>
                <w:szCs w:val="20"/>
              </w:rPr>
              <w:t>not</w:t>
            </w:r>
            <w:r>
              <w:rPr>
                <w:sz w:val="20"/>
                <w:szCs w:val="20"/>
              </w:rPr>
              <w:t xml:space="preserve"> apply to held-to-maturity debt securities. Entities are required to make this election on an instrument-by-instrument basis. These amendments should be applied on a modified-retrospective basis by means of a cumulative-</w:t>
            </w:r>
            <w:r>
              <w:rPr>
                <w:sz w:val="20"/>
                <w:szCs w:val="20"/>
              </w:rPr>
              <w:t xml:space="preserve">effect adjustment to the opening balance of retained earnings balance in the statement of financial position as of the date that an entity adopted the amendments in ASU </w:t>
            </w:r>
            <w:r>
              <w:rPr>
                <w:rStyle w:val="a6"/>
                <w:sz w:val="20"/>
                <w:szCs w:val="20"/>
              </w:rPr>
              <w:t>2016</w:t>
            </w:r>
            <w:r>
              <w:rPr>
                <w:sz w:val="20"/>
                <w:szCs w:val="20"/>
              </w:rPr>
              <w:t>-</w:t>
            </w:r>
            <w:r>
              <w:rPr>
                <w:rStyle w:val="a6"/>
                <w:sz w:val="20"/>
                <w:szCs w:val="20"/>
              </w:rPr>
              <w:t>13.</w:t>
            </w:r>
            <w:r>
              <w:rPr>
                <w:sz w:val="20"/>
                <w:szCs w:val="20"/>
              </w:rPr>
              <w:t xml:space="preserve"> Certain disclosures are required. The effective date will be the same as the e</w:t>
            </w:r>
            <w:r>
              <w:rPr>
                <w:sz w:val="20"/>
                <w:szCs w:val="20"/>
              </w:rPr>
              <w:t xml:space="preserve">ffective date in ASU </w:t>
            </w:r>
            <w:r>
              <w:rPr>
                <w:rStyle w:val="a6"/>
                <w:sz w:val="20"/>
                <w:szCs w:val="20"/>
              </w:rPr>
              <w:t>2016</w:t>
            </w:r>
            <w:r>
              <w:rPr>
                <w:sz w:val="20"/>
                <w:szCs w:val="20"/>
              </w:rPr>
              <w:t>-</w:t>
            </w:r>
            <w:r>
              <w:rPr>
                <w:rStyle w:val="a6"/>
                <w:sz w:val="20"/>
                <w:szCs w:val="20"/>
              </w:rPr>
              <w:t>13.</w:t>
            </w:r>
            <w:r>
              <w:rPr>
                <w:sz w:val="20"/>
                <w:szCs w:val="20"/>
              </w:rPr>
              <w:t> </w:t>
            </w:r>
          </w:p>
          <w:p w14:paraId="37839D7B" w14:textId="77777777" w:rsidR="00000000" w:rsidRDefault="00847163">
            <w:pPr>
              <w:pStyle w:val="a3"/>
              <w:spacing w:before="0" w:beforeAutospacing="0" w:after="0" w:afterAutospacing="0"/>
              <w:jc w:val="both"/>
              <w:rPr>
                <w:sz w:val="20"/>
                <w:szCs w:val="20"/>
              </w:rPr>
            </w:pPr>
            <w:r>
              <w:rPr>
                <w:sz w:val="20"/>
                <w:szCs w:val="20"/>
              </w:rPr>
              <w:t> </w:t>
            </w:r>
          </w:p>
          <w:p w14:paraId="4F3D51D2" w14:textId="77777777" w:rsidR="00000000" w:rsidRDefault="00847163">
            <w:pPr>
              <w:pStyle w:val="a3"/>
              <w:spacing w:before="0" w:beforeAutospacing="0" w:after="0" w:afterAutospacing="0"/>
              <w:rPr>
                <w:sz w:val="20"/>
                <w:szCs w:val="20"/>
              </w:rPr>
            </w:pPr>
            <w:r>
              <w:rPr>
                <w:sz w:val="20"/>
                <w:szCs w:val="20"/>
              </w:rPr>
              <w:t xml:space="preserve">In </w:t>
            </w:r>
            <w:r>
              <w:rPr>
                <w:rStyle w:val="a6"/>
                <w:sz w:val="20"/>
                <w:szCs w:val="20"/>
              </w:rPr>
              <w:t xml:space="preserve">November 2019, </w:t>
            </w:r>
            <w:r>
              <w:rPr>
                <w:sz w:val="20"/>
                <w:szCs w:val="20"/>
              </w:rPr>
              <w:t xml:space="preserve">the FASB issued ASU </w:t>
            </w:r>
            <w:r>
              <w:rPr>
                <w:rStyle w:val="a6"/>
                <w:sz w:val="20"/>
                <w:szCs w:val="20"/>
              </w:rPr>
              <w:t>2019</w:t>
            </w:r>
            <w:r>
              <w:rPr>
                <w:sz w:val="20"/>
                <w:szCs w:val="20"/>
              </w:rPr>
              <w:t>-</w:t>
            </w:r>
            <w:r>
              <w:rPr>
                <w:rStyle w:val="a6"/>
                <w:sz w:val="20"/>
                <w:szCs w:val="20"/>
              </w:rPr>
              <w:t>11,</w:t>
            </w:r>
            <w:r>
              <w:rPr>
                <w:sz w:val="20"/>
                <w:szCs w:val="20"/>
              </w:rPr>
              <w:t xml:space="preserve"> which clarifies treatment of certain credit losses and disclosure requirements.</w:t>
            </w:r>
          </w:p>
        </w:tc>
        <w:tc>
          <w:tcPr>
            <w:tcW w:w="50" w:type="pct"/>
            <w:tcBorders>
              <w:right w:val="single" w:sz="6" w:space="0" w:color="000000"/>
            </w:tcBorders>
            <w:shd w:val="clear" w:color="auto" w:fill="FFFFFF"/>
            <w:hideMark/>
          </w:tcPr>
          <w:p w14:paraId="7E78D2D5"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hideMark/>
          </w:tcPr>
          <w:p w14:paraId="7C3D24A5" w14:textId="77777777" w:rsidR="00000000" w:rsidRDefault="00847163">
            <w:pPr>
              <w:rPr>
                <w:rFonts w:eastAsia="Times New Roman"/>
                <w:sz w:val="20"/>
                <w:szCs w:val="20"/>
              </w:rPr>
            </w:pPr>
            <w:r>
              <w:rPr>
                <w:rFonts w:eastAsia="Times New Roman"/>
                <w:sz w:val="20"/>
                <w:szCs w:val="20"/>
              </w:rPr>
              <w:t> </w:t>
            </w:r>
          </w:p>
        </w:tc>
        <w:tc>
          <w:tcPr>
            <w:tcW w:w="700" w:type="pct"/>
            <w:shd w:val="clear" w:color="auto" w:fill="FFFFFF"/>
            <w:hideMark/>
          </w:tcPr>
          <w:p w14:paraId="50B3C41A" w14:textId="77777777" w:rsidR="00000000" w:rsidRDefault="00847163">
            <w:pPr>
              <w:pStyle w:val="a3"/>
              <w:spacing w:before="0" w:beforeAutospacing="0" w:after="0" w:afterAutospacing="0"/>
              <w:jc w:val="center"/>
              <w:rPr>
                <w:sz w:val="20"/>
                <w:szCs w:val="20"/>
              </w:rPr>
            </w:pPr>
            <w:r>
              <w:rPr>
                <w:rStyle w:val="a6"/>
                <w:sz w:val="20"/>
                <w:szCs w:val="20"/>
              </w:rPr>
              <w:t xml:space="preserve">January 1, 2020; </w:t>
            </w:r>
            <w:r>
              <w:rPr>
                <w:sz w:val="20"/>
                <w:szCs w:val="20"/>
              </w:rPr>
              <w:t>Early adoption permitted</w:t>
            </w:r>
          </w:p>
        </w:tc>
        <w:tc>
          <w:tcPr>
            <w:tcW w:w="50" w:type="pct"/>
            <w:tcBorders>
              <w:right w:val="single" w:sz="6" w:space="0" w:color="000000"/>
            </w:tcBorders>
            <w:shd w:val="clear" w:color="auto" w:fill="FFFFFF"/>
            <w:hideMark/>
          </w:tcPr>
          <w:p w14:paraId="1B770485"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hideMark/>
          </w:tcPr>
          <w:p w14:paraId="3FF52B72" w14:textId="77777777" w:rsidR="00000000" w:rsidRDefault="00847163">
            <w:pPr>
              <w:rPr>
                <w:rFonts w:eastAsia="Times New Roman"/>
                <w:sz w:val="20"/>
                <w:szCs w:val="20"/>
              </w:rPr>
            </w:pPr>
            <w:r>
              <w:rPr>
                <w:rFonts w:eastAsia="Times New Roman"/>
                <w:sz w:val="20"/>
                <w:szCs w:val="20"/>
              </w:rPr>
              <w:t> </w:t>
            </w:r>
          </w:p>
        </w:tc>
        <w:tc>
          <w:tcPr>
            <w:tcW w:w="900" w:type="pct"/>
            <w:shd w:val="clear" w:color="auto" w:fill="FFFFFF"/>
            <w:hideMark/>
          </w:tcPr>
          <w:p w14:paraId="3B90990B" w14:textId="77777777" w:rsidR="00000000" w:rsidRDefault="00847163">
            <w:pPr>
              <w:pStyle w:val="a3"/>
              <w:spacing w:before="0" w:beforeAutospacing="0" w:after="0" w:afterAutospacing="0"/>
              <w:rPr>
                <w:sz w:val="20"/>
                <w:szCs w:val="20"/>
              </w:rPr>
            </w:pPr>
            <w:r>
              <w:rPr>
                <w:sz w:val="20"/>
                <w:szCs w:val="20"/>
              </w:rPr>
              <w:t>The Company adopted this standard using the mo</w:t>
            </w:r>
            <w:r>
              <w:rPr>
                <w:sz w:val="20"/>
                <w:szCs w:val="20"/>
              </w:rPr>
              <w:t>dified retrospective method.</w:t>
            </w:r>
          </w:p>
          <w:p w14:paraId="354C12AA" w14:textId="77777777" w:rsidR="00000000" w:rsidRDefault="00847163">
            <w:pPr>
              <w:pStyle w:val="a3"/>
              <w:spacing w:before="0" w:beforeAutospacing="0" w:after="0" w:afterAutospacing="0"/>
              <w:rPr>
                <w:sz w:val="20"/>
                <w:szCs w:val="20"/>
              </w:rPr>
            </w:pPr>
            <w:r>
              <w:rPr>
                <w:sz w:val="20"/>
                <w:szCs w:val="20"/>
              </w:rPr>
              <w:t> </w:t>
            </w:r>
          </w:p>
          <w:p w14:paraId="4274CB2A" w14:textId="77777777" w:rsidR="00000000" w:rsidRDefault="00847163">
            <w:pPr>
              <w:pStyle w:val="a3"/>
              <w:spacing w:before="0" w:beforeAutospacing="0" w:after="0" w:afterAutospacing="0"/>
              <w:rPr>
                <w:sz w:val="20"/>
                <w:szCs w:val="20"/>
              </w:rPr>
            </w:pPr>
            <w:r>
              <w:rPr>
                <w:sz w:val="20"/>
                <w:szCs w:val="20"/>
              </w:rPr>
              <w:t xml:space="preserve">While the Company’s mortgages and other financing receivables are impacted by this ASU, the adoption did </w:t>
            </w:r>
            <w:r>
              <w:rPr>
                <w:rStyle w:val="a6"/>
                <w:sz w:val="20"/>
                <w:szCs w:val="20"/>
              </w:rPr>
              <w:t>not</w:t>
            </w:r>
            <w:r>
              <w:rPr>
                <w:sz w:val="20"/>
                <w:szCs w:val="20"/>
              </w:rPr>
              <w:t xml:space="preserve"> have a material impact to the Company’s Condensed Consolidated Financial Statements.</w:t>
            </w:r>
          </w:p>
        </w:tc>
        <w:tc>
          <w:tcPr>
            <w:tcW w:w="50" w:type="pct"/>
            <w:shd w:val="clear" w:color="auto" w:fill="FFFFFF"/>
            <w:hideMark/>
          </w:tcPr>
          <w:p w14:paraId="15A2E812" w14:textId="77777777" w:rsidR="00000000" w:rsidRDefault="00847163">
            <w:pPr>
              <w:rPr>
                <w:rFonts w:eastAsia="Times New Roman"/>
                <w:sz w:val="20"/>
                <w:szCs w:val="20"/>
              </w:rPr>
            </w:pPr>
            <w:r>
              <w:rPr>
                <w:rFonts w:eastAsia="Times New Roman"/>
                <w:sz w:val="20"/>
                <w:szCs w:val="20"/>
              </w:rPr>
              <w:t> </w:t>
            </w:r>
          </w:p>
        </w:tc>
      </w:tr>
    </w:tbl>
    <w:p w14:paraId="155B05B6" w14:textId="77777777" w:rsidR="00000000" w:rsidRDefault="00847163">
      <w:pPr>
        <w:pStyle w:val="a3"/>
        <w:spacing w:before="0" w:beforeAutospacing="0" w:after="0" w:afterAutospacing="0"/>
        <w:jc w:val="both"/>
        <w:rPr>
          <w:sz w:val="20"/>
          <w:szCs w:val="20"/>
        </w:rPr>
      </w:pPr>
      <w:r>
        <w:rPr>
          <w:sz w:val="20"/>
          <w:szCs w:val="20"/>
        </w:rPr>
        <w:t> </w:t>
      </w:r>
    </w:p>
    <w:p w14:paraId="5FF6D2D5" w14:textId="77777777" w:rsidR="00000000" w:rsidRDefault="00847163">
      <w:pPr>
        <w:jc w:val="center"/>
        <w:divId w:val="1406878800"/>
        <w:rPr>
          <w:rFonts w:eastAsia="Times New Roman"/>
          <w:sz w:val="20"/>
          <w:szCs w:val="20"/>
        </w:rPr>
      </w:pPr>
      <w:r>
        <w:rPr>
          <w:rStyle w:val="a6"/>
          <w:rFonts w:eastAsia="Times New Roman"/>
          <w:sz w:val="20"/>
          <w:szCs w:val="20"/>
        </w:rPr>
        <w:t>10</w:t>
      </w:r>
      <w:r>
        <w:rPr>
          <w:rFonts w:eastAsia="Times New Roman"/>
          <w:sz w:val="20"/>
          <w:szCs w:val="20"/>
        </w:rPr>
        <w:t xml:space="preserve"> </w:t>
      </w:r>
    </w:p>
    <w:p w14:paraId="1B032CAB" w14:textId="77777777" w:rsidR="00000000" w:rsidRDefault="00847163">
      <w:pPr>
        <w:divId w:val="2054380338"/>
        <w:rPr>
          <w:rFonts w:eastAsia="Times New Roman"/>
          <w:sz w:val="20"/>
          <w:szCs w:val="20"/>
        </w:rPr>
      </w:pPr>
      <w:r>
        <w:rPr>
          <w:rFonts w:eastAsia="Times New Roman"/>
          <w:sz w:val="20"/>
          <w:szCs w:val="20"/>
        </w:rPr>
        <w:pict w14:anchorId="2FB361ED">
          <v:rect id="_x0000_i1038" style="width:415.3pt;height:1.5pt" o:hralign="center" o:hrstd="t" o:hrnoshade="t" o:hr="t" fillcolor="black" stroked="f"/>
        </w:pict>
      </w:r>
    </w:p>
    <w:p w14:paraId="63D55630" w14:textId="77777777" w:rsidR="00000000" w:rsidRDefault="00847163">
      <w:pPr>
        <w:divId w:val="1080909280"/>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0A5866E0" w14:textId="77777777" w:rsidR="00000000" w:rsidRDefault="00847163">
      <w:pPr>
        <w:pStyle w:val="a3"/>
        <w:spacing w:before="0" w:beforeAutospacing="0" w:after="0" w:afterAutospacing="0"/>
        <w:rPr>
          <w:sz w:val="20"/>
          <w:szCs w:val="20"/>
        </w:rPr>
      </w:pPr>
      <w:r>
        <w:rPr>
          <w:sz w:val="20"/>
          <w:szCs w:val="20"/>
        </w:rPr>
        <w:t> </w:t>
      </w:r>
    </w:p>
    <w:p w14:paraId="7C6F6761" w14:textId="77777777" w:rsidR="00000000" w:rsidRDefault="00847163">
      <w:pPr>
        <w:divId w:val="572861621"/>
        <w:rPr>
          <w:rFonts w:eastAsia="Times New Roman"/>
          <w:sz w:val="20"/>
          <w:szCs w:val="20"/>
        </w:rPr>
      </w:pPr>
      <w:r>
        <w:rPr>
          <w:rFonts w:eastAsia="Times New Roman"/>
          <w:sz w:val="20"/>
          <w:szCs w:val="20"/>
        </w:rPr>
        <w:t xml:space="preserve">  </w:t>
      </w:r>
    </w:p>
    <w:p w14:paraId="58DDE36E" w14:textId="77777777" w:rsidR="00000000" w:rsidRDefault="00847163">
      <w:pPr>
        <w:pStyle w:val="a3"/>
        <w:spacing w:before="0" w:beforeAutospacing="0" w:after="0" w:afterAutospacing="0"/>
        <w:jc w:val="both"/>
        <w:rPr>
          <w:sz w:val="20"/>
          <w:szCs w:val="20"/>
        </w:rPr>
      </w:pPr>
      <w:r>
        <w:rPr>
          <w:rStyle w:val="a6"/>
          <w:sz w:val="20"/>
          <w:szCs w:val="20"/>
        </w:rPr>
        <w:t>3.</w:t>
      </w:r>
      <w:r>
        <w:rPr>
          <w:sz w:val="20"/>
          <w:szCs w:val="20"/>
        </w:rPr>
        <w:t xml:space="preserve"> </w:t>
      </w:r>
      <w:r>
        <w:rPr>
          <w:sz w:val="20"/>
          <w:szCs w:val="20"/>
          <w:u w:val="single"/>
        </w:rPr>
        <w:t>Real Estate</w:t>
      </w:r>
    </w:p>
    <w:p w14:paraId="536AE214" w14:textId="77777777" w:rsidR="00000000" w:rsidRDefault="00847163">
      <w:pPr>
        <w:pStyle w:val="a3"/>
        <w:spacing w:before="0" w:beforeAutospacing="0" w:after="0" w:afterAutospacing="0"/>
        <w:jc w:val="both"/>
        <w:rPr>
          <w:sz w:val="20"/>
          <w:szCs w:val="20"/>
        </w:rPr>
      </w:pPr>
      <w:r>
        <w:rPr>
          <w:sz w:val="20"/>
          <w:szCs w:val="20"/>
        </w:rPr>
        <w:t> </w:t>
      </w:r>
    </w:p>
    <w:p w14:paraId="4670016A" w14:textId="77777777" w:rsidR="00000000" w:rsidRDefault="00847163">
      <w:pPr>
        <w:pStyle w:val="a3"/>
        <w:spacing w:before="0" w:beforeAutospacing="0" w:after="0" w:afterAutospacing="0"/>
        <w:jc w:val="both"/>
        <w:rPr>
          <w:sz w:val="20"/>
          <w:szCs w:val="20"/>
        </w:rPr>
      </w:pPr>
      <w:r>
        <w:rPr>
          <w:i/>
          <w:iCs/>
          <w:sz w:val="20"/>
          <w:szCs w:val="20"/>
        </w:rPr>
        <w:t>Acquisitions of Operating Properties -</w:t>
      </w:r>
    </w:p>
    <w:p w14:paraId="51F32BC7" w14:textId="77777777" w:rsidR="00000000" w:rsidRDefault="00847163">
      <w:pPr>
        <w:pStyle w:val="a3"/>
        <w:spacing w:before="0" w:beforeAutospacing="0" w:after="0" w:afterAutospacing="0"/>
        <w:jc w:val="both"/>
        <w:rPr>
          <w:sz w:val="20"/>
          <w:szCs w:val="20"/>
        </w:rPr>
      </w:pPr>
      <w:r>
        <w:rPr>
          <w:sz w:val="20"/>
          <w:szCs w:val="20"/>
        </w:rPr>
        <w:t> </w:t>
      </w:r>
    </w:p>
    <w:p w14:paraId="78E35D30" w14:textId="77777777" w:rsidR="00000000" w:rsidRDefault="00847163">
      <w:pPr>
        <w:pStyle w:val="a3"/>
        <w:spacing w:before="0" w:beforeAutospacing="0" w:after="0" w:afterAutospacing="0"/>
        <w:ind w:firstLine="360"/>
        <w:jc w:val="both"/>
        <w:rPr>
          <w:sz w:val="20"/>
          <w:szCs w:val="20"/>
        </w:rPr>
      </w:pPr>
      <w:r>
        <w:rPr>
          <w:sz w:val="20"/>
          <w:szCs w:val="20"/>
        </w:rPr>
        <w:t xml:space="preserve">During the </w:t>
      </w:r>
      <w:r>
        <w:rPr>
          <w:rStyle w:val="a6"/>
          <w:sz w:val="20"/>
          <w:szCs w:val="20"/>
        </w:rPr>
        <w:t>three</w:t>
      </w:r>
      <w:r>
        <w:rPr>
          <w:sz w:val="20"/>
          <w:szCs w:val="20"/>
        </w:rPr>
        <w:t xml:space="preserve"> months ended </w:t>
      </w:r>
      <w:r>
        <w:rPr>
          <w:rStyle w:val="a6"/>
          <w:sz w:val="20"/>
          <w:szCs w:val="20"/>
        </w:rPr>
        <w:t xml:space="preserve">March 31, 2020, </w:t>
      </w:r>
      <w:r>
        <w:rPr>
          <w:sz w:val="20"/>
          <w:szCs w:val="20"/>
        </w:rPr>
        <w:t>the Company acquired the following</w:t>
      </w:r>
      <w:r>
        <w:rPr>
          <w:sz w:val="20"/>
          <w:szCs w:val="20"/>
        </w:rPr>
        <w:t xml:space="preserve"> operating property, through a direct asset purchase (in thousands):</w:t>
      </w:r>
    </w:p>
    <w:p w14:paraId="457AE9DB" w14:textId="77777777" w:rsidR="00000000" w:rsidRDefault="00847163">
      <w:pPr>
        <w:pStyle w:val="a3"/>
        <w:spacing w:before="0" w:beforeAutospacing="0" w:after="0" w:afterAutospacing="0"/>
        <w:ind w:firstLine="360"/>
        <w:jc w:val="both"/>
        <w:rPr>
          <w:sz w:val="20"/>
          <w:szCs w:val="20"/>
        </w:rPr>
      </w:pPr>
      <w:r>
        <w:rPr>
          <w:sz w:val="20"/>
          <w:szCs w:val="20"/>
        </w:rPr>
        <w:t> </w:t>
      </w:r>
    </w:p>
    <w:tbl>
      <w:tblPr>
        <w:tblW w:w="4250" w:type="pct"/>
        <w:tblCellSpacing w:w="0" w:type="dxa"/>
        <w:tblInd w:w="7" w:type="dxa"/>
        <w:tblCellMar>
          <w:left w:w="0" w:type="dxa"/>
          <w:right w:w="0" w:type="dxa"/>
        </w:tblCellMar>
        <w:tblLook w:val="04A0" w:firstRow="1" w:lastRow="0" w:firstColumn="1" w:lastColumn="0" w:noHBand="0" w:noVBand="1"/>
      </w:tblPr>
      <w:tblGrid>
        <w:gridCol w:w="1973"/>
        <w:gridCol w:w="1408"/>
        <w:gridCol w:w="1479"/>
        <w:gridCol w:w="68"/>
        <w:gridCol w:w="101"/>
        <w:gridCol w:w="1056"/>
        <w:gridCol w:w="68"/>
        <w:gridCol w:w="68"/>
        <w:gridCol w:w="68"/>
        <w:gridCol w:w="703"/>
        <w:gridCol w:w="68"/>
      </w:tblGrid>
      <w:tr w:rsidR="00000000" w14:paraId="7E8D2AFD" w14:textId="77777777">
        <w:trPr>
          <w:tblCellSpacing w:w="0" w:type="dxa"/>
        </w:trPr>
        <w:tc>
          <w:tcPr>
            <w:tcW w:w="1400" w:type="pct"/>
            <w:vAlign w:val="bottom"/>
            <w:hideMark/>
          </w:tcPr>
          <w:p w14:paraId="176A544C" w14:textId="77777777" w:rsidR="00000000" w:rsidRDefault="00847163">
            <w:pPr>
              <w:rPr>
                <w:rFonts w:eastAsia="Times New Roman"/>
                <w:sz w:val="20"/>
                <w:szCs w:val="20"/>
              </w:rPr>
            </w:pPr>
            <w:r>
              <w:rPr>
                <w:rFonts w:eastAsia="Times New Roman"/>
                <w:sz w:val="20"/>
                <w:szCs w:val="20"/>
              </w:rPr>
              <w:t> </w:t>
            </w:r>
          </w:p>
        </w:tc>
        <w:tc>
          <w:tcPr>
            <w:tcW w:w="1000" w:type="pct"/>
            <w:vAlign w:val="bottom"/>
            <w:hideMark/>
          </w:tcPr>
          <w:p w14:paraId="6530A400" w14:textId="77777777" w:rsidR="00000000" w:rsidRDefault="00847163">
            <w:pPr>
              <w:rPr>
                <w:rFonts w:eastAsia="Times New Roman"/>
                <w:sz w:val="20"/>
                <w:szCs w:val="20"/>
              </w:rPr>
            </w:pPr>
            <w:r>
              <w:rPr>
                <w:rFonts w:eastAsia="Times New Roman"/>
                <w:sz w:val="20"/>
                <w:szCs w:val="20"/>
              </w:rPr>
              <w:t> </w:t>
            </w:r>
          </w:p>
        </w:tc>
        <w:tc>
          <w:tcPr>
            <w:tcW w:w="1050" w:type="pct"/>
            <w:vAlign w:val="bottom"/>
            <w:hideMark/>
          </w:tcPr>
          <w:p w14:paraId="16107D47" w14:textId="77777777" w:rsidR="00000000" w:rsidRDefault="00847163">
            <w:pPr>
              <w:rPr>
                <w:rFonts w:eastAsia="Times New Roman"/>
                <w:sz w:val="20"/>
                <w:szCs w:val="20"/>
              </w:rPr>
            </w:pPr>
            <w:r>
              <w:rPr>
                <w:rFonts w:eastAsia="Times New Roman"/>
                <w:sz w:val="20"/>
                <w:szCs w:val="20"/>
              </w:rPr>
              <w:t> </w:t>
            </w:r>
          </w:p>
        </w:tc>
        <w:tc>
          <w:tcPr>
            <w:tcW w:w="50" w:type="pct"/>
            <w:vAlign w:val="bottom"/>
            <w:hideMark/>
          </w:tcPr>
          <w:p w14:paraId="11A2C824" w14:textId="77777777" w:rsidR="00000000" w:rsidRDefault="00847163">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2CE4BB29" w14:textId="77777777" w:rsidR="00000000" w:rsidRDefault="00847163">
            <w:pPr>
              <w:pStyle w:val="a3"/>
              <w:spacing w:before="0" w:beforeAutospacing="0" w:after="0" w:afterAutospacing="0"/>
              <w:jc w:val="center"/>
              <w:rPr>
                <w:sz w:val="20"/>
                <w:szCs w:val="20"/>
              </w:rPr>
            </w:pPr>
            <w:r>
              <w:rPr>
                <w:b/>
                <w:bCs/>
                <w:sz w:val="20"/>
                <w:szCs w:val="20"/>
              </w:rPr>
              <w:t>Purchase Price</w:t>
            </w:r>
          </w:p>
        </w:tc>
        <w:tc>
          <w:tcPr>
            <w:tcW w:w="50" w:type="pct"/>
            <w:vAlign w:val="bottom"/>
            <w:hideMark/>
          </w:tcPr>
          <w:p w14:paraId="5DECE291" w14:textId="77777777" w:rsidR="00000000" w:rsidRDefault="00847163">
            <w:pPr>
              <w:rPr>
                <w:rFonts w:eastAsia="Times New Roman"/>
                <w:sz w:val="20"/>
                <w:szCs w:val="20"/>
              </w:rPr>
            </w:pPr>
            <w:r>
              <w:rPr>
                <w:rFonts w:eastAsia="Times New Roman"/>
                <w:sz w:val="20"/>
                <w:szCs w:val="20"/>
              </w:rPr>
              <w:t> </w:t>
            </w:r>
          </w:p>
        </w:tc>
        <w:tc>
          <w:tcPr>
            <w:tcW w:w="50" w:type="pct"/>
            <w:vAlign w:val="bottom"/>
            <w:hideMark/>
          </w:tcPr>
          <w:p w14:paraId="63BCCA3D" w14:textId="77777777" w:rsidR="00000000" w:rsidRDefault="00847163">
            <w:pPr>
              <w:rPr>
                <w:rFonts w:eastAsia="Times New Roman"/>
                <w:sz w:val="20"/>
                <w:szCs w:val="20"/>
              </w:rPr>
            </w:pPr>
            <w:r>
              <w:rPr>
                <w:rFonts w:eastAsia="Times New Roman"/>
                <w:sz w:val="20"/>
                <w:szCs w:val="20"/>
              </w:rPr>
              <w:t> </w:t>
            </w:r>
          </w:p>
        </w:tc>
        <w:tc>
          <w:tcPr>
            <w:tcW w:w="50" w:type="pct"/>
            <w:vAlign w:val="bottom"/>
            <w:hideMark/>
          </w:tcPr>
          <w:p w14:paraId="5CA75FC6" w14:textId="77777777" w:rsidR="00000000" w:rsidRDefault="00847163">
            <w:pPr>
              <w:rPr>
                <w:rFonts w:eastAsia="Times New Roman"/>
                <w:sz w:val="20"/>
                <w:szCs w:val="20"/>
              </w:rPr>
            </w:pPr>
            <w:r>
              <w:rPr>
                <w:rFonts w:eastAsia="Times New Roman"/>
                <w:b/>
                <w:bCs/>
                <w:sz w:val="20"/>
                <w:szCs w:val="20"/>
              </w:rPr>
              <w:t> </w:t>
            </w:r>
          </w:p>
        </w:tc>
        <w:tc>
          <w:tcPr>
            <w:tcW w:w="500" w:type="pct"/>
            <w:vAlign w:val="bottom"/>
            <w:hideMark/>
          </w:tcPr>
          <w:p w14:paraId="1C121210" w14:textId="77777777" w:rsidR="00000000" w:rsidRDefault="00847163">
            <w:pPr>
              <w:jc w:val="center"/>
              <w:rPr>
                <w:rFonts w:eastAsia="Times New Roman"/>
                <w:sz w:val="20"/>
                <w:szCs w:val="20"/>
              </w:rPr>
            </w:pPr>
            <w:r>
              <w:rPr>
                <w:rFonts w:eastAsia="Times New Roman"/>
                <w:b/>
                <w:bCs/>
                <w:sz w:val="20"/>
                <w:szCs w:val="20"/>
              </w:rPr>
              <w:t> </w:t>
            </w:r>
          </w:p>
        </w:tc>
        <w:tc>
          <w:tcPr>
            <w:tcW w:w="50" w:type="pct"/>
            <w:vAlign w:val="bottom"/>
            <w:hideMark/>
          </w:tcPr>
          <w:p w14:paraId="7C4BAF33" w14:textId="77777777" w:rsidR="00000000" w:rsidRDefault="00847163">
            <w:pPr>
              <w:rPr>
                <w:rFonts w:eastAsia="Times New Roman"/>
                <w:sz w:val="20"/>
                <w:szCs w:val="20"/>
              </w:rPr>
            </w:pPr>
            <w:r>
              <w:rPr>
                <w:rFonts w:eastAsia="Times New Roman"/>
                <w:b/>
                <w:bCs/>
                <w:sz w:val="20"/>
                <w:szCs w:val="20"/>
              </w:rPr>
              <w:t> </w:t>
            </w:r>
          </w:p>
        </w:tc>
      </w:tr>
      <w:tr w:rsidR="00000000" w14:paraId="489D3EC4" w14:textId="77777777">
        <w:trPr>
          <w:tblCellSpacing w:w="0" w:type="dxa"/>
        </w:trPr>
        <w:tc>
          <w:tcPr>
            <w:tcW w:w="1400" w:type="pct"/>
            <w:tcBorders>
              <w:bottom w:val="single" w:sz="6" w:space="0" w:color="000000"/>
            </w:tcBorders>
            <w:vAlign w:val="bottom"/>
            <w:hideMark/>
          </w:tcPr>
          <w:p w14:paraId="08B728AB" w14:textId="77777777" w:rsidR="00000000" w:rsidRDefault="00847163">
            <w:pPr>
              <w:pStyle w:val="a3"/>
              <w:spacing w:before="0" w:beforeAutospacing="0" w:after="0" w:afterAutospacing="0"/>
              <w:jc w:val="center"/>
              <w:rPr>
                <w:sz w:val="20"/>
                <w:szCs w:val="20"/>
              </w:rPr>
            </w:pPr>
            <w:r>
              <w:rPr>
                <w:b/>
                <w:bCs/>
                <w:sz w:val="20"/>
                <w:szCs w:val="20"/>
              </w:rPr>
              <w:t>Property Name</w:t>
            </w:r>
          </w:p>
        </w:tc>
        <w:tc>
          <w:tcPr>
            <w:tcW w:w="1000" w:type="pct"/>
            <w:tcBorders>
              <w:bottom w:val="single" w:sz="6" w:space="0" w:color="000000"/>
            </w:tcBorders>
            <w:vAlign w:val="bottom"/>
            <w:hideMark/>
          </w:tcPr>
          <w:p w14:paraId="759FEC3A" w14:textId="77777777" w:rsidR="00000000" w:rsidRDefault="00847163">
            <w:pPr>
              <w:pStyle w:val="a3"/>
              <w:spacing w:before="0" w:beforeAutospacing="0" w:after="0" w:afterAutospacing="0"/>
              <w:jc w:val="center"/>
              <w:rPr>
                <w:sz w:val="20"/>
                <w:szCs w:val="20"/>
              </w:rPr>
            </w:pPr>
            <w:r>
              <w:rPr>
                <w:b/>
                <w:bCs/>
                <w:sz w:val="20"/>
                <w:szCs w:val="20"/>
              </w:rPr>
              <w:t>Location</w:t>
            </w:r>
          </w:p>
        </w:tc>
        <w:tc>
          <w:tcPr>
            <w:tcW w:w="1050" w:type="pct"/>
            <w:tcBorders>
              <w:bottom w:val="single" w:sz="6" w:space="0" w:color="000000"/>
            </w:tcBorders>
            <w:vAlign w:val="bottom"/>
            <w:hideMark/>
          </w:tcPr>
          <w:p w14:paraId="1336718C" w14:textId="77777777" w:rsidR="00000000" w:rsidRDefault="00847163">
            <w:pPr>
              <w:pStyle w:val="a3"/>
              <w:spacing w:before="0" w:beforeAutospacing="0" w:after="0" w:afterAutospacing="0"/>
              <w:jc w:val="center"/>
              <w:rPr>
                <w:sz w:val="20"/>
                <w:szCs w:val="20"/>
              </w:rPr>
            </w:pPr>
            <w:r>
              <w:rPr>
                <w:b/>
                <w:bCs/>
                <w:sz w:val="20"/>
                <w:szCs w:val="20"/>
              </w:rPr>
              <w:t>Month Acquired</w:t>
            </w:r>
          </w:p>
        </w:tc>
        <w:tc>
          <w:tcPr>
            <w:tcW w:w="50" w:type="pct"/>
            <w:tcBorders>
              <w:bottom w:val="single" w:sz="6" w:space="0" w:color="000000"/>
            </w:tcBorders>
            <w:vAlign w:val="bottom"/>
            <w:hideMark/>
          </w:tcPr>
          <w:p w14:paraId="2AAEC0BB" w14:textId="77777777" w:rsidR="00000000" w:rsidRDefault="00847163">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0D249A9B" w14:textId="77777777" w:rsidR="00000000" w:rsidRDefault="00847163">
            <w:pPr>
              <w:pStyle w:val="a3"/>
              <w:spacing w:before="0" w:beforeAutospacing="0" w:after="0" w:afterAutospacing="0"/>
              <w:jc w:val="center"/>
              <w:rPr>
                <w:sz w:val="20"/>
                <w:szCs w:val="20"/>
              </w:rPr>
            </w:pPr>
            <w:r>
              <w:rPr>
                <w:b/>
                <w:bCs/>
                <w:sz w:val="20"/>
                <w:szCs w:val="20"/>
              </w:rPr>
              <w:t>Cash</w:t>
            </w:r>
          </w:p>
        </w:tc>
        <w:tc>
          <w:tcPr>
            <w:tcW w:w="50" w:type="pct"/>
            <w:tcMar>
              <w:top w:w="0" w:type="dxa"/>
              <w:left w:w="0" w:type="dxa"/>
              <w:bottom w:w="15" w:type="dxa"/>
              <w:right w:w="0" w:type="dxa"/>
            </w:tcMar>
            <w:vAlign w:val="bottom"/>
            <w:hideMark/>
          </w:tcPr>
          <w:p w14:paraId="504BE986" w14:textId="77777777" w:rsidR="00000000" w:rsidRDefault="00847163">
            <w:pPr>
              <w:rPr>
                <w:rFonts w:eastAsia="Times New Roman"/>
                <w:sz w:val="20"/>
                <w:szCs w:val="20"/>
              </w:rPr>
            </w:pPr>
            <w:r>
              <w:rPr>
                <w:rFonts w:eastAsia="Times New Roman"/>
                <w:sz w:val="20"/>
                <w:szCs w:val="20"/>
              </w:rPr>
              <w:t> </w:t>
            </w:r>
          </w:p>
        </w:tc>
        <w:tc>
          <w:tcPr>
            <w:tcW w:w="50" w:type="pct"/>
            <w:vAlign w:val="bottom"/>
            <w:hideMark/>
          </w:tcPr>
          <w:p w14:paraId="0B4AA2E2" w14:textId="77777777" w:rsidR="00000000" w:rsidRDefault="00847163">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49576C7A" w14:textId="77777777" w:rsidR="00000000" w:rsidRDefault="00847163">
            <w:pPr>
              <w:pStyle w:val="a3"/>
              <w:spacing w:before="0" w:beforeAutospacing="0" w:after="0" w:afterAutospacing="0"/>
              <w:jc w:val="center"/>
              <w:rPr>
                <w:sz w:val="20"/>
                <w:szCs w:val="20"/>
              </w:rPr>
            </w:pPr>
            <w:r>
              <w:rPr>
                <w:b/>
                <w:bCs/>
                <w:sz w:val="20"/>
                <w:szCs w:val="20"/>
              </w:rPr>
              <w:t>GLA*</w:t>
            </w:r>
          </w:p>
        </w:tc>
        <w:tc>
          <w:tcPr>
            <w:tcW w:w="50" w:type="pct"/>
            <w:tcMar>
              <w:top w:w="0" w:type="dxa"/>
              <w:left w:w="0" w:type="dxa"/>
              <w:bottom w:w="15" w:type="dxa"/>
              <w:right w:w="0" w:type="dxa"/>
            </w:tcMar>
            <w:vAlign w:val="bottom"/>
            <w:hideMark/>
          </w:tcPr>
          <w:p w14:paraId="39E95CE3" w14:textId="77777777" w:rsidR="00000000" w:rsidRDefault="00847163">
            <w:pPr>
              <w:rPr>
                <w:rFonts w:eastAsia="Times New Roman"/>
                <w:sz w:val="20"/>
                <w:szCs w:val="20"/>
              </w:rPr>
            </w:pPr>
            <w:r>
              <w:rPr>
                <w:rFonts w:eastAsia="Times New Roman"/>
                <w:sz w:val="20"/>
                <w:szCs w:val="20"/>
              </w:rPr>
              <w:t> </w:t>
            </w:r>
          </w:p>
        </w:tc>
      </w:tr>
      <w:tr w:rsidR="00000000" w14:paraId="4B51A3CD" w14:textId="77777777">
        <w:trPr>
          <w:tblCellSpacing w:w="0" w:type="dxa"/>
        </w:trPr>
        <w:tc>
          <w:tcPr>
            <w:tcW w:w="1400" w:type="pct"/>
            <w:shd w:val="clear" w:color="auto" w:fill="CCEEFF"/>
            <w:vAlign w:val="bottom"/>
            <w:hideMark/>
          </w:tcPr>
          <w:p w14:paraId="537DB7EC" w14:textId="77777777" w:rsidR="00000000" w:rsidRDefault="00847163">
            <w:pPr>
              <w:pStyle w:val="a3"/>
              <w:spacing w:before="0" w:beforeAutospacing="0" w:after="0" w:afterAutospacing="0"/>
              <w:rPr>
                <w:sz w:val="20"/>
                <w:szCs w:val="20"/>
              </w:rPr>
            </w:pPr>
            <w:r>
              <w:rPr>
                <w:sz w:val="20"/>
                <w:szCs w:val="20"/>
              </w:rPr>
              <w:t>North Valley Parcel</w:t>
            </w:r>
          </w:p>
        </w:tc>
        <w:tc>
          <w:tcPr>
            <w:tcW w:w="1000" w:type="pct"/>
            <w:shd w:val="clear" w:color="auto" w:fill="CCEEFF"/>
            <w:vAlign w:val="bottom"/>
            <w:hideMark/>
          </w:tcPr>
          <w:p w14:paraId="1905C6F5" w14:textId="77777777" w:rsidR="00000000" w:rsidRDefault="00847163">
            <w:pPr>
              <w:pStyle w:val="a3"/>
              <w:spacing w:before="0" w:beforeAutospacing="0" w:after="0" w:afterAutospacing="0"/>
              <w:jc w:val="center"/>
              <w:rPr>
                <w:sz w:val="20"/>
                <w:szCs w:val="20"/>
              </w:rPr>
            </w:pPr>
            <w:r>
              <w:rPr>
                <w:rStyle w:val="a6"/>
                <w:sz w:val="20"/>
                <w:szCs w:val="20"/>
              </w:rPr>
              <w:t>Peoria, AZ</w:t>
            </w:r>
          </w:p>
        </w:tc>
        <w:tc>
          <w:tcPr>
            <w:tcW w:w="1050" w:type="pct"/>
            <w:shd w:val="clear" w:color="auto" w:fill="CCEEFF"/>
            <w:vAlign w:val="bottom"/>
            <w:hideMark/>
          </w:tcPr>
          <w:p w14:paraId="0DAE5FE7" w14:textId="77777777" w:rsidR="00000000" w:rsidRDefault="00847163">
            <w:pPr>
              <w:pStyle w:val="a3"/>
              <w:spacing w:before="0" w:beforeAutospacing="0" w:after="0" w:afterAutospacing="0"/>
              <w:jc w:val="center"/>
              <w:rPr>
                <w:sz w:val="20"/>
                <w:szCs w:val="20"/>
              </w:rPr>
            </w:pPr>
            <w:r>
              <w:rPr>
                <w:rStyle w:val="a6"/>
                <w:sz w:val="20"/>
                <w:szCs w:val="20"/>
              </w:rPr>
              <w:t>Feb-20</w:t>
            </w:r>
          </w:p>
        </w:tc>
        <w:tc>
          <w:tcPr>
            <w:tcW w:w="50" w:type="pct"/>
            <w:shd w:val="clear" w:color="auto" w:fill="CCEEFF"/>
            <w:vAlign w:val="bottom"/>
            <w:hideMark/>
          </w:tcPr>
          <w:p w14:paraId="75A1CB8D"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B0AC79F" w14:textId="77777777" w:rsidR="00000000" w:rsidRDefault="00847163">
            <w:pPr>
              <w:rPr>
                <w:rFonts w:eastAsia="Times New Roman"/>
                <w:sz w:val="20"/>
                <w:szCs w:val="20"/>
              </w:rPr>
            </w:pPr>
            <w:r>
              <w:rPr>
                <w:rFonts w:eastAsia="Times New Roman"/>
                <w:sz w:val="20"/>
                <w:szCs w:val="20"/>
              </w:rPr>
              <w:t>$</w:t>
            </w:r>
          </w:p>
        </w:tc>
        <w:tc>
          <w:tcPr>
            <w:tcW w:w="750" w:type="pct"/>
            <w:shd w:val="clear" w:color="auto" w:fill="CCEEFF"/>
            <w:vAlign w:val="bottom"/>
            <w:hideMark/>
          </w:tcPr>
          <w:p w14:paraId="47991214" w14:textId="77777777" w:rsidR="00000000" w:rsidRDefault="00847163">
            <w:pPr>
              <w:jc w:val="right"/>
              <w:rPr>
                <w:rFonts w:eastAsia="Times New Roman"/>
                <w:sz w:val="20"/>
                <w:szCs w:val="20"/>
              </w:rPr>
            </w:pPr>
            <w:r>
              <w:rPr>
                <w:rFonts w:eastAsia="Times New Roman"/>
                <w:sz w:val="20"/>
                <w:szCs w:val="20"/>
              </w:rPr>
              <w:t>7,073</w:t>
            </w:r>
          </w:p>
        </w:tc>
        <w:tc>
          <w:tcPr>
            <w:tcW w:w="50" w:type="pct"/>
            <w:shd w:val="clear" w:color="auto" w:fill="CCEEFF"/>
            <w:vAlign w:val="bottom"/>
            <w:hideMark/>
          </w:tcPr>
          <w:p w14:paraId="565751A5"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EE4129C"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EAAEB8D" w14:textId="77777777" w:rsidR="00000000" w:rsidRDefault="00847163">
            <w:pPr>
              <w:rPr>
                <w:rFonts w:eastAsia="Times New Roman"/>
                <w:sz w:val="20"/>
                <w:szCs w:val="20"/>
              </w:rPr>
            </w:pPr>
            <w:r>
              <w:rPr>
                <w:rFonts w:eastAsia="Times New Roman"/>
                <w:sz w:val="20"/>
                <w:szCs w:val="20"/>
              </w:rPr>
              <w:t> </w:t>
            </w:r>
          </w:p>
        </w:tc>
        <w:tc>
          <w:tcPr>
            <w:tcW w:w="500" w:type="pct"/>
            <w:shd w:val="clear" w:color="auto" w:fill="CCEEFF"/>
            <w:vAlign w:val="bottom"/>
            <w:hideMark/>
          </w:tcPr>
          <w:p w14:paraId="3E1B43E2" w14:textId="77777777" w:rsidR="00000000" w:rsidRDefault="00847163">
            <w:pPr>
              <w:jc w:val="right"/>
              <w:rPr>
                <w:rFonts w:eastAsia="Times New Roman"/>
                <w:sz w:val="20"/>
                <w:szCs w:val="20"/>
              </w:rPr>
            </w:pPr>
            <w:r>
              <w:rPr>
                <w:rFonts w:eastAsia="Times New Roman"/>
                <w:sz w:val="20"/>
                <w:szCs w:val="20"/>
              </w:rPr>
              <w:t>9</w:t>
            </w:r>
          </w:p>
        </w:tc>
        <w:tc>
          <w:tcPr>
            <w:tcW w:w="50" w:type="pct"/>
            <w:shd w:val="clear" w:color="auto" w:fill="CCEEFF"/>
            <w:vAlign w:val="bottom"/>
            <w:hideMark/>
          </w:tcPr>
          <w:p w14:paraId="37080FC4" w14:textId="77777777" w:rsidR="00000000" w:rsidRDefault="00847163">
            <w:pPr>
              <w:rPr>
                <w:rFonts w:eastAsia="Times New Roman"/>
                <w:sz w:val="20"/>
                <w:szCs w:val="20"/>
              </w:rPr>
            </w:pPr>
            <w:r>
              <w:rPr>
                <w:rFonts w:eastAsia="Times New Roman"/>
                <w:sz w:val="20"/>
                <w:szCs w:val="20"/>
              </w:rPr>
              <w:t> </w:t>
            </w:r>
          </w:p>
        </w:tc>
      </w:tr>
    </w:tbl>
    <w:p w14:paraId="1605C1E6" w14:textId="77777777" w:rsidR="00000000" w:rsidRDefault="00847163">
      <w:pPr>
        <w:pStyle w:val="a3"/>
        <w:spacing w:before="0" w:beforeAutospacing="0" w:after="0" w:afterAutospacing="0"/>
        <w:rPr>
          <w:sz w:val="20"/>
          <w:szCs w:val="20"/>
        </w:rPr>
      </w:pPr>
      <w:r>
        <w:rPr>
          <w:sz w:val="20"/>
          <w:szCs w:val="20"/>
        </w:rPr>
        <w:br/>
      </w:r>
      <w:r>
        <w:rPr>
          <w:sz w:val="20"/>
          <w:szCs w:val="20"/>
        </w:rPr>
        <w:t>* Gross leasable area ("GLA")</w:t>
      </w:r>
    </w:p>
    <w:p w14:paraId="75EC4089" w14:textId="77777777" w:rsidR="00000000" w:rsidRDefault="00847163">
      <w:pPr>
        <w:pStyle w:val="a3"/>
        <w:spacing w:before="0" w:beforeAutospacing="0" w:after="0" w:afterAutospacing="0"/>
        <w:jc w:val="both"/>
        <w:rPr>
          <w:sz w:val="20"/>
          <w:szCs w:val="20"/>
        </w:rPr>
      </w:pPr>
      <w:r>
        <w:rPr>
          <w:sz w:val="20"/>
          <w:szCs w:val="20"/>
        </w:rPr>
        <w:t> </w:t>
      </w:r>
    </w:p>
    <w:p w14:paraId="0374B984" w14:textId="77777777" w:rsidR="00000000" w:rsidRDefault="00847163">
      <w:pPr>
        <w:pStyle w:val="a3"/>
        <w:spacing w:before="0" w:beforeAutospacing="0" w:after="0" w:afterAutospacing="0"/>
        <w:jc w:val="both"/>
        <w:rPr>
          <w:sz w:val="20"/>
          <w:szCs w:val="20"/>
        </w:rPr>
      </w:pPr>
      <w:r>
        <w:rPr>
          <w:i/>
          <w:iCs/>
          <w:sz w:val="20"/>
          <w:szCs w:val="20"/>
        </w:rPr>
        <w:t>Purchase Price Allocation -</w:t>
      </w:r>
    </w:p>
    <w:p w14:paraId="2FFDA63D" w14:textId="77777777" w:rsidR="00000000" w:rsidRDefault="00847163">
      <w:pPr>
        <w:pStyle w:val="a3"/>
        <w:spacing w:before="0" w:beforeAutospacing="0" w:after="0" w:afterAutospacing="0"/>
        <w:ind w:firstLine="360"/>
        <w:jc w:val="both"/>
        <w:rPr>
          <w:sz w:val="20"/>
          <w:szCs w:val="20"/>
        </w:rPr>
      </w:pPr>
      <w:r>
        <w:rPr>
          <w:sz w:val="20"/>
          <w:szCs w:val="20"/>
        </w:rPr>
        <w:t> </w:t>
      </w:r>
    </w:p>
    <w:p w14:paraId="30DF4F39" w14:textId="77777777" w:rsidR="00000000" w:rsidRDefault="00847163">
      <w:pPr>
        <w:pStyle w:val="a3"/>
        <w:spacing w:before="0" w:beforeAutospacing="0" w:after="0" w:afterAutospacing="0"/>
        <w:ind w:firstLine="360"/>
        <w:jc w:val="both"/>
        <w:rPr>
          <w:sz w:val="20"/>
          <w:szCs w:val="20"/>
        </w:rPr>
      </w:pPr>
      <w:r>
        <w:rPr>
          <w:sz w:val="20"/>
          <w:szCs w:val="20"/>
        </w:rPr>
        <w:t xml:space="preserve">The purchase price for this acquisition is allocated to real estate and related intangible assets acquired, as applicable, in accordance with our accounting policies for asset acquisitions. The </w:t>
      </w:r>
      <w:r>
        <w:rPr>
          <w:sz w:val="20"/>
          <w:szCs w:val="20"/>
        </w:rPr>
        <w:t xml:space="preserve">purchase price allocation for the property acquired during the </w:t>
      </w:r>
      <w:r>
        <w:rPr>
          <w:rStyle w:val="a6"/>
          <w:sz w:val="20"/>
          <w:szCs w:val="20"/>
        </w:rPr>
        <w:t>three</w:t>
      </w:r>
      <w:r>
        <w:rPr>
          <w:sz w:val="20"/>
          <w:szCs w:val="20"/>
        </w:rPr>
        <w:t xml:space="preserve"> months ended </w:t>
      </w:r>
      <w:r>
        <w:rPr>
          <w:rStyle w:val="a6"/>
          <w:sz w:val="20"/>
          <w:szCs w:val="20"/>
        </w:rPr>
        <w:t xml:space="preserve">March 31, 2020, </w:t>
      </w:r>
      <w:r>
        <w:rPr>
          <w:sz w:val="20"/>
          <w:szCs w:val="20"/>
        </w:rPr>
        <w:t>is as follows (in thousands): </w:t>
      </w:r>
    </w:p>
    <w:p w14:paraId="01EF081D" w14:textId="77777777" w:rsidR="00000000" w:rsidRDefault="00847163">
      <w:pPr>
        <w:pStyle w:val="a3"/>
        <w:spacing w:before="0" w:beforeAutospacing="0" w:after="0" w:afterAutospacing="0"/>
        <w:ind w:firstLine="360"/>
        <w:jc w:val="both"/>
        <w:rPr>
          <w:sz w:val="20"/>
          <w:szCs w:val="20"/>
        </w:rPr>
      </w:pPr>
      <w:r>
        <w:rPr>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3318"/>
        <w:gridCol w:w="61"/>
        <w:gridCol w:w="101"/>
        <w:gridCol w:w="1324"/>
        <w:gridCol w:w="61"/>
        <w:gridCol w:w="61"/>
        <w:gridCol w:w="1657"/>
        <w:gridCol w:w="62"/>
      </w:tblGrid>
      <w:tr w:rsidR="00000000" w14:paraId="7F334412" w14:textId="77777777">
        <w:trPr>
          <w:tblCellSpacing w:w="0" w:type="dxa"/>
        </w:trPr>
        <w:tc>
          <w:tcPr>
            <w:tcW w:w="2500" w:type="pct"/>
            <w:vAlign w:val="bottom"/>
            <w:hideMark/>
          </w:tcPr>
          <w:p w14:paraId="4A17022C" w14:textId="77777777" w:rsidR="00000000" w:rsidRDefault="00847163">
            <w:pPr>
              <w:rPr>
                <w:rFonts w:eastAsia="Times New Roman"/>
                <w:sz w:val="20"/>
                <w:szCs w:val="20"/>
              </w:rPr>
            </w:pPr>
            <w:r>
              <w:rPr>
                <w:rFonts w:eastAsia="Times New Roman"/>
                <w:sz w:val="20"/>
                <w:szCs w:val="20"/>
              </w:rPr>
              <w:t> </w:t>
            </w:r>
          </w:p>
        </w:tc>
        <w:tc>
          <w:tcPr>
            <w:tcW w:w="50" w:type="pct"/>
            <w:vAlign w:val="bottom"/>
            <w:hideMark/>
          </w:tcPr>
          <w:p w14:paraId="6FBB3052" w14:textId="77777777" w:rsidR="00000000" w:rsidRDefault="00847163">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7B399E90" w14:textId="77777777" w:rsidR="00000000" w:rsidRDefault="00847163">
            <w:pPr>
              <w:pStyle w:val="a3"/>
              <w:spacing w:before="0" w:beforeAutospacing="0" w:after="0" w:afterAutospacing="0"/>
              <w:jc w:val="center"/>
              <w:rPr>
                <w:sz w:val="20"/>
                <w:szCs w:val="20"/>
              </w:rPr>
            </w:pPr>
            <w:r>
              <w:rPr>
                <w:b/>
                <w:bCs/>
                <w:sz w:val="20"/>
                <w:szCs w:val="20"/>
              </w:rPr>
              <w:t>Allocation as of</w:t>
            </w:r>
          </w:p>
          <w:p w14:paraId="6C85065A" w14:textId="77777777" w:rsidR="00000000" w:rsidRDefault="00847163">
            <w:pPr>
              <w:pStyle w:val="a3"/>
              <w:spacing w:before="0" w:beforeAutospacing="0" w:after="0" w:afterAutospacing="0"/>
              <w:jc w:val="center"/>
              <w:rPr>
                <w:sz w:val="20"/>
                <w:szCs w:val="20"/>
              </w:rPr>
            </w:pPr>
            <w:r>
              <w:rPr>
                <w:b/>
                <w:bCs/>
                <w:sz w:val="20"/>
                <w:szCs w:val="20"/>
              </w:rPr>
              <w:t>March 31, 2020</w:t>
            </w:r>
          </w:p>
        </w:tc>
        <w:tc>
          <w:tcPr>
            <w:tcW w:w="50" w:type="pct"/>
            <w:tcMar>
              <w:top w:w="0" w:type="dxa"/>
              <w:left w:w="0" w:type="dxa"/>
              <w:bottom w:w="15" w:type="dxa"/>
              <w:right w:w="0" w:type="dxa"/>
            </w:tcMar>
            <w:vAlign w:val="bottom"/>
            <w:hideMark/>
          </w:tcPr>
          <w:p w14:paraId="46519744" w14:textId="77777777" w:rsidR="00000000" w:rsidRDefault="00847163">
            <w:pPr>
              <w:rPr>
                <w:rFonts w:eastAsia="Times New Roman"/>
                <w:sz w:val="20"/>
                <w:szCs w:val="20"/>
              </w:rPr>
            </w:pPr>
            <w:r>
              <w:rPr>
                <w:rFonts w:eastAsia="Times New Roman"/>
                <w:sz w:val="20"/>
                <w:szCs w:val="20"/>
              </w:rPr>
              <w:t> </w:t>
            </w:r>
          </w:p>
        </w:tc>
        <w:tc>
          <w:tcPr>
            <w:tcW w:w="50" w:type="pct"/>
            <w:vAlign w:val="bottom"/>
            <w:hideMark/>
          </w:tcPr>
          <w:p w14:paraId="4324ED2F" w14:textId="77777777" w:rsidR="00000000" w:rsidRDefault="00847163">
            <w:pPr>
              <w:rPr>
                <w:rFonts w:eastAsia="Times New Roman"/>
                <w:sz w:val="20"/>
                <w:szCs w:val="20"/>
              </w:rPr>
            </w:pPr>
            <w:r>
              <w:rPr>
                <w:rFonts w:eastAsia="Times New Roman"/>
                <w:sz w:val="20"/>
                <w:szCs w:val="20"/>
              </w:rPr>
              <w:t> </w:t>
            </w:r>
          </w:p>
        </w:tc>
        <w:tc>
          <w:tcPr>
            <w:tcW w:w="1250" w:type="pct"/>
            <w:tcBorders>
              <w:bottom w:val="single" w:sz="6" w:space="0" w:color="000000"/>
            </w:tcBorders>
            <w:vAlign w:val="bottom"/>
            <w:hideMark/>
          </w:tcPr>
          <w:p w14:paraId="7AAC09F9" w14:textId="77777777" w:rsidR="00000000" w:rsidRDefault="00847163">
            <w:pPr>
              <w:pStyle w:val="a3"/>
              <w:spacing w:before="0" w:beforeAutospacing="0" w:after="0" w:afterAutospacing="0"/>
              <w:jc w:val="center"/>
              <w:rPr>
                <w:sz w:val="20"/>
                <w:szCs w:val="20"/>
              </w:rPr>
            </w:pPr>
            <w:r>
              <w:rPr>
                <w:b/>
                <w:bCs/>
                <w:sz w:val="20"/>
                <w:szCs w:val="20"/>
              </w:rPr>
              <w:t>Weighted-Average</w:t>
            </w:r>
            <w:r>
              <w:rPr>
                <w:b/>
                <w:bCs/>
                <w:sz w:val="20"/>
                <w:szCs w:val="20"/>
              </w:rPr>
              <w:br/>
              <w:t>Amortization Period (in Years)</w:t>
            </w:r>
          </w:p>
        </w:tc>
        <w:tc>
          <w:tcPr>
            <w:tcW w:w="50" w:type="pct"/>
            <w:tcMar>
              <w:top w:w="0" w:type="dxa"/>
              <w:left w:w="0" w:type="dxa"/>
              <w:bottom w:w="15" w:type="dxa"/>
              <w:right w:w="0" w:type="dxa"/>
            </w:tcMar>
            <w:vAlign w:val="bottom"/>
            <w:hideMark/>
          </w:tcPr>
          <w:p w14:paraId="350796DC" w14:textId="77777777" w:rsidR="00000000" w:rsidRDefault="00847163">
            <w:pPr>
              <w:rPr>
                <w:rFonts w:eastAsia="Times New Roman"/>
                <w:sz w:val="20"/>
                <w:szCs w:val="20"/>
              </w:rPr>
            </w:pPr>
            <w:r>
              <w:rPr>
                <w:rFonts w:eastAsia="Times New Roman"/>
                <w:sz w:val="20"/>
                <w:szCs w:val="20"/>
              </w:rPr>
              <w:t> </w:t>
            </w:r>
          </w:p>
        </w:tc>
      </w:tr>
      <w:tr w:rsidR="00000000" w14:paraId="236C8EBB" w14:textId="77777777">
        <w:trPr>
          <w:tblCellSpacing w:w="0" w:type="dxa"/>
        </w:trPr>
        <w:tc>
          <w:tcPr>
            <w:tcW w:w="2500" w:type="pct"/>
            <w:shd w:val="clear" w:color="auto" w:fill="CCEEFF"/>
            <w:vAlign w:val="bottom"/>
            <w:hideMark/>
          </w:tcPr>
          <w:p w14:paraId="6CC751AF" w14:textId="77777777" w:rsidR="00000000" w:rsidRDefault="00847163">
            <w:pPr>
              <w:pStyle w:val="a3"/>
              <w:spacing w:before="0" w:beforeAutospacing="0" w:after="0" w:afterAutospacing="0"/>
              <w:rPr>
                <w:sz w:val="20"/>
                <w:szCs w:val="20"/>
              </w:rPr>
            </w:pPr>
            <w:r>
              <w:rPr>
                <w:sz w:val="20"/>
                <w:szCs w:val="20"/>
              </w:rPr>
              <w:t>Land</w:t>
            </w:r>
          </w:p>
        </w:tc>
        <w:tc>
          <w:tcPr>
            <w:tcW w:w="50" w:type="pct"/>
            <w:shd w:val="clear" w:color="auto" w:fill="CCEEFF"/>
            <w:vAlign w:val="bottom"/>
            <w:hideMark/>
          </w:tcPr>
          <w:p w14:paraId="35959D30"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7BC0298" w14:textId="77777777" w:rsidR="00000000" w:rsidRDefault="00847163">
            <w:pPr>
              <w:rPr>
                <w:rFonts w:eastAsia="Times New Roman"/>
                <w:sz w:val="20"/>
                <w:szCs w:val="20"/>
              </w:rPr>
            </w:pPr>
            <w:r>
              <w:rPr>
                <w:rFonts w:eastAsia="Times New Roman"/>
                <w:sz w:val="20"/>
                <w:szCs w:val="20"/>
              </w:rPr>
              <w:t>$</w:t>
            </w:r>
          </w:p>
        </w:tc>
        <w:tc>
          <w:tcPr>
            <w:tcW w:w="1000" w:type="pct"/>
            <w:shd w:val="clear" w:color="auto" w:fill="CCEEFF"/>
            <w:vAlign w:val="bottom"/>
            <w:hideMark/>
          </w:tcPr>
          <w:p w14:paraId="12BC57FD" w14:textId="77777777" w:rsidR="00000000" w:rsidRDefault="00847163">
            <w:pPr>
              <w:jc w:val="right"/>
              <w:rPr>
                <w:rFonts w:eastAsia="Times New Roman"/>
                <w:sz w:val="20"/>
                <w:szCs w:val="20"/>
              </w:rPr>
            </w:pPr>
            <w:r>
              <w:rPr>
                <w:rFonts w:eastAsia="Times New Roman"/>
                <w:sz w:val="20"/>
                <w:szCs w:val="20"/>
              </w:rPr>
              <w:t>935</w:t>
            </w:r>
          </w:p>
        </w:tc>
        <w:tc>
          <w:tcPr>
            <w:tcW w:w="50" w:type="pct"/>
            <w:shd w:val="clear" w:color="auto" w:fill="CCEEFF"/>
            <w:vAlign w:val="bottom"/>
            <w:hideMark/>
          </w:tcPr>
          <w:p w14:paraId="5E88456C"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CDC2923" w14:textId="77777777" w:rsidR="00000000" w:rsidRDefault="00847163">
            <w:pPr>
              <w:rPr>
                <w:rFonts w:eastAsia="Times New Roman"/>
                <w:sz w:val="20"/>
                <w:szCs w:val="20"/>
              </w:rPr>
            </w:pPr>
            <w:r>
              <w:rPr>
                <w:rFonts w:eastAsia="Times New Roman"/>
                <w:sz w:val="20"/>
                <w:szCs w:val="20"/>
              </w:rPr>
              <w:t> </w:t>
            </w:r>
          </w:p>
        </w:tc>
        <w:tc>
          <w:tcPr>
            <w:tcW w:w="1250" w:type="pct"/>
            <w:shd w:val="clear" w:color="auto" w:fill="CCEEFF"/>
            <w:vAlign w:val="bottom"/>
            <w:hideMark/>
          </w:tcPr>
          <w:p w14:paraId="1522E295" w14:textId="77777777" w:rsidR="00000000" w:rsidRDefault="00847163">
            <w:pPr>
              <w:jc w:val="center"/>
              <w:rPr>
                <w:rFonts w:eastAsia="Times New Roman"/>
                <w:sz w:val="20"/>
                <w:szCs w:val="20"/>
              </w:rPr>
            </w:pPr>
            <w:r>
              <w:rPr>
                <w:rStyle w:val="a6"/>
                <w:rFonts w:eastAsia="Times New Roman"/>
                <w:sz w:val="20"/>
                <w:szCs w:val="20"/>
              </w:rPr>
              <w:t>n/a</w:t>
            </w:r>
          </w:p>
        </w:tc>
        <w:tc>
          <w:tcPr>
            <w:tcW w:w="50" w:type="pct"/>
            <w:shd w:val="clear" w:color="auto" w:fill="CCEEFF"/>
            <w:vAlign w:val="bottom"/>
            <w:hideMark/>
          </w:tcPr>
          <w:p w14:paraId="765B30D0" w14:textId="77777777" w:rsidR="00000000" w:rsidRDefault="00847163">
            <w:pPr>
              <w:rPr>
                <w:rFonts w:eastAsia="Times New Roman"/>
                <w:sz w:val="20"/>
                <w:szCs w:val="20"/>
              </w:rPr>
            </w:pPr>
            <w:r>
              <w:rPr>
                <w:rFonts w:eastAsia="Times New Roman"/>
                <w:sz w:val="20"/>
                <w:szCs w:val="20"/>
              </w:rPr>
              <w:t> </w:t>
            </w:r>
          </w:p>
        </w:tc>
      </w:tr>
      <w:tr w:rsidR="00000000" w14:paraId="270591C5" w14:textId="77777777">
        <w:trPr>
          <w:tblCellSpacing w:w="0" w:type="dxa"/>
        </w:trPr>
        <w:tc>
          <w:tcPr>
            <w:tcW w:w="2500" w:type="pct"/>
            <w:shd w:val="clear" w:color="auto" w:fill="FFFFFF"/>
            <w:vAlign w:val="bottom"/>
            <w:hideMark/>
          </w:tcPr>
          <w:p w14:paraId="16AC5675" w14:textId="77777777" w:rsidR="00000000" w:rsidRDefault="00847163">
            <w:pPr>
              <w:pStyle w:val="a3"/>
              <w:spacing w:before="0" w:beforeAutospacing="0" w:after="0" w:afterAutospacing="0"/>
              <w:rPr>
                <w:sz w:val="20"/>
                <w:szCs w:val="20"/>
              </w:rPr>
            </w:pPr>
            <w:r>
              <w:rPr>
                <w:sz w:val="20"/>
                <w:szCs w:val="20"/>
              </w:rPr>
              <w:t>Buildings</w:t>
            </w:r>
          </w:p>
        </w:tc>
        <w:tc>
          <w:tcPr>
            <w:tcW w:w="50" w:type="pct"/>
            <w:shd w:val="clear" w:color="auto" w:fill="FFFFFF"/>
            <w:vAlign w:val="bottom"/>
            <w:hideMark/>
          </w:tcPr>
          <w:p w14:paraId="6C7D74A8"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3F14D0A" w14:textId="77777777" w:rsidR="00000000" w:rsidRDefault="00847163">
            <w:pPr>
              <w:rPr>
                <w:rFonts w:eastAsia="Times New Roman"/>
                <w:sz w:val="20"/>
                <w:szCs w:val="20"/>
              </w:rPr>
            </w:pPr>
            <w:r>
              <w:rPr>
                <w:rFonts w:eastAsia="Times New Roman"/>
                <w:sz w:val="20"/>
                <w:szCs w:val="20"/>
              </w:rPr>
              <w:t> </w:t>
            </w:r>
          </w:p>
        </w:tc>
        <w:tc>
          <w:tcPr>
            <w:tcW w:w="1000" w:type="pct"/>
            <w:shd w:val="clear" w:color="auto" w:fill="FFFFFF"/>
            <w:vAlign w:val="bottom"/>
            <w:hideMark/>
          </w:tcPr>
          <w:p w14:paraId="7B2543C8" w14:textId="77777777" w:rsidR="00000000" w:rsidRDefault="00847163">
            <w:pPr>
              <w:jc w:val="right"/>
              <w:rPr>
                <w:rFonts w:eastAsia="Times New Roman"/>
                <w:sz w:val="20"/>
                <w:szCs w:val="20"/>
              </w:rPr>
            </w:pPr>
            <w:r>
              <w:rPr>
                <w:rFonts w:eastAsia="Times New Roman"/>
                <w:sz w:val="20"/>
                <w:szCs w:val="20"/>
              </w:rPr>
              <w:t>4,610</w:t>
            </w:r>
          </w:p>
        </w:tc>
        <w:tc>
          <w:tcPr>
            <w:tcW w:w="50" w:type="pct"/>
            <w:shd w:val="clear" w:color="auto" w:fill="FFFFFF"/>
            <w:vAlign w:val="bottom"/>
            <w:hideMark/>
          </w:tcPr>
          <w:p w14:paraId="5FA656FA"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B639076" w14:textId="77777777" w:rsidR="00000000" w:rsidRDefault="00847163">
            <w:pPr>
              <w:rPr>
                <w:rFonts w:eastAsia="Times New Roman"/>
                <w:sz w:val="20"/>
                <w:szCs w:val="20"/>
              </w:rPr>
            </w:pPr>
            <w:r>
              <w:rPr>
                <w:rFonts w:eastAsia="Times New Roman"/>
                <w:sz w:val="20"/>
                <w:szCs w:val="20"/>
              </w:rPr>
              <w:t> </w:t>
            </w:r>
          </w:p>
        </w:tc>
        <w:tc>
          <w:tcPr>
            <w:tcW w:w="1250" w:type="pct"/>
            <w:shd w:val="clear" w:color="auto" w:fill="FFFFFF"/>
            <w:vAlign w:val="bottom"/>
            <w:hideMark/>
          </w:tcPr>
          <w:p w14:paraId="05A9B7F7" w14:textId="77777777" w:rsidR="00000000" w:rsidRDefault="00847163">
            <w:pPr>
              <w:jc w:val="center"/>
              <w:rPr>
                <w:rFonts w:eastAsia="Times New Roman"/>
                <w:sz w:val="20"/>
                <w:szCs w:val="20"/>
              </w:rPr>
            </w:pPr>
            <w:r>
              <w:rPr>
                <w:rFonts w:eastAsia="Times New Roman"/>
                <w:sz w:val="20"/>
                <w:szCs w:val="20"/>
              </w:rPr>
              <w:t>50.0</w:t>
            </w:r>
          </w:p>
        </w:tc>
        <w:tc>
          <w:tcPr>
            <w:tcW w:w="50" w:type="pct"/>
            <w:shd w:val="clear" w:color="auto" w:fill="FFFFFF"/>
            <w:vAlign w:val="bottom"/>
            <w:hideMark/>
          </w:tcPr>
          <w:p w14:paraId="5B0341F1" w14:textId="77777777" w:rsidR="00000000" w:rsidRDefault="00847163">
            <w:pPr>
              <w:rPr>
                <w:rFonts w:eastAsia="Times New Roman"/>
                <w:sz w:val="20"/>
                <w:szCs w:val="20"/>
              </w:rPr>
            </w:pPr>
            <w:r>
              <w:rPr>
                <w:rFonts w:eastAsia="Times New Roman"/>
                <w:sz w:val="20"/>
                <w:szCs w:val="20"/>
              </w:rPr>
              <w:t> </w:t>
            </w:r>
          </w:p>
        </w:tc>
      </w:tr>
      <w:tr w:rsidR="00000000" w14:paraId="7F03F5C2" w14:textId="77777777">
        <w:trPr>
          <w:tblCellSpacing w:w="0" w:type="dxa"/>
        </w:trPr>
        <w:tc>
          <w:tcPr>
            <w:tcW w:w="2500" w:type="pct"/>
            <w:shd w:val="clear" w:color="auto" w:fill="CCEEFF"/>
            <w:vAlign w:val="bottom"/>
            <w:hideMark/>
          </w:tcPr>
          <w:p w14:paraId="1BB5F687" w14:textId="77777777" w:rsidR="00000000" w:rsidRDefault="00847163">
            <w:pPr>
              <w:pStyle w:val="a3"/>
              <w:spacing w:before="0" w:beforeAutospacing="0" w:after="0" w:afterAutospacing="0"/>
              <w:rPr>
                <w:sz w:val="20"/>
                <w:szCs w:val="20"/>
              </w:rPr>
            </w:pPr>
            <w:r>
              <w:rPr>
                <w:sz w:val="20"/>
                <w:szCs w:val="20"/>
              </w:rPr>
              <w:t>Building improvements</w:t>
            </w:r>
          </w:p>
        </w:tc>
        <w:tc>
          <w:tcPr>
            <w:tcW w:w="50" w:type="pct"/>
            <w:shd w:val="clear" w:color="auto" w:fill="CCEEFF"/>
            <w:vAlign w:val="bottom"/>
            <w:hideMark/>
          </w:tcPr>
          <w:p w14:paraId="2EBF6938"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0344A76" w14:textId="77777777" w:rsidR="00000000" w:rsidRDefault="00847163">
            <w:pPr>
              <w:rPr>
                <w:rFonts w:eastAsia="Times New Roman"/>
                <w:sz w:val="20"/>
                <w:szCs w:val="20"/>
              </w:rPr>
            </w:pPr>
            <w:r>
              <w:rPr>
                <w:rFonts w:eastAsia="Times New Roman"/>
                <w:sz w:val="20"/>
                <w:szCs w:val="20"/>
              </w:rPr>
              <w:t> </w:t>
            </w:r>
          </w:p>
        </w:tc>
        <w:tc>
          <w:tcPr>
            <w:tcW w:w="1000" w:type="pct"/>
            <w:shd w:val="clear" w:color="auto" w:fill="CCEEFF"/>
            <w:vAlign w:val="bottom"/>
            <w:hideMark/>
          </w:tcPr>
          <w:p w14:paraId="71193E6C" w14:textId="77777777" w:rsidR="00000000" w:rsidRDefault="00847163">
            <w:pPr>
              <w:jc w:val="right"/>
              <w:rPr>
                <w:rFonts w:eastAsia="Times New Roman"/>
                <w:sz w:val="20"/>
                <w:szCs w:val="20"/>
              </w:rPr>
            </w:pPr>
            <w:r>
              <w:rPr>
                <w:rFonts w:eastAsia="Times New Roman"/>
                <w:sz w:val="20"/>
                <w:szCs w:val="20"/>
              </w:rPr>
              <w:t>221</w:t>
            </w:r>
          </w:p>
        </w:tc>
        <w:tc>
          <w:tcPr>
            <w:tcW w:w="50" w:type="pct"/>
            <w:shd w:val="clear" w:color="auto" w:fill="CCEEFF"/>
            <w:vAlign w:val="bottom"/>
            <w:hideMark/>
          </w:tcPr>
          <w:p w14:paraId="707C9FDB"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80D8F10" w14:textId="77777777" w:rsidR="00000000" w:rsidRDefault="00847163">
            <w:pPr>
              <w:rPr>
                <w:rFonts w:eastAsia="Times New Roman"/>
                <w:sz w:val="20"/>
                <w:szCs w:val="20"/>
              </w:rPr>
            </w:pPr>
            <w:r>
              <w:rPr>
                <w:rFonts w:eastAsia="Times New Roman"/>
                <w:sz w:val="20"/>
                <w:szCs w:val="20"/>
              </w:rPr>
              <w:t> </w:t>
            </w:r>
          </w:p>
        </w:tc>
        <w:tc>
          <w:tcPr>
            <w:tcW w:w="1250" w:type="pct"/>
            <w:shd w:val="clear" w:color="auto" w:fill="CCEEFF"/>
            <w:vAlign w:val="bottom"/>
            <w:hideMark/>
          </w:tcPr>
          <w:p w14:paraId="3B36586A" w14:textId="77777777" w:rsidR="00000000" w:rsidRDefault="00847163">
            <w:pPr>
              <w:jc w:val="center"/>
              <w:rPr>
                <w:rFonts w:eastAsia="Times New Roman"/>
                <w:sz w:val="20"/>
                <w:szCs w:val="20"/>
              </w:rPr>
            </w:pPr>
            <w:r>
              <w:rPr>
                <w:rFonts w:eastAsia="Times New Roman"/>
                <w:sz w:val="20"/>
                <w:szCs w:val="20"/>
              </w:rPr>
              <w:t>45.0</w:t>
            </w:r>
          </w:p>
        </w:tc>
        <w:tc>
          <w:tcPr>
            <w:tcW w:w="50" w:type="pct"/>
            <w:shd w:val="clear" w:color="auto" w:fill="CCEEFF"/>
            <w:vAlign w:val="bottom"/>
            <w:hideMark/>
          </w:tcPr>
          <w:p w14:paraId="2EEAC13C" w14:textId="77777777" w:rsidR="00000000" w:rsidRDefault="00847163">
            <w:pPr>
              <w:rPr>
                <w:rFonts w:eastAsia="Times New Roman"/>
                <w:sz w:val="20"/>
                <w:szCs w:val="20"/>
              </w:rPr>
            </w:pPr>
            <w:r>
              <w:rPr>
                <w:rFonts w:eastAsia="Times New Roman"/>
                <w:sz w:val="20"/>
                <w:szCs w:val="20"/>
              </w:rPr>
              <w:t> </w:t>
            </w:r>
          </w:p>
        </w:tc>
      </w:tr>
      <w:tr w:rsidR="00000000" w14:paraId="397F3852" w14:textId="77777777">
        <w:trPr>
          <w:tblCellSpacing w:w="0" w:type="dxa"/>
        </w:trPr>
        <w:tc>
          <w:tcPr>
            <w:tcW w:w="2500" w:type="pct"/>
            <w:shd w:val="clear" w:color="auto" w:fill="FFFFFF"/>
            <w:vAlign w:val="bottom"/>
            <w:hideMark/>
          </w:tcPr>
          <w:p w14:paraId="55F800F2" w14:textId="77777777" w:rsidR="00000000" w:rsidRDefault="00847163">
            <w:pPr>
              <w:pStyle w:val="a3"/>
              <w:spacing w:before="0" w:beforeAutospacing="0" w:after="0" w:afterAutospacing="0"/>
              <w:rPr>
                <w:sz w:val="20"/>
                <w:szCs w:val="20"/>
              </w:rPr>
            </w:pPr>
            <w:r>
              <w:rPr>
                <w:sz w:val="20"/>
                <w:szCs w:val="20"/>
              </w:rPr>
              <w:t>Tenant improvements</w:t>
            </w:r>
          </w:p>
        </w:tc>
        <w:tc>
          <w:tcPr>
            <w:tcW w:w="50" w:type="pct"/>
            <w:shd w:val="clear" w:color="auto" w:fill="FFFFFF"/>
            <w:vAlign w:val="bottom"/>
            <w:hideMark/>
          </w:tcPr>
          <w:p w14:paraId="26492C4B"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034EDB2" w14:textId="77777777" w:rsidR="00000000" w:rsidRDefault="00847163">
            <w:pPr>
              <w:rPr>
                <w:rFonts w:eastAsia="Times New Roman"/>
                <w:sz w:val="20"/>
                <w:szCs w:val="20"/>
              </w:rPr>
            </w:pPr>
            <w:r>
              <w:rPr>
                <w:rFonts w:eastAsia="Times New Roman"/>
                <w:sz w:val="20"/>
                <w:szCs w:val="20"/>
              </w:rPr>
              <w:t> </w:t>
            </w:r>
          </w:p>
        </w:tc>
        <w:tc>
          <w:tcPr>
            <w:tcW w:w="1000" w:type="pct"/>
            <w:shd w:val="clear" w:color="auto" w:fill="FFFFFF"/>
            <w:vAlign w:val="bottom"/>
            <w:hideMark/>
          </w:tcPr>
          <w:p w14:paraId="698FA532" w14:textId="77777777" w:rsidR="00000000" w:rsidRDefault="00847163">
            <w:pPr>
              <w:jc w:val="right"/>
              <w:rPr>
                <w:rFonts w:eastAsia="Times New Roman"/>
                <w:sz w:val="20"/>
                <w:szCs w:val="20"/>
              </w:rPr>
            </w:pPr>
            <w:r>
              <w:rPr>
                <w:rFonts w:eastAsia="Times New Roman"/>
                <w:sz w:val="20"/>
                <w:szCs w:val="20"/>
              </w:rPr>
              <w:t>382</w:t>
            </w:r>
          </w:p>
        </w:tc>
        <w:tc>
          <w:tcPr>
            <w:tcW w:w="50" w:type="pct"/>
            <w:shd w:val="clear" w:color="auto" w:fill="FFFFFF"/>
            <w:vAlign w:val="bottom"/>
            <w:hideMark/>
          </w:tcPr>
          <w:p w14:paraId="46C15FB5"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38175DA" w14:textId="77777777" w:rsidR="00000000" w:rsidRDefault="00847163">
            <w:pPr>
              <w:rPr>
                <w:rFonts w:eastAsia="Times New Roman"/>
                <w:sz w:val="20"/>
                <w:szCs w:val="20"/>
              </w:rPr>
            </w:pPr>
            <w:r>
              <w:rPr>
                <w:rFonts w:eastAsia="Times New Roman"/>
                <w:sz w:val="20"/>
                <w:szCs w:val="20"/>
              </w:rPr>
              <w:t> </w:t>
            </w:r>
          </w:p>
        </w:tc>
        <w:tc>
          <w:tcPr>
            <w:tcW w:w="1250" w:type="pct"/>
            <w:shd w:val="clear" w:color="auto" w:fill="FFFFFF"/>
            <w:vAlign w:val="bottom"/>
            <w:hideMark/>
          </w:tcPr>
          <w:p w14:paraId="1892F088" w14:textId="77777777" w:rsidR="00000000" w:rsidRDefault="00847163">
            <w:pPr>
              <w:jc w:val="center"/>
              <w:rPr>
                <w:rFonts w:eastAsia="Times New Roman"/>
                <w:sz w:val="20"/>
                <w:szCs w:val="20"/>
              </w:rPr>
            </w:pPr>
            <w:r>
              <w:rPr>
                <w:rFonts w:eastAsia="Times New Roman"/>
                <w:sz w:val="20"/>
                <w:szCs w:val="20"/>
              </w:rPr>
              <w:t>19.4</w:t>
            </w:r>
          </w:p>
        </w:tc>
        <w:tc>
          <w:tcPr>
            <w:tcW w:w="50" w:type="pct"/>
            <w:shd w:val="clear" w:color="auto" w:fill="FFFFFF"/>
            <w:vAlign w:val="bottom"/>
            <w:hideMark/>
          </w:tcPr>
          <w:p w14:paraId="58225E0F" w14:textId="77777777" w:rsidR="00000000" w:rsidRDefault="00847163">
            <w:pPr>
              <w:rPr>
                <w:rFonts w:eastAsia="Times New Roman"/>
                <w:sz w:val="20"/>
                <w:szCs w:val="20"/>
              </w:rPr>
            </w:pPr>
            <w:r>
              <w:rPr>
                <w:rFonts w:eastAsia="Times New Roman"/>
                <w:sz w:val="20"/>
                <w:szCs w:val="20"/>
              </w:rPr>
              <w:t> </w:t>
            </w:r>
          </w:p>
        </w:tc>
      </w:tr>
      <w:tr w:rsidR="00000000" w14:paraId="71A8E398" w14:textId="77777777">
        <w:trPr>
          <w:tblCellSpacing w:w="0" w:type="dxa"/>
        </w:trPr>
        <w:tc>
          <w:tcPr>
            <w:tcW w:w="2500" w:type="pct"/>
            <w:shd w:val="clear" w:color="auto" w:fill="CCEEFF"/>
            <w:vAlign w:val="bottom"/>
            <w:hideMark/>
          </w:tcPr>
          <w:p w14:paraId="60A07795" w14:textId="77777777" w:rsidR="00000000" w:rsidRDefault="00847163">
            <w:pPr>
              <w:pStyle w:val="a3"/>
              <w:spacing w:before="0" w:beforeAutospacing="0" w:after="0" w:afterAutospacing="0"/>
              <w:rPr>
                <w:sz w:val="20"/>
                <w:szCs w:val="20"/>
              </w:rPr>
            </w:pPr>
            <w:r>
              <w:rPr>
                <w:sz w:val="20"/>
                <w:szCs w:val="20"/>
              </w:rPr>
              <w:t>In-place leases</w:t>
            </w:r>
          </w:p>
        </w:tc>
        <w:tc>
          <w:tcPr>
            <w:tcW w:w="50" w:type="pct"/>
            <w:shd w:val="clear" w:color="auto" w:fill="CCEEFF"/>
            <w:vAlign w:val="bottom"/>
            <w:hideMark/>
          </w:tcPr>
          <w:p w14:paraId="07186826" w14:textId="77777777" w:rsidR="00000000" w:rsidRDefault="0084716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4E602530" w14:textId="77777777" w:rsidR="00000000" w:rsidRDefault="00847163">
            <w:pPr>
              <w:rPr>
                <w:rFonts w:eastAsia="Times New Roman"/>
                <w:sz w:val="20"/>
                <w:szCs w:val="20"/>
              </w:rPr>
            </w:pPr>
            <w:r>
              <w:rPr>
                <w:rFonts w:eastAsia="Times New Roman"/>
                <w:sz w:val="20"/>
                <w:szCs w:val="20"/>
              </w:rPr>
              <w:t> </w:t>
            </w:r>
          </w:p>
        </w:tc>
        <w:tc>
          <w:tcPr>
            <w:tcW w:w="1000" w:type="pct"/>
            <w:tcBorders>
              <w:bottom w:val="single" w:sz="6" w:space="0" w:color="000000"/>
            </w:tcBorders>
            <w:shd w:val="clear" w:color="auto" w:fill="CCEEFF"/>
            <w:vAlign w:val="bottom"/>
            <w:hideMark/>
          </w:tcPr>
          <w:p w14:paraId="597F82CB" w14:textId="77777777" w:rsidR="00000000" w:rsidRDefault="00847163">
            <w:pPr>
              <w:jc w:val="right"/>
              <w:rPr>
                <w:rFonts w:eastAsia="Times New Roman"/>
                <w:sz w:val="20"/>
                <w:szCs w:val="20"/>
              </w:rPr>
            </w:pPr>
            <w:r>
              <w:rPr>
                <w:rFonts w:eastAsia="Times New Roman"/>
                <w:sz w:val="20"/>
                <w:szCs w:val="20"/>
              </w:rPr>
              <w:t>925</w:t>
            </w:r>
          </w:p>
        </w:tc>
        <w:tc>
          <w:tcPr>
            <w:tcW w:w="50" w:type="pct"/>
            <w:shd w:val="clear" w:color="auto" w:fill="CCEEFF"/>
            <w:tcMar>
              <w:top w:w="0" w:type="dxa"/>
              <w:left w:w="0" w:type="dxa"/>
              <w:bottom w:w="15" w:type="dxa"/>
              <w:right w:w="0" w:type="dxa"/>
            </w:tcMar>
            <w:vAlign w:val="bottom"/>
            <w:hideMark/>
          </w:tcPr>
          <w:p w14:paraId="0BC99638"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F94881B" w14:textId="77777777" w:rsidR="00000000" w:rsidRDefault="00847163">
            <w:pPr>
              <w:rPr>
                <w:rFonts w:eastAsia="Times New Roman"/>
                <w:sz w:val="20"/>
                <w:szCs w:val="20"/>
              </w:rPr>
            </w:pPr>
            <w:r>
              <w:rPr>
                <w:rFonts w:eastAsia="Times New Roman"/>
                <w:sz w:val="20"/>
                <w:szCs w:val="20"/>
              </w:rPr>
              <w:t> </w:t>
            </w:r>
          </w:p>
        </w:tc>
        <w:tc>
          <w:tcPr>
            <w:tcW w:w="1250" w:type="pct"/>
            <w:shd w:val="clear" w:color="auto" w:fill="CCEEFF"/>
            <w:vAlign w:val="bottom"/>
            <w:hideMark/>
          </w:tcPr>
          <w:p w14:paraId="103662A1" w14:textId="77777777" w:rsidR="00000000" w:rsidRDefault="00847163">
            <w:pPr>
              <w:jc w:val="center"/>
              <w:rPr>
                <w:rFonts w:eastAsia="Times New Roman"/>
                <w:sz w:val="20"/>
                <w:szCs w:val="20"/>
              </w:rPr>
            </w:pPr>
            <w:r>
              <w:rPr>
                <w:rFonts w:eastAsia="Times New Roman"/>
                <w:sz w:val="20"/>
                <w:szCs w:val="20"/>
              </w:rPr>
              <w:t>19.4</w:t>
            </w:r>
          </w:p>
        </w:tc>
        <w:tc>
          <w:tcPr>
            <w:tcW w:w="50" w:type="pct"/>
            <w:shd w:val="clear" w:color="auto" w:fill="CCEEFF"/>
            <w:tcMar>
              <w:top w:w="0" w:type="dxa"/>
              <w:left w:w="0" w:type="dxa"/>
              <w:bottom w:w="15" w:type="dxa"/>
              <w:right w:w="0" w:type="dxa"/>
            </w:tcMar>
            <w:vAlign w:val="bottom"/>
            <w:hideMark/>
          </w:tcPr>
          <w:p w14:paraId="117286C5" w14:textId="77777777" w:rsidR="00000000" w:rsidRDefault="00847163">
            <w:pPr>
              <w:rPr>
                <w:rFonts w:eastAsia="Times New Roman"/>
                <w:sz w:val="20"/>
                <w:szCs w:val="20"/>
              </w:rPr>
            </w:pPr>
            <w:r>
              <w:rPr>
                <w:rFonts w:eastAsia="Times New Roman"/>
                <w:sz w:val="20"/>
                <w:szCs w:val="20"/>
              </w:rPr>
              <w:t> </w:t>
            </w:r>
          </w:p>
        </w:tc>
      </w:tr>
      <w:tr w:rsidR="00000000" w14:paraId="2914AF56" w14:textId="77777777">
        <w:trPr>
          <w:tblCellSpacing w:w="0" w:type="dxa"/>
        </w:trPr>
        <w:tc>
          <w:tcPr>
            <w:tcW w:w="2500" w:type="pct"/>
            <w:shd w:val="clear" w:color="auto" w:fill="FFFFFF"/>
            <w:vAlign w:val="bottom"/>
            <w:hideMark/>
          </w:tcPr>
          <w:p w14:paraId="7730289D" w14:textId="77777777" w:rsidR="00000000" w:rsidRDefault="00847163">
            <w:pPr>
              <w:pStyle w:val="a3"/>
              <w:spacing w:before="0" w:beforeAutospacing="0" w:after="0" w:afterAutospacing="0"/>
              <w:rPr>
                <w:sz w:val="20"/>
                <w:szCs w:val="20"/>
              </w:rPr>
            </w:pPr>
            <w:r>
              <w:rPr>
                <w:b/>
                <w:bCs/>
                <w:sz w:val="20"/>
                <w:szCs w:val="20"/>
              </w:rPr>
              <w:t>Net assets acquired</w:t>
            </w:r>
          </w:p>
        </w:tc>
        <w:tc>
          <w:tcPr>
            <w:tcW w:w="50" w:type="pct"/>
            <w:shd w:val="clear" w:color="auto" w:fill="FFFFFF"/>
            <w:vAlign w:val="bottom"/>
            <w:hideMark/>
          </w:tcPr>
          <w:p w14:paraId="0D930C8B" w14:textId="77777777" w:rsidR="00000000" w:rsidRDefault="0084716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5D54ED90" w14:textId="77777777" w:rsidR="00000000" w:rsidRDefault="00847163">
            <w:pPr>
              <w:rPr>
                <w:rFonts w:eastAsia="Times New Roman"/>
                <w:sz w:val="20"/>
                <w:szCs w:val="20"/>
              </w:rPr>
            </w:pPr>
            <w:r>
              <w:rPr>
                <w:rFonts w:eastAsia="Times New Roman"/>
                <w:b/>
                <w:bCs/>
                <w:sz w:val="20"/>
                <w:szCs w:val="20"/>
              </w:rPr>
              <w:t>$</w:t>
            </w:r>
          </w:p>
        </w:tc>
        <w:tc>
          <w:tcPr>
            <w:tcW w:w="1000" w:type="pct"/>
            <w:tcBorders>
              <w:bottom w:val="double" w:sz="6" w:space="0" w:color="000000"/>
            </w:tcBorders>
            <w:shd w:val="clear" w:color="auto" w:fill="FFFFFF"/>
            <w:vAlign w:val="bottom"/>
            <w:hideMark/>
          </w:tcPr>
          <w:p w14:paraId="1E2A8894" w14:textId="77777777" w:rsidR="00000000" w:rsidRDefault="00847163">
            <w:pPr>
              <w:jc w:val="right"/>
              <w:rPr>
                <w:rFonts w:eastAsia="Times New Roman"/>
                <w:sz w:val="20"/>
                <w:szCs w:val="20"/>
              </w:rPr>
            </w:pPr>
            <w:r>
              <w:rPr>
                <w:rFonts w:eastAsia="Times New Roman"/>
                <w:b/>
                <w:bCs/>
                <w:sz w:val="20"/>
                <w:szCs w:val="20"/>
              </w:rPr>
              <w:t>7,073</w:t>
            </w:r>
          </w:p>
        </w:tc>
        <w:tc>
          <w:tcPr>
            <w:tcW w:w="50" w:type="pct"/>
            <w:shd w:val="clear" w:color="auto" w:fill="FFFFFF"/>
            <w:tcMar>
              <w:top w:w="0" w:type="dxa"/>
              <w:left w:w="0" w:type="dxa"/>
              <w:bottom w:w="45" w:type="dxa"/>
              <w:right w:w="0" w:type="dxa"/>
            </w:tcMar>
            <w:vAlign w:val="bottom"/>
            <w:hideMark/>
          </w:tcPr>
          <w:p w14:paraId="60C65262"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353516B" w14:textId="77777777" w:rsidR="00000000" w:rsidRDefault="00847163">
            <w:pPr>
              <w:rPr>
                <w:rFonts w:eastAsia="Times New Roman"/>
                <w:sz w:val="20"/>
                <w:szCs w:val="20"/>
              </w:rPr>
            </w:pPr>
            <w:r>
              <w:rPr>
                <w:rFonts w:eastAsia="Times New Roman"/>
                <w:sz w:val="20"/>
                <w:szCs w:val="20"/>
              </w:rPr>
              <w:t> </w:t>
            </w:r>
          </w:p>
        </w:tc>
        <w:tc>
          <w:tcPr>
            <w:tcW w:w="1250" w:type="pct"/>
            <w:shd w:val="clear" w:color="auto" w:fill="FFFFFF"/>
            <w:vAlign w:val="bottom"/>
            <w:hideMark/>
          </w:tcPr>
          <w:p w14:paraId="1E674B37" w14:textId="77777777" w:rsidR="00000000" w:rsidRDefault="00847163">
            <w:pPr>
              <w:jc w:val="right"/>
              <w:rPr>
                <w:rFonts w:eastAsia="Times New Roman"/>
                <w:sz w:val="20"/>
                <w:szCs w:val="20"/>
              </w:rPr>
            </w:pPr>
            <w:r>
              <w:rPr>
                <w:rStyle w:val="a6"/>
                <w:rFonts w:eastAsia="Times New Roman"/>
                <w:b/>
                <w:bCs/>
                <w:sz w:val="20"/>
                <w:szCs w:val="20"/>
              </w:rPr>
              <w:t> </w:t>
            </w:r>
          </w:p>
        </w:tc>
        <w:tc>
          <w:tcPr>
            <w:tcW w:w="50" w:type="pct"/>
            <w:shd w:val="clear" w:color="auto" w:fill="FFFFFF"/>
            <w:tcMar>
              <w:top w:w="0" w:type="dxa"/>
              <w:left w:w="0" w:type="dxa"/>
              <w:bottom w:w="45" w:type="dxa"/>
              <w:right w:w="0" w:type="dxa"/>
            </w:tcMar>
            <w:vAlign w:val="bottom"/>
            <w:hideMark/>
          </w:tcPr>
          <w:p w14:paraId="7BBD528C" w14:textId="77777777" w:rsidR="00000000" w:rsidRDefault="00847163">
            <w:pPr>
              <w:rPr>
                <w:rFonts w:eastAsia="Times New Roman"/>
                <w:sz w:val="20"/>
                <w:szCs w:val="20"/>
              </w:rPr>
            </w:pPr>
            <w:r>
              <w:rPr>
                <w:rFonts w:eastAsia="Times New Roman"/>
                <w:b/>
                <w:bCs/>
                <w:sz w:val="20"/>
                <w:szCs w:val="20"/>
              </w:rPr>
              <w:t> </w:t>
            </w:r>
          </w:p>
        </w:tc>
      </w:tr>
    </w:tbl>
    <w:p w14:paraId="19972E11" w14:textId="77777777" w:rsidR="00000000" w:rsidRDefault="00847163">
      <w:pPr>
        <w:pStyle w:val="a3"/>
        <w:spacing w:before="0" w:beforeAutospacing="0" w:after="0" w:afterAutospacing="0"/>
        <w:jc w:val="both"/>
        <w:rPr>
          <w:sz w:val="20"/>
          <w:szCs w:val="20"/>
        </w:rPr>
      </w:pPr>
      <w:r>
        <w:rPr>
          <w:i/>
          <w:iCs/>
          <w:sz w:val="20"/>
          <w:szCs w:val="20"/>
        </w:rPr>
        <w:t> </w:t>
      </w:r>
    </w:p>
    <w:p w14:paraId="57CF0203" w14:textId="77777777" w:rsidR="00000000" w:rsidRDefault="00847163">
      <w:pPr>
        <w:pStyle w:val="a3"/>
        <w:spacing w:before="0" w:beforeAutospacing="0" w:after="0" w:afterAutospacing="0"/>
        <w:jc w:val="both"/>
        <w:rPr>
          <w:sz w:val="20"/>
          <w:szCs w:val="20"/>
        </w:rPr>
      </w:pPr>
      <w:r>
        <w:rPr>
          <w:i/>
          <w:iCs/>
          <w:sz w:val="20"/>
          <w:szCs w:val="20"/>
        </w:rPr>
        <w:t>Real Estate Under Development –</w:t>
      </w:r>
    </w:p>
    <w:p w14:paraId="3B8D2400" w14:textId="77777777" w:rsidR="00000000" w:rsidRDefault="00847163">
      <w:pPr>
        <w:pStyle w:val="a3"/>
        <w:spacing w:before="0" w:beforeAutospacing="0" w:after="0" w:afterAutospacing="0"/>
        <w:jc w:val="both"/>
        <w:rPr>
          <w:sz w:val="20"/>
          <w:szCs w:val="20"/>
        </w:rPr>
      </w:pPr>
      <w:r>
        <w:rPr>
          <w:sz w:val="20"/>
          <w:szCs w:val="20"/>
        </w:rPr>
        <w:t> </w:t>
      </w:r>
    </w:p>
    <w:p w14:paraId="30AAF7F5" w14:textId="77777777" w:rsidR="00000000" w:rsidRDefault="00847163">
      <w:pPr>
        <w:pStyle w:val="a3"/>
        <w:spacing w:before="0" w:beforeAutospacing="0" w:after="0" w:afterAutospacing="0"/>
        <w:ind w:firstLine="360"/>
        <w:jc w:val="both"/>
        <w:rPr>
          <w:sz w:val="20"/>
          <w:szCs w:val="20"/>
        </w:rPr>
      </w:pPr>
      <w:r>
        <w:rPr>
          <w:sz w:val="20"/>
          <w:szCs w:val="20"/>
        </w:rPr>
        <w:t>The Company is engaged in a real estate development project located in Dania Beach, FL for long-term investment. Construction is currently planned to continue on this real estate development project during the COVID-</w:t>
      </w:r>
      <w:r>
        <w:rPr>
          <w:rStyle w:val="a6"/>
          <w:sz w:val="20"/>
          <w:szCs w:val="20"/>
        </w:rPr>
        <w:t>19</w:t>
      </w:r>
      <w:r>
        <w:rPr>
          <w:sz w:val="20"/>
          <w:szCs w:val="20"/>
        </w:rPr>
        <w:t xml:space="preserve"> pandemic. As of </w:t>
      </w:r>
      <w:r>
        <w:rPr>
          <w:rStyle w:val="a6"/>
          <w:sz w:val="20"/>
          <w:szCs w:val="20"/>
        </w:rPr>
        <w:t xml:space="preserve">March 31, 2020, </w:t>
      </w:r>
      <w:r>
        <w:rPr>
          <w:sz w:val="20"/>
          <w:szCs w:val="20"/>
        </w:rPr>
        <w:t xml:space="preserve">and </w:t>
      </w:r>
      <w:r>
        <w:rPr>
          <w:rStyle w:val="a6"/>
          <w:sz w:val="20"/>
          <w:szCs w:val="20"/>
        </w:rPr>
        <w:t>D</w:t>
      </w:r>
      <w:r>
        <w:rPr>
          <w:rStyle w:val="a6"/>
          <w:sz w:val="20"/>
          <w:szCs w:val="20"/>
        </w:rPr>
        <w:t xml:space="preserve">ecember 31, 2019, </w:t>
      </w:r>
      <w:r>
        <w:rPr>
          <w:sz w:val="20"/>
          <w:szCs w:val="20"/>
        </w:rPr>
        <w:t xml:space="preserve">the costs incurred for this real estate development project were $230.6 million and $220.2 million, respectively, including capitalized costs of $28.4 million and $21.3 </w:t>
      </w:r>
      <w:r>
        <w:rPr>
          <w:sz w:val="20"/>
          <w:szCs w:val="20"/>
        </w:rPr>
        <w:t xml:space="preserve">million, respectively. The Company capitalized (i) interest of $2.0 million and $1.9 million, (ii) real estate taxes, insurance and legal costs of $0.4 million and $0.3 million and (iii) payroll of $0.5 million and $0.5 million during the </w:t>
      </w:r>
      <w:r>
        <w:rPr>
          <w:rStyle w:val="a6"/>
          <w:sz w:val="20"/>
          <w:szCs w:val="20"/>
        </w:rPr>
        <w:t>three</w:t>
      </w:r>
      <w:r>
        <w:rPr>
          <w:sz w:val="20"/>
          <w:szCs w:val="20"/>
        </w:rPr>
        <w:t xml:space="preserve"> months ende</w:t>
      </w:r>
      <w:r>
        <w:rPr>
          <w:sz w:val="20"/>
          <w:szCs w:val="20"/>
        </w:rPr>
        <w:t xml:space="preserve">d </w:t>
      </w:r>
      <w:r>
        <w:rPr>
          <w:rStyle w:val="a6"/>
          <w:sz w:val="20"/>
          <w:szCs w:val="20"/>
        </w:rPr>
        <w:t xml:space="preserve">March 31, 2020 </w:t>
      </w:r>
      <w:r>
        <w:rPr>
          <w:sz w:val="20"/>
          <w:szCs w:val="20"/>
        </w:rPr>
        <w:t xml:space="preserve">and </w:t>
      </w:r>
      <w:r>
        <w:rPr>
          <w:rStyle w:val="a6"/>
          <w:sz w:val="20"/>
          <w:szCs w:val="20"/>
        </w:rPr>
        <w:t>2019,</w:t>
      </w:r>
      <w:r>
        <w:rPr>
          <w:sz w:val="20"/>
          <w:szCs w:val="20"/>
        </w:rPr>
        <w:t xml:space="preserve"> respectively, in connection with this real estate development project.</w:t>
      </w:r>
    </w:p>
    <w:p w14:paraId="29F73152" w14:textId="77777777" w:rsidR="00000000" w:rsidRDefault="00847163">
      <w:pPr>
        <w:pStyle w:val="a3"/>
        <w:spacing w:before="0" w:beforeAutospacing="0" w:after="0" w:afterAutospacing="0"/>
        <w:jc w:val="both"/>
        <w:rPr>
          <w:sz w:val="20"/>
          <w:szCs w:val="20"/>
        </w:rPr>
      </w:pPr>
      <w:r>
        <w:rPr>
          <w:sz w:val="20"/>
          <w:szCs w:val="20"/>
        </w:rPr>
        <w:t> </w:t>
      </w:r>
    </w:p>
    <w:p w14:paraId="0B2BDCED" w14:textId="77777777" w:rsidR="00000000" w:rsidRDefault="00847163">
      <w:pPr>
        <w:pStyle w:val="a3"/>
        <w:spacing w:before="0" w:beforeAutospacing="0" w:after="0" w:afterAutospacing="0"/>
        <w:jc w:val="both"/>
        <w:rPr>
          <w:sz w:val="20"/>
          <w:szCs w:val="20"/>
        </w:rPr>
      </w:pPr>
      <w:r>
        <w:rPr>
          <w:i/>
          <w:iCs/>
          <w:sz w:val="20"/>
          <w:szCs w:val="20"/>
        </w:rPr>
        <w:t>Redevelopment</w:t>
      </w:r>
      <w:r>
        <w:rPr>
          <w:sz w:val="20"/>
          <w:szCs w:val="20"/>
        </w:rPr>
        <w:t xml:space="preserve"> –</w:t>
      </w:r>
    </w:p>
    <w:p w14:paraId="2CC7242D" w14:textId="77777777" w:rsidR="00000000" w:rsidRDefault="00847163">
      <w:pPr>
        <w:pStyle w:val="a3"/>
        <w:spacing w:before="0" w:beforeAutospacing="0" w:after="0" w:afterAutospacing="0"/>
        <w:jc w:val="both"/>
        <w:rPr>
          <w:sz w:val="20"/>
          <w:szCs w:val="20"/>
        </w:rPr>
      </w:pPr>
      <w:r>
        <w:rPr>
          <w:sz w:val="20"/>
          <w:szCs w:val="20"/>
        </w:rPr>
        <w:t> </w:t>
      </w:r>
    </w:p>
    <w:p w14:paraId="6EC38F09" w14:textId="77777777" w:rsidR="00000000" w:rsidRDefault="00847163">
      <w:pPr>
        <w:pStyle w:val="a3"/>
        <w:spacing w:before="0" w:beforeAutospacing="0" w:after="0" w:afterAutospacing="0"/>
        <w:ind w:firstLine="360"/>
        <w:jc w:val="both"/>
        <w:rPr>
          <w:sz w:val="20"/>
          <w:szCs w:val="20"/>
        </w:rPr>
      </w:pPr>
      <w:r>
        <w:rPr>
          <w:sz w:val="20"/>
          <w:szCs w:val="20"/>
        </w:rPr>
        <w:t>Due to the recent COVID-</w:t>
      </w:r>
      <w:r>
        <w:rPr>
          <w:rStyle w:val="a6"/>
          <w:sz w:val="20"/>
          <w:szCs w:val="20"/>
        </w:rPr>
        <w:t>19</w:t>
      </w:r>
      <w:r>
        <w:rPr>
          <w:sz w:val="20"/>
          <w:szCs w:val="20"/>
        </w:rPr>
        <w:t xml:space="preserve"> pandemic mentioned above, the Company is re-evaluating its current redevelopment and re-tenanting projects and </w:t>
      </w:r>
      <w:r>
        <w:rPr>
          <w:sz w:val="20"/>
          <w:szCs w:val="20"/>
        </w:rPr>
        <w:t>will only move forward with the projects it feels are necessary.</w:t>
      </w:r>
    </w:p>
    <w:p w14:paraId="5F53516A" w14:textId="77777777" w:rsidR="00000000" w:rsidRDefault="00847163">
      <w:pPr>
        <w:pStyle w:val="a3"/>
        <w:spacing w:before="0" w:beforeAutospacing="0" w:after="0" w:afterAutospacing="0"/>
        <w:jc w:val="both"/>
        <w:rPr>
          <w:sz w:val="20"/>
          <w:szCs w:val="20"/>
        </w:rPr>
      </w:pPr>
      <w:r>
        <w:rPr>
          <w:i/>
          <w:iCs/>
          <w:sz w:val="20"/>
          <w:szCs w:val="20"/>
        </w:rPr>
        <w:t> </w:t>
      </w:r>
    </w:p>
    <w:p w14:paraId="1A67472C" w14:textId="77777777" w:rsidR="00000000" w:rsidRDefault="00847163">
      <w:pPr>
        <w:pStyle w:val="a3"/>
        <w:spacing w:before="0" w:beforeAutospacing="0" w:after="0" w:afterAutospacing="0"/>
        <w:jc w:val="both"/>
        <w:rPr>
          <w:sz w:val="20"/>
          <w:szCs w:val="20"/>
        </w:rPr>
      </w:pPr>
      <w:r>
        <w:rPr>
          <w:i/>
          <w:iCs/>
          <w:sz w:val="20"/>
          <w:szCs w:val="20"/>
        </w:rPr>
        <w:t>Dispositions -</w:t>
      </w:r>
    </w:p>
    <w:p w14:paraId="07221989" w14:textId="77777777" w:rsidR="00000000" w:rsidRDefault="00847163">
      <w:pPr>
        <w:pStyle w:val="a3"/>
        <w:spacing w:before="0" w:beforeAutospacing="0" w:after="0" w:afterAutospacing="0"/>
        <w:ind w:firstLine="360"/>
        <w:jc w:val="both"/>
        <w:rPr>
          <w:sz w:val="20"/>
          <w:szCs w:val="20"/>
        </w:rPr>
      </w:pPr>
      <w:r>
        <w:rPr>
          <w:sz w:val="20"/>
          <w:szCs w:val="20"/>
        </w:rPr>
        <w:t> </w:t>
      </w:r>
    </w:p>
    <w:p w14:paraId="423A593D" w14:textId="77777777" w:rsidR="00000000" w:rsidRDefault="00847163">
      <w:pPr>
        <w:pStyle w:val="a3"/>
        <w:spacing w:before="0" w:beforeAutospacing="0" w:after="0" w:afterAutospacing="0"/>
        <w:ind w:firstLine="360"/>
        <w:jc w:val="both"/>
        <w:rPr>
          <w:sz w:val="20"/>
          <w:szCs w:val="20"/>
        </w:rPr>
      </w:pPr>
      <w:r>
        <w:rPr>
          <w:sz w:val="20"/>
          <w:szCs w:val="20"/>
        </w:rPr>
        <w:t>The table below summarizes the Company’s disposition activity relating to consolidated operating properties and parcels (dollars in millions):</w:t>
      </w:r>
    </w:p>
    <w:p w14:paraId="537E430A" w14:textId="77777777" w:rsidR="00000000" w:rsidRDefault="00847163">
      <w:pPr>
        <w:pStyle w:val="a3"/>
        <w:spacing w:before="0" w:beforeAutospacing="0" w:after="0" w:afterAutospacing="0"/>
        <w:ind w:firstLine="360"/>
        <w:jc w:val="both"/>
        <w:rPr>
          <w:sz w:val="20"/>
          <w:szCs w:val="20"/>
        </w:rPr>
      </w:pPr>
      <w:r>
        <w:rPr>
          <w:sz w:val="20"/>
          <w:szCs w:val="20"/>
        </w:rPr>
        <w:t> </w:t>
      </w:r>
    </w:p>
    <w:tbl>
      <w:tblPr>
        <w:tblW w:w="4250" w:type="pct"/>
        <w:tblCellSpacing w:w="0" w:type="dxa"/>
        <w:tblInd w:w="7" w:type="dxa"/>
        <w:tblCellMar>
          <w:left w:w="0" w:type="dxa"/>
          <w:right w:w="0" w:type="dxa"/>
        </w:tblCellMar>
        <w:tblLook w:val="04A0" w:firstRow="1" w:lastRow="0" w:firstColumn="1" w:lastColumn="0" w:noHBand="0" w:noVBand="1"/>
      </w:tblPr>
      <w:tblGrid>
        <w:gridCol w:w="4509"/>
        <w:gridCol w:w="62"/>
        <w:gridCol w:w="100"/>
        <w:gridCol w:w="1050"/>
        <w:gridCol w:w="62"/>
        <w:gridCol w:w="63"/>
        <w:gridCol w:w="100"/>
        <w:gridCol w:w="1051"/>
        <w:gridCol w:w="63"/>
      </w:tblGrid>
      <w:tr w:rsidR="00000000" w14:paraId="1B2D20EF" w14:textId="77777777">
        <w:trPr>
          <w:tblCellSpacing w:w="0" w:type="dxa"/>
        </w:trPr>
        <w:tc>
          <w:tcPr>
            <w:tcW w:w="0" w:type="auto"/>
            <w:vAlign w:val="bottom"/>
            <w:hideMark/>
          </w:tcPr>
          <w:p w14:paraId="2DDEB438"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53B49D29" w14:textId="77777777" w:rsidR="00000000" w:rsidRDefault="00847163">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14:paraId="52FE1F69" w14:textId="77777777" w:rsidR="00000000" w:rsidRDefault="00847163">
            <w:pPr>
              <w:pStyle w:val="a3"/>
              <w:spacing w:before="0" w:beforeAutospacing="0" w:after="0" w:afterAutospacing="0"/>
              <w:jc w:val="center"/>
              <w:rPr>
                <w:sz w:val="20"/>
                <w:szCs w:val="20"/>
              </w:rPr>
            </w:pPr>
            <w:r>
              <w:rPr>
                <w:b/>
                <w:bCs/>
                <w:sz w:val="20"/>
                <w:szCs w:val="20"/>
              </w:rPr>
              <w:t xml:space="preserve">Three Months Ended </w:t>
            </w:r>
            <w:r>
              <w:rPr>
                <w:b/>
                <w:bCs/>
                <w:sz w:val="20"/>
                <w:szCs w:val="20"/>
              </w:rPr>
              <w:t>March 31,</w:t>
            </w:r>
          </w:p>
        </w:tc>
        <w:tc>
          <w:tcPr>
            <w:tcW w:w="0" w:type="auto"/>
            <w:tcMar>
              <w:top w:w="0" w:type="dxa"/>
              <w:left w:w="0" w:type="dxa"/>
              <w:bottom w:w="15" w:type="dxa"/>
              <w:right w:w="0" w:type="dxa"/>
            </w:tcMar>
            <w:vAlign w:val="bottom"/>
            <w:hideMark/>
          </w:tcPr>
          <w:p w14:paraId="7A07E019" w14:textId="77777777" w:rsidR="00000000" w:rsidRDefault="00847163">
            <w:pPr>
              <w:rPr>
                <w:rFonts w:eastAsia="Times New Roman"/>
                <w:sz w:val="20"/>
                <w:szCs w:val="20"/>
              </w:rPr>
            </w:pPr>
            <w:r>
              <w:rPr>
                <w:rFonts w:eastAsia="Times New Roman"/>
                <w:sz w:val="20"/>
                <w:szCs w:val="20"/>
              </w:rPr>
              <w:t> </w:t>
            </w:r>
          </w:p>
        </w:tc>
      </w:tr>
      <w:tr w:rsidR="00000000" w14:paraId="2083DFB4" w14:textId="77777777">
        <w:trPr>
          <w:tblCellSpacing w:w="0" w:type="dxa"/>
        </w:trPr>
        <w:tc>
          <w:tcPr>
            <w:tcW w:w="0" w:type="auto"/>
            <w:vAlign w:val="bottom"/>
            <w:hideMark/>
          </w:tcPr>
          <w:p w14:paraId="2D55426C"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3AE1FBA8" w14:textId="77777777" w:rsidR="00000000" w:rsidRDefault="0084716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0A802E62" w14:textId="77777777" w:rsidR="00000000" w:rsidRDefault="00847163">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14:paraId="72800A9D"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35241EE6" w14:textId="77777777" w:rsidR="00000000" w:rsidRDefault="0084716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45C22CC1" w14:textId="77777777" w:rsidR="00000000" w:rsidRDefault="00847163">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453BC1BA" w14:textId="77777777" w:rsidR="00000000" w:rsidRDefault="00847163">
            <w:pPr>
              <w:rPr>
                <w:rFonts w:eastAsia="Times New Roman"/>
                <w:sz w:val="20"/>
                <w:szCs w:val="20"/>
              </w:rPr>
            </w:pPr>
            <w:r>
              <w:rPr>
                <w:rFonts w:eastAsia="Times New Roman"/>
                <w:sz w:val="20"/>
                <w:szCs w:val="20"/>
              </w:rPr>
              <w:t> </w:t>
            </w:r>
          </w:p>
        </w:tc>
      </w:tr>
      <w:tr w:rsidR="00000000" w14:paraId="7C82B0A9" w14:textId="77777777">
        <w:trPr>
          <w:tblCellSpacing w:w="0" w:type="dxa"/>
        </w:trPr>
        <w:tc>
          <w:tcPr>
            <w:tcW w:w="3200" w:type="pct"/>
            <w:shd w:val="clear" w:color="auto" w:fill="CCEEFF"/>
            <w:vAlign w:val="bottom"/>
            <w:hideMark/>
          </w:tcPr>
          <w:p w14:paraId="7E29BBC7" w14:textId="77777777" w:rsidR="00000000" w:rsidRDefault="00847163">
            <w:pPr>
              <w:pStyle w:val="a3"/>
              <w:spacing w:before="0" w:beforeAutospacing="0" w:after="0" w:afterAutospacing="0"/>
              <w:rPr>
                <w:sz w:val="20"/>
                <w:szCs w:val="20"/>
              </w:rPr>
            </w:pPr>
            <w:r>
              <w:rPr>
                <w:sz w:val="20"/>
                <w:szCs w:val="20"/>
              </w:rPr>
              <w:t>Aggregate sales price</w:t>
            </w:r>
          </w:p>
        </w:tc>
        <w:tc>
          <w:tcPr>
            <w:tcW w:w="50" w:type="pct"/>
            <w:shd w:val="clear" w:color="auto" w:fill="CCEEFF"/>
            <w:vAlign w:val="bottom"/>
            <w:hideMark/>
          </w:tcPr>
          <w:p w14:paraId="2215B4C2"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5C44CDF" w14:textId="77777777" w:rsidR="00000000" w:rsidRDefault="00847163">
            <w:pPr>
              <w:rPr>
                <w:rFonts w:eastAsia="Times New Roman"/>
                <w:sz w:val="20"/>
                <w:szCs w:val="20"/>
              </w:rPr>
            </w:pPr>
            <w:r>
              <w:rPr>
                <w:rFonts w:eastAsia="Times New Roman"/>
                <w:sz w:val="20"/>
                <w:szCs w:val="20"/>
              </w:rPr>
              <w:t>$</w:t>
            </w:r>
          </w:p>
        </w:tc>
        <w:tc>
          <w:tcPr>
            <w:tcW w:w="750" w:type="pct"/>
            <w:shd w:val="clear" w:color="auto" w:fill="CCEEFF"/>
            <w:vAlign w:val="bottom"/>
            <w:hideMark/>
          </w:tcPr>
          <w:p w14:paraId="46C5CB0C" w14:textId="77777777" w:rsidR="00000000" w:rsidRDefault="00847163">
            <w:pPr>
              <w:jc w:val="right"/>
              <w:rPr>
                <w:rFonts w:eastAsia="Times New Roman"/>
                <w:sz w:val="20"/>
                <w:szCs w:val="20"/>
              </w:rPr>
            </w:pPr>
            <w:r>
              <w:rPr>
                <w:rFonts w:eastAsia="Times New Roman"/>
                <w:sz w:val="20"/>
                <w:szCs w:val="20"/>
              </w:rPr>
              <w:t>13.5</w:t>
            </w:r>
          </w:p>
        </w:tc>
        <w:tc>
          <w:tcPr>
            <w:tcW w:w="50" w:type="pct"/>
            <w:shd w:val="clear" w:color="auto" w:fill="CCEEFF"/>
            <w:vAlign w:val="bottom"/>
            <w:hideMark/>
          </w:tcPr>
          <w:p w14:paraId="2D0B6281"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8CEABDB"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BA3C4DB" w14:textId="77777777" w:rsidR="00000000" w:rsidRDefault="00847163">
            <w:pPr>
              <w:rPr>
                <w:rFonts w:eastAsia="Times New Roman"/>
                <w:sz w:val="20"/>
                <w:szCs w:val="20"/>
              </w:rPr>
            </w:pPr>
            <w:r>
              <w:rPr>
                <w:rFonts w:eastAsia="Times New Roman"/>
                <w:sz w:val="20"/>
                <w:szCs w:val="20"/>
              </w:rPr>
              <w:t>$</w:t>
            </w:r>
          </w:p>
        </w:tc>
        <w:tc>
          <w:tcPr>
            <w:tcW w:w="750" w:type="pct"/>
            <w:shd w:val="clear" w:color="auto" w:fill="CCEEFF"/>
            <w:vAlign w:val="bottom"/>
            <w:hideMark/>
          </w:tcPr>
          <w:p w14:paraId="74C3C64B" w14:textId="77777777" w:rsidR="00000000" w:rsidRDefault="00847163">
            <w:pPr>
              <w:jc w:val="right"/>
              <w:rPr>
                <w:rFonts w:eastAsia="Times New Roman"/>
                <w:sz w:val="20"/>
                <w:szCs w:val="20"/>
              </w:rPr>
            </w:pPr>
            <w:r>
              <w:rPr>
                <w:rFonts w:eastAsia="Times New Roman"/>
                <w:sz w:val="20"/>
                <w:szCs w:val="20"/>
              </w:rPr>
              <w:t>74.2</w:t>
            </w:r>
          </w:p>
        </w:tc>
        <w:tc>
          <w:tcPr>
            <w:tcW w:w="50" w:type="pct"/>
            <w:shd w:val="clear" w:color="auto" w:fill="CCEEFF"/>
            <w:vAlign w:val="bottom"/>
            <w:hideMark/>
          </w:tcPr>
          <w:p w14:paraId="159B290E" w14:textId="77777777" w:rsidR="00000000" w:rsidRDefault="00847163">
            <w:pPr>
              <w:rPr>
                <w:rFonts w:eastAsia="Times New Roman"/>
                <w:sz w:val="20"/>
                <w:szCs w:val="20"/>
              </w:rPr>
            </w:pPr>
            <w:r>
              <w:rPr>
                <w:rFonts w:eastAsia="Times New Roman"/>
                <w:sz w:val="20"/>
                <w:szCs w:val="20"/>
              </w:rPr>
              <w:t> </w:t>
            </w:r>
          </w:p>
        </w:tc>
      </w:tr>
      <w:tr w:rsidR="00000000" w14:paraId="37E7BEB3" w14:textId="77777777">
        <w:trPr>
          <w:tblCellSpacing w:w="0" w:type="dxa"/>
        </w:trPr>
        <w:tc>
          <w:tcPr>
            <w:tcW w:w="0" w:type="auto"/>
            <w:shd w:val="clear" w:color="auto" w:fill="FFFFFF"/>
            <w:vAlign w:val="bottom"/>
            <w:hideMark/>
          </w:tcPr>
          <w:p w14:paraId="3CC03489" w14:textId="77777777" w:rsidR="00000000" w:rsidRDefault="00847163">
            <w:pPr>
              <w:pStyle w:val="a3"/>
              <w:spacing w:before="0" w:beforeAutospacing="0" w:after="0" w:afterAutospacing="0"/>
              <w:rPr>
                <w:sz w:val="20"/>
                <w:szCs w:val="20"/>
              </w:rPr>
            </w:pPr>
            <w:r>
              <w:rPr>
                <w:sz w:val="20"/>
                <w:szCs w:val="20"/>
              </w:rPr>
              <w:t>Gain on sale of properties</w:t>
            </w:r>
          </w:p>
        </w:tc>
        <w:tc>
          <w:tcPr>
            <w:tcW w:w="50" w:type="pct"/>
            <w:shd w:val="clear" w:color="auto" w:fill="FFFFFF"/>
            <w:vAlign w:val="bottom"/>
            <w:hideMark/>
          </w:tcPr>
          <w:p w14:paraId="34AC5066"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19530B8" w14:textId="77777777" w:rsidR="00000000" w:rsidRDefault="00847163">
            <w:pPr>
              <w:rPr>
                <w:rFonts w:eastAsia="Times New Roman"/>
                <w:sz w:val="20"/>
                <w:szCs w:val="20"/>
              </w:rPr>
            </w:pPr>
            <w:r>
              <w:rPr>
                <w:rFonts w:eastAsia="Times New Roman"/>
                <w:sz w:val="20"/>
                <w:szCs w:val="20"/>
              </w:rPr>
              <w:t>$</w:t>
            </w:r>
          </w:p>
        </w:tc>
        <w:tc>
          <w:tcPr>
            <w:tcW w:w="750" w:type="pct"/>
            <w:shd w:val="clear" w:color="auto" w:fill="FFFFFF"/>
            <w:vAlign w:val="bottom"/>
            <w:hideMark/>
          </w:tcPr>
          <w:p w14:paraId="637AF09D" w14:textId="77777777" w:rsidR="00000000" w:rsidRDefault="00847163">
            <w:pPr>
              <w:jc w:val="right"/>
              <w:rPr>
                <w:rFonts w:eastAsia="Times New Roman"/>
                <w:sz w:val="20"/>
                <w:szCs w:val="20"/>
              </w:rPr>
            </w:pPr>
            <w:r>
              <w:rPr>
                <w:rFonts w:eastAsia="Times New Roman"/>
                <w:sz w:val="20"/>
                <w:szCs w:val="20"/>
              </w:rPr>
              <w:t>3.8</w:t>
            </w:r>
          </w:p>
        </w:tc>
        <w:tc>
          <w:tcPr>
            <w:tcW w:w="50" w:type="pct"/>
            <w:shd w:val="clear" w:color="auto" w:fill="FFFFFF"/>
            <w:vAlign w:val="bottom"/>
            <w:hideMark/>
          </w:tcPr>
          <w:p w14:paraId="7E6D94D8"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CF40C31"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9849907" w14:textId="77777777" w:rsidR="00000000" w:rsidRDefault="00847163">
            <w:pPr>
              <w:rPr>
                <w:rFonts w:eastAsia="Times New Roman"/>
                <w:sz w:val="20"/>
                <w:szCs w:val="20"/>
              </w:rPr>
            </w:pPr>
            <w:r>
              <w:rPr>
                <w:rFonts w:eastAsia="Times New Roman"/>
                <w:sz w:val="20"/>
                <w:szCs w:val="20"/>
              </w:rPr>
              <w:t>$</w:t>
            </w:r>
          </w:p>
        </w:tc>
        <w:tc>
          <w:tcPr>
            <w:tcW w:w="750" w:type="pct"/>
            <w:shd w:val="clear" w:color="auto" w:fill="FFFFFF"/>
            <w:vAlign w:val="bottom"/>
            <w:hideMark/>
          </w:tcPr>
          <w:p w14:paraId="7EEF8A97" w14:textId="77777777" w:rsidR="00000000" w:rsidRDefault="00847163">
            <w:pPr>
              <w:jc w:val="right"/>
              <w:rPr>
                <w:rFonts w:eastAsia="Times New Roman"/>
                <w:sz w:val="20"/>
                <w:szCs w:val="20"/>
              </w:rPr>
            </w:pPr>
            <w:r>
              <w:rPr>
                <w:rFonts w:eastAsia="Times New Roman"/>
                <w:sz w:val="20"/>
                <w:szCs w:val="20"/>
              </w:rPr>
              <w:t>23.6</w:t>
            </w:r>
          </w:p>
        </w:tc>
        <w:tc>
          <w:tcPr>
            <w:tcW w:w="50" w:type="pct"/>
            <w:shd w:val="clear" w:color="auto" w:fill="FFFFFF"/>
            <w:vAlign w:val="bottom"/>
            <w:hideMark/>
          </w:tcPr>
          <w:p w14:paraId="46A4B605" w14:textId="77777777" w:rsidR="00000000" w:rsidRDefault="00847163">
            <w:pPr>
              <w:rPr>
                <w:rFonts w:eastAsia="Times New Roman"/>
                <w:sz w:val="20"/>
                <w:szCs w:val="20"/>
              </w:rPr>
            </w:pPr>
            <w:r>
              <w:rPr>
                <w:rFonts w:eastAsia="Times New Roman"/>
                <w:sz w:val="20"/>
                <w:szCs w:val="20"/>
              </w:rPr>
              <w:t> </w:t>
            </w:r>
          </w:p>
        </w:tc>
      </w:tr>
      <w:tr w:rsidR="00000000" w14:paraId="469CC552" w14:textId="77777777">
        <w:trPr>
          <w:tblCellSpacing w:w="0" w:type="dxa"/>
        </w:trPr>
        <w:tc>
          <w:tcPr>
            <w:tcW w:w="0" w:type="auto"/>
            <w:shd w:val="clear" w:color="auto" w:fill="CCEEFF"/>
            <w:vAlign w:val="bottom"/>
            <w:hideMark/>
          </w:tcPr>
          <w:p w14:paraId="508BAD8C" w14:textId="77777777" w:rsidR="00000000" w:rsidRDefault="00847163">
            <w:pPr>
              <w:pStyle w:val="a3"/>
              <w:spacing w:before="0" w:beforeAutospacing="0" w:after="0" w:afterAutospacing="0"/>
              <w:rPr>
                <w:sz w:val="20"/>
                <w:szCs w:val="20"/>
              </w:rPr>
            </w:pPr>
            <w:r>
              <w:rPr>
                <w:sz w:val="20"/>
                <w:szCs w:val="20"/>
              </w:rPr>
              <w:t>Number of properties sold</w:t>
            </w:r>
          </w:p>
        </w:tc>
        <w:tc>
          <w:tcPr>
            <w:tcW w:w="50" w:type="pct"/>
            <w:shd w:val="clear" w:color="auto" w:fill="CCEEFF"/>
            <w:vAlign w:val="bottom"/>
            <w:hideMark/>
          </w:tcPr>
          <w:p w14:paraId="198DA981"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AAC84F0" w14:textId="77777777" w:rsidR="00000000" w:rsidRDefault="00847163">
            <w:pPr>
              <w:rPr>
                <w:rFonts w:eastAsia="Times New Roman"/>
                <w:sz w:val="20"/>
                <w:szCs w:val="20"/>
              </w:rPr>
            </w:pPr>
            <w:r>
              <w:rPr>
                <w:rFonts w:eastAsia="Times New Roman"/>
                <w:sz w:val="20"/>
                <w:szCs w:val="20"/>
              </w:rPr>
              <w:t> </w:t>
            </w:r>
          </w:p>
        </w:tc>
        <w:tc>
          <w:tcPr>
            <w:tcW w:w="750" w:type="pct"/>
            <w:shd w:val="clear" w:color="auto" w:fill="CCEEFF"/>
            <w:vAlign w:val="bottom"/>
            <w:hideMark/>
          </w:tcPr>
          <w:p w14:paraId="7774EB89" w14:textId="77777777" w:rsidR="00000000" w:rsidRDefault="00847163">
            <w:pPr>
              <w:jc w:val="right"/>
              <w:rPr>
                <w:rFonts w:eastAsia="Times New Roman"/>
                <w:sz w:val="20"/>
                <w:szCs w:val="20"/>
              </w:rPr>
            </w:pPr>
            <w:r>
              <w:rPr>
                <w:rFonts w:eastAsia="Times New Roman"/>
                <w:sz w:val="20"/>
                <w:szCs w:val="20"/>
              </w:rPr>
              <w:t>1</w:t>
            </w:r>
          </w:p>
        </w:tc>
        <w:tc>
          <w:tcPr>
            <w:tcW w:w="50" w:type="pct"/>
            <w:shd w:val="clear" w:color="auto" w:fill="CCEEFF"/>
            <w:vAlign w:val="bottom"/>
            <w:hideMark/>
          </w:tcPr>
          <w:p w14:paraId="5B7CECBD"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293062B"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D6094F6" w14:textId="77777777" w:rsidR="00000000" w:rsidRDefault="00847163">
            <w:pPr>
              <w:rPr>
                <w:rFonts w:eastAsia="Times New Roman"/>
                <w:sz w:val="20"/>
                <w:szCs w:val="20"/>
              </w:rPr>
            </w:pPr>
            <w:r>
              <w:rPr>
                <w:rFonts w:eastAsia="Times New Roman"/>
                <w:sz w:val="20"/>
                <w:szCs w:val="20"/>
              </w:rPr>
              <w:t> </w:t>
            </w:r>
          </w:p>
        </w:tc>
        <w:tc>
          <w:tcPr>
            <w:tcW w:w="750" w:type="pct"/>
            <w:shd w:val="clear" w:color="auto" w:fill="CCEEFF"/>
            <w:vAlign w:val="bottom"/>
            <w:hideMark/>
          </w:tcPr>
          <w:p w14:paraId="3D3F6614" w14:textId="77777777" w:rsidR="00000000" w:rsidRDefault="00847163">
            <w:pPr>
              <w:jc w:val="right"/>
              <w:rPr>
                <w:rFonts w:eastAsia="Times New Roman"/>
                <w:sz w:val="20"/>
                <w:szCs w:val="20"/>
              </w:rPr>
            </w:pPr>
            <w:r>
              <w:rPr>
                <w:rFonts w:eastAsia="Times New Roman"/>
                <w:sz w:val="20"/>
                <w:szCs w:val="20"/>
              </w:rPr>
              <w:t>5</w:t>
            </w:r>
          </w:p>
        </w:tc>
        <w:tc>
          <w:tcPr>
            <w:tcW w:w="50" w:type="pct"/>
            <w:shd w:val="clear" w:color="auto" w:fill="CCEEFF"/>
            <w:vAlign w:val="bottom"/>
            <w:hideMark/>
          </w:tcPr>
          <w:p w14:paraId="443BD665" w14:textId="77777777" w:rsidR="00000000" w:rsidRDefault="00847163">
            <w:pPr>
              <w:rPr>
                <w:rFonts w:eastAsia="Times New Roman"/>
                <w:sz w:val="20"/>
                <w:szCs w:val="20"/>
              </w:rPr>
            </w:pPr>
            <w:r>
              <w:rPr>
                <w:rFonts w:eastAsia="Times New Roman"/>
                <w:sz w:val="20"/>
                <w:szCs w:val="20"/>
              </w:rPr>
              <w:t> </w:t>
            </w:r>
          </w:p>
        </w:tc>
      </w:tr>
      <w:tr w:rsidR="00000000" w14:paraId="1D9CF581" w14:textId="77777777">
        <w:trPr>
          <w:tblCellSpacing w:w="0" w:type="dxa"/>
        </w:trPr>
        <w:tc>
          <w:tcPr>
            <w:tcW w:w="0" w:type="auto"/>
            <w:shd w:val="clear" w:color="auto" w:fill="FFFFFF"/>
            <w:vAlign w:val="bottom"/>
            <w:hideMark/>
          </w:tcPr>
          <w:p w14:paraId="074AB275" w14:textId="77777777" w:rsidR="00000000" w:rsidRDefault="00847163">
            <w:pPr>
              <w:pStyle w:val="a3"/>
              <w:spacing w:before="0" w:beforeAutospacing="0" w:after="0" w:afterAutospacing="0"/>
              <w:rPr>
                <w:sz w:val="20"/>
                <w:szCs w:val="20"/>
              </w:rPr>
            </w:pPr>
            <w:r>
              <w:rPr>
                <w:sz w:val="20"/>
                <w:szCs w:val="20"/>
              </w:rPr>
              <w:t>Number of out-parcels sold</w:t>
            </w:r>
          </w:p>
        </w:tc>
        <w:tc>
          <w:tcPr>
            <w:tcW w:w="50" w:type="pct"/>
            <w:shd w:val="clear" w:color="auto" w:fill="FFFFFF"/>
            <w:vAlign w:val="bottom"/>
            <w:hideMark/>
          </w:tcPr>
          <w:p w14:paraId="57ACF9E9"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1FC3D75" w14:textId="77777777" w:rsidR="00000000" w:rsidRDefault="00847163">
            <w:pPr>
              <w:rPr>
                <w:rFonts w:eastAsia="Times New Roman"/>
                <w:sz w:val="20"/>
                <w:szCs w:val="20"/>
              </w:rPr>
            </w:pPr>
            <w:r>
              <w:rPr>
                <w:rFonts w:eastAsia="Times New Roman"/>
                <w:sz w:val="20"/>
                <w:szCs w:val="20"/>
              </w:rPr>
              <w:t> </w:t>
            </w:r>
          </w:p>
        </w:tc>
        <w:tc>
          <w:tcPr>
            <w:tcW w:w="750" w:type="pct"/>
            <w:shd w:val="clear" w:color="auto" w:fill="FFFFFF"/>
            <w:vAlign w:val="bottom"/>
            <w:hideMark/>
          </w:tcPr>
          <w:p w14:paraId="64CE74DD" w14:textId="77777777" w:rsidR="00000000" w:rsidRDefault="00847163">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5F662770"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D03D5C4"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72CB77D" w14:textId="77777777" w:rsidR="00000000" w:rsidRDefault="00847163">
            <w:pPr>
              <w:rPr>
                <w:rFonts w:eastAsia="Times New Roman"/>
                <w:sz w:val="20"/>
                <w:szCs w:val="20"/>
              </w:rPr>
            </w:pPr>
            <w:r>
              <w:rPr>
                <w:rFonts w:eastAsia="Times New Roman"/>
                <w:sz w:val="20"/>
                <w:szCs w:val="20"/>
              </w:rPr>
              <w:t> </w:t>
            </w:r>
          </w:p>
        </w:tc>
        <w:tc>
          <w:tcPr>
            <w:tcW w:w="750" w:type="pct"/>
            <w:shd w:val="clear" w:color="auto" w:fill="FFFFFF"/>
            <w:vAlign w:val="bottom"/>
            <w:hideMark/>
          </w:tcPr>
          <w:p w14:paraId="198816D8" w14:textId="77777777" w:rsidR="00000000" w:rsidRDefault="00847163">
            <w:pPr>
              <w:jc w:val="right"/>
              <w:rPr>
                <w:rFonts w:eastAsia="Times New Roman"/>
                <w:sz w:val="20"/>
                <w:szCs w:val="20"/>
              </w:rPr>
            </w:pPr>
            <w:r>
              <w:rPr>
                <w:rFonts w:eastAsia="Times New Roman"/>
                <w:sz w:val="20"/>
                <w:szCs w:val="20"/>
              </w:rPr>
              <w:t>2</w:t>
            </w:r>
          </w:p>
        </w:tc>
        <w:tc>
          <w:tcPr>
            <w:tcW w:w="50" w:type="pct"/>
            <w:shd w:val="clear" w:color="auto" w:fill="FFFFFF"/>
            <w:vAlign w:val="bottom"/>
            <w:hideMark/>
          </w:tcPr>
          <w:p w14:paraId="14E12D8B" w14:textId="77777777" w:rsidR="00000000" w:rsidRDefault="00847163">
            <w:pPr>
              <w:rPr>
                <w:rFonts w:eastAsia="Times New Roman"/>
                <w:sz w:val="20"/>
                <w:szCs w:val="20"/>
              </w:rPr>
            </w:pPr>
            <w:r>
              <w:rPr>
                <w:rFonts w:eastAsia="Times New Roman"/>
                <w:sz w:val="20"/>
                <w:szCs w:val="20"/>
              </w:rPr>
              <w:t> </w:t>
            </w:r>
          </w:p>
        </w:tc>
      </w:tr>
    </w:tbl>
    <w:p w14:paraId="29831EB2" w14:textId="77777777" w:rsidR="00000000" w:rsidRDefault="00847163">
      <w:pPr>
        <w:pStyle w:val="a3"/>
        <w:spacing w:before="0" w:beforeAutospacing="0" w:after="0" w:afterAutospacing="0"/>
        <w:ind w:firstLine="720"/>
        <w:jc w:val="both"/>
        <w:rPr>
          <w:sz w:val="20"/>
          <w:szCs w:val="20"/>
        </w:rPr>
      </w:pPr>
      <w:r>
        <w:rPr>
          <w:sz w:val="20"/>
          <w:szCs w:val="20"/>
        </w:rPr>
        <w:t> </w:t>
      </w:r>
    </w:p>
    <w:p w14:paraId="263D5B6C" w14:textId="77777777" w:rsidR="00000000" w:rsidRDefault="00847163">
      <w:pPr>
        <w:pStyle w:val="a3"/>
        <w:spacing w:before="0" w:beforeAutospacing="0" w:after="0" w:afterAutospacing="0"/>
        <w:jc w:val="both"/>
        <w:rPr>
          <w:sz w:val="20"/>
          <w:szCs w:val="20"/>
        </w:rPr>
      </w:pPr>
      <w:r>
        <w:rPr>
          <w:i/>
          <w:iCs/>
          <w:sz w:val="20"/>
          <w:szCs w:val="20"/>
        </w:rPr>
        <w:t>Impairments -</w:t>
      </w:r>
    </w:p>
    <w:p w14:paraId="1AE90006" w14:textId="77777777" w:rsidR="00000000" w:rsidRDefault="00847163">
      <w:pPr>
        <w:pStyle w:val="a3"/>
        <w:spacing w:before="0" w:beforeAutospacing="0" w:after="0" w:afterAutospacing="0"/>
        <w:jc w:val="both"/>
        <w:rPr>
          <w:sz w:val="20"/>
          <w:szCs w:val="20"/>
        </w:rPr>
      </w:pPr>
      <w:r>
        <w:rPr>
          <w:sz w:val="20"/>
          <w:szCs w:val="20"/>
        </w:rPr>
        <w:t> </w:t>
      </w:r>
    </w:p>
    <w:p w14:paraId="77B2AC16" w14:textId="77777777" w:rsidR="00000000" w:rsidRDefault="00847163">
      <w:pPr>
        <w:pStyle w:val="a3"/>
        <w:spacing w:before="0" w:beforeAutospacing="0" w:after="0" w:afterAutospacing="0"/>
        <w:ind w:firstLine="360"/>
        <w:jc w:val="both"/>
        <w:rPr>
          <w:sz w:val="20"/>
          <w:szCs w:val="20"/>
        </w:rPr>
      </w:pPr>
      <w:r>
        <w:rPr>
          <w:sz w:val="20"/>
          <w:szCs w:val="20"/>
        </w:rPr>
        <w:t xml:space="preserve">During the </w:t>
      </w:r>
      <w:r>
        <w:rPr>
          <w:rStyle w:val="a6"/>
          <w:sz w:val="20"/>
          <w:szCs w:val="20"/>
        </w:rPr>
        <w:t>three</w:t>
      </w:r>
      <w:r>
        <w:rPr>
          <w:sz w:val="20"/>
          <w:szCs w:val="20"/>
        </w:rPr>
        <w:t xml:space="preserve"> months ended </w:t>
      </w:r>
      <w:r>
        <w:rPr>
          <w:rStyle w:val="a6"/>
          <w:sz w:val="20"/>
          <w:szCs w:val="20"/>
        </w:rPr>
        <w:t xml:space="preserve">March 31, 2020 </w:t>
      </w:r>
      <w:r>
        <w:rPr>
          <w:sz w:val="20"/>
          <w:szCs w:val="20"/>
        </w:rPr>
        <w:t xml:space="preserve">and </w:t>
      </w:r>
      <w:r>
        <w:rPr>
          <w:rStyle w:val="a6"/>
          <w:sz w:val="20"/>
          <w:szCs w:val="20"/>
        </w:rPr>
        <w:t>2019,</w:t>
      </w:r>
      <w:r>
        <w:rPr>
          <w:sz w:val="20"/>
          <w:szCs w:val="20"/>
        </w:rPr>
        <w:t xml:space="preserve"> the Company recognized aggregate impairment charges of $3.0 million and $4.2 million, respectively, related to adjustments to property carrying values for properties which the Company has marketed for </w:t>
      </w:r>
      <w:r>
        <w:rPr>
          <w:sz w:val="20"/>
          <w:szCs w:val="20"/>
        </w:rPr>
        <w:t>sale as part of its active capital recycling program and as such has adjusted the anticipated hold period for such properties. The Company’s estimated fair values of these properties were primarily based upon estimated sales prices from signed contracts or</w:t>
      </w:r>
      <w:r>
        <w:rPr>
          <w:sz w:val="20"/>
          <w:szCs w:val="20"/>
        </w:rPr>
        <w:t xml:space="preserve"> letters of intent from </w:t>
      </w:r>
      <w:r>
        <w:rPr>
          <w:rStyle w:val="a6"/>
          <w:sz w:val="20"/>
          <w:szCs w:val="20"/>
        </w:rPr>
        <w:t>third</w:t>
      </w:r>
      <w:r>
        <w:rPr>
          <w:sz w:val="20"/>
          <w:szCs w:val="20"/>
        </w:rPr>
        <w:t xml:space="preserve"> party offers. See Footnote </w:t>
      </w:r>
      <w:r>
        <w:rPr>
          <w:rStyle w:val="a6"/>
          <w:sz w:val="20"/>
          <w:szCs w:val="20"/>
        </w:rPr>
        <w:t>11</w:t>
      </w:r>
      <w:r>
        <w:rPr>
          <w:sz w:val="20"/>
          <w:szCs w:val="20"/>
        </w:rPr>
        <w:t xml:space="preserve"> to the Notes to the Company’s Condensed Consolidated Financial Statements for fair value disclosure.</w:t>
      </w:r>
    </w:p>
    <w:p w14:paraId="1C80B3E4" w14:textId="77777777" w:rsidR="00000000" w:rsidRDefault="00847163">
      <w:pPr>
        <w:pStyle w:val="a3"/>
        <w:spacing w:before="0" w:beforeAutospacing="0" w:after="0" w:afterAutospacing="0"/>
        <w:ind w:firstLine="360"/>
        <w:jc w:val="both"/>
        <w:rPr>
          <w:sz w:val="20"/>
          <w:szCs w:val="20"/>
        </w:rPr>
      </w:pPr>
      <w:r>
        <w:rPr>
          <w:sz w:val="20"/>
          <w:szCs w:val="20"/>
        </w:rPr>
        <w:t> </w:t>
      </w:r>
    </w:p>
    <w:p w14:paraId="1081FAE3" w14:textId="77777777" w:rsidR="00000000" w:rsidRDefault="00847163">
      <w:pPr>
        <w:pStyle w:val="a3"/>
        <w:spacing w:before="0" w:beforeAutospacing="0" w:after="0" w:afterAutospacing="0"/>
        <w:ind w:firstLine="360"/>
        <w:jc w:val="both"/>
        <w:rPr>
          <w:sz w:val="20"/>
          <w:szCs w:val="20"/>
        </w:rPr>
      </w:pPr>
      <w:r>
        <w:rPr>
          <w:sz w:val="20"/>
          <w:szCs w:val="20"/>
        </w:rPr>
        <w:t>The COVID-</w:t>
      </w:r>
      <w:r>
        <w:rPr>
          <w:rStyle w:val="a6"/>
          <w:sz w:val="20"/>
          <w:szCs w:val="20"/>
        </w:rPr>
        <w:t>19</w:t>
      </w:r>
      <w:r>
        <w:rPr>
          <w:sz w:val="20"/>
          <w:szCs w:val="20"/>
        </w:rPr>
        <w:t xml:space="preserve"> </w:t>
      </w:r>
      <w:r>
        <w:rPr>
          <w:sz w:val="20"/>
          <w:szCs w:val="20"/>
        </w:rPr>
        <w:t>pandemic has significantly impacted the retail sector in which the Company operates and if the effects of the pandemic are prolonged, it could have a significant adverse impact to the underlying industries of many of the Company’s tenants. Management canno</w:t>
      </w:r>
      <w:r>
        <w:rPr>
          <w:sz w:val="20"/>
          <w:szCs w:val="20"/>
        </w:rPr>
        <w:t>t, at this point, estimate ultimate losses related to the COVID-</w:t>
      </w:r>
      <w:r>
        <w:rPr>
          <w:rStyle w:val="a6"/>
          <w:sz w:val="20"/>
          <w:szCs w:val="20"/>
        </w:rPr>
        <w:t>19</w:t>
      </w:r>
      <w:r>
        <w:rPr>
          <w:sz w:val="20"/>
          <w:szCs w:val="20"/>
        </w:rPr>
        <w:t xml:space="preserve"> pandemic, and accordingly </w:t>
      </w:r>
      <w:r>
        <w:rPr>
          <w:rStyle w:val="a6"/>
          <w:sz w:val="20"/>
          <w:szCs w:val="20"/>
        </w:rPr>
        <w:t>no</w:t>
      </w:r>
      <w:r>
        <w:rPr>
          <w:sz w:val="20"/>
          <w:szCs w:val="20"/>
        </w:rPr>
        <w:t xml:space="preserve"> impairment charges were reflected in the accompanying financial statements related to this matter. The Company will continue to monitor the economic, financial,</w:t>
      </w:r>
      <w:r>
        <w:rPr>
          <w:sz w:val="20"/>
          <w:szCs w:val="20"/>
        </w:rPr>
        <w:t xml:space="preserve"> and social conditions resulting from this pandemic and will assess its asset portfolio for any impairment indicators. If the Company has determined that any of its assets are impaired the Company would be required to take impairment charges and such amoun</w:t>
      </w:r>
      <w:r>
        <w:rPr>
          <w:sz w:val="20"/>
          <w:szCs w:val="20"/>
        </w:rPr>
        <w:t>ts could be material.</w:t>
      </w:r>
    </w:p>
    <w:p w14:paraId="65828DC3" w14:textId="77777777" w:rsidR="00000000" w:rsidRDefault="00847163">
      <w:pPr>
        <w:pStyle w:val="a3"/>
        <w:spacing w:before="0" w:beforeAutospacing="0" w:after="0" w:afterAutospacing="0"/>
        <w:ind w:firstLine="360"/>
        <w:jc w:val="both"/>
        <w:rPr>
          <w:sz w:val="20"/>
          <w:szCs w:val="20"/>
        </w:rPr>
      </w:pPr>
      <w:r>
        <w:rPr>
          <w:sz w:val="20"/>
          <w:szCs w:val="20"/>
        </w:rPr>
        <w:t> </w:t>
      </w:r>
    </w:p>
    <w:p w14:paraId="5C854DA0" w14:textId="77777777" w:rsidR="00000000" w:rsidRDefault="00847163">
      <w:pPr>
        <w:jc w:val="center"/>
        <w:divId w:val="1979068940"/>
        <w:rPr>
          <w:rFonts w:eastAsia="Times New Roman"/>
          <w:sz w:val="20"/>
          <w:szCs w:val="20"/>
        </w:rPr>
      </w:pPr>
      <w:r>
        <w:rPr>
          <w:rStyle w:val="a6"/>
          <w:rFonts w:eastAsia="Times New Roman"/>
          <w:sz w:val="20"/>
          <w:szCs w:val="20"/>
        </w:rPr>
        <w:t>11</w:t>
      </w:r>
      <w:r>
        <w:rPr>
          <w:rFonts w:eastAsia="Times New Roman"/>
          <w:sz w:val="20"/>
          <w:szCs w:val="20"/>
        </w:rPr>
        <w:t xml:space="preserve"> </w:t>
      </w:r>
    </w:p>
    <w:p w14:paraId="00FFE086" w14:textId="77777777" w:rsidR="00000000" w:rsidRDefault="00847163">
      <w:pPr>
        <w:divId w:val="442572689"/>
        <w:rPr>
          <w:rFonts w:eastAsia="Times New Roman"/>
          <w:sz w:val="20"/>
          <w:szCs w:val="20"/>
        </w:rPr>
      </w:pPr>
      <w:r>
        <w:rPr>
          <w:rFonts w:eastAsia="Times New Roman"/>
          <w:sz w:val="20"/>
          <w:szCs w:val="20"/>
        </w:rPr>
        <w:pict w14:anchorId="0FC08BF4">
          <v:rect id="_x0000_i1039" style="width:415.3pt;height:1.5pt" o:hralign="center" o:hrstd="t" o:hrnoshade="t" o:hr="t" fillcolor="black" stroked="f"/>
        </w:pict>
      </w:r>
    </w:p>
    <w:p w14:paraId="73552FA5" w14:textId="77777777" w:rsidR="00000000" w:rsidRDefault="00847163">
      <w:pPr>
        <w:divId w:val="8677267"/>
        <w:rPr>
          <w:rFonts w:eastAsia="Times New Roman"/>
          <w:sz w:val="20"/>
          <w:szCs w:val="20"/>
        </w:rPr>
      </w:pPr>
      <w:hyperlink w:anchor="toc" w:history="1">
        <w:r>
          <w:rPr>
            <w:rStyle w:val="a4"/>
            <w:rFonts w:eastAsia="Times New Roman"/>
            <w:sz w:val="20"/>
            <w:szCs w:val="20"/>
          </w:rPr>
          <w:t>Table of Conte</w:t>
        </w:r>
        <w:r>
          <w:rPr>
            <w:rStyle w:val="a4"/>
            <w:rFonts w:eastAsia="Times New Roman"/>
            <w:sz w:val="20"/>
            <w:szCs w:val="20"/>
          </w:rPr>
          <w:t>nts</w:t>
        </w:r>
      </w:hyperlink>
      <w:r>
        <w:rPr>
          <w:rFonts w:eastAsia="Times New Roman"/>
          <w:sz w:val="20"/>
          <w:szCs w:val="20"/>
        </w:rPr>
        <w:t xml:space="preserve"> </w:t>
      </w:r>
    </w:p>
    <w:p w14:paraId="2611CB46" w14:textId="77777777" w:rsidR="00000000" w:rsidRDefault="00847163">
      <w:pPr>
        <w:pStyle w:val="a3"/>
        <w:spacing w:before="0" w:beforeAutospacing="0" w:after="0" w:afterAutospacing="0"/>
        <w:ind w:firstLine="360"/>
        <w:jc w:val="both"/>
        <w:rPr>
          <w:sz w:val="20"/>
          <w:szCs w:val="20"/>
        </w:rPr>
      </w:pPr>
      <w:r>
        <w:rPr>
          <w:sz w:val="20"/>
          <w:szCs w:val="20"/>
        </w:rPr>
        <w:t> </w:t>
      </w:r>
    </w:p>
    <w:p w14:paraId="13B004E3" w14:textId="77777777" w:rsidR="00000000" w:rsidRDefault="00847163">
      <w:pPr>
        <w:divId w:val="203635986"/>
        <w:rPr>
          <w:rFonts w:eastAsia="Times New Roman"/>
          <w:sz w:val="20"/>
          <w:szCs w:val="20"/>
        </w:rPr>
      </w:pPr>
      <w:r>
        <w:rPr>
          <w:rFonts w:eastAsia="Times New Roman"/>
          <w:sz w:val="20"/>
          <w:szCs w:val="20"/>
        </w:rPr>
        <w:t xml:space="preserve">  </w:t>
      </w:r>
    </w:p>
    <w:p w14:paraId="62B844BD" w14:textId="77777777" w:rsidR="00000000" w:rsidRDefault="00847163">
      <w:pPr>
        <w:pStyle w:val="a3"/>
        <w:spacing w:before="0" w:beforeAutospacing="0" w:after="0" w:afterAutospacing="0"/>
        <w:jc w:val="both"/>
        <w:rPr>
          <w:sz w:val="20"/>
          <w:szCs w:val="20"/>
        </w:rPr>
      </w:pPr>
      <w:r>
        <w:rPr>
          <w:rStyle w:val="a6"/>
          <w:sz w:val="20"/>
          <w:szCs w:val="20"/>
        </w:rPr>
        <w:t>4.</w:t>
      </w:r>
      <w:r>
        <w:rPr>
          <w:sz w:val="20"/>
          <w:szCs w:val="20"/>
        </w:rPr>
        <w:t xml:space="preserve"> </w:t>
      </w:r>
      <w:r>
        <w:rPr>
          <w:sz w:val="20"/>
          <w:szCs w:val="20"/>
          <w:u w:val="single"/>
        </w:rPr>
        <w:t>Investments in and Advances to Real Estate Joint Ventures</w:t>
      </w:r>
    </w:p>
    <w:p w14:paraId="5232036A" w14:textId="77777777" w:rsidR="00000000" w:rsidRDefault="00847163">
      <w:pPr>
        <w:pStyle w:val="a3"/>
        <w:spacing w:before="0" w:beforeAutospacing="0" w:after="0" w:afterAutospacing="0"/>
        <w:jc w:val="both"/>
        <w:rPr>
          <w:sz w:val="20"/>
          <w:szCs w:val="20"/>
        </w:rPr>
      </w:pPr>
      <w:r>
        <w:rPr>
          <w:sz w:val="20"/>
          <w:szCs w:val="20"/>
        </w:rPr>
        <w:t> </w:t>
      </w:r>
    </w:p>
    <w:p w14:paraId="63B9E3E7" w14:textId="77777777" w:rsidR="00000000" w:rsidRDefault="00847163">
      <w:pPr>
        <w:pStyle w:val="a3"/>
        <w:spacing w:before="0" w:beforeAutospacing="0" w:after="0" w:afterAutospacing="0"/>
        <w:ind w:firstLine="360"/>
        <w:jc w:val="both"/>
        <w:rPr>
          <w:sz w:val="20"/>
          <w:szCs w:val="20"/>
        </w:rPr>
      </w:pPr>
      <w:r>
        <w:rPr>
          <w:sz w:val="20"/>
          <w:szCs w:val="20"/>
        </w:rPr>
        <w:t>The Company has investments in and advances to various real estate joint ventures. These joint ventures are engaged primarily in the operation of shopping centers which are either own</w:t>
      </w:r>
      <w:r>
        <w:rPr>
          <w:sz w:val="20"/>
          <w:szCs w:val="20"/>
        </w:rPr>
        <w:t>ed or held under long-term operating leases. The Company and the joint venture partners have joint approval rights for major decisions, including those regarding property operations. As such, the Company holds noncontrolling interests in these joint ventur</w:t>
      </w:r>
      <w:r>
        <w:rPr>
          <w:sz w:val="20"/>
          <w:szCs w:val="20"/>
        </w:rPr>
        <w:t>es and accounts for them under the equity method of accounting.</w:t>
      </w:r>
    </w:p>
    <w:p w14:paraId="6D69126C" w14:textId="77777777" w:rsidR="00000000" w:rsidRDefault="00847163">
      <w:pPr>
        <w:pStyle w:val="a3"/>
        <w:spacing w:before="0" w:beforeAutospacing="0" w:after="0" w:afterAutospacing="0"/>
        <w:ind w:left="360"/>
        <w:jc w:val="both"/>
        <w:rPr>
          <w:sz w:val="20"/>
          <w:szCs w:val="20"/>
        </w:rPr>
      </w:pPr>
      <w:r>
        <w:rPr>
          <w:sz w:val="20"/>
          <w:szCs w:val="20"/>
        </w:rPr>
        <w:t> </w:t>
      </w:r>
    </w:p>
    <w:p w14:paraId="72F49C96" w14:textId="77777777" w:rsidR="00000000" w:rsidRDefault="00847163">
      <w:pPr>
        <w:pStyle w:val="a3"/>
        <w:spacing w:before="0" w:beforeAutospacing="0" w:after="0" w:afterAutospacing="0"/>
        <w:ind w:firstLine="360"/>
        <w:jc w:val="both"/>
        <w:rPr>
          <w:sz w:val="20"/>
          <w:szCs w:val="20"/>
        </w:rPr>
      </w:pPr>
      <w:r>
        <w:rPr>
          <w:sz w:val="20"/>
          <w:szCs w:val="20"/>
        </w:rPr>
        <w:t xml:space="preserve">The table below presents joint venture investments for which the Company held an ownership interest at </w:t>
      </w:r>
      <w:r>
        <w:rPr>
          <w:rStyle w:val="a6"/>
          <w:sz w:val="20"/>
          <w:szCs w:val="20"/>
        </w:rPr>
        <w:t xml:space="preserve">March 31, 2020 </w:t>
      </w:r>
      <w:r>
        <w:rPr>
          <w:sz w:val="20"/>
          <w:szCs w:val="20"/>
        </w:rPr>
        <w:t xml:space="preserve">and </w:t>
      </w:r>
      <w:r>
        <w:rPr>
          <w:rStyle w:val="a6"/>
          <w:sz w:val="20"/>
          <w:szCs w:val="20"/>
        </w:rPr>
        <w:t>December 31, 2019 (</w:t>
      </w:r>
      <w:r>
        <w:rPr>
          <w:sz w:val="20"/>
          <w:szCs w:val="20"/>
        </w:rPr>
        <w:t>dollars in millions):</w:t>
      </w:r>
    </w:p>
    <w:p w14:paraId="2D28214D" w14:textId="77777777" w:rsidR="00000000" w:rsidRDefault="00847163">
      <w:pPr>
        <w:pStyle w:val="a3"/>
        <w:spacing w:before="0" w:beforeAutospacing="0" w:after="0" w:afterAutospacing="0"/>
        <w:ind w:firstLine="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588"/>
        <w:gridCol w:w="58"/>
        <w:gridCol w:w="980"/>
        <w:gridCol w:w="58"/>
        <w:gridCol w:w="58"/>
        <w:gridCol w:w="214"/>
        <w:gridCol w:w="980"/>
        <w:gridCol w:w="58"/>
        <w:gridCol w:w="58"/>
        <w:gridCol w:w="215"/>
        <w:gridCol w:w="980"/>
        <w:gridCol w:w="59"/>
      </w:tblGrid>
      <w:tr w:rsidR="00000000" w14:paraId="388EDBAA" w14:textId="77777777">
        <w:trPr>
          <w:tblCellSpacing w:w="0" w:type="dxa"/>
        </w:trPr>
        <w:tc>
          <w:tcPr>
            <w:tcW w:w="0" w:type="auto"/>
            <w:vAlign w:val="bottom"/>
            <w:hideMark/>
          </w:tcPr>
          <w:p w14:paraId="779255B8"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43EF7060"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53B6E884" w14:textId="77777777" w:rsidR="00000000" w:rsidRDefault="00847163">
            <w:pPr>
              <w:pStyle w:val="a3"/>
              <w:spacing w:before="0" w:beforeAutospacing="0" w:after="0" w:afterAutospacing="0"/>
              <w:jc w:val="center"/>
              <w:rPr>
                <w:sz w:val="20"/>
                <w:szCs w:val="20"/>
              </w:rPr>
            </w:pPr>
            <w:r>
              <w:rPr>
                <w:b/>
                <w:bCs/>
                <w:sz w:val="20"/>
                <w:szCs w:val="20"/>
              </w:rPr>
              <w:t>Ownership</w:t>
            </w:r>
          </w:p>
        </w:tc>
        <w:tc>
          <w:tcPr>
            <w:tcW w:w="0" w:type="auto"/>
            <w:tcMar>
              <w:top w:w="0" w:type="dxa"/>
              <w:left w:w="0" w:type="dxa"/>
              <w:bottom w:w="15" w:type="dxa"/>
              <w:right w:w="0" w:type="dxa"/>
            </w:tcMar>
            <w:vAlign w:val="bottom"/>
            <w:hideMark/>
          </w:tcPr>
          <w:p w14:paraId="2B030165"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2D5959AF" w14:textId="77777777" w:rsidR="00000000" w:rsidRDefault="00847163">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14:paraId="57D247D1" w14:textId="77777777" w:rsidR="00000000" w:rsidRDefault="00847163">
            <w:pPr>
              <w:pStyle w:val="a3"/>
              <w:spacing w:before="0" w:beforeAutospacing="0" w:after="0" w:afterAutospacing="0"/>
              <w:jc w:val="center"/>
              <w:rPr>
                <w:sz w:val="20"/>
                <w:szCs w:val="20"/>
              </w:rPr>
            </w:pPr>
            <w:r>
              <w:rPr>
                <w:b/>
                <w:bCs/>
                <w:sz w:val="20"/>
                <w:szCs w:val="20"/>
              </w:rPr>
              <w:t>The Com</w:t>
            </w:r>
            <w:r>
              <w:rPr>
                <w:b/>
                <w:bCs/>
                <w:sz w:val="20"/>
                <w:szCs w:val="20"/>
              </w:rPr>
              <w:t>pany’s Investment</w:t>
            </w:r>
          </w:p>
        </w:tc>
        <w:tc>
          <w:tcPr>
            <w:tcW w:w="0" w:type="auto"/>
            <w:tcMar>
              <w:top w:w="0" w:type="dxa"/>
              <w:left w:w="0" w:type="dxa"/>
              <w:bottom w:w="15" w:type="dxa"/>
              <w:right w:w="0" w:type="dxa"/>
            </w:tcMar>
            <w:vAlign w:val="bottom"/>
            <w:hideMark/>
          </w:tcPr>
          <w:p w14:paraId="391A1470" w14:textId="77777777" w:rsidR="00000000" w:rsidRDefault="00847163">
            <w:pPr>
              <w:rPr>
                <w:rFonts w:eastAsia="Times New Roman"/>
                <w:sz w:val="20"/>
                <w:szCs w:val="20"/>
              </w:rPr>
            </w:pPr>
            <w:r>
              <w:rPr>
                <w:rFonts w:eastAsia="Times New Roman"/>
                <w:sz w:val="20"/>
                <w:szCs w:val="20"/>
              </w:rPr>
              <w:t> </w:t>
            </w:r>
          </w:p>
        </w:tc>
      </w:tr>
      <w:tr w:rsidR="00000000" w14:paraId="44C724F4" w14:textId="77777777">
        <w:trPr>
          <w:tblCellSpacing w:w="0" w:type="dxa"/>
        </w:trPr>
        <w:tc>
          <w:tcPr>
            <w:tcW w:w="2750" w:type="pct"/>
            <w:tcBorders>
              <w:bottom w:val="single" w:sz="6" w:space="0" w:color="000000"/>
            </w:tcBorders>
            <w:vAlign w:val="bottom"/>
            <w:hideMark/>
          </w:tcPr>
          <w:p w14:paraId="5B8DCD77" w14:textId="77777777" w:rsidR="00000000" w:rsidRDefault="00847163">
            <w:pPr>
              <w:pStyle w:val="a3"/>
              <w:spacing w:before="0" w:beforeAutospacing="0" w:after="0" w:afterAutospacing="0"/>
              <w:rPr>
                <w:sz w:val="20"/>
                <w:szCs w:val="20"/>
              </w:rPr>
            </w:pPr>
            <w:r>
              <w:rPr>
                <w:b/>
                <w:bCs/>
                <w:sz w:val="20"/>
                <w:szCs w:val="20"/>
              </w:rPr>
              <w:t>Joint Venture</w:t>
            </w:r>
          </w:p>
        </w:tc>
        <w:tc>
          <w:tcPr>
            <w:tcW w:w="0" w:type="auto"/>
            <w:vAlign w:val="bottom"/>
            <w:hideMark/>
          </w:tcPr>
          <w:p w14:paraId="6A103DB9" w14:textId="77777777" w:rsidR="00000000" w:rsidRDefault="00847163">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14:paraId="0C1CC6D7" w14:textId="77777777" w:rsidR="00000000" w:rsidRDefault="00847163">
            <w:pPr>
              <w:pStyle w:val="a3"/>
              <w:spacing w:before="0" w:beforeAutospacing="0" w:after="0" w:afterAutospacing="0"/>
              <w:jc w:val="center"/>
              <w:rPr>
                <w:sz w:val="20"/>
                <w:szCs w:val="20"/>
              </w:rPr>
            </w:pPr>
            <w:r>
              <w:rPr>
                <w:b/>
                <w:bCs/>
                <w:sz w:val="20"/>
                <w:szCs w:val="20"/>
              </w:rPr>
              <w:t>Interest</w:t>
            </w:r>
          </w:p>
        </w:tc>
        <w:tc>
          <w:tcPr>
            <w:tcW w:w="0" w:type="auto"/>
            <w:tcMar>
              <w:top w:w="0" w:type="dxa"/>
              <w:left w:w="0" w:type="dxa"/>
              <w:bottom w:w="15" w:type="dxa"/>
              <w:right w:w="0" w:type="dxa"/>
            </w:tcMar>
            <w:vAlign w:val="bottom"/>
            <w:hideMark/>
          </w:tcPr>
          <w:p w14:paraId="4704D768"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1FC89E8E" w14:textId="77777777" w:rsidR="00000000" w:rsidRDefault="0084716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6E776508" w14:textId="77777777" w:rsidR="00000000" w:rsidRDefault="00847163">
            <w:pPr>
              <w:pStyle w:val="a3"/>
              <w:spacing w:before="0" w:beforeAutospacing="0" w:after="0" w:afterAutospacing="0"/>
              <w:jc w:val="center"/>
              <w:rPr>
                <w:sz w:val="20"/>
                <w:szCs w:val="20"/>
              </w:rPr>
            </w:pPr>
            <w:r>
              <w:rPr>
                <w:b/>
                <w:bCs/>
                <w:sz w:val="20"/>
                <w:szCs w:val="20"/>
              </w:rPr>
              <w:t>March 31, 2020</w:t>
            </w:r>
          </w:p>
        </w:tc>
        <w:tc>
          <w:tcPr>
            <w:tcW w:w="0" w:type="auto"/>
            <w:tcMar>
              <w:top w:w="0" w:type="dxa"/>
              <w:left w:w="0" w:type="dxa"/>
              <w:bottom w:w="15" w:type="dxa"/>
              <w:right w:w="0" w:type="dxa"/>
            </w:tcMar>
            <w:vAlign w:val="bottom"/>
            <w:hideMark/>
          </w:tcPr>
          <w:p w14:paraId="756BCDA1"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43BC7EB7" w14:textId="77777777" w:rsidR="00000000" w:rsidRDefault="00847163">
            <w:pPr>
              <w:rPr>
                <w:rFonts w:eastAsia="Times New Roman"/>
                <w:sz w:val="20"/>
                <w:szCs w:val="20"/>
              </w:rPr>
            </w:pPr>
            <w:r>
              <w:rPr>
                <w:rFonts w:eastAsia="Times New Roman"/>
                <w:sz w:val="20"/>
                <w:szCs w:val="20"/>
              </w:rPr>
              <w:t> </w:t>
            </w:r>
          </w:p>
        </w:tc>
        <w:tc>
          <w:tcPr>
            <w:tcW w:w="0" w:type="pct"/>
            <w:gridSpan w:val="2"/>
            <w:tcBorders>
              <w:bottom w:val="single" w:sz="6" w:space="0" w:color="000000"/>
            </w:tcBorders>
            <w:vAlign w:val="bottom"/>
            <w:hideMark/>
          </w:tcPr>
          <w:p w14:paraId="31561B9B" w14:textId="77777777" w:rsidR="00000000" w:rsidRDefault="00847163">
            <w:pPr>
              <w:pStyle w:val="a3"/>
              <w:spacing w:before="0" w:beforeAutospacing="0" w:after="0" w:afterAutospacing="0"/>
              <w:jc w:val="center"/>
              <w:rPr>
                <w:sz w:val="20"/>
                <w:szCs w:val="20"/>
              </w:rPr>
            </w:pPr>
            <w:r>
              <w:rPr>
                <w:b/>
                <w:bCs/>
                <w:sz w:val="20"/>
                <w:szCs w:val="20"/>
              </w:rPr>
              <w:t>December 31, 2019</w:t>
            </w:r>
          </w:p>
        </w:tc>
        <w:tc>
          <w:tcPr>
            <w:tcW w:w="0" w:type="auto"/>
            <w:tcMar>
              <w:top w:w="0" w:type="dxa"/>
              <w:left w:w="0" w:type="dxa"/>
              <w:bottom w:w="15" w:type="dxa"/>
              <w:right w:w="0" w:type="dxa"/>
            </w:tcMar>
            <w:vAlign w:val="bottom"/>
            <w:hideMark/>
          </w:tcPr>
          <w:p w14:paraId="4F6DDD14" w14:textId="77777777" w:rsidR="00000000" w:rsidRDefault="00847163">
            <w:pPr>
              <w:rPr>
                <w:rFonts w:eastAsia="Times New Roman"/>
                <w:sz w:val="20"/>
                <w:szCs w:val="20"/>
              </w:rPr>
            </w:pPr>
            <w:r>
              <w:rPr>
                <w:rFonts w:eastAsia="Times New Roman"/>
                <w:sz w:val="20"/>
                <w:szCs w:val="20"/>
              </w:rPr>
              <w:t> </w:t>
            </w:r>
          </w:p>
        </w:tc>
      </w:tr>
      <w:tr w:rsidR="00000000" w14:paraId="470910D9" w14:textId="77777777">
        <w:trPr>
          <w:tblCellSpacing w:w="0" w:type="dxa"/>
        </w:trPr>
        <w:tc>
          <w:tcPr>
            <w:tcW w:w="0" w:type="auto"/>
            <w:shd w:val="clear" w:color="auto" w:fill="CCEEFF"/>
            <w:vAlign w:val="bottom"/>
            <w:hideMark/>
          </w:tcPr>
          <w:p w14:paraId="26E17291" w14:textId="77777777" w:rsidR="00000000" w:rsidRDefault="00847163">
            <w:pPr>
              <w:pStyle w:val="a3"/>
              <w:spacing w:before="0" w:beforeAutospacing="0" w:after="0" w:afterAutospacing="0"/>
              <w:rPr>
                <w:sz w:val="20"/>
                <w:szCs w:val="20"/>
              </w:rPr>
            </w:pPr>
            <w:r>
              <w:rPr>
                <w:sz w:val="20"/>
                <w:szCs w:val="20"/>
              </w:rPr>
              <w:t>Prudential Investment Program (1)</w:t>
            </w:r>
          </w:p>
        </w:tc>
        <w:tc>
          <w:tcPr>
            <w:tcW w:w="50" w:type="pct"/>
            <w:shd w:val="clear" w:color="auto" w:fill="CCEEFF"/>
            <w:vAlign w:val="bottom"/>
            <w:hideMark/>
          </w:tcPr>
          <w:p w14:paraId="31F4FAEB" w14:textId="77777777" w:rsidR="00000000" w:rsidRDefault="0084716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1E4AE5D6" w14:textId="77777777" w:rsidR="00000000" w:rsidRDefault="00847163">
            <w:pPr>
              <w:ind w:left="114"/>
              <w:jc w:val="center"/>
              <w:rPr>
                <w:rFonts w:eastAsia="Times New Roman"/>
                <w:sz w:val="20"/>
                <w:szCs w:val="20"/>
              </w:rPr>
            </w:pPr>
            <w:r>
              <w:rPr>
                <w:rFonts w:eastAsia="Times New Roman"/>
                <w:sz w:val="20"/>
                <w:szCs w:val="20"/>
              </w:rPr>
              <w:t>15.0%</w:t>
            </w:r>
          </w:p>
        </w:tc>
        <w:tc>
          <w:tcPr>
            <w:tcW w:w="50" w:type="pct"/>
            <w:shd w:val="clear" w:color="auto" w:fill="CCEEFF"/>
            <w:vAlign w:val="bottom"/>
            <w:hideMark/>
          </w:tcPr>
          <w:p w14:paraId="3A5FFBC3"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F4A4A73"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016D2C1" w14:textId="77777777" w:rsidR="00000000" w:rsidRDefault="00847163">
            <w:pPr>
              <w:ind w:left="114"/>
              <w:rPr>
                <w:rFonts w:eastAsia="Times New Roman"/>
                <w:sz w:val="20"/>
                <w:szCs w:val="20"/>
              </w:rPr>
            </w:pPr>
            <w:r>
              <w:rPr>
                <w:rFonts w:eastAsia="Times New Roman"/>
                <w:sz w:val="20"/>
                <w:szCs w:val="20"/>
              </w:rPr>
              <w:t>$</w:t>
            </w:r>
          </w:p>
        </w:tc>
        <w:tc>
          <w:tcPr>
            <w:tcW w:w="600" w:type="pct"/>
            <w:shd w:val="clear" w:color="auto" w:fill="CCEEFF"/>
            <w:vAlign w:val="bottom"/>
            <w:hideMark/>
          </w:tcPr>
          <w:p w14:paraId="769FF9B2" w14:textId="77777777" w:rsidR="00000000" w:rsidRDefault="00847163">
            <w:pPr>
              <w:ind w:left="114"/>
              <w:jc w:val="right"/>
              <w:rPr>
                <w:rFonts w:eastAsia="Times New Roman"/>
                <w:sz w:val="20"/>
                <w:szCs w:val="20"/>
              </w:rPr>
            </w:pPr>
            <w:r>
              <w:rPr>
                <w:rFonts w:eastAsia="Times New Roman"/>
                <w:sz w:val="20"/>
                <w:szCs w:val="20"/>
              </w:rPr>
              <w:t>169.6</w:t>
            </w:r>
          </w:p>
        </w:tc>
        <w:tc>
          <w:tcPr>
            <w:tcW w:w="50" w:type="pct"/>
            <w:shd w:val="clear" w:color="auto" w:fill="CCEEFF"/>
            <w:vAlign w:val="bottom"/>
            <w:hideMark/>
          </w:tcPr>
          <w:p w14:paraId="723B1BB8"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0A35E00"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659FF16" w14:textId="77777777" w:rsidR="00000000" w:rsidRDefault="00847163">
            <w:pPr>
              <w:ind w:left="114"/>
              <w:rPr>
                <w:rFonts w:eastAsia="Times New Roman"/>
                <w:sz w:val="20"/>
                <w:szCs w:val="20"/>
              </w:rPr>
            </w:pPr>
            <w:r>
              <w:rPr>
                <w:rFonts w:eastAsia="Times New Roman"/>
                <w:sz w:val="20"/>
                <w:szCs w:val="20"/>
              </w:rPr>
              <w:t>$</w:t>
            </w:r>
          </w:p>
        </w:tc>
        <w:tc>
          <w:tcPr>
            <w:tcW w:w="600" w:type="pct"/>
            <w:shd w:val="clear" w:color="auto" w:fill="CCEEFF"/>
            <w:vAlign w:val="bottom"/>
            <w:hideMark/>
          </w:tcPr>
          <w:p w14:paraId="759BEE11" w14:textId="77777777" w:rsidR="00000000" w:rsidRDefault="00847163">
            <w:pPr>
              <w:ind w:left="114"/>
              <w:jc w:val="right"/>
              <w:rPr>
                <w:rFonts w:eastAsia="Times New Roman"/>
                <w:sz w:val="20"/>
                <w:szCs w:val="20"/>
              </w:rPr>
            </w:pPr>
            <w:r>
              <w:rPr>
                <w:rFonts w:eastAsia="Times New Roman"/>
                <w:sz w:val="20"/>
                <w:szCs w:val="20"/>
              </w:rPr>
              <w:t>169.5</w:t>
            </w:r>
          </w:p>
        </w:tc>
        <w:tc>
          <w:tcPr>
            <w:tcW w:w="50" w:type="pct"/>
            <w:shd w:val="clear" w:color="auto" w:fill="CCEEFF"/>
            <w:vAlign w:val="bottom"/>
            <w:hideMark/>
          </w:tcPr>
          <w:p w14:paraId="7A0904C6" w14:textId="77777777" w:rsidR="00000000" w:rsidRDefault="00847163">
            <w:pPr>
              <w:rPr>
                <w:rFonts w:eastAsia="Times New Roman"/>
                <w:sz w:val="20"/>
                <w:szCs w:val="20"/>
              </w:rPr>
            </w:pPr>
            <w:r>
              <w:rPr>
                <w:rFonts w:eastAsia="Times New Roman"/>
                <w:sz w:val="20"/>
                <w:szCs w:val="20"/>
              </w:rPr>
              <w:t> </w:t>
            </w:r>
          </w:p>
        </w:tc>
      </w:tr>
      <w:tr w:rsidR="00000000" w14:paraId="55BF3D4E" w14:textId="77777777">
        <w:trPr>
          <w:tblCellSpacing w:w="0" w:type="dxa"/>
        </w:trPr>
        <w:tc>
          <w:tcPr>
            <w:tcW w:w="0" w:type="auto"/>
            <w:shd w:val="clear" w:color="auto" w:fill="FFFFFF"/>
            <w:vAlign w:val="bottom"/>
            <w:hideMark/>
          </w:tcPr>
          <w:p w14:paraId="41D8247B" w14:textId="77777777" w:rsidR="00000000" w:rsidRDefault="00847163">
            <w:pPr>
              <w:pStyle w:val="a3"/>
              <w:spacing w:before="0" w:beforeAutospacing="0" w:after="0" w:afterAutospacing="0"/>
              <w:rPr>
                <w:sz w:val="20"/>
                <w:szCs w:val="20"/>
              </w:rPr>
            </w:pPr>
            <w:r>
              <w:rPr>
                <w:sz w:val="20"/>
                <w:szCs w:val="20"/>
              </w:rPr>
              <w:t>Kimco Income Opportunity Portfolio (“KIR”) (1)</w:t>
            </w:r>
          </w:p>
        </w:tc>
        <w:tc>
          <w:tcPr>
            <w:tcW w:w="50" w:type="pct"/>
            <w:shd w:val="clear" w:color="auto" w:fill="FFFFFF"/>
            <w:vAlign w:val="bottom"/>
            <w:hideMark/>
          </w:tcPr>
          <w:p w14:paraId="1BFC5FBF" w14:textId="77777777" w:rsidR="00000000" w:rsidRDefault="00847163">
            <w:pPr>
              <w:rPr>
                <w:rFonts w:eastAsia="Times New Roman"/>
                <w:sz w:val="20"/>
                <w:szCs w:val="20"/>
              </w:rPr>
            </w:pPr>
            <w:r>
              <w:rPr>
                <w:rFonts w:eastAsia="Times New Roman"/>
                <w:sz w:val="20"/>
                <w:szCs w:val="20"/>
              </w:rPr>
              <w:t> </w:t>
            </w:r>
          </w:p>
        </w:tc>
        <w:tc>
          <w:tcPr>
            <w:tcW w:w="600" w:type="pct"/>
            <w:shd w:val="clear" w:color="auto" w:fill="FFFFFF"/>
            <w:vAlign w:val="bottom"/>
            <w:hideMark/>
          </w:tcPr>
          <w:p w14:paraId="3BF1ECCB" w14:textId="77777777" w:rsidR="00000000" w:rsidRDefault="00847163">
            <w:pPr>
              <w:ind w:left="114"/>
              <w:jc w:val="center"/>
              <w:rPr>
                <w:rFonts w:eastAsia="Times New Roman"/>
                <w:sz w:val="20"/>
                <w:szCs w:val="20"/>
              </w:rPr>
            </w:pPr>
            <w:r>
              <w:rPr>
                <w:rFonts w:eastAsia="Times New Roman"/>
                <w:sz w:val="20"/>
                <w:szCs w:val="20"/>
              </w:rPr>
              <w:t>48.6%</w:t>
            </w:r>
          </w:p>
        </w:tc>
        <w:tc>
          <w:tcPr>
            <w:tcW w:w="50" w:type="pct"/>
            <w:shd w:val="clear" w:color="auto" w:fill="FFFFFF"/>
            <w:vAlign w:val="bottom"/>
            <w:hideMark/>
          </w:tcPr>
          <w:p w14:paraId="4B15E962"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2A732F0"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359EEF8" w14:textId="77777777" w:rsidR="00000000" w:rsidRDefault="00847163">
            <w:pPr>
              <w:rPr>
                <w:rFonts w:eastAsia="Times New Roman"/>
                <w:sz w:val="20"/>
                <w:szCs w:val="20"/>
              </w:rPr>
            </w:pPr>
            <w:r>
              <w:rPr>
                <w:rFonts w:eastAsia="Times New Roman"/>
                <w:sz w:val="20"/>
                <w:szCs w:val="20"/>
              </w:rPr>
              <w:t> </w:t>
            </w:r>
          </w:p>
        </w:tc>
        <w:tc>
          <w:tcPr>
            <w:tcW w:w="600" w:type="pct"/>
            <w:shd w:val="clear" w:color="auto" w:fill="FFFFFF"/>
            <w:vAlign w:val="bottom"/>
            <w:hideMark/>
          </w:tcPr>
          <w:p w14:paraId="2C31420A" w14:textId="77777777" w:rsidR="00000000" w:rsidRDefault="00847163">
            <w:pPr>
              <w:ind w:left="114"/>
              <w:jc w:val="right"/>
              <w:rPr>
                <w:rFonts w:eastAsia="Times New Roman"/>
                <w:sz w:val="20"/>
                <w:szCs w:val="20"/>
              </w:rPr>
            </w:pPr>
            <w:r>
              <w:rPr>
                <w:rFonts w:eastAsia="Times New Roman"/>
                <w:sz w:val="20"/>
                <w:szCs w:val="20"/>
              </w:rPr>
              <w:t>177.7</w:t>
            </w:r>
          </w:p>
        </w:tc>
        <w:tc>
          <w:tcPr>
            <w:tcW w:w="50" w:type="pct"/>
            <w:shd w:val="clear" w:color="auto" w:fill="FFFFFF"/>
            <w:vAlign w:val="bottom"/>
            <w:hideMark/>
          </w:tcPr>
          <w:p w14:paraId="78BF37F8"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AD32A17"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2029E14" w14:textId="77777777" w:rsidR="00000000" w:rsidRDefault="00847163">
            <w:pPr>
              <w:rPr>
                <w:rFonts w:eastAsia="Times New Roman"/>
                <w:sz w:val="20"/>
                <w:szCs w:val="20"/>
              </w:rPr>
            </w:pPr>
            <w:r>
              <w:rPr>
                <w:rFonts w:eastAsia="Times New Roman"/>
                <w:sz w:val="20"/>
                <w:szCs w:val="20"/>
              </w:rPr>
              <w:t> </w:t>
            </w:r>
          </w:p>
        </w:tc>
        <w:tc>
          <w:tcPr>
            <w:tcW w:w="600" w:type="pct"/>
            <w:shd w:val="clear" w:color="auto" w:fill="FFFFFF"/>
            <w:vAlign w:val="bottom"/>
            <w:hideMark/>
          </w:tcPr>
          <w:p w14:paraId="69774A6B" w14:textId="77777777" w:rsidR="00000000" w:rsidRDefault="00847163">
            <w:pPr>
              <w:ind w:left="114"/>
              <w:jc w:val="right"/>
              <w:rPr>
                <w:rFonts w:eastAsia="Times New Roman"/>
                <w:sz w:val="20"/>
                <w:szCs w:val="20"/>
              </w:rPr>
            </w:pPr>
            <w:r>
              <w:rPr>
                <w:rFonts w:eastAsia="Times New Roman"/>
                <w:sz w:val="20"/>
                <w:szCs w:val="20"/>
              </w:rPr>
              <w:t>175.0</w:t>
            </w:r>
          </w:p>
        </w:tc>
        <w:tc>
          <w:tcPr>
            <w:tcW w:w="50" w:type="pct"/>
            <w:shd w:val="clear" w:color="auto" w:fill="FFFFFF"/>
            <w:vAlign w:val="bottom"/>
            <w:hideMark/>
          </w:tcPr>
          <w:p w14:paraId="206ECD1B" w14:textId="77777777" w:rsidR="00000000" w:rsidRDefault="00847163">
            <w:pPr>
              <w:rPr>
                <w:rFonts w:eastAsia="Times New Roman"/>
                <w:sz w:val="20"/>
                <w:szCs w:val="20"/>
              </w:rPr>
            </w:pPr>
            <w:r>
              <w:rPr>
                <w:rFonts w:eastAsia="Times New Roman"/>
                <w:sz w:val="20"/>
                <w:szCs w:val="20"/>
              </w:rPr>
              <w:t> </w:t>
            </w:r>
          </w:p>
        </w:tc>
      </w:tr>
      <w:tr w:rsidR="00000000" w14:paraId="4CD53245" w14:textId="77777777">
        <w:trPr>
          <w:tblCellSpacing w:w="0" w:type="dxa"/>
        </w:trPr>
        <w:tc>
          <w:tcPr>
            <w:tcW w:w="0" w:type="auto"/>
            <w:shd w:val="clear" w:color="auto" w:fill="CCEEFF"/>
            <w:vAlign w:val="bottom"/>
            <w:hideMark/>
          </w:tcPr>
          <w:p w14:paraId="249FB187" w14:textId="77777777" w:rsidR="00000000" w:rsidRDefault="00847163">
            <w:pPr>
              <w:pStyle w:val="a3"/>
              <w:spacing w:before="0" w:beforeAutospacing="0" w:after="0" w:afterAutospacing="0"/>
              <w:rPr>
                <w:sz w:val="20"/>
                <w:szCs w:val="20"/>
              </w:rPr>
            </w:pPr>
            <w:r>
              <w:rPr>
                <w:sz w:val="20"/>
                <w:szCs w:val="20"/>
              </w:rPr>
              <w:t>Canada Pension Plan Investment Board (“CPP”) (1)</w:t>
            </w:r>
          </w:p>
        </w:tc>
        <w:tc>
          <w:tcPr>
            <w:tcW w:w="50" w:type="pct"/>
            <w:shd w:val="clear" w:color="auto" w:fill="CCEEFF"/>
            <w:vAlign w:val="bottom"/>
            <w:hideMark/>
          </w:tcPr>
          <w:p w14:paraId="1D6A59DE" w14:textId="77777777" w:rsidR="00000000" w:rsidRDefault="0084716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14065A9D" w14:textId="77777777" w:rsidR="00000000" w:rsidRDefault="00847163">
            <w:pPr>
              <w:ind w:left="114"/>
              <w:jc w:val="center"/>
              <w:rPr>
                <w:rFonts w:eastAsia="Times New Roman"/>
                <w:sz w:val="20"/>
                <w:szCs w:val="20"/>
              </w:rPr>
            </w:pPr>
            <w:r>
              <w:rPr>
                <w:rFonts w:eastAsia="Times New Roman"/>
                <w:sz w:val="20"/>
                <w:szCs w:val="20"/>
              </w:rPr>
              <w:t>55.0%</w:t>
            </w:r>
          </w:p>
        </w:tc>
        <w:tc>
          <w:tcPr>
            <w:tcW w:w="50" w:type="pct"/>
            <w:shd w:val="clear" w:color="auto" w:fill="CCEEFF"/>
            <w:vAlign w:val="bottom"/>
            <w:hideMark/>
          </w:tcPr>
          <w:p w14:paraId="52CEFF04"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A1A2F51"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99621BA" w14:textId="77777777" w:rsidR="00000000" w:rsidRDefault="0084716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5F98943E" w14:textId="77777777" w:rsidR="00000000" w:rsidRDefault="00847163">
            <w:pPr>
              <w:ind w:left="114"/>
              <w:jc w:val="right"/>
              <w:rPr>
                <w:rFonts w:eastAsia="Times New Roman"/>
                <w:sz w:val="20"/>
                <w:szCs w:val="20"/>
              </w:rPr>
            </w:pPr>
            <w:r>
              <w:rPr>
                <w:rFonts w:eastAsia="Times New Roman"/>
                <w:sz w:val="20"/>
                <w:szCs w:val="20"/>
              </w:rPr>
              <w:t>156.6</w:t>
            </w:r>
          </w:p>
        </w:tc>
        <w:tc>
          <w:tcPr>
            <w:tcW w:w="50" w:type="pct"/>
            <w:shd w:val="clear" w:color="auto" w:fill="CCEEFF"/>
            <w:vAlign w:val="bottom"/>
            <w:hideMark/>
          </w:tcPr>
          <w:p w14:paraId="7B7BE6C9"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B51AC2C"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746F743" w14:textId="77777777" w:rsidR="00000000" w:rsidRDefault="0084716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2888B908" w14:textId="77777777" w:rsidR="00000000" w:rsidRDefault="00847163">
            <w:pPr>
              <w:ind w:left="114"/>
              <w:jc w:val="right"/>
              <w:rPr>
                <w:rFonts w:eastAsia="Times New Roman"/>
                <w:sz w:val="20"/>
                <w:szCs w:val="20"/>
              </w:rPr>
            </w:pPr>
            <w:r>
              <w:rPr>
                <w:rFonts w:eastAsia="Times New Roman"/>
                <w:sz w:val="20"/>
                <w:szCs w:val="20"/>
              </w:rPr>
              <w:t>151.7</w:t>
            </w:r>
          </w:p>
        </w:tc>
        <w:tc>
          <w:tcPr>
            <w:tcW w:w="50" w:type="pct"/>
            <w:shd w:val="clear" w:color="auto" w:fill="CCEEFF"/>
            <w:vAlign w:val="bottom"/>
            <w:hideMark/>
          </w:tcPr>
          <w:p w14:paraId="202F2CC5" w14:textId="77777777" w:rsidR="00000000" w:rsidRDefault="00847163">
            <w:pPr>
              <w:rPr>
                <w:rFonts w:eastAsia="Times New Roman"/>
                <w:sz w:val="20"/>
                <w:szCs w:val="20"/>
              </w:rPr>
            </w:pPr>
            <w:r>
              <w:rPr>
                <w:rFonts w:eastAsia="Times New Roman"/>
                <w:sz w:val="20"/>
                <w:szCs w:val="20"/>
              </w:rPr>
              <w:t> </w:t>
            </w:r>
          </w:p>
        </w:tc>
      </w:tr>
      <w:tr w:rsidR="00000000" w14:paraId="007D502E" w14:textId="77777777">
        <w:trPr>
          <w:tblCellSpacing w:w="0" w:type="dxa"/>
        </w:trPr>
        <w:tc>
          <w:tcPr>
            <w:tcW w:w="0" w:type="auto"/>
            <w:shd w:val="clear" w:color="auto" w:fill="FFFFFF"/>
            <w:vAlign w:val="bottom"/>
            <w:hideMark/>
          </w:tcPr>
          <w:p w14:paraId="29F65D74" w14:textId="77777777" w:rsidR="00000000" w:rsidRDefault="00847163">
            <w:pPr>
              <w:pStyle w:val="a3"/>
              <w:spacing w:before="0" w:beforeAutospacing="0" w:after="0" w:afterAutospacing="0"/>
              <w:rPr>
                <w:sz w:val="20"/>
                <w:szCs w:val="20"/>
              </w:rPr>
            </w:pPr>
            <w:r>
              <w:rPr>
                <w:sz w:val="20"/>
                <w:szCs w:val="20"/>
              </w:rPr>
              <w:t>Other Joint Venture Programs</w:t>
            </w:r>
          </w:p>
        </w:tc>
        <w:tc>
          <w:tcPr>
            <w:tcW w:w="0" w:type="auto"/>
            <w:shd w:val="clear" w:color="auto" w:fill="FFFFFF"/>
            <w:tcMar>
              <w:top w:w="0" w:type="dxa"/>
              <w:left w:w="0" w:type="dxa"/>
              <w:bottom w:w="15" w:type="dxa"/>
              <w:right w:w="0" w:type="dxa"/>
            </w:tcMar>
            <w:vAlign w:val="bottom"/>
            <w:hideMark/>
          </w:tcPr>
          <w:p w14:paraId="6B6C038E"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9D14550" w14:textId="77777777" w:rsidR="00000000" w:rsidRDefault="00847163">
            <w:pPr>
              <w:pStyle w:val="a3"/>
              <w:spacing w:before="0" w:beforeAutospacing="0" w:after="0" w:afterAutospacing="0"/>
              <w:ind w:left="228" w:hanging="114"/>
              <w:jc w:val="center"/>
              <w:rPr>
                <w:sz w:val="20"/>
                <w:szCs w:val="20"/>
              </w:rPr>
            </w:pPr>
            <w:r>
              <w:rPr>
                <w:rStyle w:val="a6"/>
                <w:sz w:val="20"/>
                <w:szCs w:val="20"/>
              </w:rPr>
              <w:t>Various</w:t>
            </w:r>
          </w:p>
        </w:tc>
        <w:tc>
          <w:tcPr>
            <w:tcW w:w="0" w:type="auto"/>
            <w:shd w:val="clear" w:color="auto" w:fill="FFFFFF"/>
            <w:tcMar>
              <w:top w:w="0" w:type="dxa"/>
              <w:left w:w="0" w:type="dxa"/>
              <w:bottom w:w="15" w:type="dxa"/>
              <w:right w:w="0" w:type="dxa"/>
            </w:tcMar>
            <w:vAlign w:val="bottom"/>
            <w:hideMark/>
          </w:tcPr>
          <w:p w14:paraId="5C5CE919"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14:paraId="73675885" w14:textId="77777777" w:rsidR="00000000" w:rsidRDefault="0084716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5EBBCA7E" w14:textId="77777777" w:rsidR="00000000" w:rsidRDefault="00847163">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65543E6E" w14:textId="77777777" w:rsidR="00000000" w:rsidRDefault="00847163">
            <w:pPr>
              <w:ind w:left="114"/>
              <w:jc w:val="right"/>
              <w:rPr>
                <w:rFonts w:eastAsia="Times New Roman"/>
                <w:sz w:val="20"/>
                <w:szCs w:val="20"/>
              </w:rPr>
            </w:pPr>
            <w:r>
              <w:rPr>
                <w:rFonts w:eastAsia="Times New Roman"/>
                <w:sz w:val="20"/>
                <w:szCs w:val="20"/>
              </w:rPr>
              <w:t>81.7</w:t>
            </w:r>
          </w:p>
        </w:tc>
        <w:tc>
          <w:tcPr>
            <w:tcW w:w="50" w:type="pct"/>
            <w:shd w:val="clear" w:color="auto" w:fill="FFFFFF"/>
            <w:tcMar>
              <w:top w:w="0" w:type="dxa"/>
              <w:left w:w="0" w:type="dxa"/>
              <w:bottom w:w="15" w:type="dxa"/>
              <w:right w:w="0" w:type="dxa"/>
            </w:tcMar>
            <w:vAlign w:val="bottom"/>
            <w:hideMark/>
          </w:tcPr>
          <w:p w14:paraId="6BEBE90F"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14:paraId="5458E241" w14:textId="77777777" w:rsidR="00000000" w:rsidRDefault="0084716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70ECB08D" w14:textId="77777777" w:rsidR="00000000" w:rsidRDefault="00847163">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433E025D" w14:textId="77777777" w:rsidR="00000000" w:rsidRDefault="00847163">
            <w:pPr>
              <w:ind w:left="114"/>
              <w:jc w:val="right"/>
              <w:rPr>
                <w:rFonts w:eastAsia="Times New Roman"/>
                <w:sz w:val="20"/>
                <w:szCs w:val="20"/>
              </w:rPr>
            </w:pPr>
            <w:r>
              <w:rPr>
                <w:rFonts w:eastAsia="Times New Roman"/>
                <w:sz w:val="20"/>
                <w:szCs w:val="20"/>
              </w:rPr>
              <w:t>81.9</w:t>
            </w:r>
          </w:p>
        </w:tc>
        <w:tc>
          <w:tcPr>
            <w:tcW w:w="50" w:type="pct"/>
            <w:shd w:val="clear" w:color="auto" w:fill="FFFFFF"/>
            <w:tcMar>
              <w:top w:w="0" w:type="dxa"/>
              <w:left w:w="0" w:type="dxa"/>
              <w:bottom w:w="15" w:type="dxa"/>
              <w:right w:w="0" w:type="dxa"/>
            </w:tcMar>
            <w:vAlign w:val="bottom"/>
            <w:hideMark/>
          </w:tcPr>
          <w:p w14:paraId="3CED8E6A" w14:textId="77777777" w:rsidR="00000000" w:rsidRDefault="00847163">
            <w:pPr>
              <w:rPr>
                <w:rFonts w:eastAsia="Times New Roman"/>
                <w:sz w:val="20"/>
                <w:szCs w:val="20"/>
              </w:rPr>
            </w:pPr>
            <w:r>
              <w:rPr>
                <w:rFonts w:eastAsia="Times New Roman"/>
                <w:sz w:val="20"/>
                <w:szCs w:val="20"/>
              </w:rPr>
              <w:t> </w:t>
            </w:r>
          </w:p>
        </w:tc>
      </w:tr>
      <w:tr w:rsidR="00000000" w14:paraId="13EC11F4" w14:textId="77777777">
        <w:trPr>
          <w:tblCellSpacing w:w="0" w:type="dxa"/>
        </w:trPr>
        <w:tc>
          <w:tcPr>
            <w:tcW w:w="0" w:type="auto"/>
            <w:shd w:val="clear" w:color="auto" w:fill="CCEEFF"/>
            <w:vAlign w:val="bottom"/>
            <w:hideMark/>
          </w:tcPr>
          <w:p w14:paraId="627995C1" w14:textId="77777777" w:rsidR="00000000" w:rsidRDefault="00847163">
            <w:pPr>
              <w:pStyle w:val="a3"/>
              <w:spacing w:before="0" w:beforeAutospacing="0" w:after="0" w:afterAutospacing="0"/>
              <w:rPr>
                <w:sz w:val="20"/>
                <w:szCs w:val="20"/>
              </w:rPr>
            </w:pPr>
            <w:r>
              <w:rPr>
                <w:b/>
                <w:bCs/>
                <w:sz w:val="20"/>
                <w:szCs w:val="20"/>
              </w:rPr>
              <w:t>Total*</w:t>
            </w:r>
          </w:p>
        </w:tc>
        <w:tc>
          <w:tcPr>
            <w:tcW w:w="0" w:type="auto"/>
            <w:shd w:val="clear" w:color="auto" w:fill="CCEEFF"/>
            <w:vAlign w:val="bottom"/>
            <w:hideMark/>
          </w:tcPr>
          <w:p w14:paraId="6D72EAEC"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CAB54EB" w14:textId="77777777" w:rsidR="00000000" w:rsidRDefault="00847163">
            <w:pPr>
              <w:jc w:val="right"/>
              <w:rPr>
                <w:rFonts w:eastAsia="Times New Roman"/>
                <w:sz w:val="20"/>
                <w:szCs w:val="20"/>
              </w:rPr>
            </w:pPr>
            <w:r>
              <w:rPr>
                <w:rStyle w:val="a6"/>
                <w:rFonts w:eastAsia="Times New Roman"/>
                <w:b/>
                <w:bCs/>
                <w:sz w:val="20"/>
                <w:szCs w:val="20"/>
              </w:rPr>
              <w:t> </w:t>
            </w:r>
          </w:p>
        </w:tc>
        <w:tc>
          <w:tcPr>
            <w:tcW w:w="0" w:type="auto"/>
            <w:shd w:val="clear" w:color="auto" w:fill="CCEEFF"/>
            <w:tcMar>
              <w:top w:w="0" w:type="dxa"/>
              <w:left w:w="0" w:type="dxa"/>
              <w:bottom w:w="45" w:type="dxa"/>
              <w:right w:w="0" w:type="dxa"/>
            </w:tcMar>
            <w:vAlign w:val="bottom"/>
            <w:hideMark/>
          </w:tcPr>
          <w:p w14:paraId="03E5BEE0" w14:textId="77777777" w:rsidR="00000000" w:rsidRDefault="00847163">
            <w:pPr>
              <w:rPr>
                <w:rFonts w:eastAsia="Times New Roman"/>
                <w:sz w:val="20"/>
                <w:szCs w:val="20"/>
              </w:rPr>
            </w:pPr>
            <w:r>
              <w:rPr>
                <w:rFonts w:eastAsia="Times New Roman"/>
                <w:b/>
                <w:bCs/>
                <w:sz w:val="20"/>
                <w:szCs w:val="20"/>
              </w:rPr>
              <w:t> </w:t>
            </w:r>
          </w:p>
        </w:tc>
        <w:tc>
          <w:tcPr>
            <w:tcW w:w="50" w:type="pct"/>
            <w:shd w:val="clear" w:color="auto" w:fill="CCEEFF"/>
            <w:vAlign w:val="bottom"/>
            <w:hideMark/>
          </w:tcPr>
          <w:p w14:paraId="1FD84276" w14:textId="77777777" w:rsidR="00000000" w:rsidRDefault="0084716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467A6D5A" w14:textId="77777777" w:rsidR="00000000" w:rsidRDefault="00847163">
            <w:pPr>
              <w:ind w:left="114"/>
              <w:rPr>
                <w:rFonts w:eastAsia="Times New Roman"/>
                <w:sz w:val="20"/>
                <w:szCs w:val="20"/>
              </w:rPr>
            </w:pPr>
            <w:r>
              <w:rPr>
                <w:rFonts w:eastAsia="Times New Roman"/>
                <w:b/>
                <w:bCs/>
                <w:sz w:val="20"/>
                <w:szCs w:val="20"/>
              </w:rPr>
              <w:t>$</w:t>
            </w:r>
          </w:p>
        </w:tc>
        <w:tc>
          <w:tcPr>
            <w:tcW w:w="600" w:type="pct"/>
            <w:tcBorders>
              <w:bottom w:val="double" w:sz="6" w:space="0" w:color="000000"/>
            </w:tcBorders>
            <w:shd w:val="clear" w:color="auto" w:fill="CCEEFF"/>
            <w:vAlign w:val="bottom"/>
            <w:hideMark/>
          </w:tcPr>
          <w:p w14:paraId="61C1F048" w14:textId="77777777" w:rsidR="00000000" w:rsidRDefault="00847163">
            <w:pPr>
              <w:ind w:left="114"/>
              <w:jc w:val="right"/>
              <w:rPr>
                <w:rFonts w:eastAsia="Times New Roman"/>
                <w:sz w:val="20"/>
                <w:szCs w:val="20"/>
              </w:rPr>
            </w:pPr>
            <w:r>
              <w:rPr>
                <w:rFonts w:eastAsia="Times New Roman"/>
                <w:b/>
                <w:bCs/>
                <w:sz w:val="20"/>
                <w:szCs w:val="20"/>
              </w:rPr>
              <w:t>585.6</w:t>
            </w:r>
          </w:p>
        </w:tc>
        <w:tc>
          <w:tcPr>
            <w:tcW w:w="50" w:type="pct"/>
            <w:shd w:val="clear" w:color="auto" w:fill="CCEEFF"/>
            <w:tcMar>
              <w:top w:w="0" w:type="dxa"/>
              <w:left w:w="0" w:type="dxa"/>
              <w:bottom w:w="45" w:type="dxa"/>
              <w:right w:w="0" w:type="dxa"/>
            </w:tcMar>
            <w:vAlign w:val="bottom"/>
            <w:hideMark/>
          </w:tcPr>
          <w:p w14:paraId="682BEB25"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7E8E758" w14:textId="77777777" w:rsidR="00000000" w:rsidRDefault="0084716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3D00134E" w14:textId="77777777" w:rsidR="00000000" w:rsidRDefault="00847163">
            <w:pPr>
              <w:rPr>
                <w:rFonts w:eastAsia="Times New Roman"/>
                <w:sz w:val="20"/>
                <w:szCs w:val="20"/>
              </w:rPr>
            </w:pPr>
            <w:r>
              <w:rPr>
                <w:rFonts w:eastAsia="Times New Roman"/>
                <w:b/>
                <w:bCs/>
                <w:sz w:val="20"/>
                <w:szCs w:val="20"/>
              </w:rPr>
              <w:t>$</w:t>
            </w:r>
          </w:p>
        </w:tc>
        <w:tc>
          <w:tcPr>
            <w:tcW w:w="600" w:type="pct"/>
            <w:tcBorders>
              <w:bottom w:val="double" w:sz="6" w:space="0" w:color="000000"/>
            </w:tcBorders>
            <w:shd w:val="clear" w:color="auto" w:fill="CCEEFF"/>
            <w:vAlign w:val="bottom"/>
            <w:hideMark/>
          </w:tcPr>
          <w:p w14:paraId="46F16663" w14:textId="77777777" w:rsidR="00000000" w:rsidRDefault="00847163">
            <w:pPr>
              <w:jc w:val="right"/>
              <w:rPr>
                <w:rFonts w:eastAsia="Times New Roman"/>
                <w:sz w:val="20"/>
                <w:szCs w:val="20"/>
              </w:rPr>
            </w:pPr>
            <w:r>
              <w:rPr>
                <w:rFonts w:eastAsia="Times New Roman"/>
                <w:b/>
                <w:bCs/>
                <w:sz w:val="20"/>
                <w:szCs w:val="20"/>
              </w:rPr>
              <w:t>578.1</w:t>
            </w:r>
          </w:p>
        </w:tc>
        <w:tc>
          <w:tcPr>
            <w:tcW w:w="50" w:type="pct"/>
            <w:shd w:val="clear" w:color="auto" w:fill="CCEEFF"/>
            <w:tcMar>
              <w:top w:w="0" w:type="dxa"/>
              <w:left w:w="0" w:type="dxa"/>
              <w:bottom w:w="45" w:type="dxa"/>
              <w:right w:w="0" w:type="dxa"/>
            </w:tcMar>
            <w:vAlign w:val="bottom"/>
            <w:hideMark/>
          </w:tcPr>
          <w:p w14:paraId="35F1AFA5" w14:textId="77777777" w:rsidR="00000000" w:rsidRDefault="00847163">
            <w:pPr>
              <w:rPr>
                <w:rFonts w:eastAsia="Times New Roman"/>
                <w:sz w:val="20"/>
                <w:szCs w:val="20"/>
              </w:rPr>
            </w:pPr>
            <w:r>
              <w:rPr>
                <w:rFonts w:eastAsia="Times New Roman"/>
                <w:sz w:val="20"/>
                <w:szCs w:val="20"/>
              </w:rPr>
              <w:t> </w:t>
            </w:r>
          </w:p>
        </w:tc>
      </w:tr>
    </w:tbl>
    <w:p w14:paraId="62797C47" w14:textId="77777777" w:rsidR="00000000" w:rsidRDefault="00847163">
      <w:pPr>
        <w:pStyle w:val="a3"/>
        <w:spacing w:before="0" w:beforeAutospacing="0" w:after="0" w:afterAutospacing="0"/>
        <w:jc w:val="both"/>
        <w:rPr>
          <w:sz w:val="20"/>
          <w:szCs w:val="20"/>
        </w:rPr>
      </w:pPr>
      <w:r>
        <w:rPr>
          <w:sz w:val="20"/>
          <w:szCs w:val="20"/>
        </w:rPr>
        <w:t> </w:t>
      </w:r>
    </w:p>
    <w:p w14:paraId="69A1AA4C" w14:textId="77777777" w:rsidR="00000000" w:rsidRDefault="00847163">
      <w:pPr>
        <w:pStyle w:val="a3"/>
        <w:spacing w:before="0" w:beforeAutospacing="0" w:after="0" w:afterAutospacing="0"/>
        <w:ind w:left="360" w:hanging="180"/>
        <w:jc w:val="both"/>
        <w:rPr>
          <w:sz w:val="20"/>
          <w:szCs w:val="20"/>
        </w:rPr>
      </w:pPr>
      <w:r>
        <w:rPr>
          <w:sz w:val="20"/>
          <w:szCs w:val="20"/>
        </w:rPr>
        <w:t xml:space="preserve">* Representing 98 property interests and 21.3 </w:t>
      </w:r>
      <w:r>
        <w:rPr>
          <w:sz w:val="20"/>
          <w:szCs w:val="20"/>
        </w:rPr>
        <w:t xml:space="preserve">million square feet of GLA, as of both </w:t>
      </w:r>
      <w:r>
        <w:rPr>
          <w:rStyle w:val="a6"/>
          <w:sz w:val="20"/>
          <w:szCs w:val="20"/>
        </w:rPr>
        <w:t xml:space="preserve">March 31, 2020 </w:t>
      </w:r>
      <w:r>
        <w:rPr>
          <w:sz w:val="20"/>
          <w:szCs w:val="20"/>
        </w:rPr>
        <w:t xml:space="preserve">and </w:t>
      </w:r>
      <w:r>
        <w:rPr>
          <w:rStyle w:val="a6"/>
          <w:sz w:val="20"/>
          <w:szCs w:val="20"/>
        </w:rPr>
        <w:t>December 31, 2019.</w:t>
      </w:r>
    </w:p>
    <w:p w14:paraId="7A0F2522" w14:textId="77777777" w:rsidR="00000000" w:rsidRDefault="00847163">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5AC786B5" w14:textId="77777777">
        <w:trPr>
          <w:tblCellSpacing w:w="0" w:type="dxa"/>
        </w:trPr>
        <w:tc>
          <w:tcPr>
            <w:tcW w:w="360" w:type="dxa"/>
            <w:hideMark/>
          </w:tcPr>
          <w:p w14:paraId="32108F66" w14:textId="77777777" w:rsidR="00000000" w:rsidRDefault="00847163">
            <w:pPr>
              <w:pStyle w:val="a3"/>
              <w:spacing w:before="0" w:beforeAutospacing="0" w:after="0" w:afterAutospacing="0"/>
              <w:jc w:val="both"/>
              <w:rPr>
                <w:sz w:val="20"/>
                <w:szCs w:val="20"/>
              </w:rPr>
            </w:pPr>
            <w:r>
              <w:rPr>
                <w:sz w:val="20"/>
                <w:szCs w:val="20"/>
              </w:rPr>
              <w:t>(</w:t>
            </w:r>
            <w:r>
              <w:rPr>
                <w:rStyle w:val="a6"/>
                <w:sz w:val="20"/>
                <w:szCs w:val="20"/>
              </w:rPr>
              <w:t>1</w:t>
            </w:r>
            <w:r>
              <w:rPr>
                <w:sz w:val="20"/>
                <w:szCs w:val="20"/>
              </w:rPr>
              <w:t>)</w:t>
            </w:r>
          </w:p>
        </w:tc>
        <w:tc>
          <w:tcPr>
            <w:tcW w:w="0" w:type="auto"/>
            <w:hideMark/>
          </w:tcPr>
          <w:p w14:paraId="405A143F" w14:textId="77777777" w:rsidR="00000000" w:rsidRDefault="00847163">
            <w:pPr>
              <w:pStyle w:val="a3"/>
              <w:spacing w:before="0" w:beforeAutospacing="0" w:after="0" w:afterAutospacing="0"/>
              <w:jc w:val="both"/>
              <w:rPr>
                <w:sz w:val="20"/>
                <w:szCs w:val="20"/>
              </w:rPr>
            </w:pPr>
            <w:r>
              <w:rPr>
                <w:sz w:val="20"/>
                <w:szCs w:val="20"/>
              </w:rPr>
              <w:t>The Company manages these joint venture investments and, where applicable, earns property management fees, construction management fees, property acquisition and disposition</w:t>
            </w:r>
            <w:r>
              <w:rPr>
                <w:sz w:val="20"/>
                <w:szCs w:val="20"/>
              </w:rPr>
              <w:t xml:space="preserve"> fees, leasing management fees and asset management fees.</w:t>
            </w:r>
          </w:p>
        </w:tc>
      </w:tr>
    </w:tbl>
    <w:p w14:paraId="3387B515" w14:textId="77777777" w:rsidR="00000000" w:rsidRDefault="00847163">
      <w:pPr>
        <w:pStyle w:val="a3"/>
        <w:spacing w:before="0" w:beforeAutospacing="0" w:after="0" w:afterAutospacing="0"/>
        <w:jc w:val="both"/>
        <w:rPr>
          <w:sz w:val="20"/>
          <w:szCs w:val="20"/>
        </w:rPr>
      </w:pPr>
      <w:r>
        <w:rPr>
          <w:sz w:val="20"/>
          <w:szCs w:val="20"/>
        </w:rPr>
        <w:t> </w:t>
      </w:r>
    </w:p>
    <w:p w14:paraId="783AAC9C" w14:textId="77777777" w:rsidR="00000000" w:rsidRDefault="00847163">
      <w:pPr>
        <w:pStyle w:val="a3"/>
        <w:spacing w:before="0" w:beforeAutospacing="0" w:after="0" w:afterAutospacing="0"/>
        <w:ind w:firstLine="360"/>
        <w:jc w:val="both"/>
        <w:rPr>
          <w:sz w:val="20"/>
          <w:szCs w:val="20"/>
        </w:rPr>
      </w:pPr>
      <w:r>
        <w:rPr>
          <w:sz w:val="20"/>
          <w:szCs w:val="20"/>
        </w:rPr>
        <w:t>The table below presents the Company’</w:t>
      </w:r>
      <w:r>
        <w:rPr>
          <w:sz w:val="20"/>
          <w:szCs w:val="20"/>
        </w:rPr>
        <w:t xml:space="preserve">s share of net income for the above investments which is included in Equity in income of joint ventures, net on the Company’s Condensed Consolidated Statements of Income for the </w:t>
      </w:r>
      <w:r>
        <w:rPr>
          <w:rStyle w:val="a6"/>
          <w:sz w:val="20"/>
          <w:szCs w:val="20"/>
        </w:rPr>
        <w:t>three</w:t>
      </w:r>
      <w:r>
        <w:rPr>
          <w:sz w:val="20"/>
          <w:szCs w:val="20"/>
        </w:rPr>
        <w:t xml:space="preserve"> months ended </w:t>
      </w:r>
      <w:r>
        <w:rPr>
          <w:rStyle w:val="a6"/>
          <w:sz w:val="20"/>
          <w:szCs w:val="20"/>
        </w:rPr>
        <w:t xml:space="preserve">March 31, 2020 </w:t>
      </w:r>
      <w:r>
        <w:rPr>
          <w:sz w:val="20"/>
          <w:szCs w:val="20"/>
        </w:rPr>
        <w:t xml:space="preserve">and </w:t>
      </w:r>
      <w:r>
        <w:rPr>
          <w:rStyle w:val="a6"/>
          <w:sz w:val="20"/>
          <w:szCs w:val="20"/>
        </w:rPr>
        <w:t>2019</w:t>
      </w:r>
      <w:r>
        <w:rPr>
          <w:sz w:val="20"/>
          <w:szCs w:val="20"/>
        </w:rPr>
        <w:t xml:space="preserve"> (in millions):</w:t>
      </w:r>
    </w:p>
    <w:p w14:paraId="7DFCCF89" w14:textId="77777777" w:rsidR="00000000" w:rsidRDefault="00847163">
      <w:pPr>
        <w:pStyle w:val="a3"/>
        <w:spacing w:before="0" w:beforeAutospacing="0" w:after="0" w:afterAutospacing="0"/>
        <w:ind w:firstLine="360"/>
        <w:jc w:val="both"/>
        <w:rPr>
          <w:sz w:val="20"/>
          <w:szCs w:val="20"/>
        </w:rPr>
      </w:pPr>
      <w:r>
        <w:rPr>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4110"/>
        <w:gridCol w:w="56"/>
        <w:gridCol w:w="100"/>
        <w:gridCol w:w="1054"/>
        <w:gridCol w:w="57"/>
        <w:gridCol w:w="57"/>
        <w:gridCol w:w="100"/>
        <w:gridCol w:w="1054"/>
        <w:gridCol w:w="57"/>
      </w:tblGrid>
      <w:tr w:rsidR="00000000" w14:paraId="67F418E7" w14:textId="77777777">
        <w:trPr>
          <w:tblCellSpacing w:w="0" w:type="dxa"/>
        </w:trPr>
        <w:tc>
          <w:tcPr>
            <w:tcW w:w="0" w:type="auto"/>
            <w:vAlign w:val="bottom"/>
            <w:hideMark/>
          </w:tcPr>
          <w:p w14:paraId="66B2A624" w14:textId="77777777" w:rsidR="00000000" w:rsidRDefault="00847163">
            <w:pPr>
              <w:rPr>
                <w:rFonts w:eastAsia="Times New Roman"/>
                <w:sz w:val="20"/>
                <w:szCs w:val="20"/>
              </w:rPr>
            </w:pPr>
            <w:r>
              <w:rPr>
                <w:rFonts w:eastAsia="Times New Roman"/>
                <w:sz w:val="20"/>
                <w:szCs w:val="20"/>
              </w:rPr>
              <w:t> </w:t>
            </w:r>
          </w:p>
        </w:tc>
        <w:tc>
          <w:tcPr>
            <w:tcW w:w="0" w:type="auto"/>
            <w:tcMar>
              <w:top w:w="0" w:type="dxa"/>
              <w:left w:w="0" w:type="dxa"/>
              <w:bottom w:w="15" w:type="dxa"/>
              <w:right w:w="0" w:type="dxa"/>
            </w:tcMar>
            <w:vAlign w:val="bottom"/>
            <w:hideMark/>
          </w:tcPr>
          <w:p w14:paraId="6E9C9827" w14:textId="77777777" w:rsidR="00000000" w:rsidRDefault="00847163">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14:paraId="088611A6" w14:textId="77777777" w:rsidR="00000000" w:rsidRDefault="00847163">
            <w:pPr>
              <w:pStyle w:val="a3"/>
              <w:spacing w:before="0" w:beforeAutospacing="0" w:after="0" w:afterAutospacing="0"/>
              <w:jc w:val="center"/>
              <w:rPr>
                <w:sz w:val="20"/>
                <w:szCs w:val="20"/>
              </w:rPr>
            </w:pPr>
            <w:r>
              <w:rPr>
                <w:b/>
                <w:bCs/>
                <w:sz w:val="20"/>
                <w:szCs w:val="20"/>
              </w:rPr>
              <w:t>Three Months E</w:t>
            </w:r>
            <w:r>
              <w:rPr>
                <w:b/>
                <w:bCs/>
                <w:sz w:val="20"/>
                <w:szCs w:val="20"/>
              </w:rPr>
              <w:t xml:space="preserve">nded </w:t>
            </w:r>
          </w:p>
          <w:p w14:paraId="1A5FBBFD" w14:textId="77777777" w:rsidR="00000000" w:rsidRDefault="00847163">
            <w:pPr>
              <w:pStyle w:val="a3"/>
              <w:spacing w:before="0" w:beforeAutospacing="0" w:after="0" w:afterAutospacing="0"/>
              <w:jc w:val="center"/>
              <w:rPr>
                <w:sz w:val="20"/>
                <w:szCs w:val="20"/>
              </w:rPr>
            </w:pPr>
            <w:r>
              <w:rPr>
                <w:b/>
                <w:bCs/>
                <w:sz w:val="20"/>
                <w:szCs w:val="20"/>
              </w:rPr>
              <w:t>March 31,</w:t>
            </w:r>
          </w:p>
        </w:tc>
        <w:tc>
          <w:tcPr>
            <w:tcW w:w="0" w:type="auto"/>
            <w:tcMar>
              <w:top w:w="0" w:type="dxa"/>
              <w:left w:w="0" w:type="dxa"/>
              <w:bottom w:w="15" w:type="dxa"/>
              <w:right w:w="0" w:type="dxa"/>
            </w:tcMar>
            <w:vAlign w:val="bottom"/>
            <w:hideMark/>
          </w:tcPr>
          <w:p w14:paraId="65BB929A" w14:textId="77777777" w:rsidR="00000000" w:rsidRDefault="00847163">
            <w:pPr>
              <w:rPr>
                <w:rFonts w:eastAsia="Times New Roman"/>
                <w:sz w:val="20"/>
                <w:szCs w:val="20"/>
              </w:rPr>
            </w:pPr>
            <w:r>
              <w:rPr>
                <w:rFonts w:eastAsia="Times New Roman"/>
                <w:sz w:val="20"/>
                <w:szCs w:val="20"/>
              </w:rPr>
              <w:t> </w:t>
            </w:r>
          </w:p>
        </w:tc>
      </w:tr>
      <w:tr w:rsidR="00000000" w14:paraId="33D0F4A0" w14:textId="77777777">
        <w:trPr>
          <w:tblCellSpacing w:w="0" w:type="dxa"/>
        </w:trPr>
        <w:tc>
          <w:tcPr>
            <w:tcW w:w="3100" w:type="pct"/>
            <w:tcBorders>
              <w:bottom w:val="single" w:sz="6" w:space="0" w:color="000000"/>
            </w:tcBorders>
            <w:vAlign w:val="bottom"/>
            <w:hideMark/>
          </w:tcPr>
          <w:p w14:paraId="1A6C3288" w14:textId="77777777" w:rsidR="00000000" w:rsidRDefault="00847163">
            <w:pPr>
              <w:pStyle w:val="a3"/>
              <w:spacing w:before="0" w:beforeAutospacing="0" w:after="0" w:afterAutospacing="0"/>
              <w:rPr>
                <w:sz w:val="20"/>
                <w:szCs w:val="20"/>
              </w:rPr>
            </w:pPr>
            <w:r>
              <w:rPr>
                <w:b/>
                <w:bCs/>
                <w:sz w:val="20"/>
                <w:szCs w:val="20"/>
              </w:rPr>
              <w:t>Joint Venture</w:t>
            </w:r>
          </w:p>
        </w:tc>
        <w:tc>
          <w:tcPr>
            <w:tcW w:w="0" w:type="auto"/>
            <w:vAlign w:val="bottom"/>
            <w:hideMark/>
          </w:tcPr>
          <w:p w14:paraId="43DB525D" w14:textId="77777777" w:rsidR="00000000" w:rsidRDefault="0084716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4FF39426" w14:textId="77777777" w:rsidR="00000000" w:rsidRDefault="00847163">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14:paraId="4E8751E4"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385D7ABC" w14:textId="77777777" w:rsidR="00000000" w:rsidRDefault="0084716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753A4F24" w14:textId="77777777" w:rsidR="00000000" w:rsidRDefault="00847163">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58FB17E8" w14:textId="77777777" w:rsidR="00000000" w:rsidRDefault="00847163">
            <w:pPr>
              <w:rPr>
                <w:rFonts w:eastAsia="Times New Roman"/>
                <w:sz w:val="20"/>
                <w:szCs w:val="20"/>
              </w:rPr>
            </w:pPr>
            <w:r>
              <w:rPr>
                <w:rFonts w:eastAsia="Times New Roman"/>
                <w:sz w:val="20"/>
                <w:szCs w:val="20"/>
              </w:rPr>
              <w:t> </w:t>
            </w:r>
          </w:p>
        </w:tc>
      </w:tr>
      <w:tr w:rsidR="00000000" w14:paraId="26A1C677" w14:textId="77777777">
        <w:trPr>
          <w:tblCellSpacing w:w="0" w:type="dxa"/>
        </w:trPr>
        <w:tc>
          <w:tcPr>
            <w:tcW w:w="0" w:type="auto"/>
            <w:shd w:val="clear" w:color="auto" w:fill="CCEEFF"/>
            <w:vAlign w:val="bottom"/>
            <w:hideMark/>
          </w:tcPr>
          <w:p w14:paraId="724573B1" w14:textId="77777777" w:rsidR="00000000" w:rsidRDefault="00847163">
            <w:pPr>
              <w:pStyle w:val="a3"/>
              <w:spacing w:before="0" w:beforeAutospacing="0" w:after="0" w:afterAutospacing="0"/>
              <w:rPr>
                <w:sz w:val="20"/>
                <w:szCs w:val="20"/>
              </w:rPr>
            </w:pPr>
            <w:r>
              <w:rPr>
                <w:sz w:val="20"/>
                <w:szCs w:val="20"/>
              </w:rPr>
              <w:t>Prudential Investment Program</w:t>
            </w:r>
          </w:p>
        </w:tc>
        <w:tc>
          <w:tcPr>
            <w:tcW w:w="50" w:type="pct"/>
            <w:shd w:val="clear" w:color="auto" w:fill="CCEEFF"/>
            <w:vAlign w:val="bottom"/>
            <w:hideMark/>
          </w:tcPr>
          <w:p w14:paraId="6D7437C5"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E8C851E" w14:textId="77777777" w:rsidR="00000000" w:rsidRDefault="00847163">
            <w:pPr>
              <w:rPr>
                <w:rFonts w:eastAsia="Times New Roman"/>
                <w:sz w:val="20"/>
                <w:szCs w:val="20"/>
              </w:rPr>
            </w:pPr>
            <w:r>
              <w:rPr>
                <w:rFonts w:eastAsia="Times New Roman"/>
                <w:sz w:val="20"/>
                <w:szCs w:val="20"/>
              </w:rPr>
              <w:t>$</w:t>
            </w:r>
          </w:p>
        </w:tc>
        <w:tc>
          <w:tcPr>
            <w:tcW w:w="800" w:type="pct"/>
            <w:shd w:val="clear" w:color="auto" w:fill="CCEEFF"/>
            <w:vAlign w:val="bottom"/>
            <w:hideMark/>
          </w:tcPr>
          <w:p w14:paraId="0FDB8FD1" w14:textId="77777777" w:rsidR="00000000" w:rsidRDefault="00847163">
            <w:pPr>
              <w:jc w:val="right"/>
              <w:rPr>
                <w:rFonts w:eastAsia="Times New Roman"/>
                <w:sz w:val="20"/>
                <w:szCs w:val="20"/>
              </w:rPr>
            </w:pPr>
            <w:r>
              <w:rPr>
                <w:rFonts w:eastAsia="Times New Roman"/>
                <w:sz w:val="20"/>
                <w:szCs w:val="20"/>
              </w:rPr>
              <w:t>2.6</w:t>
            </w:r>
          </w:p>
        </w:tc>
        <w:tc>
          <w:tcPr>
            <w:tcW w:w="50" w:type="pct"/>
            <w:shd w:val="clear" w:color="auto" w:fill="CCEEFF"/>
            <w:vAlign w:val="bottom"/>
            <w:hideMark/>
          </w:tcPr>
          <w:p w14:paraId="7528F613"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F753D19"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FB5CE36" w14:textId="77777777" w:rsidR="00000000" w:rsidRDefault="00847163">
            <w:pPr>
              <w:rPr>
                <w:rFonts w:eastAsia="Times New Roman"/>
                <w:sz w:val="20"/>
                <w:szCs w:val="20"/>
              </w:rPr>
            </w:pPr>
            <w:r>
              <w:rPr>
                <w:rFonts w:eastAsia="Times New Roman"/>
                <w:sz w:val="20"/>
                <w:szCs w:val="20"/>
              </w:rPr>
              <w:t>$</w:t>
            </w:r>
          </w:p>
        </w:tc>
        <w:tc>
          <w:tcPr>
            <w:tcW w:w="800" w:type="pct"/>
            <w:shd w:val="clear" w:color="auto" w:fill="CCEEFF"/>
            <w:vAlign w:val="bottom"/>
            <w:hideMark/>
          </w:tcPr>
          <w:p w14:paraId="4CB4B732" w14:textId="77777777" w:rsidR="00000000" w:rsidRDefault="00847163">
            <w:pPr>
              <w:jc w:val="right"/>
              <w:rPr>
                <w:rFonts w:eastAsia="Times New Roman"/>
                <w:sz w:val="20"/>
                <w:szCs w:val="20"/>
              </w:rPr>
            </w:pPr>
            <w:r>
              <w:rPr>
                <w:rFonts w:eastAsia="Times New Roman"/>
                <w:sz w:val="20"/>
                <w:szCs w:val="20"/>
              </w:rPr>
              <w:t>2.9</w:t>
            </w:r>
          </w:p>
        </w:tc>
        <w:tc>
          <w:tcPr>
            <w:tcW w:w="50" w:type="pct"/>
            <w:shd w:val="clear" w:color="auto" w:fill="CCEEFF"/>
            <w:vAlign w:val="bottom"/>
            <w:hideMark/>
          </w:tcPr>
          <w:p w14:paraId="4BE4E13D" w14:textId="77777777" w:rsidR="00000000" w:rsidRDefault="00847163">
            <w:pPr>
              <w:rPr>
                <w:rFonts w:eastAsia="Times New Roman"/>
                <w:sz w:val="20"/>
                <w:szCs w:val="20"/>
              </w:rPr>
            </w:pPr>
            <w:r>
              <w:rPr>
                <w:rFonts w:eastAsia="Times New Roman"/>
                <w:sz w:val="20"/>
                <w:szCs w:val="20"/>
              </w:rPr>
              <w:t> </w:t>
            </w:r>
          </w:p>
        </w:tc>
      </w:tr>
      <w:tr w:rsidR="00000000" w14:paraId="06CBC3B7" w14:textId="77777777">
        <w:trPr>
          <w:tblCellSpacing w:w="0" w:type="dxa"/>
        </w:trPr>
        <w:tc>
          <w:tcPr>
            <w:tcW w:w="0" w:type="auto"/>
            <w:shd w:val="clear" w:color="auto" w:fill="FFFFFF"/>
            <w:vAlign w:val="bottom"/>
            <w:hideMark/>
          </w:tcPr>
          <w:p w14:paraId="27478CE3" w14:textId="77777777" w:rsidR="00000000" w:rsidRDefault="00847163">
            <w:pPr>
              <w:pStyle w:val="a3"/>
              <w:spacing w:before="0" w:beforeAutospacing="0" w:after="0" w:afterAutospacing="0"/>
              <w:rPr>
                <w:sz w:val="20"/>
                <w:szCs w:val="20"/>
              </w:rPr>
            </w:pPr>
            <w:r>
              <w:rPr>
                <w:sz w:val="20"/>
                <w:szCs w:val="20"/>
              </w:rPr>
              <w:t>KIR</w:t>
            </w:r>
          </w:p>
        </w:tc>
        <w:tc>
          <w:tcPr>
            <w:tcW w:w="50" w:type="pct"/>
            <w:shd w:val="clear" w:color="auto" w:fill="FFFFFF"/>
            <w:vAlign w:val="bottom"/>
            <w:hideMark/>
          </w:tcPr>
          <w:p w14:paraId="7EF4A924"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B09D1A1" w14:textId="77777777" w:rsidR="00000000" w:rsidRDefault="00847163">
            <w:pPr>
              <w:rPr>
                <w:rFonts w:eastAsia="Times New Roman"/>
                <w:sz w:val="20"/>
                <w:szCs w:val="20"/>
              </w:rPr>
            </w:pPr>
            <w:r>
              <w:rPr>
                <w:rFonts w:eastAsia="Times New Roman"/>
                <w:sz w:val="20"/>
                <w:szCs w:val="20"/>
              </w:rPr>
              <w:t> </w:t>
            </w:r>
          </w:p>
        </w:tc>
        <w:tc>
          <w:tcPr>
            <w:tcW w:w="800" w:type="pct"/>
            <w:shd w:val="clear" w:color="auto" w:fill="FFFFFF"/>
            <w:vAlign w:val="bottom"/>
            <w:hideMark/>
          </w:tcPr>
          <w:p w14:paraId="12BBB13B" w14:textId="77777777" w:rsidR="00000000" w:rsidRDefault="00847163">
            <w:pPr>
              <w:jc w:val="right"/>
              <w:rPr>
                <w:rFonts w:eastAsia="Times New Roman"/>
                <w:sz w:val="20"/>
                <w:szCs w:val="20"/>
              </w:rPr>
            </w:pPr>
            <w:r>
              <w:rPr>
                <w:rFonts w:eastAsia="Times New Roman"/>
                <w:sz w:val="20"/>
                <w:szCs w:val="20"/>
              </w:rPr>
              <w:t>9.8</w:t>
            </w:r>
          </w:p>
        </w:tc>
        <w:tc>
          <w:tcPr>
            <w:tcW w:w="50" w:type="pct"/>
            <w:shd w:val="clear" w:color="auto" w:fill="FFFFFF"/>
            <w:vAlign w:val="bottom"/>
            <w:hideMark/>
          </w:tcPr>
          <w:p w14:paraId="458AF090"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E3B8CC4"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D942DD8" w14:textId="77777777" w:rsidR="00000000" w:rsidRDefault="00847163">
            <w:pPr>
              <w:rPr>
                <w:rFonts w:eastAsia="Times New Roman"/>
                <w:sz w:val="20"/>
                <w:szCs w:val="20"/>
              </w:rPr>
            </w:pPr>
            <w:r>
              <w:rPr>
                <w:rFonts w:eastAsia="Times New Roman"/>
                <w:sz w:val="20"/>
                <w:szCs w:val="20"/>
              </w:rPr>
              <w:t> </w:t>
            </w:r>
          </w:p>
        </w:tc>
        <w:tc>
          <w:tcPr>
            <w:tcW w:w="800" w:type="pct"/>
            <w:shd w:val="clear" w:color="auto" w:fill="FFFFFF"/>
            <w:vAlign w:val="bottom"/>
            <w:hideMark/>
          </w:tcPr>
          <w:p w14:paraId="48AF8E03" w14:textId="77777777" w:rsidR="00000000" w:rsidRDefault="00847163">
            <w:pPr>
              <w:jc w:val="right"/>
              <w:rPr>
                <w:rFonts w:eastAsia="Times New Roman"/>
                <w:sz w:val="20"/>
                <w:szCs w:val="20"/>
              </w:rPr>
            </w:pPr>
            <w:r>
              <w:rPr>
                <w:rFonts w:eastAsia="Times New Roman"/>
                <w:sz w:val="20"/>
                <w:szCs w:val="20"/>
              </w:rPr>
              <w:t>14.5</w:t>
            </w:r>
          </w:p>
        </w:tc>
        <w:tc>
          <w:tcPr>
            <w:tcW w:w="50" w:type="pct"/>
            <w:shd w:val="clear" w:color="auto" w:fill="FFFFFF"/>
            <w:vAlign w:val="bottom"/>
            <w:hideMark/>
          </w:tcPr>
          <w:p w14:paraId="11E7DB11" w14:textId="77777777" w:rsidR="00000000" w:rsidRDefault="00847163">
            <w:pPr>
              <w:rPr>
                <w:rFonts w:eastAsia="Times New Roman"/>
                <w:sz w:val="20"/>
                <w:szCs w:val="20"/>
              </w:rPr>
            </w:pPr>
            <w:r>
              <w:rPr>
                <w:rFonts w:eastAsia="Times New Roman"/>
                <w:sz w:val="20"/>
                <w:szCs w:val="20"/>
              </w:rPr>
              <w:t> </w:t>
            </w:r>
          </w:p>
        </w:tc>
      </w:tr>
      <w:tr w:rsidR="00000000" w14:paraId="1CAED216" w14:textId="77777777">
        <w:trPr>
          <w:tblCellSpacing w:w="0" w:type="dxa"/>
        </w:trPr>
        <w:tc>
          <w:tcPr>
            <w:tcW w:w="0" w:type="auto"/>
            <w:shd w:val="clear" w:color="auto" w:fill="CCEEFF"/>
            <w:vAlign w:val="bottom"/>
            <w:hideMark/>
          </w:tcPr>
          <w:p w14:paraId="52200138" w14:textId="77777777" w:rsidR="00000000" w:rsidRDefault="00847163">
            <w:pPr>
              <w:pStyle w:val="a3"/>
              <w:spacing w:before="0" w:beforeAutospacing="0" w:after="0" w:afterAutospacing="0"/>
              <w:rPr>
                <w:sz w:val="20"/>
                <w:szCs w:val="20"/>
              </w:rPr>
            </w:pPr>
            <w:r>
              <w:rPr>
                <w:sz w:val="20"/>
                <w:szCs w:val="20"/>
              </w:rPr>
              <w:t>CPP</w:t>
            </w:r>
          </w:p>
        </w:tc>
        <w:tc>
          <w:tcPr>
            <w:tcW w:w="50" w:type="pct"/>
            <w:shd w:val="clear" w:color="auto" w:fill="CCEEFF"/>
            <w:vAlign w:val="bottom"/>
            <w:hideMark/>
          </w:tcPr>
          <w:p w14:paraId="30DBB4F6"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7B9FF41" w14:textId="77777777" w:rsidR="00000000" w:rsidRDefault="00847163">
            <w:pPr>
              <w:rPr>
                <w:rFonts w:eastAsia="Times New Roman"/>
                <w:sz w:val="20"/>
                <w:szCs w:val="20"/>
              </w:rPr>
            </w:pPr>
            <w:r>
              <w:rPr>
                <w:rFonts w:eastAsia="Times New Roman"/>
                <w:sz w:val="20"/>
                <w:szCs w:val="20"/>
              </w:rPr>
              <w:t> </w:t>
            </w:r>
          </w:p>
        </w:tc>
        <w:tc>
          <w:tcPr>
            <w:tcW w:w="800" w:type="pct"/>
            <w:shd w:val="clear" w:color="auto" w:fill="CCEEFF"/>
            <w:vAlign w:val="bottom"/>
            <w:hideMark/>
          </w:tcPr>
          <w:p w14:paraId="3582622A" w14:textId="77777777" w:rsidR="00000000" w:rsidRDefault="00847163">
            <w:pPr>
              <w:jc w:val="right"/>
              <w:rPr>
                <w:rFonts w:eastAsia="Times New Roman"/>
                <w:sz w:val="20"/>
                <w:szCs w:val="20"/>
              </w:rPr>
            </w:pPr>
            <w:r>
              <w:rPr>
                <w:rFonts w:eastAsia="Times New Roman"/>
                <w:sz w:val="20"/>
                <w:szCs w:val="20"/>
              </w:rPr>
              <w:t>1.0</w:t>
            </w:r>
          </w:p>
        </w:tc>
        <w:tc>
          <w:tcPr>
            <w:tcW w:w="50" w:type="pct"/>
            <w:shd w:val="clear" w:color="auto" w:fill="CCEEFF"/>
            <w:vAlign w:val="bottom"/>
            <w:hideMark/>
          </w:tcPr>
          <w:p w14:paraId="65FCC158"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C922FE0"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F437538" w14:textId="77777777" w:rsidR="00000000" w:rsidRDefault="00847163">
            <w:pPr>
              <w:rPr>
                <w:rFonts w:eastAsia="Times New Roman"/>
                <w:sz w:val="20"/>
                <w:szCs w:val="20"/>
              </w:rPr>
            </w:pPr>
            <w:r>
              <w:rPr>
                <w:rFonts w:eastAsia="Times New Roman"/>
                <w:sz w:val="20"/>
                <w:szCs w:val="20"/>
              </w:rPr>
              <w:t> </w:t>
            </w:r>
          </w:p>
        </w:tc>
        <w:tc>
          <w:tcPr>
            <w:tcW w:w="800" w:type="pct"/>
            <w:shd w:val="clear" w:color="auto" w:fill="CCEEFF"/>
            <w:vAlign w:val="bottom"/>
            <w:hideMark/>
          </w:tcPr>
          <w:p w14:paraId="59F4E52C" w14:textId="77777777" w:rsidR="00000000" w:rsidRDefault="00847163">
            <w:pPr>
              <w:jc w:val="right"/>
              <w:rPr>
                <w:rFonts w:eastAsia="Times New Roman"/>
                <w:sz w:val="20"/>
                <w:szCs w:val="20"/>
              </w:rPr>
            </w:pPr>
            <w:r>
              <w:rPr>
                <w:rFonts w:eastAsia="Times New Roman"/>
                <w:sz w:val="20"/>
                <w:szCs w:val="20"/>
              </w:rPr>
              <w:t>1.4</w:t>
            </w:r>
          </w:p>
        </w:tc>
        <w:tc>
          <w:tcPr>
            <w:tcW w:w="50" w:type="pct"/>
            <w:shd w:val="clear" w:color="auto" w:fill="CCEEFF"/>
            <w:vAlign w:val="bottom"/>
            <w:hideMark/>
          </w:tcPr>
          <w:p w14:paraId="23089E54" w14:textId="77777777" w:rsidR="00000000" w:rsidRDefault="00847163">
            <w:pPr>
              <w:rPr>
                <w:rFonts w:eastAsia="Times New Roman"/>
                <w:sz w:val="20"/>
                <w:szCs w:val="20"/>
              </w:rPr>
            </w:pPr>
            <w:r>
              <w:rPr>
                <w:rFonts w:eastAsia="Times New Roman"/>
                <w:sz w:val="20"/>
                <w:szCs w:val="20"/>
              </w:rPr>
              <w:t> </w:t>
            </w:r>
          </w:p>
        </w:tc>
      </w:tr>
      <w:tr w:rsidR="00000000" w14:paraId="302401F6" w14:textId="77777777">
        <w:trPr>
          <w:tblCellSpacing w:w="0" w:type="dxa"/>
        </w:trPr>
        <w:tc>
          <w:tcPr>
            <w:tcW w:w="0" w:type="auto"/>
            <w:shd w:val="clear" w:color="auto" w:fill="FFFFFF"/>
            <w:vAlign w:val="bottom"/>
            <w:hideMark/>
          </w:tcPr>
          <w:p w14:paraId="79BE5A19" w14:textId="77777777" w:rsidR="00000000" w:rsidRDefault="00847163">
            <w:pPr>
              <w:pStyle w:val="a3"/>
              <w:spacing w:before="0" w:beforeAutospacing="0" w:after="0" w:afterAutospacing="0"/>
              <w:rPr>
                <w:sz w:val="20"/>
                <w:szCs w:val="20"/>
              </w:rPr>
            </w:pPr>
            <w:r>
              <w:rPr>
                <w:sz w:val="20"/>
                <w:szCs w:val="20"/>
              </w:rPr>
              <w:t>Other Joint Venture Programs</w:t>
            </w:r>
          </w:p>
        </w:tc>
        <w:tc>
          <w:tcPr>
            <w:tcW w:w="50" w:type="pct"/>
            <w:shd w:val="clear" w:color="auto" w:fill="FFFFFF"/>
            <w:tcMar>
              <w:top w:w="0" w:type="dxa"/>
              <w:left w:w="0" w:type="dxa"/>
              <w:bottom w:w="15" w:type="dxa"/>
              <w:right w:w="0" w:type="dxa"/>
            </w:tcMar>
            <w:vAlign w:val="bottom"/>
            <w:hideMark/>
          </w:tcPr>
          <w:p w14:paraId="1693758F" w14:textId="77777777" w:rsidR="00000000" w:rsidRDefault="0084716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3211A7D2" w14:textId="77777777" w:rsidR="00000000" w:rsidRDefault="00847163">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14:paraId="6A5FF7F5" w14:textId="77777777" w:rsidR="00000000" w:rsidRDefault="00847163">
            <w:pPr>
              <w:jc w:val="right"/>
              <w:rPr>
                <w:rFonts w:eastAsia="Times New Roman"/>
                <w:sz w:val="20"/>
                <w:szCs w:val="20"/>
              </w:rPr>
            </w:pPr>
            <w:r>
              <w:rPr>
                <w:rFonts w:eastAsia="Times New Roman"/>
                <w:sz w:val="20"/>
                <w:szCs w:val="20"/>
              </w:rPr>
              <w:t>0.2</w:t>
            </w:r>
          </w:p>
        </w:tc>
        <w:tc>
          <w:tcPr>
            <w:tcW w:w="50" w:type="pct"/>
            <w:shd w:val="clear" w:color="auto" w:fill="FFFFFF"/>
            <w:tcMar>
              <w:top w:w="0" w:type="dxa"/>
              <w:left w:w="0" w:type="dxa"/>
              <w:bottom w:w="15" w:type="dxa"/>
              <w:right w:w="0" w:type="dxa"/>
            </w:tcMar>
            <w:vAlign w:val="bottom"/>
            <w:hideMark/>
          </w:tcPr>
          <w:p w14:paraId="7EB85595"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14:paraId="00B81E55" w14:textId="77777777" w:rsidR="00000000" w:rsidRDefault="0084716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32705741" w14:textId="77777777" w:rsidR="00000000" w:rsidRDefault="00847163">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14:paraId="1AD0312F" w14:textId="77777777" w:rsidR="00000000" w:rsidRDefault="00847163">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14:paraId="3FFB8B83" w14:textId="77777777" w:rsidR="00000000" w:rsidRDefault="00847163">
            <w:pPr>
              <w:rPr>
                <w:rFonts w:eastAsia="Times New Roman"/>
                <w:sz w:val="20"/>
                <w:szCs w:val="20"/>
              </w:rPr>
            </w:pPr>
            <w:r>
              <w:rPr>
                <w:rFonts w:eastAsia="Times New Roman"/>
                <w:sz w:val="20"/>
                <w:szCs w:val="20"/>
              </w:rPr>
              <w:t> </w:t>
            </w:r>
          </w:p>
        </w:tc>
      </w:tr>
      <w:tr w:rsidR="00000000" w14:paraId="6D4A640F" w14:textId="77777777">
        <w:trPr>
          <w:tblCellSpacing w:w="0" w:type="dxa"/>
        </w:trPr>
        <w:tc>
          <w:tcPr>
            <w:tcW w:w="0" w:type="auto"/>
            <w:shd w:val="clear" w:color="auto" w:fill="CCEEFF"/>
            <w:vAlign w:val="bottom"/>
            <w:hideMark/>
          </w:tcPr>
          <w:p w14:paraId="706C0298" w14:textId="77777777" w:rsidR="00000000" w:rsidRDefault="00847163">
            <w:pPr>
              <w:pStyle w:val="a3"/>
              <w:spacing w:before="0" w:beforeAutospacing="0" w:after="0" w:afterAutospacing="0"/>
              <w:rPr>
                <w:sz w:val="20"/>
                <w:szCs w:val="20"/>
              </w:rPr>
            </w:pPr>
            <w:r>
              <w:rPr>
                <w:b/>
                <w:bCs/>
                <w:sz w:val="20"/>
                <w:szCs w:val="20"/>
              </w:rPr>
              <w:t>Total</w:t>
            </w:r>
          </w:p>
        </w:tc>
        <w:tc>
          <w:tcPr>
            <w:tcW w:w="50" w:type="pct"/>
            <w:shd w:val="clear" w:color="auto" w:fill="CCEEFF"/>
            <w:vAlign w:val="bottom"/>
            <w:hideMark/>
          </w:tcPr>
          <w:p w14:paraId="7AAC8550" w14:textId="77777777" w:rsidR="00000000" w:rsidRDefault="0084716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47835742" w14:textId="77777777" w:rsidR="00000000" w:rsidRDefault="00847163">
            <w:pPr>
              <w:rPr>
                <w:rFonts w:eastAsia="Times New Roman"/>
                <w:sz w:val="20"/>
                <w:szCs w:val="20"/>
              </w:rPr>
            </w:pPr>
            <w:r>
              <w:rPr>
                <w:rFonts w:eastAsia="Times New Roman"/>
                <w:b/>
                <w:bCs/>
                <w:sz w:val="20"/>
                <w:szCs w:val="20"/>
              </w:rPr>
              <w:t>$</w:t>
            </w:r>
          </w:p>
        </w:tc>
        <w:tc>
          <w:tcPr>
            <w:tcW w:w="800" w:type="pct"/>
            <w:tcBorders>
              <w:bottom w:val="double" w:sz="6" w:space="0" w:color="000000"/>
            </w:tcBorders>
            <w:shd w:val="clear" w:color="auto" w:fill="CCEEFF"/>
            <w:vAlign w:val="bottom"/>
            <w:hideMark/>
          </w:tcPr>
          <w:p w14:paraId="14B748EF" w14:textId="77777777" w:rsidR="00000000" w:rsidRDefault="00847163">
            <w:pPr>
              <w:jc w:val="right"/>
              <w:rPr>
                <w:rFonts w:eastAsia="Times New Roman"/>
                <w:sz w:val="20"/>
                <w:szCs w:val="20"/>
              </w:rPr>
            </w:pPr>
            <w:r>
              <w:rPr>
                <w:rFonts w:eastAsia="Times New Roman"/>
                <w:b/>
                <w:bCs/>
                <w:sz w:val="20"/>
                <w:szCs w:val="20"/>
              </w:rPr>
              <w:t>13.6</w:t>
            </w:r>
          </w:p>
        </w:tc>
        <w:tc>
          <w:tcPr>
            <w:tcW w:w="50" w:type="pct"/>
            <w:shd w:val="clear" w:color="auto" w:fill="CCEEFF"/>
            <w:tcMar>
              <w:top w:w="0" w:type="dxa"/>
              <w:left w:w="0" w:type="dxa"/>
              <w:bottom w:w="45" w:type="dxa"/>
              <w:right w:w="0" w:type="dxa"/>
            </w:tcMar>
            <w:vAlign w:val="bottom"/>
            <w:hideMark/>
          </w:tcPr>
          <w:p w14:paraId="5675B703"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CFAE526" w14:textId="77777777" w:rsidR="00000000" w:rsidRDefault="0084716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4035D4B2" w14:textId="77777777" w:rsidR="00000000" w:rsidRDefault="00847163">
            <w:pPr>
              <w:rPr>
                <w:rFonts w:eastAsia="Times New Roman"/>
                <w:sz w:val="20"/>
                <w:szCs w:val="20"/>
              </w:rPr>
            </w:pPr>
            <w:r>
              <w:rPr>
                <w:rFonts w:eastAsia="Times New Roman"/>
                <w:b/>
                <w:bCs/>
                <w:sz w:val="20"/>
                <w:szCs w:val="20"/>
              </w:rPr>
              <w:t>$</w:t>
            </w:r>
          </w:p>
        </w:tc>
        <w:tc>
          <w:tcPr>
            <w:tcW w:w="800" w:type="pct"/>
            <w:tcBorders>
              <w:bottom w:val="double" w:sz="6" w:space="0" w:color="000000"/>
            </w:tcBorders>
            <w:shd w:val="clear" w:color="auto" w:fill="CCEEFF"/>
            <w:vAlign w:val="bottom"/>
            <w:hideMark/>
          </w:tcPr>
          <w:p w14:paraId="6C2D8E19" w14:textId="77777777" w:rsidR="00000000" w:rsidRDefault="00847163">
            <w:pPr>
              <w:jc w:val="right"/>
              <w:rPr>
                <w:rFonts w:eastAsia="Times New Roman"/>
                <w:sz w:val="20"/>
                <w:szCs w:val="20"/>
              </w:rPr>
            </w:pPr>
            <w:r>
              <w:rPr>
                <w:rFonts w:eastAsia="Times New Roman"/>
                <w:b/>
                <w:bCs/>
                <w:sz w:val="20"/>
                <w:szCs w:val="20"/>
              </w:rPr>
              <w:t>18.8</w:t>
            </w:r>
          </w:p>
        </w:tc>
        <w:tc>
          <w:tcPr>
            <w:tcW w:w="50" w:type="pct"/>
            <w:shd w:val="clear" w:color="auto" w:fill="CCEEFF"/>
            <w:tcMar>
              <w:top w:w="0" w:type="dxa"/>
              <w:left w:w="0" w:type="dxa"/>
              <w:bottom w:w="45" w:type="dxa"/>
              <w:right w:w="0" w:type="dxa"/>
            </w:tcMar>
            <w:vAlign w:val="bottom"/>
            <w:hideMark/>
          </w:tcPr>
          <w:p w14:paraId="2AB14254" w14:textId="77777777" w:rsidR="00000000" w:rsidRDefault="00847163">
            <w:pPr>
              <w:rPr>
                <w:rFonts w:eastAsia="Times New Roman"/>
                <w:sz w:val="20"/>
                <w:szCs w:val="20"/>
              </w:rPr>
            </w:pPr>
            <w:r>
              <w:rPr>
                <w:rFonts w:eastAsia="Times New Roman"/>
                <w:sz w:val="20"/>
                <w:szCs w:val="20"/>
              </w:rPr>
              <w:t> </w:t>
            </w:r>
          </w:p>
        </w:tc>
      </w:tr>
    </w:tbl>
    <w:p w14:paraId="59ED8198" w14:textId="77777777" w:rsidR="00000000" w:rsidRDefault="00847163">
      <w:pPr>
        <w:pStyle w:val="a3"/>
        <w:spacing w:before="0" w:beforeAutospacing="0" w:after="0" w:afterAutospacing="0"/>
        <w:jc w:val="both"/>
        <w:rPr>
          <w:sz w:val="20"/>
          <w:szCs w:val="20"/>
        </w:rPr>
      </w:pPr>
      <w:r>
        <w:rPr>
          <w:sz w:val="20"/>
          <w:szCs w:val="20"/>
        </w:rPr>
        <w:t> </w:t>
      </w:r>
    </w:p>
    <w:p w14:paraId="07917EA9" w14:textId="77777777" w:rsidR="00000000" w:rsidRDefault="00847163">
      <w:pPr>
        <w:pStyle w:val="a3"/>
        <w:spacing w:before="0" w:beforeAutospacing="0" w:after="0" w:afterAutospacing="0"/>
        <w:ind w:firstLine="360"/>
        <w:jc w:val="both"/>
        <w:rPr>
          <w:sz w:val="20"/>
          <w:szCs w:val="20"/>
        </w:rPr>
      </w:pPr>
      <w:r>
        <w:rPr>
          <w:sz w:val="20"/>
          <w:szCs w:val="20"/>
        </w:rPr>
        <w:t xml:space="preserve">During the </w:t>
      </w:r>
      <w:r>
        <w:rPr>
          <w:rStyle w:val="a6"/>
          <w:sz w:val="20"/>
          <w:szCs w:val="20"/>
        </w:rPr>
        <w:t>three</w:t>
      </w:r>
      <w:r>
        <w:rPr>
          <w:sz w:val="20"/>
          <w:szCs w:val="20"/>
        </w:rPr>
        <w:t xml:space="preserve"> months ended </w:t>
      </w:r>
      <w:r>
        <w:rPr>
          <w:rStyle w:val="a6"/>
          <w:sz w:val="20"/>
          <w:szCs w:val="20"/>
        </w:rPr>
        <w:t xml:space="preserve">March 31, 2019, </w:t>
      </w:r>
      <w:r>
        <w:rPr>
          <w:sz w:val="20"/>
          <w:szCs w:val="20"/>
        </w:rPr>
        <w:t>certain of the Company’s real estate joint ventures disposed of</w:t>
      </w:r>
      <w:r>
        <w:rPr>
          <w:sz w:val="20"/>
          <w:szCs w:val="20"/>
        </w:rPr>
        <w:t xml:space="preserve"> </w:t>
      </w:r>
      <w:r>
        <w:rPr>
          <w:sz w:val="20"/>
          <w:szCs w:val="20"/>
        </w:rPr>
        <w:t>fou</w:t>
      </w:r>
      <w:r>
        <w:rPr>
          <w:sz w:val="20"/>
          <w:szCs w:val="20"/>
        </w:rPr>
        <w:t>r</w:t>
      </w:r>
      <w:r>
        <w:rPr>
          <w:sz w:val="20"/>
          <w:szCs w:val="20"/>
        </w:rPr>
        <w:t xml:space="preserve"> operating properties, in separate transactions, for an aggregate sales price of $54.5 million. These transactions resulted in an aggregate ne</w:t>
      </w:r>
      <w:r>
        <w:rPr>
          <w:sz w:val="20"/>
          <w:szCs w:val="20"/>
        </w:rPr>
        <w:t xml:space="preserve">t gain to the Company of $3.4 million for the </w:t>
      </w:r>
      <w:r>
        <w:rPr>
          <w:rStyle w:val="a6"/>
          <w:sz w:val="20"/>
          <w:szCs w:val="20"/>
        </w:rPr>
        <w:t>three</w:t>
      </w:r>
      <w:r>
        <w:rPr>
          <w:sz w:val="20"/>
          <w:szCs w:val="20"/>
        </w:rPr>
        <w:t xml:space="preserve"> months ended </w:t>
      </w:r>
      <w:r>
        <w:rPr>
          <w:rStyle w:val="a6"/>
          <w:sz w:val="20"/>
          <w:szCs w:val="20"/>
        </w:rPr>
        <w:t>March 31, 2019.</w:t>
      </w:r>
    </w:p>
    <w:p w14:paraId="73B4D615" w14:textId="77777777" w:rsidR="00000000" w:rsidRDefault="00847163">
      <w:pPr>
        <w:pStyle w:val="a3"/>
        <w:spacing w:before="0" w:beforeAutospacing="0" w:after="0" w:afterAutospacing="0"/>
        <w:ind w:firstLine="360"/>
        <w:jc w:val="both"/>
        <w:rPr>
          <w:sz w:val="20"/>
          <w:szCs w:val="20"/>
        </w:rPr>
      </w:pPr>
      <w:r>
        <w:rPr>
          <w:sz w:val="20"/>
          <w:szCs w:val="20"/>
        </w:rPr>
        <w:t> </w:t>
      </w:r>
    </w:p>
    <w:p w14:paraId="7B85E8C6" w14:textId="77777777" w:rsidR="00000000" w:rsidRDefault="00847163">
      <w:pPr>
        <w:pStyle w:val="a3"/>
        <w:spacing w:before="0" w:beforeAutospacing="0" w:after="0" w:afterAutospacing="0"/>
        <w:ind w:firstLine="360"/>
        <w:jc w:val="both"/>
        <w:rPr>
          <w:sz w:val="20"/>
          <w:szCs w:val="20"/>
        </w:rPr>
      </w:pPr>
      <w:r>
        <w:rPr>
          <w:sz w:val="20"/>
          <w:szCs w:val="20"/>
        </w:rPr>
        <w:t>The table below presents debt balances within the Company’</w:t>
      </w:r>
      <w:r>
        <w:rPr>
          <w:sz w:val="20"/>
          <w:szCs w:val="20"/>
        </w:rPr>
        <w:t xml:space="preserve">s unconsolidated joint venture investments for which the Company held noncontrolling ownership interests at </w:t>
      </w:r>
      <w:r>
        <w:rPr>
          <w:rStyle w:val="a6"/>
          <w:sz w:val="20"/>
          <w:szCs w:val="20"/>
        </w:rPr>
        <w:t xml:space="preserve">March 31, 2020 </w:t>
      </w:r>
      <w:r>
        <w:rPr>
          <w:sz w:val="20"/>
          <w:szCs w:val="20"/>
        </w:rPr>
        <w:t xml:space="preserve">and </w:t>
      </w:r>
      <w:r>
        <w:rPr>
          <w:rStyle w:val="a6"/>
          <w:sz w:val="20"/>
          <w:szCs w:val="20"/>
        </w:rPr>
        <w:t>December 31, 2019 (</w:t>
      </w:r>
      <w:r>
        <w:rPr>
          <w:sz w:val="20"/>
          <w:szCs w:val="20"/>
        </w:rPr>
        <w:t>dollars in millions):</w:t>
      </w:r>
    </w:p>
    <w:p w14:paraId="5B3FEB97" w14:textId="77777777" w:rsidR="00000000" w:rsidRDefault="00847163">
      <w:pPr>
        <w:pStyle w:val="a3"/>
        <w:spacing w:before="0" w:beforeAutospacing="0" w:after="0" w:afterAutospacing="0"/>
        <w:ind w:firstLine="81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118"/>
        <w:gridCol w:w="50"/>
        <w:gridCol w:w="101"/>
        <w:gridCol w:w="819"/>
        <w:gridCol w:w="50"/>
        <w:gridCol w:w="50"/>
        <w:gridCol w:w="103"/>
        <w:gridCol w:w="720"/>
        <w:gridCol w:w="167"/>
        <w:gridCol w:w="50"/>
        <w:gridCol w:w="117"/>
        <w:gridCol w:w="817"/>
        <w:gridCol w:w="50"/>
        <w:gridCol w:w="50"/>
        <w:gridCol w:w="101"/>
        <w:gridCol w:w="819"/>
        <w:gridCol w:w="50"/>
        <w:gridCol w:w="50"/>
        <w:gridCol w:w="103"/>
        <w:gridCol w:w="720"/>
        <w:gridCol w:w="167"/>
        <w:gridCol w:w="50"/>
        <w:gridCol w:w="117"/>
        <w:gridCol w:w="817"/>
        <w:gridCol w:w="50"/>
      </w:tblGrid>
      <w:tr w:rsidR="00000000" w14:paraId="36C355DB" w14:textId="77777777">
        <w:trPr>
          <w:tblCellSpacing w:w="0" w:type="dxa"/>
        </w:trPr>
        <w:tc>
          <w:tcPr>
            <w:tcW w:w="1800" w:type="pct"/>
            <w:vAlign w:val="bottom"/>
            <w:hideMark/>
          </w:tcPr>
          <w:p w14:paraId="3E3DDCD8" w14:textId="77777777" w:rsidR="00000000" w:rsidRDefault="00847163">
            <w:pPr>
              <w:rPr>
                <w:rFonts w:eastAsia="Times New Roman"/>
                <w:sz w:val="20"/>
                <w:szCs w:val="20"/>
              </w:rPr>
            </w:pPr>
            <w:r>
              <w:rPr>
                <w:rFonts w:eastAsia="Times New Roman"/>
                <w:sz w:val="20"/>
                <w:szCs w:val="20"/>
              </w:rPr>
              <w:t> </w:t>
            </w:r>
          </w:p>
        </w:tc>
        <w:tc>
          <w:tcPr>
            <w:tcW w:w="50" w:type="pct"/>
            <w:vAlign w:val="bottom"/>
            <w:hideMark/>
          </w:tcPr>
          <w:p w14:paraId="664E0DE7" w14:textId="77777777" w:rsidR="00000000" w:rsidRDefault="00847163">
            <w:pPr>
              <w:rPr>
                <w:rFonts w:eastAsia="Times New Roman"/>
                <w:sz w:val="20"/>
                <w:szCs w:val="20"/>
              </w:rPr>
            </w:pPr>
            <w:r>
              <w:rPr>
                <w:rFonts w:eastAsia="Times New Roman"/>
                <w:sz w:val="20"/>
                <w:szCs w:val="20"/>
              </w:rPr>
              <w:t> </w:t>
            </w:r>
          </w:p>
        </w:tc>
        <w:tc>
          <w:tcPr>
            <w:tcW w:w="1150" w:type="pct"/>
            <w:gridSpan w:val="10"/>
            <w:tcBorders>
              <w:bottom w:val="single" w:sz="6" w:space="0" w:color="000000"/>
            </w:tcBorders>
            <w:vAlign w:val="bottom"/>
            <w:hideMark/>
          </w:tcPr>
          <w:p w14:paraId="5B78430A" w14:textId="77777777" w:rsidR="00000000" w:rsidRDefault="00847163">
            <w:pPr>
              <w:pStyle w:val="a3"/>
              <w:spacing w:before="0" w:beforeAutospacing="0" w:after="0" w:afterAutospacing="0"/>
              <w:jc w:val="center"/>
              <w:rPr>
                <w:sz w:val="20"/>
                <w:szCs w:val="20"/>
              </w:rPr>
            </w:pPr>
            <w:r>
              <w:rPr>
                <w:b/>
                <w:bCs/>
                <w:sz w:val="20"/>
                <w:szCs w:val="20"/>
              </w:rPr>
              <w:t>As of March 31, 2020</w:t>
            </w:r>
          </w:p>
        </w:tc>
        <w:tc>
          <w:tcPr>
            <w:tcW w:w="50" w:type="pct"/>
            <w:tcMar>
              <w:top w:w="0" w:type="dxa"/>
              <w:left w:w="0" w:type="dxa"/>
              <w:bottom w:w="15" w:type="dxa"/>
              <w:right w:w="0" w:type="dxa"/>
            </w:tcMar>
            <w:vAlign w:val="bottom"/>
            <w:hideMark/>
          </w:tcPr>
          <w:p w14:paraId="2FB0B498" w14:textId="77777777" w:rsidR="00000000" w:rsidRDefault="00847163">
            <w:pPr>
              <w:rPr>
                <w:rFonts w:eastAsia="Times New Roman"/>
                <w:sz w:val="20"/>
                <w:szCs w:val="20"/>
              </w:rPr>
            </w:pPr>
            <w:r>
              <w:rPr>
                <w:rFonts w:eastAsia="Times New Roman"/>
                <w:sz w:val="20"/>
                <w:szCs w:val="20"/>
              </w:rPr>
              <w:t> </w:t>
            </w:r>
          </w:p>
        </w:tc>
        <w:tc>
          <w:tcPr>
            <w:tcW w:w="50" w:type="pct"/>
            <w:vAlign w:val="bottom"/>
            <w:hideMark/>
          </w:tcPr>
          <w:p w14:paraId="290CFC85" w14:textId="77777777" w:rsidR="00000000" w:rsidRDefault="00847163">
            <w:pPr>
              <w:rPr>
                <w:rFonts w:eastAsia="Times New Roman"/>
                <w:sz w:val="20"/>
                <w:szCs w:val="20"/>
              </w:rPr>
            </w:pPr>
            <w:r>
              <w:rPr>
                <w:rFonts w:eastAsia="Times New Roman"/>
                <w:sz w:val="20"/>
                <w:szCs w:val="20"/>
              </w:rPr>
              <w:t> </w:t>
            </w:r>
          </w:p>
        </w:tc>
        <w:tc>
          <w:tcPr>
            <w:tcW w:w="1150" w:type="pct"/>
            <w:gridSpan w:val="10"/>
            <w:tcBorders>
              <w:bottom w:val="single" w:sz="6" w:space="0" w:color="000000"/>
            </w:tcBorders>
            <w:vAlign w:val="bottom"/>
            <w:hideMark/>
          </w:tcPr>
          <w:p w14:paraId="724030DD" w14:textId="77777777" w:rsidR="00000000" w:rsidRDefault="00847163">
            <w:pPr>
              <w:pStyle w:val="a3"/>
              <w:spacing w:before="0" w:beforeAutospacing="0" w:after="0" w:afterAutospacing="0"/>
              <w:jc w:val="center"/>
              <w:rPr>
                <w:sz w:val="20"/>
                <w:szCs w:val="20"/>
              </w:rPr>
            </w:pPr>
            <w:r>
              <w:rPr>
                <w:b/>
                <w:bCs/>
                <w:sz w:val="20"/>
                <w:szCs w:val="20"/>
              </w:rPr>
              <w:t>As of December 31, 2019</w:t>
            </w:r>
          </w:p>
        </w:tc>
        <w:tc>
          <w:tcPr>
            <w:tcW w:w="50" w:type="pct"/>
            <w:tcMar>
              <w:top w:w="0" w:type="dxa"/>
              <w:left w:w="0" w:type="dxa"/>
              <w:bottom w:w="15" w:type="dxa"/>
              <w:right w:w="0" w:type="dxa"/>
            </w:tcMar>
            <w:vAlign w:val="bottom"/>
            <w:hideMark/>
          </w:tcPr>
          <w:p w14:paraId="239F711E" w14:textId="77777777" w:rsidR="00000000" w:rsidRDefault="00847163">
            <w:pPr>
              <w:rPr>
                <w:rFonts w:eastAsia="Times New Roman"/>
                <w:sz w:val="20"/>
                <w:szCs w:val="20"/>
              </w:rPr>
            </w:pPr>
            <w:r>
              <w:rPr>
                <w:rFonts w:eastAsia="Times New Roman"/>
                <w:sz w:val="20"/>
                <w:szCs w:val="20"/>
              </w:rPr>
              <w:t> </w:t>
            </w:r>
          </w:p>
        </w:tc>
      </w:tr>
      <w:tr w:rsidR="00000000" w14:paraId="5828E5E6" w14:textId="77777777">
        <w:trPr>
          <w:tblCellSpacing w:w="0" w:type="dxa"/>
        </w:trPr>
        <w:tc>
          <w:tcPr>
            <w:tcW w:w="1800" w:type="pct"/>
            <w:tcBorders>
              <w:bottom w:val="single" w:sz="6" w:space="0" w:color="000000"/>
            </w:tcBorders>
            <w:vAlign w:val="bottom"/>
            <w:hideMark/>
          </w:tcPr>
          <w:p w14:paraId="7EC170BF" w14:textId="77777777" w:rsidR="00000000" w:rsidRDefault="00847163">
            <w:pPr>
              <w:pStyle w:val="a3"/>
              <w:spacing w:before="0" w:beforeAutospacing="0" w:after="0" w:afterAutospacing="0"/>
              <w:rPr>
                <w:sz w:val="20"/>
                <w:szCs w:val="20"/>
              </w:rPr>
            </w:pPr>
            <w:r>
              <w:rPr>
                <w:b/>
                <w:bCs/>
                <w:sz w:val="20"/>
                <w:szCs w:val="20"/>
              </w:rPr>
              <w:t>Joint Venture</w:t>
            </w:r>
          </w:p>
        </w:tc>
        <w:tc>
          <w:tcPr>
            <w:tcW w:w="50" w:type="pct"/>
            <w:vAlign w:val="bottom"/>
            <w:hideMark/>
          </w:tcPr>
          <w:p w14:paraId="5E0F4672" w14:textId="77777777" w:rsidR="00000000" w:rsidRDefault="00847163">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0B0E7562" w14:textId="77777777" w:rsidR="00000000" w:rsidRDefault="00847163">
            <w:pPr>
              <w:pStyle w:val="a3"/>
              <w:spacing w:before="0" w:beforeAutospacing="0" w:after="0" w:afterAutospacing="0"/>
              <w:jc w:val="center"/>
              <w:rPr>
                <w:sz w:val="20"/>
                <w:szCs w:val="20"/>
              </w:rPr>
            </w:pPr>
            <w:r>
              <w:rPr>
                <w:b/>
                <w:bCs/>
                <w:sz w:val="20"/>
                <w:szCs w:val="20"/>
              </w:rPr>
              <w:t xml:space="preserve">Mortgages </w:t>
            </w:r>
          </w:p>
          <w:p w14:paraId="44B9EEA4" w14:textId="77777777" w:rsidR="00000000" w:rsidRDefault="00847163">
            <w:pPr>
              <w:pStyle w:val="a3"/>
              <w:spacing w:before="0" w:beforeAutospacing="0" w:after="0" w:afterAutospacing="0"/>
              <w:jc w:val="center"/>
              <w:rPr>
                <w:sz w:val="20"/>
                <w:szCs w:val="20"/>
              </w:rPr>
            </w:pPr>
            <w:r>
              <w:rPr>
                <w:b/>
                <w:bCs/>
                <w:sz w:val="20"/>
                <w:szCs w:val="20"/>
              </w:rPr>
              <w:t xml:space="preserve">and Notes </w:t>
            </w:r>
          </w:p>
          <w:p w14:paraId="2C04F2B4" w14:textId="77777777" w:rsidR="00000000" w:rsidRDefault="00847163">
            <w:pPr>
              <w:pStyle w:val="a3"/>
              <w:spacing w:before="0" w:beforeAutospacing="0" w:after="0" w:afterAutospacing="0"/>
              <w:jc w:val="center"/>
              <w:rPr>
                <w:sz w:val="20"/>
                <w:szCs w:val="20"/>
              </w:rPr>
            </w:pPr>
            <w:r>
              <w:rPr>
                <w:b/>
                <w:bCs/>
                <w:sz w:val="20"/>
                <w:szCs w:val="20"/>
              </w:rPr>
              <w:t>Payable, Net</w:t>
            </w:r>
          </w:p>
        </w:tc>
        <w:tc>
          <w:tcPr>
            <w:tcW w:w="50" w:type="pct"/>
            <w:tcMar>
              <w:top w:w="0" w:type="dxa"/>
              <w:left w:w="0" w:type="dxa"/>
              <w:bottom w:w="15" w:type="dxa"/>
              <w:right w:w="0" w:type="dxa"/>
            </w:tcMar>
            <w:vAlign w:val="bottom"/>
            <w:hideMark/>
          </w:tcPr>
          <w:p w14:paraId="54DFB729" w14:textId="77777777" w:rsidR="00000000" w:rsidRDefault="00847163">
            <w:pPr>
              <w:rPr>
                <w:rFonts w:eastAsia="Times New Roman"/>
                <w:sz w:val="20"/>
                <w:szCs w:val="20"/>
              </w:rPr>
            </w:pPr>
            <w:r>
              <w:rPr>
                <w:rFonts w:eastAsia="Times New Roman"/>
                <w:sz w:val="20"/>
                <w:szCs w:val="20"/>
              </w:rPr>
              <w:t> </w:t>
            </w:r>
          </w:p>
        </w:tc>
        <w:tc>
          <w:tcPr>
            <w:tcW w:w="50" w:type="pct"/>
            <w:vAlign w:val="bottom"/>
            <w:hideMark/>
          </w:tcPr>
          <w:p w14:paraId="25827C95" w14:textId="77777777" w:rsidR="00000000" w:rsidRDefault="00847163">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19F22E0F" w14:textId="77777777" w:rsidR="00000000" w:rsidRDefault="00847163">
            <w:pPr>
              <w:pStyle w:val="a3"/>
              <w:spacing w:before="0" w:beforeAutospacing="0" w:after="0" w:afterAutospacing="0"/>
              <w:jc w:val="center"/>
              <w:rPr>
                <w:sz w:val="20"/>
                <w:szCs w:val="20"/>
              </w:rPr>
            </w:pPr>
            <w:r>
              <w:rPr>
                <w:b/>
                <w:bCs/>
                <w:sz w:val="20"/>
                <w:szCs w:val="20"/>
              </w:rPr>
              <w:t>Weighted</w:t>
            </w:r>
          </w:p>
          <w:p w14:paraId="7ADDA553" w14:textId="77777777" w:rsidR="00000000" w:rsidRDefault="00847163">
            <w:pPr>
              <w:pStyle w:val="a3"/>
              <w:spacing w:before="0" w:beforeAutospacing="0" w:after="0" w:afterAutospacing="0"/>
              <w:jc w:val="center"/>
              <w:rPr>
                <w:sz w:val="20"/>
                <w:szCs w:val="20"/>
              </w:rPr>
            </w:pPr>
            <w:r>
              <w:rPr>
                <w:b/>
                <w:bCs/>
                <w:sz w:val="20"/>
                <w:szCs w:val="20"/>
              </w:rPr>
              <w:t xml:space="preserve">Average </w:t>
            </w:r>
          </w:p>
          <w:p w14:paraId="241C63FB" w14:textId="77777777" w:rsidR="00000000" w:rsidRDefault="00847163">
            <w:pPr>
              <w:pStyle w:val="a3"/>
              <w:spacing w:before="0" w:beforeAutospacing="0" w:after="0" w:afterAutospacing="0"/>
              <w:jc w:val="center"/>
              <w:rPr>
                <w:sz w:val="20"/>
                <w:szCs w:val="20"/>
              </w:rPr>
            </w:pPr>
            <w:r>
              <w:rPr>
                <w:b/>
                <w:bCs/>
                <w:sz w:val="20"/>
                <w:szCs w:val="20"/>
              </w:rPr>
              <w:t>Interest Rate</w:t>
            </w:r>
          </w:p>
        </w:tc>
        <w:tc>
          <w:tcPr>
            <w:tcW w:w="50" w:type="pct"/>
            <w:tcMar>
              <w:top w:w="0" w:type="dxa"/>
              <w:left w:w="0" w:type="dxa"/>
              <w:bottom w:w="15" w:type="dxa"/>
              <w:right w:w="0" w:type="dxa"/>
            </w:tcMar>
            <w:vAlign w:val="bottom"/>
            <w:hideMark/>
          </w:tcPr>
          <w:p w14:paraId="70344D5A" w14:textId="77777777" w:rsidR="00000000" w:rsidRDefault="00847163">
            <w:pPr>
              <w:rPr>
                <w:rFonts w:eastAsia="Times New Roman"/>
                <w:sz w:val="20"/>
                <w:szCs w:val="20"/>
              </w:rPr>
            </w:pPr>
            <w:r>
              <w:rPr>
                <w:rFonts w:eastAsia="Times New Roman"/>
                <w:sz w:val="20"/>
                <w:szCs w:val="20"/>
              </w:rPr>
              <w:t> </w:t>
            </w:r>
          </w:p>
        </w:tc>
        <w:tc>
          <w:tcPr>
            <w:tcW w:w="50" w:type="pct"/>
            <w:vAlign w:val="bottom"/>
            <w:hideMark/>
          </w:tcPr>
          <w:p w14:paraId="2188663D" w14:textId="77777777" w:rsidR="00000000" w:rsidRDefault="00847163">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08C70569" w14:textId="77777777" w:rsidR="00000000" w:rsidRDefault="00847163">
            <w:pPr>
              <w:pStyle w:val="a3"/>
              <w:spacing w:before="0" w:beforeAutospacing="0" w:after="0" w:afterAutospacing="0"/>
              <w:jc w:val="center"/>
              <w:rPr>
                <w:sz w:val="20"/>
                <w:szCs w:val="20"/>
              </w:rPr>
            </w:pPr>
            <w:r>
              <w:rPr>
                <w:b/>
                <w:bCs/>
                <w:sz w:val="20"/>
                <w:szCs w:val="20"/>
              </w:rPr>
              <w:t>Weighted Average Remaining Term (months)*</w:t>
            </w:r>
          </w:p>
        </w:tc>
        <w:tc>
          <w:tcPr>
            <w:tcW w:w="50" w:type="pct"/>
            <w:tcMar>
              <w:top w:w="0" w:type="dxa"/>
              <w:left w:w="0" w:type="dxa"/>
              <w:bottom w:w="15" w:type="dxa"/>
              <w:right w:w="0" w:type="dxa"/>
            </w:tcMar>
            <w:vAlign w:val="bottom"/>
            <w:hideMark/>
          </w:tcPr>
          <w:p w14:paraId="5627390D" w14:textId="77777777" w:rsidR="00000000" w:rsidRDefault="00847163">
            <w:pPr>
              <w:rPr>
                <w:rFonts w:eastAsia="Times New Roman"/>
                <w:sz w:val="20"/>
                <w:szCs w:val="20"/>
              </w:rPr>
            </w:pPr>
            <w:r>
              <w:rPr>
                <w:rFonts w:eastAsia="Times New Roman"/>
                <w:sz w:val="20"/>
                <w:szCs w:val="20"/>
              </w:rPr>
              <w:t> </w:t>
            </w:r>
          </w:p>
        </w:tc>
        <w:tc>
          <w:tcPr>
            <w:tcW w:w="50" w:type="pct"/>
            <w:vAlign w:val="bottom"/>
            <w:hideMark/>
          </w:tcPr>
          <w:p w14:paraId="39C4927F" w14:textId="77777777" w:rsidR="00000000" w:rsidRDefault="00847163">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4534E5C2" w14:textId="77777777" w:rsidR="00000000" w:rsidRDefault="00847163">
            <w:pPr>
              <w:pStyle w:val="a3"/>
              <w:spacing w:before="0" w:beforeAutospacing="0" w:after="0" w:afterAutospacing="0"/>
              <w:jc w:val="center"/>
              <w:rPr>
                <w:sz w:val="20"/>
                <w:szCs w:val="20"/>
              </w:rPr>
            </w:pPr>
            <w:r>
              <w:rPr>
                <w:b/>
                <w:bCs/>
                <w:sz w:val="20"/>
                <w:szCs w:val="20"/>
              </w:rPr>
              <w:t xml:space="preserve">Mortgages </w:t>
            </w:r>
          </w:p>
          <w:p w14:paraId="195F123B" w14:textId="77777777" w:rsidR="00000000" w:rsidRDefault="00847163">
            <w:pPr>
              <w:pStyle w:val="a3"/>
              <w:spacing w:before="0" w:beforeAutospacing="0" w:after="0" w:afterAutospacing="0"/>
              <w:jc w:val="center"/>
              <w:rPr>
                <w:sz w:val="20"/>
                <w:szCs w:val="20"/>
              </w:rPr>
            </w:pPr>
            <w:r>
              <w:rPr>
                <w:b/>
                <w:bCs/>
                <w:sz w:val="20"/>
                <w:szCs w:val="20"/>
              </w:rPr>
              <w:t>and Notes Payable, Net</w:t>
            </w:r>
          </w:p>
        </w:tc>
        <w:tc>
          <w:tcPr>
            <w:tcW w:w="50" w:type="pct"/>
            <w:tcMar>
              <w:top w:w="0" w:type="dxa"/>
              <w:left w:w="0" w:type="dxa"/>
              <w:bottom w:w="15" w:type="dxa"/>
              <w:right w:w="0" w:type="dxa"/>
            </w:tcMar>
            <w:vAlign w:val="bottom"/>
            <w:hideMark/>
          </w:tcPr>
          <w:p w14:paraId="6F4B113C" w14:textId="77777777" w:rsidR="00000000" w:rsidRDefault="00847163">
            <w:pPr>
              <w:rPr>
                <w:rFonts w:eastAsia="Times New Roman"/>
                <w:sz w:val="20"/>
                <w:szCs w:val="20"/>
              </w:rPr>
            </w:pPr>
            <w:r>
              <w:rPr>
                <w:rFonts w:eastAsia="Times New Roman"/>
                <w:sz w:val="20"/>
                <w:szCs w:val="20"/>
              </w:rPr>
              <w:t> </w:t>
            </w:r>
          </w:p>
        </w:tc>
        <w:tc>
          <w:tcPr>
            <w:tcW w:w="50" w:type="pct"/>
            <w:vAlign w:val="bottom"/>
            <w:hideMark/>
          </w:tcPr>
          <w:p w14:paraId="2DE126A8" w14:textId="77777777" w:rsidR="00000000" w:rsidRDefault="00847163">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3194B840" w14:textId="77777777" w:rsidR="00000000" w:rsidRDefault="00847163">
            <w:pPr>
              <w:pStyle w:val="a3"/>
              <w:spacing w:before="0" w:beforeAutospacing="0" w:after="0" w:afterAutospacing="0"/>
              <w:jc w:val="center"/>
              <w:rPr>
                <w:sz w:val="20"/>
                <w:szCs w:val="20"/>
              </w:rPr>
            </w:pPr>
            <w:r>
              <w:rPr>
                <w:b/>
                <w:bCs/>
                <w:sz w:val="20"/>
                <w:szCs w:val="20"/>
              </w:rPr>
              <w:t>Weighted</w:t>
            </w:r>
          </w:p>
          <w:p w14:paraId="316D3216" w14:textId="77777777" w:rsidR="00000000" w:rsidRDefault="00847163">
            <w:pPr>
              <w:pStyle w:val="a3"/>
              <w:spacing w:before="0" w:beforeAutospacing="0" w:after="0" w:afterAutospacing="0"/>
              <w:jc w:val="center"/>
              <w:rPr>
                <w:sz w:val="20"/>
                <w:szCs w:val="20"/>
              </w:rPr>
            </w:pPr>
            <w:r>
              <w:rPr>
                <w:b/>
                <w:bCs/>
                <w:sz w:val="20"/>
                <w:szCs w:val="20"/>
              </w:rPr>
              <w:t>Average</w:t>
            </w:r>
          </w:p>
          <w:p w14:paraId="452750BB" w14:textId="77777777" w:rsidR="00000000" w:rsidRDefault="00847163">
            <w:pPr>
              <w:pStyle w:val="a3"/>
              <w:spacing w:before="0" w:beforeAutospacing="0" w:after="0" w:afterAutospacing="0"/>
              <w:jc w:val="center"/>
              <w:rPr>
                <w:sz w:val="20"/>
                <w:szCs w:val="20"/>
              </w:rPr>
            </w:pPr>
            <w:r>
              <w:rPr>
                <w:b/>
                <w:bCs/>
                <w:sz w:val="20"/>
                <w:szCs w:val="20"/>
              </w:rPr>
              <w:t>Interest Rate</w:t>
            </w:r>
          </w:p>
        </w:tc>
        <w:tc>
          <w:tcPr>
            <w:tcW w:w="50" w:type="pct"/>
            <w:tcMar>
              <w:top w:w="0" w:type="dxa"/>
              <w:left w:w="0" w:type="dxa"/>
              <w:bottom w:w="15" w:type="dxa"/>
              <w:right w:w="0" w:type="dxa"/>
            </w:tcMar>
            <w:vAlign w:val="bottom"/>
            <w:hideMark/>
          </w:tcPr>
          <w:p w14:paraId="1050EE81" w14:textId="77777777" w:rsidR="00000000" w:rsidRDefault="00847163">
            <w:pPr>
              <w:rPr>
                <w:rFonts w:eastAsia="Times New Roman"/>
                <w:sz w:val="20"/>
                <w:szCs w:val="20"/>
              </w:rPr>
            </w:pPr>
            <w:r>
              <w:rPr>
                <w:rFonts w:eastAsia="Times New Roman"/>
                <w:sz w:val="20"/>
                <w:szCs w:val="20"/>
              </w:rPr>
              <w:t> </w:t>
            </w:r>
          </w:p>
        </w:tc>
        <w:tc>
          <w:tcPr>
            <w:tcW w:w="50" w:type="pct"/>
            <w:vAlign w:val="bottom"/>
            <w:hideMark/>
          </w:tcPr>
          <w:p w14:paraId="0BDA72CE" w14:textId="77777777" w:rsidR="00000000" w:rsidRDefault="00847163">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5672F531" w14:textId="77777777" w:rsidR="00000000" w:rsidRDefault="00847163">
            <w:pPr>
              <w:pStyle w:val="a3"/>
              <w:spacing w:before="0" w:beforeAutospacing="0" w:after="0" w:afterAutospacing="0"/>
              <w:jc w:val="center"/>
              <w:rPr>
                <w:sz w:val="20"/>
                <w:szCs w:val="20"/>
              </w:rPr>
            </w:pPr>
            <w:r>
              <w:rPr>
                <w:b/>
                <w:bCs/>
                <w:sz w:val="20"/>
                <w:szCs w:val="20"/>
              </w:rPr>
              <w:t>Weighted Average Remaining</w:t>
            </w:r>
          </w:p>
          <w:p w14:paraId="13354706" w14:textId="77777777" w:rsidR="00000000" w:rsidRDefault="00847163">
            <w:pPr>
              <w:pStyle w:val="a3"/>
              <w:spacing w:before="0" w:beforeAutospacing="0" w:after="0" w:afterAutospacing="0"/>
              <w:jc w:val="center"/>
              <w:rPr>
                <w:sz w:val="20"/>
                <w:szCs w:val="20"/>
              </w:rPr>
            </w:pPr>
            <w:r>
              <w:rPr>
                <w:b/>
                <w:bCs/>
                <w:sz w:val="20"/>
                <w:szCs w:val="20"/>
              </w:rPr>
              <w:t xml:space="preserve">Term </w:t>
            </w:r>
            <w:r>
              <w:rPr>
                <w:b/>
                <w:bCs/>
                <w:sz w:val="20"/>
                <w:szCs w:val="20"/>
              </w:rPr>
              <w:t>(months)*</w:t>
            </w:r>
          </w:p>
        </w:tc>
        <w:tc>
          <w:tcPr>
            <w:tcW w:w="50" w:type="pct"/>
            <w:tcMar>
              <w:top w:w="0" w:type="dxa"/>
              <w:left w:w="0" w:type="dxa"/>
              <w:bottom w:w="15" w:type="dxa"/>
              <w:right w:w="0" w:type="dxa"/>
            </w:tcMar>
            <w:vAlign w:val="bottom"/>
            <w:hideMark/>
          </w:tcPr>
          <w:p w14:paraId="7DF26C12" w14:textId="77777777" w:rsidR="00000000" w:rsidRDefault="00847163">
            <w:pPr>
              <w:rPr>
                <w:rFonts w:eastAsia="Times New Roman"/>
                <w:sz w:val="20"/>
                <w:szCs w:val="20"/>
              </w:rPr>
            </w:pPr>
            <w:r>
              <w:rPr>
                <w:rFonts w:eastAsia="Times New Roman"/>
                <w:sz w:val="20"/>
                <w:szCs w:val="20"/>
              </w:rPr>
              <w:t> </w:t>
            </w:r>
          </w:p>
        </w:tc>
      </w:tr>
      <w:tr w:rsidR="00000000" w14:paraId="27871977" w14:textId="77777777">
        <w:trPr>
          <w:tblCellSpacing w:w="0" w:type="dxa"/>
        </w:trPr>
        <w:tc>
          <w:tcPr>
            <w:tcW w:w="1800" w:type="pct"/>
            <w:shd w:val="clear" w:color="auto" w:fill="CCEEFF"/>
            <w:vAlign w:val="bottom"/>
            <w:hideMark/>
          </w:tcPr>
          <w:p w14:paraId="34089008" w14:textId="77777777" w:rsidR="00000000" w:rsidRDefault="00847163">
            <w:pPr>
              <w:pStyle w:val="a3"/>
              <w:spacing w:before="0" w:beforeAutospacing="0" w:after="0" w:afterAutospacing="0"/>
              <w:rPr>
                <w:sz w:val="20"/>
                <w:szCs w:val="20"/>
              </w:rPr>
            </w:pPr>
            <w:r>
              <w:rPr>
                <w:sz w:val="20"/>
                <w:szCs w:val="20"/>
              </w:rPr>
              <w:t>Prudential Investment Program</w:t>
            </w:r>
          </w:p>
        </w:tc>
        <w:tc>
          <w:tcPr>
            <w:tcW w:w="50" w:type="pct"/>
            <w:shd w:val="clear" w:color="auto" w:fill="CCEEFF"/>
            <w:vAlign w:val="bottom"/>
            <w:hideMark/>
          </w:tcPr>
          <w:p w14:paraId="478A56D3"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131C747" w14:textId="77777777" w:rsidR="00000000" w:rsidRDefault="00847163">
            <w:pPr>
              <w:rPr>
                <w:rFonts w:eastAsia="Times New Roman"/>
                <w:sz w:val="20"/>
                <w:szCs w:val="20"/>
              </w:rPr>
            </w:pPr>
            <w:r>
              <w:rPr>
                <w:rFonts w:eastAsia="Times New Roman"/>
                <w:sz w:val="20"/>
                <w:szCs w:val="20"/>
              </w:rPr>
              <w:t>$</w:t>
            </w:r>
          </w:p>
        </w:tc>
        <w:tc>
          <w:tcPr>
            <w:tcW w:w="450" w:type="pct"/>
            <w:shd w:val="clear" w:color="auto" w:fill="CCEEFF"/>
            <w:vAlign w:val="bottom"/>
            <w:hideMark/>
          </w:tcPr>
          <w:p w14:paraId="0DB6B47B" w14:textId="77777777" w:rsidR="00000000" w:rsidRDefault="00847163">
            <w:pPr>
              <w:jc w:val="right"/>
              <w:rPr>
                <w:rFonts w:eastAsia="Times New Roman"/>
                <w:sz w:val="20"/>
                <w:szCs w:val="20"/>
              </w:rPr>
            </w:pPr>
            <w:r>
              <w:rPr>
                <w:rFonts w:eastAsia="Times New Roman"/>
                <w:sz w:val="20"/>
                <w:szCs w:val="20"/>
              </w:rPr>
              <w:t>537.0</w:t>
            </w:r>
          </w:p>
        </w:tc>
        <w:tc>
          <w:tcPr>
            <w:tcW w:w="50" w:type="pct"/>
            <w:shd w:val="clear" w:color="auto" w:fill="CCEEFF"/>
            <w:vAlign w:val="bottom"/>
            <w:hideMark/>
          </w:tcPr>
          <w:p w14:paraId="35368350"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758697C"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5D37038" w14:textId="77777777" w:rsidR="00000000" w:rsidRDefault="00847163">
            <w:pPr>
              <w:rPr>
                <w:rFonts w:eastAsia="Times New Roman"/>
                <w:sz w:val="20"/>
                <w:szCs w:val="20"/>
              </w:rPr>
            </w:pPr>
            <w:r>
              <w:rPr>
                <w:rFonts w:eastAsia="Times New Roman"/>
                <w:sz w:val="20"/>
                <w:szCs w:val="20"/>
              </w:rPr>
              <w:t> </w:t>
            </w:r>
          </w:p>
        </w:tc>
        <w:tc>
          <w:tcPr>
            <w:tcW w:w="350" w:type="pct"/>
            <w:shd w:val="clear" w:color="auto" w:fill="CCEEFF"/>
            <w:vAlign w:val="bottom"/>
            <w:hideMark/>
          </w:tcPr>
          <w:p w14:paraId="7B84FAB1" w14:textId="77777777" w:rsidR="00000000" w:rsidRDefault="00847163">
            <w:pPr>
              <w:jc w:val="right"/>
              <w:rPr>
                <w:rFonts w:eastAsia="Times New Roman"/>
                <w:sz w:val="20"/>
                <w:szCs w:val="20"/>
              </w:rPr>
            </w:pPr>
            <w:r>
              <w:rPr>
                <w:rFonts w:eastAsia="Times New Roman"/>
                <w:sz w:val="20"/>
                <w:szCs w:val="20"/>
              </w:rPr>
              <w:t>2.91</w:t>
            </w:r>
          </w:p>
        </w:tc>
        <w:tc>
          <w:tcPr>
            <w:tcW w:w="50" w:type="pct"/>
            <w:shd w:val="clear" w:color="auto" w:fill="CCEEFF"/>
            <w:vAlign w:val="bottom"/>
            <w:hideMark/>
          </w:tcPr>
          <w:p w14:paraId="37925D26" w14:textId="77777777" w:rsidR="00000000" w:rsidRDefault="00847163">
            <w:pPr>
              <w:rPr>
                <w:rFonts w:eastAsia="Times New Roman"/>
                <w:sz w:val="20"/>
                <w:szCs w:val="20"/>
              </w:rPr>
            </w:pPr>
            <w:r>
              <w:rPr>
                <w:rFonts w:eastAsia="Times New Roman"/>
                <w:sz w:val="20"/>
                <w:szCs w:val="20"/>
              </w:rPr>
              <w:t>%</w:t>
            </w:r>
          </w:p>
        </w:tc>
        <w:tc>
          <w:tcPr>
            <w:tcW w:w="50" w:type="pct"/>
            <w:shd w:val="clear" w:color="auto" w:fill="CCEEFF"/>
            <w:vAlign w:val="bottom"/>
            <w:hideMark/>
          </w:tcPr>
          <w:p w14:paraId="050C5699"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562CC40" w14:textId="77777777" w:rsidR="00000000" w:rsidRDefault="00847163">
            <w:pPr>
              <w:rPr>
                <w:rFonts w:eastAsia="Times New Roman"/>
                <w:sz w:val="20"/>
                <w:szCs w:val="20"/>
              </w:rPr>
            </w:pPr>
            <w:r>
              <w:rPr>
                <w:rFonts w:eastAsia="Times New Roman"/>
                <w:sz w:val="20"/>
                <w:szCs w:val="20"/>
              </w:rPr>
              <w:t> </w:t>
            </w:r>
          </w:p>
        </w:tc>
        <w:tc>
          <w:tcPr>
            <w:tcW w:w="350" w:type="pct"/>
            <w:shd w:val="clear" w:color="auto" w:fill="CCEEFF"/>
            <w:vAlign w:val="bottom"/>
            <w:hideMark/>
          </w:tcPr>
          <w:p w14:paraId="7A429494" w14:textId="77777777" w:rsidR="00000000" w:rsidRDefault="00847163">
            <w:pPr>
              <w:jc w:val="right"/>
              <w:rPr>
                <w:rFonts w:eastAsia="Times New Roman"/>
                <w:sz w:val="20"/>
                <w:szCs w:val="20"/>
              </w:rPr>
            </w:pPr>
            <w:r>
              <w:rPr>
                <w:rFonts w:eastAsia="Times New Roman"/>
                <w:sz w:val="20"/>
                <w:szCs w:val="20"/>
              </w:rPr>
              <w:t>43.8</w:t>
            </w:r>
          </w:p>
        </w:tc>
        <w:tc>
          <w:tcPr>
            <w:tcW w:w="50" w:type="pct"/>
            <w:shd w:val="clear" w:color="auto" w:fill="CCEEFF"/>
            <w:vAlign w:val="bottom"/>
            <w:hideMark/>
          </w:tcPr>
          <w:p w14:paraId="674AF018"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0E9AC26"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F7E0911" w14:textId="77777777" w:rsidR="00000000" w:rsidRDefault="00847163">
            <w:pPr>
              <w:rPr>
                <w:rFonts w:eastAsia="Times New Roman"/>
                <w:sz w:val="20"/>
                <w:szCs w:val="20"/>
              </w:rPr>
            </w:pPr>
            <w:r>
              <w:rPr>
                <w:rFonts w:eastAsia="Times New Roman"/>
                <w:sz w:val="20"/>
                <w:szCs w:val="20"/>
              </w:rPr>
              <w:t>$</w:t>
            </w:r>
          </w:p>
        </w:tc>
        <w:tc>
          <w:tcPr>
            <w:tcW w:w="450" w:type="pct"/>
            <w:shd w:val="clear" w:color="auto" w:fill="CCEEFF"/>
            <w:vAlign w:val="bottom"/>
            <w:hideMark/>
          </w:tcPr>
          <w:p w14:paraId="012EB429" w14:textId="77777777" w:rsidR="00000000" w:rsidRDefault="00847163">
            <w:pPr>
              <w:jc w:val="right"/>
              <w:rPr>
                <w:rFonts w:eastAsia="Times New Roman"/>
                <w:sz w:val="20"/>
                <w:szCs w:val="20"/>
              </w:rPr>
            </w:pPr>
            <w:r>
              <w:rPr>
                <w:rFonts w:eastAsia="Times New Roman"/>
                <w:sz w:val="20"/>
                <w:szCs w:val="20"/>
              </w:rPr>
              <w:t>538.1</w:t>
            </w:r>
          </w:p>
        </w:tc>
        <w:tc>
          <w:tcPr>
            <w:tcW w:w="50" w:type="pct"/>
            <w:shd w:val="clear" w:color="auto" w:fill="CCEEFF"/>
            <w:vAlign w:val="bottom"/>
            <w:hideMark/>
          </w:tcPr>
          <w:p w14:paraId="77C23A58"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1453DAD"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85BF709" w14:textId="77777777" w:rsidR="00000000" w:rsidRDefault="00847163">
            <w:pPr>
              <w:rPr>
                <w:rFonts w:eastAsia="Times New Roman"/>
                <w:sz w:val="20"/>
                <w:szCs w:val="20"/>
              </w:rPr>
            </w:pPr>
            <w:r>
              <w:rPr>
                <w:rFonts w:eastAsia="Times New Roman"/>
                <w:sz w:val="20"/>
                <w:szCs w:val="20"/>
              </w:rPr>
              <w:t> </w:t>
            </w:r>
          </w:p>
        </w:tc>
        <w:tc>
          <w:tcPr>
            <w:tcW w:w="350" w:type="pct"/>
            <w:shd w:val="clear" w:color="auto" w:fill="CCEEFF"/>
            <w:vAlign w:val="bottom"/>
            <w:hideMark/>
          </w:tcPr>
          <w:p w14:paraId="4B20B803" w14:textId="77777777" w:rsidR="00000000" w:rsidRDefault="00847163">
            <w:pPr>
              <w:jc w:val="right"/>
              <w:rPr>
                <w:rFonts w:eastAsia="Times New Roman"/>
                <w:sz w:val="20"/>
                <w:szCs w:val="20"/>
              </w:rPr>
            </w:pPr>
            <w:r>
              <w:rPr>
                <w:rFonts w:eastAsia="Times New Roman"/>
                <w:sz w:val="20"/>
                <w:szCs w:val="20"/>
              </w:rPr>
              <w:t>3.46</w:t>
            </w:r>
          </w:p>
        </w:tc>
        <w:tc>
          <w:tcPr>
            <w:tcW w:w="50" w:type="pct"/>
            <w:shd w:val="clear" w:color="auto" w:fill="CCEEFF"/>
            <w:vAlign w:val="bottom"/>
            <w:hideMark/>
          </w:tcPr>
          <w:p w14:paraId="41401738" w14:textId="77777777" w:rsidR="00000000" w:rsidRDefault="00847163">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14:paraId="52C787CC"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BB18FC0" w14:textId="77777777" w:rsidR="00000000" w:rsidRDefault="00847163">
            <w:pPr>
              <w:rPr>
                <w:rFonts w:eastAsia="Times New Roman"/>
                <w:sz w:val="20"/>
                <w:szCs w:val="20"/>
              </w:rPr>
            </w:pPr>
            <w:r>
              <w:rPr>
                <w:rFonts w:eastAsia="Times New Roman"/>
                <w:sz w:val="20"/>
                <w:szCs w:val="20"/>
              </w:rPr>
              <w:t> </w:t>
            </w:r>
          </w:p>
        </w:tc>
        <w:tc>
          <w:tcPr>
            <w:tcW w:w="350" w:type="pct"/>
            <w:shd w:val="clear" w:color="auto" w:fill="CCEEFF"/>
            <w:vAlign w:val="bottom"/>
            <w:hideMark/>
          </w:tcPr>
          <w:p w14:paraId="75E48F24" w14:textId="77777777" w:rsidR="00000000" w:rsidRDefault="00847163">
            <w:pPr>
              <w:jc w:val="right"/>
              <w:rPr>
                <w:rFonts w:eastAsia="Times New Roman"/>
                <w:sz w:val="20"/>
                <w:szCs w:val="20"/>
              </w:rPr>
            </w:pPr>
            <w:r>
              <w:rPr>
                <w:rFonts w:eastAsia="Times New Roman"/>
                <w:sz w:val="20"/>
                <w:szCs w:val="20"/>
              </w:rPr>
              <w:t>46.8</w:t>
            </w:r>
          </w:p>
        </w:tc>
        <w:tc>
          <w:tcPr>
            <w:tcW w:w="50" w:type="pct"/>
            <w:shd w:val="clear" w:color="auto" w:fill="CCEEFF"/>
            <w:vAlign w:val="bottom"/>
            <w:hideMark/>
          </w:tcPr>
          <w:p w14:paraId="5C54427A" w14:textId="77777777" w:rsidR="00000000" w:rsidRDefault="00847163">
            <w:pPr>
              <w:rPr>
                <w:rFonts w:eastAsia="Times New Roman"/>
                <w:sz w:val="20"/>
                <w:szCs w:val="20"/>
              </w:rPr>
            </w:pPr>
            <w:r>
              <w:rPr>
                <w:rFonts w:eastAsia="Times New Roman"/>
                <w:sz w:val="20"/>
                <w:szCs w:val="20"/>
              </w:rPr>
              <w:t> </w:t>
            </w:r>
          </w:p>
        </w:tc>
      </w:tr>
      <w:tr w:rsidR="00000000" w14:paraId="6C9676F0" w14:textId="77777777">
        <w:trPr>
          <w:tblCellSpacing w:w="0" w:type="dxa"/>
        </w:trPr>
        <w:tc>
          <w:tcPr>
            <w:tcW w:w="1800" w:type="pct"/>
            <w:shd w:val="clear" w:color="auto" w:fill="FFFFFF"/>
            <w:vAlign w:val="bottom"/>
            <w:hideMark/>
          </w:tcPr>
          <w:p w14:paraId="04E8A73A" w14:textId="77777777" w:rsidR="00000000" w:rsidRDefault="00847163">
            <w:pPr>
              <w:pStyle w:val="a3"/>
              <w:spacing w:before="0" w:beforeAutospacing="0" w:after="0" w:afterAutospacing="0"/>
              <w:rPr>
                <w:sz w:val="20"/>
                <w:szCs w:val="20"/>
              </w:rPr>
            </w:pPr>
            <w:r>
              <w:rPr>
                <w:sz w:val="20"/>
                <w:szCs w:val="20"/>
              </w:rPr>
              <w:t>KIR</w:t>
            </w:r>
          </w:p>
        </w:tc>
        <w:tc>
          <w:tcPr>
            <w:tcW w:w="50" w:type="pct"/>
            <w:shd w:val="clear" w:color="auto" w:fill="FFFFFF"/>
            <w:vAlign w:val="bottom"/>
            <w:hideMark/>
          </w:tcPr>
          <w:p w14:paraId="6C640A00"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4E0891A" w14:textId="77777777" w:rsidR="00000000" w:rsidRDefault="0084716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44F881E3" w14:textId="77777777" w:rsidR="00000000" w:rsidRDefault="00847163">
            <w:pPr>
              <w:jc w:val="right"/>
              <w:rPr>
                <w:rFonts w:eastAsia="Times New Roman"/>
                <w:sz w:val="20"/>
                <w:szCs w:val="20"/>
              </w:rPr>
            </w:pPr>
            <w:r>
              <w:rPr>
                <w:rFonts w:eastAsia="Times New Roman"/>
                <w:sz w:val="20"/>
                <w:szCs w:val="20"/>
              </w:rPr>
              <w:t>561.4</w:t>
            </w:r>
          </w:p>
        </w:tc>
        <w:tc>
          <w:tcPr>
            <w:tcW w:w="50" w:type="pct"/>
            <w:shd w:val="clear" w:color="auto" w:fill="FFFFFF"/>
            <w:vAlign w:val="bottom"/>
            <w:hideMark/>
          </w:tcPr>
          <w:p w14:paraId="0C9BBA55"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D4812B0"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101D289" w14:textId="77777777" w:rsidR="00000000" w:rsidRDefault="00847163">
            <w:pPr>
              <w:rPr>
                <w:rFonts w:eastAsia="Times New Roman"/>
                <w:sz w:val="20"/>
                <w:szCs w:val="20"/>
              </w:rPr>
            </w:pPr>
            <w:r>
              <w:rPr>
                <w:rFonts w:eastAsia="Times New Roman"/>
                <w:sz w:val="20"/>
                <w:szCs w:val="20"/>
              </w:rPr>
              <w:t> </w:t>
            </w:r>
          </w:p>
        </w:tc>
        <w:tc>
          <w:tcPr>
            <w:tcW w:w="350" w:type="pct"/>
            <w:shd w:val="clear" w:color="auto" w:fill="FFFFFF"/>
            <w:vAlign w:val="bottom"/>
            <w:hideMark/>
          </w:tcPr>
          <w:p w14:paraId="1DF6C17D" w14:textId="77777777" w:rsidR="00000000" w:rsidRDefault="00847163">
            <w:pPr>
              <w:jc w:val="right"/>
              <w:rPr>
                <w:rFonts w:eastAsia="Times New Roman"/>
                <w:sz w:val="20"/>
                <w:szCs w:val="20"/>
              </w:rPr>
            </w:pPr>
            <w:r>
              <w:rPr>
                <w:rFonts w:eastAsia="Times New Roman"/>
                <w:sz w:val="20"/>
                <w:szCs w:val="20"/>
              </w:rPr>
              <w:t>4.15</w:t>
            </w:r>
          </w:p>
        </w:tc>
        <w:tc>
          <w:tcPr>
            <w:tcW w:w="50" w:type="pct"/>
            <w:shd w:val="clear" w:color="auto" w:fill="FFFFFF"/>
            <w:vAlign w:val="bottom"/>
            <w:hideMark/>
          </w:tcPr>
          <w:p w14:paraId="1E69AB95" w14:textId="77777777" w:rsidR="00000000" w:rsidRDefault="00847163">
            <w:pPr>
              <w:rPr>
                <w:rFonts w:eastAsia="Times New Roman"/>
                <w:sz w:val="20"/>
                <w:szCs w:val="20"/>
              </w:rPr>
            </w:pPr>
            <w:r>
              <w:rPr>
                <w:rFonts w:eastAsia="Times New Roman"/>
                <w:sz w:val="20"/>
                <w:szCs w:val="20"/>
              </w:rPr>
              <w:t>%</w:t>
            </w:r>
          </w:p>
        </w:tc>
        <w:tc>
          <w:tcPr>
            <w:tcW w:w="50" w:type="pct"/>
            <w:shd w:val="clear" w:color="auto" w:fill="FFFFFF"/>
            <w:vAlign w:val="bottom"/>
            <w:hideMark/>
          </w:tcPr>
          <w:p w14:paraId="56E83E6E"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6AFF0DB" w14:textId="77777777" w:rsidR="00000000" w:rsidRDefault="00847163">
            <w:pPr>
              <w:rPr>
                <w:rFonts w:eastAsia="Times New Roman"/>
                <w:sz w:val="20"/>
                <w:szCs w:val="20"/>
              </w:rPr>
            </w:pPr>
            <w:r>
              <w:rPr>
                <w:rFonts w:eastAsia="Times New Roman"/>
                <w:sz w:val="20"/>
                <w:szCs w:val="20"/>
              </w:rPr>
              <w:t> </w:t>
            </w:r>
          </w:p>
        </w:tc>
        <w:tc>
          <w:tcPr>
            <w:tcW w:w="350" w:type="pct"/>
            <w:shd w:val="clear" w:color="auto" w:fill="FFFFFF"/>
            <w:vAlign w:val="bottom"/>
            <w:hideMark/>
          </w:tcPr>
          <w:p w14:paraId="46B7D4CE" w14:textId="77777777" w:rsidR="00000000" w:rsidRDefault="00847163">
            <w:pPr>
              <w:jc w:val="right"/>
              <w:rPr>
                <w:rFonts w:eastAsia="Times New Roman"/>
                <w:sz w:val="20"/>
                <w:szCs w:val="20"/>
              </w:rPr>
            </w:pPr>
            <w:r>
              <w:rPr>
                <w:rFonts w:eastAsia="Times New Roman"/>
                <w:sz w:val="20"/>
                <w:szCs w:val="20"/>
              </w:rPr>
              <w:t>32.0</w:t>
            </w:r>
          </w:p>
        </w:tc>
        <w:tc>
          <w:tcPr>
            <w:tcW w:w="50" w:type="pct"/>
            <w:shd w:val="clear" w:color="auto" w:fill="FFFFFF"/>
            <w:vAlign w:val="bottom"/>
            <w:hideMark/>
          </w:tcPr>
          <w:p w14:paraId="156BB51C"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00FB794"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602A2BF" w14:textId="77777777" w:rsidR="00000000" w:rsidRDefault="0084716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3E2A6E80" w14:textId="77777777" w:rsidR="00000000" w:rsidRDefault="00847163">
            <w:pPr>
              <w:jc w:val="right"/>
              <w:rPr>
                <w:rFonts w:eastAsia="Times New Roman"/>
                <w:sz w:val="20"/>
                <w:szCs w:val="20"/>
              </w:rPr>
            </w:pPr>
            <w:r>
              <w:rPr>
                <w:rFonts w:eastAsia="Times New Roman"/>
                <w:sz w:val="20"/>
                <w:szCs w:val="20"/>
              </w:rPr>
              <w:t>556.0</w:t>
            </w:r>
          </w:p>
        </w:tc>
        <w:tc>
          <w:tcPr>
            <w:tcW w:w="50" w:type="pct"/>
            <w:shd w:val="clear" w:color="auto" w:fill="FFFFFF"/>
            <w:vAlign w:val="bottom"/>
            <w:hideMark/>
          </w:tcPr>
          <w:p w14:paraId="7CDDFAAA"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AE6479D"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F56359E" w14:textId="77777777" w:rsidR="00000000" w:rsidRDefault="00847163">
            <w:pPr>
              <w:rPr>
                <w:rFonts w:eastAsia="Times New Roman"/>
                <w:sz w:val="20"/>
                <w:szCs w:val="20"/>
              </w:rPr>
            </w:pPr>
            <w:r>
              <w:rPr>
                <w:rFonts w:eastAsia="Times New Roman"/>
                <w:sz w:val="20"/>
                <w:szCs w:val="20"/>
              </w:rPr>
              <w:t> </w:t>
            </w:r>
          </w:p>
        </w:tc>
        <w:tc>
          <w:tcPr>
            <w:tcW w:w="350" w:type="pct"/>
            <w:shd w:val="clear" w:color="auto" w:fill="FFFFFF"/>
            <w:vAlign w:val="bottom"/>
            <w:hideMark/>
          </w:tcPr>
          <w:p w14:paraId="4953B14F" w14:textId="77777777" w:rsidR="00000000" w:rsidRDefault="00847163">
            <w:pPr>
              <w:jc w:val="right"/>
              <w:rPr>
                <w:rFonts w:eastAsia="Times New Roman"/>
                <w:sz w:val="20"/>
                <w:szCs w:val="20"/>
              </w:rPr>
            </w:pPr>
            <w:r>
              <w:rPr>
                <w:rFonts w:eastAsia="Times New Roman"/>
                <w:sz w:val="20"/>
                <w:szCs w:val="20"/>
              </w:rPr>
              <w:t>4.39</w:t>
            </w:r>
          </w:p>
        </w:tc>
        <w:tc>
          <w:tcPr>
            <w:tcW w:w="50" w:type="pct"/>
            <w:shd w:val="clear" w:color="auto" w:fill="FFFFFF"/>
            <w:vAlign w:val="bottom"/>
            <w:hideMark/>
          </w:tcPr>
          <w:p w14:paraId="2AC60568" w14:textId="77777777" w:rsidR="00000000" w:rsidRDefault="00847163">
            <w:pPr>
              <w:pStyle w:val="a3"/>
              <w:spacing w:before="0" w:beforeAutospacing="0" w:after="0" w:afterAutospacing="0"/>
              <w:rPr>
                <w:sz w:val="20"/>
                <w:szCs w:val="20"/>
              </w:rPr>
            </w:pPr>
            <w:r>
              <w:rPr>
                <w:sz w:val="20"/>
                <w:szCs w:val="20"/>
              </w:rPr>
              <w:t>%</w:t>
            </w:r>
          </w:p>
        </w:tc>
        <w:tc>
          <w:tcPr>
            <w:tcW w:w="50" w:type="pct"/>
            <w:shd w:val="clear" w:color="auto" w:fill="FFFFFF"/>
            <w:vAlign w:val="bottom"/>
            <w:hideMark/>
          </w:tcPr>
          <w:p w14:paraId="09CA3B3B"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E4EEEBF" w14:textId="77777777" w:rsidR="00000000" w:rsidRDefault="00847163">
            <w:pPr>
              <w:rPr>
                <w:rFonts w:eastAsia="Times New Roman"/>
                <w:sz w:val="20"/>
                <w:szCs w:val="20"/>
              </w:rPr>
            </w:pPr>
            <w:r>
              <w:rPr>
                <w:rFonts w:eastAsia="Times New Roman"/>
                <w:sz w:val="20"/>
                <w:szCs w:val="20"/>
              </w:rPr>
              <w:t> </w:t>
            </w:r>
          </w:p>
        </w:tc>
        <w:tc>
          <w:tcPr>
            <w:tcW w:w="350" w:type="pct"/>
            <w:shd w:val="clear" w:color="auto" w:fill="FFFFFF"/>
            <w:vAlign w:val="bottom"/>
            <w:hideMark/>
          </w:tcPr>
          <w:p w14:paraId="2529E496" w14:textId="77777777" w:rsidR="00000000" w:rsidRDefault="00847163">
            <w:pPr>
              <w:jc w:val="right"/>
              <w:rPr>
                <w:rFonts w:eastAsia="Times New Roman"/>
                <w:sz w:val="20"/>
                <w:szCs w:val="20"/>
              </w:rPr>
            </w:pPr>
            <w:r>
              <w:rPr>
                <w:rFonts w:eastAsia="Times New Roman"/>
                <w:sz w:val="20"/>
                <w:szCs w:val="20"/>
              </w:rPr>
              <w:t>28.4</w:t>
            </w:r>
          </w:p>
        </w:tc>
        <w:tc>
          <w:tcPr>
            <w:tcW w:w="50" w:type="pct"/>
            <w:shd w:val="clear" w:color="auto" w:fill="FFFFFF"/>
            <w:vAlign w:val="bottom"/>
            <w:hideMark/>
          </w:tcPr>
          <w:p w14:paraId="5333281B" w14:textId="77777777" w:rsidR="00000000" w:rsidRDefault="00847163">
            <w:pPr>
              <w:rPr>
                <w:rFonts w:eastAsia="Times New Roman"/>
                <w:sz w:val="20"/>
                <w:szCs w:val="20"/>
              </w:rPr>
            </w:pPr>
            <w:r>
              <w:rPr>
                <w:rFonts w:eastAsia="Times New Roman"/>
                <w:sz w:val="20"/>
                <w:szCs w:val="20"/>
              </w:rPr>
              <w:t> </w:t>
            </w:r>
          </w:p>
        </w:tc>
      </w:tr>
      <w:tr w:rsidR="00000000" w14:paraId="294E586A" w14:textId="77777777">
        <w:trPr>
          <w:tblCellSpacing w:w="0" w:type="dxa"/>
        </w:trPr>
        <w:tc>
          <w:tcPr>
            <w:tcW w:w="1800" w:type="pct"/>
            <w:shd w:val="clear" w:color="auto" w:fill="CCEEFF"/>
            <w:vAlign w:val="bottom"/>
            <w:hideMark/>
          </w:tcPr>
          <w:p w14:paraId="635DBAF0" w14:textId="77777777" w:rsidR="00000000" w:rsidRDefault="00847163">
            <w:pPr>
              <w:pStyle w:val="a3"/>
              <w:spacing w:before="0" w:beforeAutospacing="0" w:after="0" w:afterAutospacing="0"/>
              <w:rPr>
                <w:sz w:val="20"/>
                <w:szCs w:val="20"/>
              </w:rPr>
            </w:pPr>
            <w:r>
              <w:rPr>
                <w:sz w:val="20"/>
                <w:szCs w:val="20"/>
              </w:rPr>
              <w:t>CPP</w:t>
            </w:r>
          </w:p>
        </w:tc>
        <w:tc>
          <w:tcPr>
            <w:tcW w:w="50" w:type="pct"/>
            <w:shd w:val="clear" w:color="auto" w:fill="CCEEFF"/>
            <w:vAlign w:val="bottom"/>
            <w:hideMark/>
          </w:tcPr>
          <w:p w14:paraId="1DD97CCE"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B95A8BA" w14:textId="77777777" w:rsidR="00000000" w:rsidRDefault="0084716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7776C2C1" w14:textId="77777777" w:rsidR="00000000" w:rsidRDefault="00847163">
            <w:pPr>
              <w:jc w:val="right"/>
              <w:rPr>
                <w:rFonts w:eastAsia="Times New Roman"/>
                <w:sz w:val="20"/>
                <w:szCs w:val="20"/>
              </w:rPr>
            </w:pPr>
            <w:r>
              <w:rPr>
                <w:rFonts w:eastAsia="Times New Roman"/>
                <w:sz w:val="20"/>
                <w:szCs w:val="20"/>
              </w:rPr>
              <w:t>84.9</w:t>
            </w:r>
          </w:p>
        </w:tc>
        <w:tc>
          <w:tcPr>
            <w:tcW w:w="50" w:type="pct"/>
            <w:shd w:val="clear" w:color="auto" w:fill="CCEEFF"/>
            <w:vAlign w:val="bottom"/>
            <w:hideMark/>
          </w:tcPr>
          <w:p w14:paraId="221A687E"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A275F58"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381AE4E" w14:textId="77777777" w:rsidR="00000000" w:rsidRDefault="00847163">
            <w:pPr>
              <w:rPr>
                <w:rFonts w:eastAsia="Times New Roman"/>
                <w:sz w:val="20"/>
                <w:szCs w:val="20"/>
              </w:rPr>
            </w:pPr>
            <w:r>
              <w:rPr>
                <w:rFonts w:eastAsia="Times New Roman"/>
                <w:sz w:val="20"/>
                <w:szCs w:val="20"/>
              </w:rPr>
              <w:t> </w:t>
            </w:r>
          </w:p>
        </w:tc>
        <w:tc>
          <w:tcPr>
            <w:tcW w:w="350" w:type="pct"/>
            <w:shd w:val="clear" w:color="auto" w:fill="CCEEFF"/>
            <w:vAlign w:val="bottom"/>
            <w:hideMark/>
          </w:tcPr>
          <w:p w14:paraId="21089911" w14:textId="77777777" w:rsidR="00000000" w:rsidRDefault="00847163">
            <w:pPr>
              <w:jc w:val="right"/>
              <w:rPr>
                <w:rFonts w:eastAsia="Times New Roman"/>
                <w:sz w:val="20"/>
                <w:szCs w:val="20"/>
              </w:rPr>
            </w:pPr>
            <w:r>
              <w:rPr>
                <w:rFonts w:eastAsia="Times New Roman"/>
                <w:sz w:val="20"/>
                <w:szCs w:val="20"/>
              </w:rPr>
              <w:t>3.25</w:t>
            </w:r>
          </w:p>
        </w:tc>
        <w:tc>
          <w:tcPr>
            <w:tcW w:w="50" w:type="pct"/>
            <w:shd w:val="clear" w:color="auto" w:fill="CCEEFF"/>
            <w:vAlign w:val="bottom"/>
            <w:hideMark/>
          </w:tcPr>
          <w:p w14:paraId="61E4D387" w14:textId="77777777" w:rsidR="00000000" w:rsidRDefault="00847163">
            <w:pPr>
              <w:rPr>
                <w:rFonts w:eastAsia="Times New Roman"/>
                <w:sz w:val="20"/>
                <w:szCs w:val="20"/>
              </w:rPr>
            </w:pPr>
            <w:r>
              <w:rPr>
                <w:rFonts w:eastAsia="Times New Roman"/>
                <w:sz w:val="20"/>
                <w:szCs w:val="20"/>
              </w:rPr>
              <w:t>%</w:t>
            </w:r>
          </w:p>
        </w:tc>
        <w:tc>
          <w:tcPr>
            <w:tcW w:w="50" w:type="pct"/>
            <w:shd w:val="clear" w:color="auto" w:fill="CCEEFF"/>
            <w:vAlign w:val="bottom"/>
            <w:hideMark/>
          </w:tcPr>
          <w:p w14:paraId="2293BE48"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8F79AA3" w14:textId="77777777" w:rsidR="00000000" w:rsidRDefault="00847163">
            <w:pPr>
              <w:rPr>
                <w:rFonts w:eastAsia="Times New Roman"/>
                <w:sz w:val="20"/>
                <w:szCs w:val="20"/>
              </w:rPr>
            </w:pPr>
            <w:r>
              <w:rPr>
                <w:rFonts w:eastAsia="Times New Roman"/>
                <w:sz w:val="20"/>
                <w:szCs w:val="20"/>
              </w:rPr>
              <w:t> </w:t>
            </w:r>
          </w:p>
        </w:tc>
        <w:tc>
          <w:tcPr>
            <w:tcW w:w="350" w:type="pct"/>
            <w:shd w:val="clear" w:color="auto" w:fill="CCEEFF"/>
            <w:vAlign w:val="bottom"/>
            <w:hideMark/>
          </w:tcPr>
          <w:p w14:paraId="6DF427D1" w14:textId="77777777" w:rsidR="00000000" w:rsidRDefault="00847163">
            <w:pPr>
              <w:jc w:val="right"/>
              <w:rPr>
                <w:rFonts w:eastAsia="Times New Roman"/>
                <w:sz w:val="20"/>
                <w:szCs w:val="20"/>
              </w:rPr>
            </w:pPr>
            <w:r>
              <w:rPr>
                <w:rFonts w:eastAsia="Times New Roman"/>
                <w:sz w:val="20"/>
                <w:szCs w:val="20"/>
              </w:rPr>
              <w:t>39.0</w:t>
            </w:r>
          </w:p>
        </w:tc>
        <w:tc>
          <w:tcPr>
            <w:tcW w:w="50" w:type="pct"/>
            <w:shd w:val="clear" w:color="auto" w:fill="CCEEFF"/>
            <w:vAlign w:val="bottom"/>
            <w:hideMark/>
          </w:tcPr>
          <w:p w14:paraId="4AA87D81"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CE38C04"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07F3A3E" w14:textId="77777777" w:rsidR="00000000" w:rsidRDefault="0084716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2BEA0643" w14:textId="77777777" w:rsidR="00000000" w:rsidRDefault="00847163">
            <w:pPr>
              <w:jc w:val="right"/>
              <w:rPr>
                <w:rFonts w:eastAsia="Times New Roman"/>
                <w:sz w:val="20"/>
                <w:szCs w:val="20"/>
              </w:rPr>
            </w:pPr>
            <w:r>
              <w:rPr>
                <w:rFonts w:eastAsia="Times New Roman"/>
                <w:sz w:val="20"/>
                <w:szCs w:val="20"/>
              </w:rPr>
              <w:t>84.8</w:t>
            </w:r>
          </w:p>
        </w:tc>
        <w:tc>
          <w:tcPr>
            <w:tcW w:w="50" w:type="pct"/>
            <w:shd w:val="clear" w:color="auto" w:fill="CCEEFF"/>
            <w:vAlign w:val="bottom"/>
            <w:hideMark/>
          </w:tcPr>
          <w:p w14:paraId="4BFEF27C"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EA96298"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3380D6E" w14:textId="77777777" w:rsidR="00000000" w:rsidRDefault="00847163">
            <w:pPr>
              <w:rPr>
                <w:rFonts w:eastAsia="Times New Roman"/>
                <w:sz w:val="20"/>
                <w:szCs w:val="20"/>
              </w:rPr>
            </w:pPr>
            <w:r>
              <w:rPr>
                <w:rFonts w:eastAsia="Times New Roman"/>
                <w:sz w:val="20"/>
                <w:szCs w:val="20"/>
              </w:rPr>
              <w:t> </w:t>
            </w:r>
          </w:p>
        </w:tc>
        <w:tc>
          <w:tcPr>
            <w:tcW w:w="350" w:type="pct"/>
            <w:shd w:val="clear" w:color="auto" w:fill="CCEEFF"/>
            <w:vAlign w:val="bottom"/>
            <w:hideMark/>
          </w:tcPr>
          <w:p w14:paraId="6867EEE1" w14:textId="77777777" w:rsidR="00000000" w:rsidRDefault="00847163">
            <w:pPr>
              <w:jc w:val="right"/>
              <w:rPr>
                <w:rFonts w:eastAsia="Times New Roman"/>
                <w:sz w:val="20"/>
                <w:szCs w:val="20"/>
              </w:rPr>
            </w:pPr>
            <w:r>
              <w:rPr>
                <w:rFonts w:eastAsia="Times New Roman"/>
                <w:sz w:val="20"/>
                <w:szCs w:val="20"/>
              </w:rPr>
              <w:t>3.25</w:t>
            </w:r>
          </w:p>
        </w:tc>
        <w:tc>
          <w:tcPr>
            <w:tcW w:w="50" w:type="pct"/>
            <w:shd w:val="clear" w:color="auto" w:fill="CCEEFF"/>
            <w:vAlign w:val="bottom"/>
            <w:hideMark/>
          </w:tcPr>
          <w:p w14:paraId="7644173C" w14:textId="77777777" w:rsidR="00000000" w:rsidRDefault="00847163">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14:paraId="2D3C4F69"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DBF374C" w14:textId="77777777" w:rsidR="00000000" w:rsidRDefault="00847163">
            <w:pPr>
              <w:rPr>
                <w:rFonts w:eastAsia="Times New Roman"/>
                <w:sz w:val="20"/>
                <w:szCs w:val="20"/>
              </w:rPr>
            </w:pPr>
            <w:r>
              <w:rPr>
                <w:rFonts w:eastAsia="Times New Roman"/>
                <w:sz w:val="20"/>
                <w:szCs w:val="20"/>
              </w:rPr>
              <w:t> </w:t>
            </w:r>
          </w:p>
        </w:tc>
        <w:tc>
          <w:tcPr>
            <w:tcW w:w="350" w:type="pct"/>
            <w:shd w:val="clear" w:color="auto" w:fill="CCEEFF"/>
            <w:vAlign w:val="bottom"/>
            <w:hideMark/>
          </w:tcPr>
          <w:p w14:paraId="2BB95BBE" w14:textId="77777777" w:rsidR="00000000" w:rsidRDefault="00847163">
            <w:pPr>
              <w:jc w:val="right"/>
              <w:rPr>
                <w:rFonts w:eastAsia="Times New Roman"/>
                <w:sz w:val="20"/>
                <w:szCs w:val="20"/>
              </w:rPr>
            </w:pPr>
            <w:r>
              <w:rPr>
                <w:rFonts w:eastAsia="Times New Roman"/>
                <w:sz w:val="20"/>
                <w:szCs w:val="20"/>
              </w:rPr>
              <w:t>42.0</w:t>
            </w:r>
          </w:p>
        </w:tc>
        <w:tc>
          <w:tcPr>
            <w:tcW w:w="50" w:type="pct"/>
            <w:shd w:val="clear" w:color="auto" w:fill="CCEEFF"/>
            <w:vAlign w:val="bottom"/>
            <w:hideMark/>
          </w:tcPr>
          <w:p w14:paraId="010148B1" w14:textId="77777777" w:rsidR="00000000" w:rsidRDefault="00847163">
            <w:pPr>
              <w:rPr>
                <w:rFonts w:eastAsia="Times New Roman"/>
                <w:sz w:val="20"/>
                <w:szCs w:val="20"/>
              </w:rPr>
            </w:pPr>
            <w:r>
              <w:rPr>
                <w:rFonts w:eastAsia="Times New Roman"/>
                <w:sz w:val="20"/>
                <w:szCs w:val="20"/>
              </w:rPr>
              <w:t> </w:t>
            </w:r>
          </w:p>
        </w:tc>
      </w:tr>
      <w:tr w:rsidR="00000000" w14:paraId="4B53688E" w14:textId="77777777">
        <w:trPr>
          <w:tblCellSpacing w:w="0" w:type="dxa"/>
        </w:trPr>
        <w:tc>
          <w:tcPr>
            <w:tcW w:w="1800" w:type="pct"/>
            <w:shd w:val="clear" w:color="auto" w:fill="FFFFFF"/>
            <w:vAlign w:val="bottom"/>
            <w:hideMark/>
          </w:tcPr>
          <w:p w14:paraId="3DA29122" w14:textId="77777777" w:rsidR="00000000" w:rsidRDefault="00847163">
            <w:pPr>
              <w:pStyle w:val="a3"/>
              <w:spacing w:before="0" w:beforeAutospacing="0" w:after="0" w:afterAutospacing="0"/>
              <w:rPr>
                <w:sz w:val="20"/>
                <w:szCs w:val="20"/>
              </w:rPr>
            </w:pPr>
            <w:r>
              <w:rPr>
                <w:sz w:val="20"/>
                <w:szCs w:val="20"/>
              </w:rPr>
              <w:t>Other Joint Venture Programs</w:t>
            </w:r>
          </w:p>
        </w:tc>
        <w:tc>
          <w:tcPr>
            <w:tcW w:w="50" w:type="pct"/>
            <w:shd w:val="clear" w:color="auto" w:fill="FFFFFF"/>
            <w:tcMar>
              <w:top w:w="0" w:type="dxa"/>
              <w:left w:w="0" w:type="dxa"/>
              <w:bottom w:w="15" w:type="dxa"/>
              <w:right w:w="0" w:type="dxa"/>
            </w:tcMar>
            <w:vAlign w:val="bottom"/>
            <w:hideMark/>
          </w:tcPr>
          <w:p w14:paraId="20A6944A" w14:textId="77777777" w:rsidR="00000000" w:rsidRDefault="0084716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3193AF41" w14:textId="77777777" w:rsidR="00000000" w:rsidRDefault="00847163">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09B71853" w14:textId="77777777" w:rsidR="00000000" w:rsidRDefault="00847163">
            <w:pPr>
              <w:jc w:val="right"/>
              <w:rPr>
                <w:rFonts w:eastAsia="Times New Roman"/>
                <w:sz w:val="20"/>
                <w:szCs w:val="20"/>
              </w:rPr>
            </w:pPr>
            <w:r>
              <w:rPr>
                <w:rFonts w:eastAsia="Times New Roman"/>
                <w:sz w:val="20"/>
                <w:szCs w:val="20"/>
              </w:rPr>
              <w:t>414.4</w:t>
            </w:r>
          </w:p>
        </w:tc>
        <w:tc>
          <w:tcPr>
            <w:tcW w:w="50" w:type="pct"/>
            <w:shd w:val="clear" w:color="auto" w:fill="FFFFFF"/>
            <w:tcMar>
              <w:top w:w="0" w:type="dxa"/>
              <w:left w:w="0" w:type="dxa"/>
              <w:bottom w:w="15" w:type="dxa"/>
              <w:right w:w="0" w:type="dxa"/>
            </w:tcMar>
            <w:vAlign w:val="bottom"/>
            <w:hideMark/>
          </w:tcPr>
          <w:p w14:paraId="502CD51C"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2F86C69"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F63DECB" w14:textId="77777777" w:rsidR="00000000" w:rsidRDefault="00847163">
            <w:pPr>
              <w:rPr>
                <w:rFonts w:eastAsia="Times New Roman"/>
                <w:sz w:val="20"/>
                <w:szCs w:val="20"/>
              </w:rPr>
            </w:pPr>
            <w:r>
              <w:rPr>
                <w:rFonts w:eastAsia="Times New Roman"/>
                <w:sz w:val="20"/>
                <w:szCs w:val="20"/>
              </w:rPr>
              <w:t> </w:t>
            </w:r>
          </w:p>
        </w:tc>
        <w:tc>
          <w:tcPr>
            <w:tcW w:w="350" w:type="pct"/>
            <w:shd w:val="clear" w:color="auto" w:fill="FFFFFF"/>
            <w:vAlign w:val="bottom"/>
            <w:hideMark/>
          </w:tcPr>
          <w:p w14:paraId="65670C1A" w14:textId="77777777" w:rsidR="00000000" w:rsidRDefault="00847163">
            <w:pPr>
              <w:jc w:val="right"/>
              <w:rPr>
                <w:rFonts w:eastAsia="Times New Roman"/>
                <w:sz w:val="20"/>
                <w:szCs w:val="20"/>
              </w:rPr>
            </w:pPr>
            <w:r>
              <w:rPr>
                <w:rFonts w:eastAsia="Times New Roman"/>
                <w:sz w:val="20"/>
                <w:szCs w:val="20"/>
              </w:rPr>
              <w:t>3.62</w:t>
            </w:r>
          </w:p>
        </w:tc>
        <w:tc>
          <w:tcPr>
            <w:tcW w:w="50" w:type="pct"/>
            <w:shd w:val="clear" w:color="auto" w:fill="FFFFFF"/>
            <w:vAlign w:val="bottom"/>
            <w:hideMark/>
          </w:tcPr>
          <w:p w14:paraId="3D48331D" w14:textId="77777777" w:rsidR="00000000" w:rsidRDefault="00847163">
            <w:pPr>
              <w:rPr>
                <w:rFonts w:eastAsia="Times New Roman"/>
                <w:sz w:val="20"/>
                <w:szCs w:val="20"/>
              </w:rPr>
            </w:pPr>
            <w:r>
              <w:rPr>
                <w:rFonts w:eastAsia="Times New Roman"/>
                <w:sz w:val="20"/>
                <w:szCs w:val="20"/>
              </w:rPr>
              <w:t>%</w:t>
            </w:r>
          </w:p>
        </w:tc>
        <w:tc>
          <w:tcPr>
            <w:tcW w:w="50" w:type="pct"/>
            <w:shd w:val="clear" w:color="auto" w:fill="FFFFFF"/>
            <w:vAlign w:val="bottom"/>
            <w:hideMark/>
          </w:tcPr>
          <w:p w14:paraId="15DDA812"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385676B" w14:textId="77777777" w:rsidR="00000000" w:rsidRDefault="00847163">
            <w:pPr>
              <w:rPr>
                <w:rFonts w:eastAsia="Times New Roman"/>
                <w:sz w:val="20"/>
                <w:szCs w:val="20"/>
              </w:rPr>
            </w:pPr>
            <w:r>
              <w:rPr>
                <w:rFonts w:eastAsia="Times New Roman"/>
                <w:sz w:val="20"/>
                <w:szCs w:val="20"/>
              </w:rPr>
              <w:t> </w:t>
            </w:r>
          </w:p>
        </w:tc>
        <w:tc>
          <w:tcPr>
            <w:tcW w:w="350" w:type="pct"/>
            <w:shd w:val="clear" w:color="auto" w:fill="FFFFFF"/>
            <w:vAlign w:val="bottom"/>
            <w:hideMark/>
          </w:tcPr>
          <w:p w14:paraId="5FDD6C81" w14:textId="77777777" w:rsidR="00000000" w:rsidRDefault="00847163">
            <w:pPr>
              <w:jc w:val="right"/>
              <w:rPr>
                <w:rFonts w:eastAsia="Times New Roman"/>
                <w:sz w:val="20"/>
                <w:szCs w:val="20"/>
              </w:rPr>
            </w:pPr>
            <w:r>
              <w:rPr>
                <w:rFonts w:eastAsia="Times New Roman"/>
                <w:sz w:val="20"/>
                <w:szCs w:val="20"/>
              </w:rPr>
              <w:t>78.5</w:t>
            </w:r>
          </w:p>
        </w:tc>
        <w:tc>
          <w:tcPr>
            <w:tcW w:w="50" w:type="pct"/>
            <w:shd w:val="clear" w:color="auto" w:fill="FFFFFF"/>
            <w:vAlign w:val="bottom"/>
            <w:hideMark/>
          </w:tcPr>
          <w:p w14:paraId="4C987BC9"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14:paraId="10D1AF94" w14:textId="77777777" w:rsidR="00000000" w:rsidRDefault="0084716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57498746" w14:textId="77777777" w:rsidR="00000000" w:rsidRDefault="00847163">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3AD75F59" w14:textId="77777777" w:rsidR="00000000" w:rsidRDefault="00847163">
            <w:pPr>
              <w:jc w:val="right"/>
              <w:rPr>
                <w:rFonts w:eastAsia="Times New Roman"/>
                <w:sz w:val="20"/>
                <w:szCs w:val="20"/>
              </w:rPr>
            </w:pPr>
            <w:r>
              <w:rPr>
                <w:rFonts w:eastAsia="Times New Roman"/>
                <w:sz w:val="20"/>
                <w:szCs w:val="20"/>
              </w:rPr>
              <w:t>415.2</w:t>
            </w:r>
          </w:p>
        </w:tc>
        <w:tc>
          <w:tcPr>
            <w:tcW w:w="50" w:type="pct"/>
            <w:shd w:val="clear" w:color="auto" w:fill="FFFFFF"/>
            <w:tcMar>
              <w:top w:w="0" w:type="dxa"/>
              <w:left w:w="0" w:type="dxa"/>
              <w:bottom w:w="15" w:type="dxa"/>
              <w:right w:w="0" w:type="dxa"/>
            </w:tcMar>
            <w:vAlign w:val="bottom"/>
            <w:hideMark/>
          </w:tcPr>
          <w:p w14:paraId="7371A7C7"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A3E8450"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B66D730" w14:textId="77777777" w:rsidR="00000000" w:rsidRDefault="00847163">
            <w:pPr>
              <w:rPr>
                <w:rFonts w:eastAsia="Times New Roman"/>
                <w:sz w:val="20"/>
                <w:szCs w:val="20"/>
              </w:rPr>
            </w:pPr>
            <w:r>
              <w:rPr>
                <w:rFonts w:eastAsia="Times New Roman"/>
                <w:sz w:val="20"/>
                <w:szCs w:val="20"/>
              </w:rPr>
              <w:t> </w:t>
            </w:r>
          </w:p>
        </w:tc>
        <w:tc>
          <w:tcPr>
            <w:tcW w:w="350" w:type="pct"/>
            <w:shd w:val="clear" w:color="auto" w:fill="FFFFFF"/>
            <w:vAlign w:val="bottom"/>
            <w:hideMark/>
          </w:tcPr>
          <w:p w14:paraId="335A3C62" w14:textId="77777777" w:rsidR="00000000" w:rsidRDefault="00847163">
            <w:pPr>
              <w:jc w:val="right"/>
              <w:rPr>
                <w:rFonts w:eastAsia="Times New Roman"/>
                <w:sz w:val="20"/>
                <w:szCs w:val="20"/>
              </w:rPr>
            </w:pPr>
            <w:r>
              <w:rPr>
                <w:rFonts w:eastAsia="Times New Roman"/>
                <w:sz w:val="20"/>
                <w:szCs w:val="20"/>
              </w:rPr>
              <w:t>3.87</w:t>
            </w:r>
          </w:p>
        </w:tc>
        <w:tc>
          <w:tcPr>
            <w:tcW w:w="50" w:type="pct"/>
            <w:shd w:val="clear" w:color="auto" w:fill="FFFFFF"/>
            <w:vAlign w:val="bottom"/>
            <w:hideMark/>
          </w:tcPr>
          <w:p w14:paraId="27CB3D77" w14:textId="77777777" w:rsidR="00000000" w:rsidRDefault="00847163">
            <w:pPr>
              <w:pStyle w:val="a3"/>
              <w:spacing w:before="0" w:beforeAutospacing="0" w:after="0" w:afterAutospacing="0"/>
              <w:rPr>
                <w:sz w:val="20"/>
                <w:szCs w:val="20"/>
              </w:rPr>
            </w:pPr>
            <w:r>
              <w:rPr>
                <w:sz w:val="20"/>
                <w:szCs w:val="20"/>
              </w:rPr>
              <w:t>%</w:t>
            </w:r>
          </w:p>
        </w:tc>
        <w:tc>
          <w:tcPr>
            <w:tcW w:w="50" w:type="pct"/>
            <w:shd w:val="clear" w:color="auto" w:fill="FFFFFF"/>
            <w:vAlign w:val="bottom"/>
            <w:hideMark/>
          </w:tcPr>
          <w:p w14:paraId="3B01CB1C"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ED9B295" w14:textId="77777777" w:rsidR="00000000" w:rsidRDefault="00847163">
            <w:pPr>
              <w:rPr>
                <w:rFonts w:eastAsia="Times New Roman"/>
                <w:sz w:val="20"/>
                <w:szCs w:val="20"/>
              </w:rPr>
            </w:pPr>
            <w:r>
              <w:rPr>
                <w:rFonts w:eastAsia="Times New Roman"/>
                <w:sz w:val="20"/>
                <w:szCs w:val="20"/>
              </w:rPr>
              <w:t> </w:t>
            </w:r>
          </w:p>
        </w:tc>
        <w:tc>
          <w:tcPr>
            <w:tcW w:w="350" w:type="pct"/>
            <w:shd w:val="clear" w:color="auto" w:fill="FFFFFF"/>
            <w:vAlign w:val="bottom"/>
            <w:hideMark/>
          </w:tcPr>
          <w:p w14:paraId="10A4EDED" w14:textId="77777777" w:rsidR="00000000" w:rsidRDefault="00847163">
            <w:pPr>
              <w:jc w:val="right"/>
              <w:rPr>
                <w:rFonts w:eastAsia="Times New Roman"/>
                <w:sz w:val="20"/>
                <w:szCs w:val="20"/>
              </w:rPr>
            </w:pPr>
            <w:r>
              <w:rPr>
                <w:rFonts w:eastAsia="Times New Roman"/>
                <w:sz w:val="20"/>
                <w:szCs w:val="20"/>
              </w:rPr>
              <w:t>80.9</w:t>
            </w:r>
          </w:p>
        </w:tc>
        <w:tc>
          <w:tcPr>
            <w:tcW w:w="50" w:type="pct"/>
            <w:shd w:val="clear" w:color="auto" w:fill="FFFFFF"/>
            <w:vAlign w:val="bottom"/>
            <w:hideMark/>
          </w:tcPr>
          <w:p w14:paraId="224850E0" w14:textId="77777777" w:rsidR="00000000" w:rsidRDefault="00847163">
            <w:pPr>
              <w:rPr>
                <w:rFonts w:eastAsia="Times New Roman"/>
                <w:sz w:val="20"/>
                <w:szCs w:val="20"/>
              </w:rPr>
            </w:pPr>
            <w:r>
              <w:rPr>
                <w:rFonts w:eastAsia="Times New Roman"/>
                <w:sz w:val="20"/>
                <w:szCs w:val="20"/>
              </w:rPr>
              <w:t> </w:t>
            </w:r>
          </w:p>
        </w:tc>
      </w:tr>
      <w:tr w:rsidR="00000000" w14:paraId="1E6C5A70" w14:textId="77777777">
        <w:trPr>
          <w:tblCellSpacing w:w="0" w:type="dxa"/>
        </w:trPr>
        <w:tc>
          <w:tcPr>
            <w:tcW w:w="1800" w:type="pct"/>
            <w:shd w:val="clear" w:color="auto" w:fill="CCEEFF"/>
            <w:vAlign w:val="bottom"/>
            <w:hideMark/>
          </w:tcPr>
          <w:p w14:paraId="59DEFEDA" w14:textId="77777777" w:rsidR="00000000" w:rsidRDefault="00847163">
            <w:pPr>
              <w:pStyle w:val="a3"/>
              <w:spacing w:before="0" w:beforeAutospacing="0" w:after="0" w:afterAutospacing="0"/>
              <w:rPr>
                <w:sz w:val="20"/>
                <w:szCs w:val="20"/>
              </w:rPr>
            </w:pPr>
            <w:r>
              <w:rPr>
                <w:b/>
                <w:bCs/>
                <w:sz w:val="20"/>
                <w:szCs w:val="20"/>
              </w:rPr>
              <w:t>Total</w:t>
            </w:r>
          </w:p>
        </w:tc>
        <w:tc>
          <w:tcPr>
            <w:tcW w:w="50" w:type="pct"/>
            <w:shd w:val="clear" w:color="auto" w:fill="CCEEFF"/>
            <w:tcMar>
              <w:top w:w="0" w:type="dxa"/>
              <w:left w:w="0" w:type="dxa"/>
              <w:bottom w:w="45" w:type="dxa"/>
              <w:right w:w="0" w:type="dxa"/>
            </w:tcMar>
            <w:vAlign w:val="bottom"/>
            <w:hideMark/>
          </w:tcPr>
          <w:p w14:paraId="5AE3E748" w14:textId="77777777" w:rsidR="00000000" w:rsidRDefault="0084716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742C992F" w14:textId="77777777" w:rsidR="00000000" w:rsidRDefault="00847163">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CCEEFF"/>
            <w:vAlign w:val="bottom"/>
            <w:hideMark/>
          </w:tcPr>
          <w:p w14:paraId="6DFD8CB8" w14:textId="77777777" w:rsidR="00000000" w:rsidRDefault="00847163">
            <w:pPr>
              <w:jc w:val="right"/>
              <w:rPr>
                <w:rFonts w:eastAsia="Times New Roman"/>
                <w:sz w:val="20"/>
                <w:szCs w:val="20"/>
              </w:rPr>
            </w:pPr>
            <w:r>
              <w:rPr>
                <w:rFonts w:eastAsia="Times New Roman"/>
                <w:b/>
                <w:bCs/>
                <w:sz w:val="20"/>
                <w:szCs w:val="20"/>
              </w:rPr>
              <w:t>1,597.7</w:t>
            </w:r>
          </w:p>
        </w:tc>
        <w:tc>
          <w:tcPr>
            <w:tcW w:w="50" w:type="pct"/>
            <w:shd w:val="clear" w:color="auto" w:fill="CCEEFF"/>
            <w:tcMar>
              <w:top w:w="0" w:type="dxa"/>
              <w:left w:w="0" w:type="dxa"/>
              <w:bottom w:w="45" w:type="dxa"/>
              <w:right w:w="0" w:type="dxa"/>
            </w:tcMar>
            <w:vAlign w:val="bottom"/>
            <w:hideMark/>
          </w:tcPr>
          <w:p w14:paraId="330C575F"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B8099F8"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F9FC3B8" w14:textId="77777777" w:rsidR="00000000" w:rsidRDefault="00847163">
            <w:pPr>
              <w:rPr>
                <w:rFonts w:eastAsia="Times New Roman"/>
                <w:sz w:val="20"/>
                <w:szCs w:val="20"/>
              </w:rPr>
            </w:pPr>
            <w:r>
              <w:rPr>
                <w:rFonts w:eastAsia="Times New Roman"/>
                <w:b/>
                <w:bCs/>
                <w:sz w:val="20"/>
                <w:szCs w:val="20"/>
              </w:rPr>
              <w:t> </w:t>
            </w:r>
          </w:p>
        </w:tc>
        <w:tc>
          <w:tcPr>
            <w:tcW w:w="350" w:type="pct"/>
            <w:shd w:val="clear" w:color="auto" w:fill="CCEEFF"/>
            <w:vAlign w:val="bottom"/>
            <w:hideMark/>
          </w:tcPr>
          <w:p w14:paraId="7F2430CC" w14:textId="77777777" w:rsidR="00000000" w:rsidRDefault="00847163">
            <w:pPr>
              <w:jc w:val="right"/>
              <w:rPr>
                <w:rFonts w:eastAsia="Times New Roman"/>
                <w:sz w:val="20"/>
                <w:szCs w:val="20"/>
              </w:rPr>
            </w:pPr>
            <w:r>
              <w:rPr>
                <w:rStyle w:val="a6"/>
                <w:rFonts w:eastAsia="Times New Roman"/>
                <w:b/>
                <w:bCs/>
                <w:sz w:val="20"/>
                <w:szCs w:val="20"/>
              </w:rPr>
              <w:t> </w:t>
            </w:r>
          </w:p>
        </w:tc>
        <w:tc>
          <w:tcPr>
            <w:tcW w:w="50" w:type="pct"/>
            <w:shd w:val="clear" w:color="auto" w:fill="CCEEFF"/>
            <w:vAlign w:val="bottom"/>
            <w:hideMark/>
          </w:tcPr>
          <w:p w14:paraId="2A7102D6" w14:textId="77777777" w:rsidR="00000000" w:rsidRDefault="00847163">
            <w:pPr>
              <w:rPr>
                <w:rFonts w:eastAsia="Times New Roman"/>
                <w:sz w:val="20"/>
                <w:szCs w:val="20"/>
              </w:rPr>
            </w:pPr>
            <w:r>
              <w:rPr>
                <w:rFonts w:eastAsia="Times New Roman"/>
                <w:b/>
                <w:bCs/>
                <w:sz w:val="20"/>
                <w:szCs w:val="20"/>
              </w:rPr>
              <w:t> </w:t>
            </w:r>
          </w:p>
        </w:tc>
        <w:tc>
          <w:tcPr>
            <w:tcW w:w="50" w:type="pct"/>
            <w:shd w:val="clear" w:color="auto" w:fill="CCEEFF"/>
            <w:vAlign w:val="bottom"/>
            <w:hideMark/>
          </w:tcPr>
          <w:p w14:paraId="4C86A7FA"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4E712A9" w14:textId="77777777" w:rsidR="00000000" w:rsidRDefault="00847163">
            <w:pPr>
              <w:rPr>
                <w:rFonts w:eastAsia="Times New Roman"/>
                <w:sz w:val="20"/>
                <w:szCs w:val="20"/>
              </w:rPr>
            </w:pPr>
            <w:r>
              <w:rPr>
                <w:rFonts w:eastAsia="Times New Roman"/>
                <w:b/>
                <w:bCs/>
                <w:sz w:val="20"/>
                <w:szCs w:val="20"/>
              </w:rPr>
              <w:t> </w:t>
            </w:r>
          </w:p>
        </w:tc>
        <w:tc>
          <w:tcPr>
            <w:tcW w:w="350" w:type="pct"/>
            <w:shd w:val="clear" w:color="auto" w:fill="CCEEFF"/>
            <w:vAlign w:val="bottom"/>
            <w:hideMark/>
          </w:tcPr>
          <w:p w14:paraId="0FC3CC5E" w14:textId="77777777" w:rsidR="00000000" w:rsidRDefault="00847163">
            <w:pPr>
              <w:jc w:val="right"/>
              <w:rPr>
                <w:rFonts w:eastAsia="Times New Roman"/>
                <w:sz w:val="20"/>
                <w:szCs w:val="20"/>
              </w:rPr>
            </w:pPr>
            <w:r>
              <w:rPr>
                <w:rStyle w:val="a6"/>
                <w:rFonts w:eastAsia="Times New Roman"/>
                <w:b/>
                <w:bCs/>
                <w:sz w:val="20"/>
                <w:szCs w:val="20"/>
              </w:rPr>
              <w:t> </w:t>
            </w:r>
          </w:p>
        </w:tc>
        <w:tc>
          <w:tcPr>
            <w:tcW w:w="50" w:type="pct"/>
            <w:shd w:val="clear" w:color="auto" w:fill="CCEEFF"/>
            <w:vAlign w:val="bottom"/>
            <w:hideMark/>
          </w:tcPr>
          <w:p w14:paraId="6583E5FF" w14:textId="77777777" w:rsidR="00000000" w:rsidRDefault="00847163">
            <w:pPr>
              <w:rPr>
                <w:rFonts w:eastAsia="Times New Roman"/>
                <w:sz w:val="20"/>
                <w:szCs w:val="20"/>
              </w:rPr>
            </w:pPr>
            <w:r>
              <w:rPr>
                <w:rFonts w:eastAsia="Times New Roman"/>
                <w:b/>
                <w:bCs/>
                <w:sz w:val="20"/>
                <w:szCs w:val="20"/>
              </w:rPr>
              <w:t> </w:t>
            </w:r>
          </w:p>
        </w:tc>
        <w:tc>
          <w:tcPr>
            <w:tcW w:w="50" w:type="pct"/>
            <w:shd w:val="clear" w:color="auto" w:fill="CCEEFF"/>
            <w:tcMar>
              <w:top w:w="0" w:type="dxa"/>
              <w:left w:w="0" w:type="dxa"/>
              <w:bottom w:w="45" w:type="dxa"/>
              <w:right w:w="0" w:type="dxa"/>
            </w:tcMar>
            <w:vAlign w:val="bottom"/>
            <w:hideMark/>
          </w:tcPr>
          <w:p w14:paraId="101B5C27" w14:textId="77777777" w:rsidR="00000000" w:rsidRDefault="0084716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04AB08F5" w14:textId="77777777" w:rsidR="00000000" w:rsidRDefault="00847163">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CCEEFF"/>
            <w:vAlign w:val="bottom"/>
            <w:hideMark/>
          </w:tcPr>
          <w:p w14:paraId="308348BE" w14:textId="77777777" w:rsidR="00000000" w:rsidRDefault="00847163">
            <w:pPr>
              <w:jc w:val="right"/>
              <w:rPr>
                <w:rFonts w:eastAsia="Times New Roman"/>
                <w:sz w:val="20"/>
                <w:szCs w:val="20"/>
              </w:rPr>
            </w:pPr>
            <w:r>
              <w:rPr>
                <w:rFonts w:eastAsia="Times New Roman"/>
                <w:b/>
                <w:bCs/>
                <w:sz w:val="20"/>
                <w:szCs w:val="20"/>
              </w:rPr>
              <w:t>1,594.1</w:t>
            </w:r>
          </w:p>
        </w:tc>
        <w:tc>
          <w:tcPr>
            <w:tcW w:w="50" w:type="pct"/>
            <w:shd w:val="clear" w:color="auto" w:fill="CCEEFF"/>
            <w:tcMar>
              <w:top w:w="0" w:type="dxa"/>
              <w:left w:w="0" w:type="dxa"/>
              <w:bottom w:w="45" w:type="dxa"/>
              <w:right w:w="0" w:type="dxa"/>
            </w:tcMar>
            <w:vAlign w:val="bottom"/>
            <w:hideMark/>
          </w:tcPr>
          <w:p w14:paraId="378A5B2B"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1D858A9"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3CE35A4" w14:textId="77777777" w:rsidR="00000000" w:rsidRDefault="00847163">
            <w:pPr>
              <w:rPr>
                <w:rFonts w:eastAsia="Times New Roman"/>
                <w:sz w:val="20"/>
                <w:szCs w:val="20"/>
              </w:rPr>
            </w:pPr>
            <w:r>
              <w:rPr>
                <w:rFonts w:eastAsia="Times New Roman"/>
                <w:b/>
                <w:bCs/>
                <w:sz w:val="20"/>
                <w:szCs w:val="20"/>
              </w:rPr>
              <w:t> </w:t>
            </w:r>
          </w:p>
        </w:tc>
        <w:tc>
          <w:tcPr>
            <w:tcW w:w="350" w:type="pct"/>
            <w:shd w:val="clear" w:color="auto" w:fill="CCEEFF"/>
            <w:vAlign w:val="bottom"/>
            <w:hideMark/>
          </w:tcPr>
          <w:p w14:paraId="48ECC425" w14:textId="77777777" w:rsidR="00000000" w:rsidRDefault="00847163">
            <w:pPr>
              <w:jc w:val="right"/>
              <w:rPr>
                <w:rFonts w:eastAsia="Times New Roman"/>
                <w:sz w:val="20"/>
                <w:szCs w:val="20"/>
              </w:rPr>
            </w:pPr>
            <w:r>
              <w:rPr>
                <w:rStyle w:val="a6"/>
                <w:rFonts w:eastAsia="Times New Roman"/>
                <w:b/>
                <w:bCs/>
                <w:sz w:val="20"/>
                <w:szCs w:val="20"/>
              </w:rPr>
              <w:t> </w:t>
            </w:r>
          </w:p>
        </w:tc>
        <w:tc>
          <w:tcPr>
            <w:tcW w:w="50" w:type="pct"/>
            <w:shd w:val="clear" w:color="auto" w:fill="CCEEFF"/>
            <w:vAlign w:val="bottom"/>
            <w:hideMark/>
          </w:tcPr>
          <w:p w14:paraId="3E2DAB1D" w14:textId="77777777" w:rsidR="00000000" w:rsidRDefault="00847163">
            <w:pPr>
              <w:rPr>
                <w:rFonts w:eastAsia="Times New Roman"/>
                <w:sz w:val="20"/>
                <w:szCs w:val="20"/>
              </w:rPr>
            </w:pPr>
            <w:r>
              <w:rPr>
                <w:rFonts w:eastAsia="Times New Roman"/>
                <w:b/>
                <w:bCs/>
                <w:sz w:val="20"/>
                <w:szCs w:val="20"/>
              </w:rPr>
              <w:t> </w:t>
            </w:r>
          </w:p>
        </w:tc>
        <w:tc>
          <w:tcPr>
            <w:tcW w:w="50" w:type="pct"/>
            <w:shd w:val="clear" w:color="auto" w:fill="CCEEFF"/>
            <w:vAlign w:val="bottom"/>
            <w:hideMark/>
          </w:tcPr>
          <w:p w14:paraId="790A520C"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BFA8063" w14:textId="77777777" w:rsidR="00000000" w:rsidRDefault="00847163">
            <w:pPr>
              <w:rPr>
                <w:rFonts w:eastAsia="Times New Roman"/>
                <w:sz w:val="20"/>
                <w:szCs w:val="20"/>
              </w:rPr>
            </w:pPr>
            <w:r>
              <w:rPr>
                <w:rFonts w:eastAsia="Times New Roman"/>
                <w:b/>
                <w:bCs/>
                <w:sz w:val="20"/>
                <w:szCs w:val="20"/>
              </w:rPr>
              <w:t> </w:t>
            </w:r>
          </w:p>
        </w:tc>
        <w:tc>
          <w:tcPr>
            <w:tcW w:w="350" w:type="pct"/>
            <w:shd w:val="clear" w:color="auto" w:fill="CCEEFF"/>
            <w:vAlign w:val="bottom"/>
            <w:hideMark/>
          </w:tcPr>
          <w:p w14:paraId="741C0A56" w14:textId="77777777" w:rsidR="00000000" w:rsidRDefault="00847163">
            <w:pPr>
              <w:jc w:val="right"/>
              <w:rPr>
                <w:rFonts w:eastAsia="Times New Roman"/>
                <w:sz w:val="20"/>
                <w:szCs w:val="20"/>
              </w:rPr>
            </w:pPr>
            <w:r>
              <w:rPr>
                <w:rStyle w:val="a6"/>
                <w:rFonts w:eastAsia="Times New Roman"/>
                <w:b/>
                <w:bCs/>
                <w:sz w:val="20"/>
                <w:szCs w:val="20"/>
              </w:rPr>
              <w:t> </w:t>
            </w:r>
          </w:p>
        </w:tc>
        <w:tc>
          <w:tcPr>
            <w:tcW w:w="50" w:type="pct"/>
            <w:shd w:val="clear" w:color="auto" w:fill="CCEEFF"/>
            <w:vAlign w:val="bottom"/>
            <w:hideMark/>
          </w:tcPr>
          <w:p w14:paraId="72C5842B" w14:textId="77777777" w:rsidR="00000000" w:rsidRDefault="00847163">
            <w:pPr>
              <w:rPr>
                <w:rFonts w:eastAsia="Times New Roman"/>
                <w:sz w:val="20"/>
                <w:szCs w:val="20"/>
              </w:rPr>
            </w:pPr>
            <w:r>
              <w:rPr>
                <w:rFonts w:eastAsia="Times New Roman"/>
                <w:b/>
                <w:bCs/>
                <w:sz w:val="20"/>
                <w:szCs w:val="20"/>
              </w:rPr>
              <w:t> </w:t>
            </w:r>
          </w:p>
        </w:tc>
      </w:tr>
    </w:tbl>
    <w:p w14:paraId="3DD6350F" w14:textId="77777777" w:rsidR="00000000" w:rsidRDefault="00847163">
      <w:pPr>
        <w:pStyle w:val="a3"/>
        <w:spacing w:before="0" w:beforeAutospacing="0" w:after="0" w:afterAutospacing="0"/>
        <w:jc w:val="both"/>
        <w:rPr>
          <w:sz w:val="20"/>
          <w:szCs w:val="20"/>
        </w:rPr>
      </w:pPr>
      <w:r>
        <w:rPr>
          <w:sz w:val="20"/>
          <w:szCs w:val="20"/>
        </w:rPr>
        <w:t> </w:t>
      </w:r>
    </w:p>
    <w:p w14:paraId="5DBE4708" w14:textId="77777777" w:rsidR="00000000" w:rsidRDefault="00847163">
      <w:pPr>
        <w:pStyle w:val="a3"/>
        <w:spacing w:before="0" w:beforeAutospacing="0" w:after="0" w:afterAutospacing="0"/>
        <w:jc w:val="both"/>
        <w:rPr>
          <w:sz w:val="20"/>
          <w:szCs w:val="20"/>
        </w:rPr>
      </w:pPr>
      <w:r>
        <w:rPr>
          <w:sz w:val="20"/>
          <w:szCs w:val="20"/>
        </w:rPr>
        <w:t>* Includes extension options</w:t>
      </w:r>
    </w:p>
    <w:p w14:paraId="67B7DBCA" w14:textId="77777777" w:rsidR="00000000" w:rsidRDefault="00847163">
      <w:pPr>
        <w:pStyle w:val="a3"/>
        <w:spacing w:before="0" w:beforeAutospacing="0" w:after="0" w:afterAutospacing="0"/>
        <w:jc w:val="both"/>
        <w:rPr>
          <w:sz w:val="20"/>
          <w:szCs w:val="20"/>
        </w:rPr>
      </w:pPr>
      <w:r>
        <w:rPr>
          <w:sz w:val="20"/>
          <w:szCs w:val="20"/>
        </w:rPr>
        <w:t> </w:t>
      </w:r>
    </w:p>
    <w:p w14:paraId="1377C514" w14:textId="77777777" w:rsidR="00000000" w:rsidRDefault="00847163">
      <w:pPr>
        <w:divId w:val="2019694847"/>
        <w:rPr>
          <w:rFonts w:eastAsia="Times New Roman"/>
          <w:sz w:val="20"/>
          <w:szCs w:val="20"/>
        </w:rPr>
      </w:pPr>
      <w:r>
        <w:rPr>
          <w:rFonts w:eastAsia="Times New Roman"/>
          <w:sz w:val="20"/>
          <w:szCs w:val="20"/>
        </w:rPr>
        <w:t xml:space="preserve">  </w:t>
      </w:r>
    </w:p>
    <w:p w14:paraId="74D04AEE" w14:textId="77777777" w:rsidR="00000000" w:rsidRDefault="00847163">
      <w:pPr>
        <w:pStyle w:val="a3"/>
        <w:spacing w:before="0" w:beforeAutospacing="0" w:after="0" w:afterAutospacing="0"/>
        <w:jc w:val="both"/>
        <w:rPr>
          <w:sz w:val="20"/>
          <w:szCs w:val="20"/>
        </w:rPr>
      </w:pPr>
      <w:r>
        <w:rPr>
          <w:rStyle w:val="a6"/>
          <w:sz w:val="20"/>
          <w:szCs w:val="20"/>
        </w:rPr>
        <w:t>5.</w:t>
      </w:r>
      <w:r>
        <w:rPr>
          <w:sz w:val="20"/>
          <w:szCs w:val="20"/>
        </w:rPr>
        <w:t xml:space="preserve"> </w:t>
      </w:r>
      <w:r>
        <w:rPr>
          <w:sz w:val="20"/>
          <w:szCs w:val="20"/>
          <w:u w:val="single"/>
        </w:rPr>
        <w:t>Other Real Estate Investments</w:t>
      </w:r>
    </w:p>
    <w:p w14:paraId="75D79547" w14:textId="77777777" w:rsidR="00000000" w:rsidRDefault="00847163">
      <w:pPr>
        <w:pStyle w:val="a3"/>
        <w:spacing w:before="0" w:beforeAutospacing="0" w:after="0" w:afterAutospacing="0"/>
        <w:jc w:val="both"/>
        <w:rPr>
          <w:sz w:val="20"/>
          <w:szCs w:val="20"/>
        </w:rPr>
      </w:pPr>
      <w:r>
        <w:rPr>
          <w:sz w:val="20"/>
          <w:szCs w:val="20"/>
        </w:rPr>
        <w:t> </w:t>
      </w:r>
    </w:p>
    <w:p w14:paraId="6A86B8B4" w14:textId="77777777" w:rsidR="00000000" w:rsidRDefault="00847163">
      <w:pPr>
        <w:pStyle w:val="a3"/>
        <w:spacing w:before="0" w:beforeAutospacing="0" w:after="0" w:afterAutospacing="0"/>
        <w:ind w:firstLine="360"/>
        <w:jc w:val="both"/>
        <w:rPr>
          <w:sz w:val="20"/>
          <w:szCs w:val="20"/>
        </w:rPr>
      </w:pPr>
      <w:r>
        <w:rPr>
          <w:sz w:val="20"/>
          <w:szCs w:val="20"/>
        </w:rPr>
        <w:t xml:space="preserve">The Company has provided capital to owners and developers of real estate properties through its Preferred Equity Program. The Company’s maximum exposure to losses associated with its preferred equity investments is primarily limited to its net investment. </w:t>
      </w:r>
      <w:r>
        <w:rPr>
          <w:sz w:val="20"/>
          <w:szCs w:val="20"/>
        </w:rPr>
        <w:t xml:space="preserve">As of </w:t>
      </w:r>
      <w:r>
        <w:rPr>
          <w:rStyle w:val="a6"/>
          <w:sz w:val="20"/>
          <w:szCs w:val="20"/>
        </w:rPr>
        <w:t xml:space="preserve">March 31, 2020, </w:t>
      </w:r>
      <w:r>
        <w:rPr>
          <w:sz w:val="20"/>
          <w:szCs w:val="20"/>
        </w:rPr>
        <w:t xml:space="preserve">the Company’s net investment under the Preferred Equity Program was $159.6 million relating to 205 properties, including 195 net leased properties.  During the </w:t>
      </w:r>
      <w:r>
        <w:rPr>
          <w:rStyle w:val="a6"/>
          <w:sz w:val="20"/>
          <w:szCs w:val="20"/>
        </w:rPr>
        <w:t>three</w:t>
      </w:r>
      <w:r>
        <w:rPr>
          <w:sz w:val="20"/>
          <w:szCs w:val="20"/>
        </w:rPr>
        <w:t xml:space="preserve"> months ended </w:t>
      </w:r>
      <w:r>
        <w:rPr>
          <w:rStyle w:val="a6"/>
          <w:sz w:val="20"/>
          <w:szCs w:val="20"/>
        </w:rPr>
        <w:t xml:space="preserve">March 31, 2020, </w:t>
      </w:r>
      <w:r>
        <w:rPr>
          <w:sz w:val="20"/>
          <w:szCs w:val="20"/>
        </w:rPr>
        <w:t xml:space="preserve">the Company recognized income of $11.1 </w:t>
      </w:r>
      <w:r>
        <w:rPr>
          <w:sz w:val="20"/>
          <w:szCs w:val="20"/>
        </w:rPr>
        <w:t xml:space="preserve">million from its preferred equity investments, including profit participation of $6.3 million. During the </w:t>
      </w:r>
      <w:r>
        <w:rPr>
          <w:rStyle w:val="a6"/>
          <w:sz w:val="20"/>
          <w:szCs w:val="20"/>
        </w:rPr>
        <w:t>three</w:t>
      </w:r>
      <w:r>
        <w:rPr>
          <w:sz w:val="20"/>
          <w:szCs w:val="20"/>
        </w:rPr>
        <w:t xml:space="preserve"> months ended </w:t>
      </w:r>
      <w:r>
        <w:rPr>
          <w:rStyle w:val="a6"/>
          <w:sz w:val="20"/>
          <w:szCs w:val="20"/>
        </w:rPr>
        <w:t xml:space="preserve">March 31, 2019, </w:t>
      </w:r>
      <w:r>
        <w:rPr>
          <w:sz w:val="20"/>
          <w:szCs w:val="20"/>
        </w:rPr>
        <w:t>the Company recognized income of $6.5 million from its preferred equity investments, including profit participation</w:t>
      </w:r>
      <w:r>
        <w:rPr>
          <w:sz w:val="20"/>
          <w:szCs w:val="20"/>
        </w:rPr>
        <w:t xml:space="preserve"> of $1.0 million. These amounts are included in Equity in income of other real estate investments, net on the Company’s Condensed Consolidated Statements of Income.</w:t>
      </w:r>
    </w:p>
    <w:p w14:paraId="4D68D198" w14:textId="77777777" w:rsidR="00000000" w:rsidRDefault="00847163">
      <w:pPr>
        <w:pStyle w:val="a3"/>
        <w:spacing w:before="0" w:beforeAutospacing="0" w:after="0" w:afterAutospacing="0"/>
        <w:ind w:firstLine="360"/>
        <w:jc w:val="both"/>
        <w:rPr>
          <w:sz w:val="20"/>
          <w:szCs w:val="20"/>
        </w:rPr>
      </w:pPr>
      <w:r>
        <w:rPr>
          <w:sz w:val="20"/>
          <w:szCs w:val="20"/>
        </w:rPr>
        <w:t> </w:t>
      </w:r>
    </w:p>
    <w:p w14:paraId="493D85E4" w14:textId="77777777" w:rsidR="00000000" w:rsidRDefault="00847163">
      <w:pPr>
        <w:jc w:val="center"/>
        <w:divId w:val="110249265"/>
        <w:rPr>
          <w:rFonts w:eastAsia="Times New Roman"/>
          <w:sz w:val="20"/>
          <w:szCs w:val="20"/>
        </w:rPr>
      </w:pPr>
      <w:r>
        <w:rPr>
          <w:rStyle w:val="a6"/>
          <w:rFonts w:eastAsia="Times New Roman"/>
          <w:sz w:val="20"/>
          <w:szCs w:val="20"/>
        </w:rPr>
        <w:t>12</w:t>
      </w:r>
      <w:r>
        <w:rPr>
          <w:rFonts w:eastAsia="Times New Roman"/>
          <w:sz w:val="20"/>
          <w:szCs w:val="20"/>
        </w:rPr>
        <w:t xml:space="preserve"> </w:t>
      </w:r>
    </w:p>
    <w:p w14:paraId="58465537" w14:textId="77777777" w:rsidR="00000000" w:rsidRDefault="00847163">
      <w:pPr>
        <w:divId w:val="1328366003"/>
        <w:rPr>
          <w:rFonts w:eastAsia="Times New Roman"/>
          <w:sz w:val="20"/>
          <w:szCs w:val="20"/>
        </w:rPr>
      </w:pPr>
      <w:r>
        <w:rPr>
          <w:rFonts w:eastAsia="Times New Roman"/>
          <w:sz w:val="20"/>
          <w:szCs w:val="20"/>
        </w:rPr>
        <w:pict w14:anchorId="68C5D4B9">
          <v:rect id="_x0000_i1040" style="width:415.3pt;height:1.5pt" o:hralign="center" o:hrstd="t" o:hrnoshade="t" o:hr="t" fillcolor="black" stroked="f"/>
        </w:pict>
      </w:r>
    </w:p>
    <w:p w14:paraId="1D401392" w14:textId="77777777" w:rsidR="00000000" w:rsidRDefault="00847163">
      <w:pPr>
        <w:divId w:val="217667015"/>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3E3B93CB" w14:textId="77777777" w:rsidR="00000000" w:rsidRDefault="00847163">
      <w:pPr>
        <w:pStyle w:val="a3"/>
        <w:spacing w:before="0" w:beforeAutospacing="0" w:after="0" w:afterAutospacing="0"/>
        <w:ind w:firstLine="360"/>
        <w:jc w:val="both"/>
        <w:rPr>
          <w:sz w:val="20"/>
          <w:szCs w:val="20"/>
        </w:rPr>
      </w:pPr>
      <w:r>
        <w:rPr>
          <w:sz w:val="20"/>
          <w:szCs w:val="20"/>
        </w:rPr>
        <w:t> </w:t>
      </w:r>
    </w:p>
    <w:p w14:paraId="0EA19EBA" w14:textId="77777777" w:rsidR="00000000" w:rsidRDefault="00847163">
      <w:pPr>
        <w:divId w:val="2061592658"/>
        <w:rPr>
          <w:rFonts w:eastAsia="Times New Roman"/>
          <w:sz w:val="20"/>
          <w:szCs w:val="20"/>
        </w:rPr>
      </w:pPr>
      <w:r>
        <w:rPr>
          <w:rFonts w:eastAsia="Times New Roman"/>
          <w:sz w:val="20"/>
          <w:szCs w:val="20"/>
        </w:rPr>
        <w:t xml:space="preserve">  </w:t>
      </w:r>
    </w:p>
    <w:p w14:paraId="69530016" w14:textId="77777777" w:rsidR="00000000" w:rsidRDefault="00847163">
      <w:pPr>
        <w:pStyle w:val="a3"/>
        <w:spacing w:before="0" w:beforeAutospacing="0" w:after="0" w:afterAutospacing="0"/>
        <w:jc w:val="both"/>
        <w:rPr>
          <w:sz w:val="20"/>
          <w:szCs w:val="20"/>
        </w:rPr>
      </w:pPr>
      <w:r>
        <w:rPr>
          <w:rStyle w:val="a6"/>
          <w:sz w:val="20"/>
          <w:szCs w:val="20"/>
        </w:rPr>
        <w:t>6.</w:t>
      </w:r>
      <w:r>
        <w:rPr>
          <w:sz w:val="20"/>
          <w:szCs w:val="20"/>
        </w:rPr>
        <w:t xml:space="preserve"> </w:t>
      </w:r>
      <w:r>
        <w:rPr>
          <w:sz w:val="20"/>
          <w:szCs w:val="20"/>
          <w:u w:val="single"/>
        </w:rPr>
        <w:t>Leases</w:t>
      </w:r>
    </w:p>
    <w:p w14:paraId="303746E0" w14:textId="77777777" w:rsidR="00000000" w:rsidRDefault="00847163">
      <w:pPr>
        <w:pStyle w:val="a3"/>
        <w:spacing w:before="0" w:beforeAutospacing="0" w:after="0" w:afterAutospacing="0"/>
        <w:jc w:val="both"/>
        <w:rPr>
          <w:sz w:val="20"/>
          <w:szCs w:val="20"/>
        </w:rPr>
      </w:pPr>
      <w:r>
        <w:rPr>
          <w:sz w:val="20"/>
          <w:szCs w:val="20"/>
        </w:rPr>
        <w:t> </w:t>
      </w:r>
    </w:p>
    <w:p w14:paraId="53A6D504" w14:textId="77777777" w:rsidR="00000000" w:rsidRDefault="00847163">
      <w:pPr>
        <w:pStyle w:val="a3"/>
        <w:spacing w:before="0" w:beforeAutospacing="0" w:after="0" w:afterAutospacing="0"/>
        <w:jc w:val="both"/>
        <w:rPr>
          <w:sz w:val="20"/>
          <w:szCs w:val="20"/>
        </w:rPr>
      </w:pPr>
      <w:r>
        <w:rPr>
          <w:i/>
          <w:iCs/>
          <w:sz w:val="20"/>
          <w:szCs w:val="20"/>
        </w:rPr>
        <w:t>Lessor Leases</w:t>
      </w:r>
    </w:p>
    <w:p w14:paraId="4246EBE5" w14:textId="77777777" w:rsidR="00000000" w:rsidRDefault="00847163">
      <w:pPr>
        <w:pStyle w:val="a3"/>
        <w:spacing w:before="0" w:beforeAutospacing="0" w:after="0" w:afterAutospacing="0"/>
        <w:jc w:val="both"/>
        <w:rPr>
          <w:sz w:val="20"/>
          <w:szCs w:val="20"/>
        </w:rPr>
      </w:pPr>
      <w:r>
        <w:rPr>
          <w:sz w:val="20"/>
          <w:szCs w:val="20"/>
        </w:rPr>
        <w:t> </w:t>
      </w:r>
    </w:p>
    <w:p w14:paraId="35D48A2E" w14:textId="77777777" w:rsidR="00000000" w:rsidRDefault="00847163">
      <w:pPr>
        <w:pStyle w:val="a3"/>
        <w:spacing w:before="0" w:beforeAutospacing="0" w:after="0" w:afterAutospacing="0"/>
        <w:ind w:firstLine="360"/>
        <w:jc w:val="both"/>
        <w:rPr>
          <w:sz w:val="20"/>
          <w:szCs w:val="20"/>
        </w:rPr>
      </w:pPr>
      <w:r>
        <w:rPr>
          <w:sz w:val="20"/>
          <w:szCs w:val="20"/>
        </w:rPr>
        <w:t>The Company's primary source of revenues are derived from lease agreem</w:t>
      </w:r>
      <w:r>
        <w:rPr>
          <w:sz w:val="20"/>
          <w:szCs w:val="20"/>
        </w:rPr>
        <w:t>ents, which includes rental income and expense reimbursement. The Company's lease income is comprised of minimum base rent, expense reimbursements, percentage rent, lease termination fee income, ancillary income, amortization of above-market and below-mark</w:t>
      </w:r>
      <w:r>
        <w:rPr>
          <w:sz w:val="20"/>
          <w:szCs w:val="20"/>
        </w:rPr>
        <w:t>et rent adjustments and straight-line rent adjustments.</w:t>
      </w:r>
    </w:p>
    <w:p w14:paraId="35C5E652" w14:textId="77777777" w:rsidR="00000000" w:rsidRDefault="00847163">
      <w:pPr>
        <w:pStyle w:val="a3"/>
        <w:spacing w:before="0" w:beforeAutospacing="0" w:after="0" w:afterAutospacing="0"/>
        <w:jc w:val="both"/>
        <w:rPr>
          <w:sz w:val="20"/>
          <w:szCs w:val="20"/>
        </w:rPr>
      </w:pPr>
      <w:r>
        <w:rPr>
          <w:sz w:val="20"/>
          <w:szCs w:val="20"/>
        </w:rPr>
        <w:t> </w:t>
      </w:r>
    </w:p>
    <w:p w14:paraId="0421A8F1" w14:textId="77777777" w:rsidR="00000000" w:rsidRDefault="00847163">
      <w:pPr>
        <w:pStyle w:val="a3"/>
        <w:spacing w:before="0" w:beforeAutospacing="0" w:after="0" w:afterAutospacing="0"/>
        <w:ind w:firstLine="360"/>
        <w:jc w:val="both"/>
        <w:rPr>
          <w:sz w:val="20"/>
          <w:szCs w:val="20"/>
        </w:rPr>
      </w:pPr>
      <w:r>
        <w:rPr>
          <w:sz w:val="20"/>
          <w:szCs w:val="20"/>
        </w:rPr>
        <w:t xml:space="preserve">The disaggregation of the Company's lease income, which is included in Revenue from rental properties on the Company's Condensed Consolidated Statements of Income, as either fixed or variable lease </w:t>
      </w:r>
      <w:r>
        <w:rPr>
          <w:sz w:val="20"/>
          <w:szCs w:val="20"/>
        </w:rPr>
        <w:t xml:space="preserve">income based on the criteria specified in ASC </w:t>
      </w:r>
      <w:r>
        <w:rPr>
          <w:rStyle w:val="a6"/>
          <w:sz w:val="20"/>
          <w:szCs w:val="20"/>
        </w:rPr>
        <w:t>842,</w:t>
      </w:r>
      <w:r>
        <w:rPr>
          <w:sz w:val="20"/>
          <w:szCs w:val="20"/>
        </w:rPr>
        <w:t xml:space="preserve"> for the </w:t>
      </w:r>
      <w:r>
        <w:rPr>
          <w:rStyle w:val="a6"/>
          <w:sz w:val="20"/>
          <w:szCs w:val="20"/>
        </w:rPr>
        <w:t>three</w:t>
      </w:r>
      <w:r>
        <w:rPr>
          <w:sz w:val="20"/>
          <w:szCs w:val="20"/>
        </w:rPr>
        <w:t xml:space="preserve"> months ended </w:t>
      </w:r>
      <w:r>
        <w:rPr>
          <w:rStyle w:val="a6"/>
          <w:sz w:val="20"/>
          <w:szCs w:val="20"/>
        </w:rPr>
        <w:t xml:space="preserve">March 31, 2020 </w:t>
      </w:r>
      <w:r>
        <w:rPr>
          <w:sz w:val="20"/>
          <w:szCs w:val="20"/>
        </w:rPr>
        <w:t xml:space="preserve">and </w:t>
      </w:r>
      <w:r>
        <w:rPr>
          <w:rStyle w:val="a6"/>
          <w:sz w:val="20"/>
          <w:szCs w:val="20"/>
        </w:rPr>
        <w:t>2019,</w:t>
      </w:r>
      <w:r>
        <w:rPr>
          <w:sz w:val="20"/>
          <w:szCs w:val="20"/>
        </w:rPr>
        <w:t xml:space="preserve"> is as follows (in thousands):</w:t>
      </w:r>
    </w:p>
    <w:tbl>
      <w:tblPr>
        <w:tblW w:w="4000" w:type="pct"/>
        <w:tblCellSpacing w:w="0" w:type="dxa"/>
        <w:tblInd w:w="10" w:type="dxa"/>
        <w:tblCellMar>
          <w:left w:w="0" w:type="dxa"/>
          <w:right w:w="0" w:type="dxa"/>
        </w:tblCellMar>
        <w:tblLook w:val="04A0" w:firstRow="1" w:lastRow="0" w:firstColumn="1" w:lastColumn="0" w:noHBand="0" w:noVBand="1"/>
      </w:tblPr>
      <w:tblGrid>
        <w:gridCol w:w="4110"/>
        <w:gridCol w:w="56"/>
        <w:gridCol w:w="100"/>
        <w:gridCol w:w="1054"/>
        <w:gridCol w:w="57"/>
        <w:gridCol w:w="57"/>
        <w:gridCol w:w="100"/>
        <w:gridCol w:w="1054"/>
        <w:gridCol w:w="57"/>
      </w:tblGrid>
      <w:tr w:rsidR="00000000" w14:paraId="3D1751E9" w14:textId="77777777">
        <w:trPr>
          <w:tblCellSpacing w:w="0" w:type="dxa"/>
        </w:trPr>
        <w:tc>
          <w:tcPr>
            <w:tcW w:w="0" w:type="auto"/>
            <w:vAlign w:val="bottom"/>
            <w:hideMark/>
          </w:tcPr>
          <w:p w14:paraId="1A5ACE2A"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28A3E5F8" w14:textId="77777777" w:rsidR="00000000" w:rsidRDefault="00847163">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14:paraId="32BA243A" w14:textId="77777777" w:rsidR="00000000" w:rsidRDefault="00847163">
            <w:pPr>
              <w:pStyle w:val="a3"/>
              <w:spacing w:before="0" w:beforeAutospacing="0" w:after="0" w:afterAutospacing="0"/>
              <w:jc w:val="center"/>
              <w:rPr>
                <w:sz w:val="20"/>
                <w:szCs w:val="20"/>
              </w:rPr>
            </w:pPr>
            <w:r>
              <w:rPr>
                <w:b/>
                <w:bCs/>
                <w:sz w:val="20"/>
                <w:szCs w:val="20"/>
              </w:rPr>
              <w:t>Three Months Ended March 31,</w:t>
            </w:r>
          </w:p>
        </w:tc>
        <w:tc>
          <w:tcPr>
            <w:tcW w:w="0" w:type="auto"/>
            <w:tcMar>
              <w:top w:w="0" w:type="dxa"/>
              <w:left w:w="0" w:type="dxa"/>
              <w:bottom w:w="15" w:type="dxa"/>
              <w:right w:w="0" w:type="dxa"/>
            </w:tcMar>
            <w:vAlign w:val="bottom"/>
            <w:hideMark/>
          </w:tcPr>
          <w:p w14:paraId="2A0C8356" w14:textId="77777777" w:rsidR="00000000" w:rsidRDefault="00847163">
            <w:pPr>
              <w:rPr>
                <w:rFonts w:eastAsia="Times New Roman"/>
                <w:sz w:val="20"/>
                <w:szCs w:val="20"/>
              </w:rPr>
            </w:pPr>
            <w:r>
              <w:rPr>
                <w:rFonts w:eastAsia="Times New Roman"/>
                <w:sz w:val="20"/>
                <w:szCs w:val="20"/>
              </w:rPr>
              <w:t> </w:t>
            </w:r>
          </w:p>
        </w:tc>
      </w:tr>
      <w:tr w:rsidR="00000000" w14:paraId="0C6F557F" w14:textId="77777777">
        <w:trPr>
          <w:tblCellSpacing w:w="0" w:type="dxa"/>
        </w:trPr>
        <w:tc>
          <w:tcPr>
            <w:tcW w:w="0" w:type="auto"/>
            <w:vAlign w:val="bottom"/>
            <w:hideMark/>
          </w:tcPr>
          <w:p w14:paraId="42AE1F0D"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2CEA1389" w14:textId="77777777" w:rsidR="00000000" w:rsidRDefault="0084716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2AFC3222" w14:textId="77777777" w:rsidR="00000000" w:rsidRDefault="00847163">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14:paraId="281C0125"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5564A429" w14:textId="77777777" w:rsidR="00000000" w:rsidRDefault="0084716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10FA89D2" w14:textId="77777777" w:rsidR="00000000" w:rsidRDefault="00847163">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7685F75B" w14:textId="77777777" w:rsidR="00000000" w:rsidRDefault="00847163">
            <w:pPr>
              <w:rPr>
                <w:rFonts w:eastAsia="Times New Roman"/>
                <w:sz w:val="20"/>
                <w:szCs w:val="20"/>
              </w:rPr>
            </w:pPr>
            <w:r>
              <w:rPr>
                <w:rFonts w:eastAsia="Times New Roman"/>
                <w:sz w:val="20"/>
                <w:szCs w:val="20"/>
              </w:rPr>
              <w:t> </w:t>
            </w:r>
          </w:p>
        </w:tc>
      </w:tr>
      <w:tr w:rsidR="00000000" w14:paraId="66D2788C" w14:textId="77777777">
        <w:trPr>
          <w:tblCellSpacing w:w="0" w:type="dxa"/>
        </w:trPr>
        <w:tc>
          <w:tcPr>
            <w:tcW w:w="3100" w:type="pct"/>
            <w:shd w:val="clear" w:color="auto" w:fill="CCEEFF"/>
            <w:vAlign w:val="bottom"/>
            <w:hideMark/>
          </w:tcPr>
          <w:p w14:paraId="262FB14B" w14:textId="77777777" w:rsidR="00000000" w:rsidRDefault="00847163">
            <w:pPr>
              <w:pStyle w:val="a3"/>
              <w:spacing w:before="0" w:beforeAutospacing="0" w:after="0" w:afterAutospacing="0"/>
              <w:rPr>
                <w:sz w:val="20"/>
                <w:szCs w:val="20"/>
              </w:rPr>
            </w:pPr>
            <w:r>
              <w:rPr>
                <w:sz w:val="20"/>
                <w:szCs w:val="20"/>
              </w:rPr>
              <w:t>Lease income:</w:t>
            </w:r>
          </w:p>
        </w:tc>
        <w:tc>
          <w:tcPr>
            <w:tcW w:w="0" w:type="auto"/>
            <w:shd w:val="clear" w:color="auto" w:fill="CCEEFF"/>
            <w:vAlign w:val="bottom"/>
            <w:hideMark/>
          </w:tcPr>
          <w:p w14:paraId="0EB16104"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E396F7"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7236AA1" w14:textId="77777777" w:rsidR="00000000" w:rsidRDefault="00847163">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14:paraId="34BE87B8"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696089"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1A90E35"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D92E811" w14:textId="77777777" w:rsidR="00000000" w:rsidRDefault="00847163">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14:paraId="57DD7B5D" w14:textId="77777777" w:rsidR="00000000" w:rsidRDefault="00847163">
            <w:pPr>
              <w:rPr>
                <w:rFonts w:eastAsia="Times New Roman"/>
                <w:sz w:val="20"/>
                <w:szCs w:val="20"/>
              </w:rPr>
            </w:pPr>
            <w:r>
              <w:rPr>
                <w:rFonts w:eastAsia="Times New Roman"/>
                <w:sz w:val="20"/>
                <w:szCs w:val="20"/>
              </w:rPr>
              <w:t> </w:t>
            </w:r>
          </w:p>
        </w:tc>
      </w:tr>
      <w:tr w:rsidR="00000000" w14:paraId="29434B75" w14:textId="77777777">
        <w:trPr>
          <w:tblCellSpacing w:w="0" w:type="dxa"/>
        </w:trPr>
        <w:tc>
          <w:tcPr>
            <w:tcW w:w="0" w:type="auto"/>
            <w:shd w:val="clear" w:color="auto" w:fill="FFFFFF"/>
            <w:vAlign w:val="bottom"/>
            <w:hideMark/>
          </w:tcPr>
          <w:p w14:paraId="336783ED" w14:textId="77777777" w:rsidR="00000000" w:rsidRDefault="00847163">
            <w:pPr>
              <w:pStyle w:val="a3"/>
              <w:spacing w:before="0" w:beforeAutospacing="0" w:after="0" w:afterAutospacing="0"/>
              <w:ind w:left="180"/>
              <w:rPr>
                <w:sz w:val="20"/>
                <w:szCs w:val="20"/>
              </w:rPr>
            </w:pPr>
            <w:r>
              <w:rPr>
                <w:sz w:val="20"/>
                <w:szCs w:val="20"/>
              </w:rPr>
              <w:t>Fixed lease income (1)</w:t>
            </w:r>
          </w:p>
        </w:tc>
        <w:tc>
          <w:tcPr>
            <w:tcW w:w="50" w:type="pct"/>
            <w:shd w:val="clear" w:color="auto" w:fill="FFFFFF"/>
            <w:vAlign w:val="bottom"/>
            <w:hideMark/>
          </w:tcPr>
          <w:p w14:paraId="253CF89C"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F1A4686" w14:textId="77777777" w:rsidR="00000000" w:rsidRDefault="00847163">
            <w:pPr>
              <w:rPr>
                <w:rFonts w:eastAsia="Times New Roman"/>
                <w:sz w:val="20"/>
                <w:szCs w:val="20"/>
              </w:rPr>
            </w:pPr>
            <w:r>
              <w:rPr>
                <w:rFonts w:eastAsia="Times New Roman"/>
                <w:sz w:val="20"/>
                <w:szCs w:val="20"/>
              </w:rPr>
              <w:t>$</w:t>
            </w:r>
          </w:p>
        </w:tc>
        <w:tc>
          <w:tcPr>
            <w:tcW w:w="800" w:type="pct"/>
            <w:shd w:val="clear" w:color="auto" w:fill="FFFFFF"/>
            <w:vAlign w:val="bottom"/>
            <w:hideMark/>
          </w:tcPr>
          <w:p w14:paraId="1E1051F5" w14:textId="77777777" w:rsidR="00000000" w:rsidRDefault="00847163">
            <w:pPr>
              <w:jc w:val="right"/>
              <w:rPr>
                <w:rFonts w:eastAsia="Times New Roman"/>
                <w:sz w:val="20"/>
                <w:szCs w:val="20"/>
              </w:rPr>
            </w:pPr>
            <w:r>
              <w:rPr>
                <w:rFonts w:eastAsia="Times New Roman"/>
                <w:sz w:val="20"/>
                <w:szCs w:val="20"/>
              </w:rPr>
              <w:t>217,155</w:t>
            </w:r>
          </w:p>
        </w:tc>
        <w:tc>
          <w:tcPr>
            <w:tcW w:w="50" w:type="pct"/>
            <w:shd w:val="clear" w:color="auto" w:fill="FFFFFF"/>
            <w:vAlign w:val="bottom"/>
            <w:hideMark/>
          </w:tcPr>
          <w:p w14:paraId="7324DE38"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86E0FB7"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15DC59B" w14:textId="77777777" w:rsidR="00000000" w:rsidRDefault="00847163">
            <w:pPr>
              <w:rPr>
                <w:rFonts w:eastAsia="Times New Roman"/>
                <w:sz w:val="20"/>
                <w:szCs w:val="20"/>
              </w:rPr>
            </w:pPr>
            <w:r>
              <w:rPr>
                <w:rFonts w:eastAsia="Times New Roman"/>
                <w:sz w:val="20"/>
                <w:szCs w:val="20"/>
              </w:rPr>
              <w:t>$</w:t>
            </w:r>
          </w:p>
        </w:tc>
        <w:tc>
          <w:tcPr>
            <w:tcW w:w="800" w:type="pct"/>
            <w:shd w:val="clear" w:color="auto" w:fill="FFFFFF"/>
            <w:vAlign w:val="bottom"/>
            <w:hideMark/>
          </w:tcPr>
          <w:p w14:paraId="6572BB40" w14:textId="77777777" w:rsidR="00000000" w:rsidRDefault="00847163">
            <w:pPr>
              <w:jc w:val="right"/>
              <w:rPr>
                <w:rFonts w:eastAsia="Times New Roman"/>
                <w:sz w:val="20"/>
                <w:szCs w:val="20"/>
              </w:rPr>
            </w:pPr>
            <w:r>
              <w:rPr>
                <w:rFonts w:eastAsia="Times New Roman"/>
                <w:sz w:val="20"/>
                <w:szCs w:val="20"/>
              </w:rPr>
              <w:t>214,804</w:t>
            </w:r>
          </w:p>
        </w:tc>
        <w:tc>
          <w:tcPr>
            <w:tcW w:w="50" w:type="pct"/>
            <w:shd w:val="clear" w:color="auto" w:fill="FFFFFF"/>
            <w:vAlign w:val="bottom"/>
            <w:hideMark/>
          </w:tcPr>
          <w:p w14:paraId="7D866E52" w14:textId="77777777" w:rsidR="00000000" w:rsidRDefault="00847163">
            <w:pPr>
              <w:rPr>
                <w:rFonts w:eastAsia="Times New Roman"/>
                <w:sz w:val="20"/>
                <w:szCs w:val="20"/>
              </w:rPr>
            </w:pPr>
            <w:r>
              <w:rPr>
                <w:rFonts w:eastAsia="Times New Roman"/>
                <w:sz w:val="20"/>
                <w:szCs w:val="20"/>
              </w:rPr>
              <w:t> </w:t>
            </w:r>
          </w:p>
        </w:tc>
      </w:tr>
      <w:tr w:rsidR="00000000" w14:paraId="751869E4" w14:textId="77777777">
        <w:trPr>
          <w:tblCellSpacing w:w="0" w:type="dxa"/>
        </w:trPr>
        <w:tc>
          <w:tcPr>
            <w:tcW w:w="0" w:type="auto"/>
            <w:shd w:val="clear" w:color="auto" w:fill="CCEEFF"/>
            <w:vAlign w:val="center"/>
            <w:hideMark/>
          </w:tcPr>
          <w:p w14:paraId="15B29129" w14:textId="77777777" w:rsidR="00000000" w:rsidRDefault="00847163">
            <w:pPr>
              <w:ind w:firstLine="180"/>
              <w:rPr>
                <w:rFonts w:eastAsia="Times New Roman"/>
                <w:sz w:val="20"/>
                <w:szCs w:val="20"/>
              </w:rPr>
            </w:pPr>
            <w:r>
              <w:rPr>
                <w:rFonts w:eastAsia="Times New Roman"/>
                <w:sz w:val="20"/>
                <w:szCs w:val="20"/>
              </w:rPr>
              <w:t>Variable lease income (2)</w:t>
            </w:r>
          </w:p>
        </w:tc>
        <w:tc>
          <w:tcPr>
            <w:tcW w:w="50" w:type="pct"/>
            <w:shd w:val="clear" w:color="auto" w:fill="CCEEFF"/>
            <w:vAlign w:val="center"/>
            <w:hideMark/>
          </w:tcPr>
          <w:p w14:paraId="7E779A92"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center"/>
            <w:hideMark/>
          </w:tcPr>
          <w:p w14:paraId="4D71DA95" w14:textId="77777777" w:rsidR="00000000" w:rsidRDefault="00847163">
            <w:pPr>
              <w:rPr>
                <w:rFonts w:eastAsia="Times New Roman"/>
                <w:sz w:val="20"/>
                <w:szCs w:val="20"/>
              </w:rPr>
            </w:pPr>
            <w:r>
              <w:rPr>
                <w:rFonts w:eastAsia="Times New Roman"/>
                <w:sz w:val="20"/>
                <w:szCs w:val="20"/>
              </w:rPr>
              <w:t> </w:t>
            </w:r>
          </w:p>
        </w:tc>
        <w:tc>
          <w:tcPr>
            <w:tcW w:w="800" w:type="pct"/>
            <w:shd w:val="clear" w:color="auto" w:fill="CCEEFF"/>
            <w:vAlign w:val="center"/>
            <w:hideMark/>
          </w:tcPr>
          <w:p w14:paraId="23DB7699" w14:textId="77777777" w:rsidR="00000000" w:rsidRDefault="00847163">
            <w:pPr>
              <w:jc w:val="right"/>
              <w:rPr>
                <w:rFonts w:eastAsia="Times New Roman"/>
                <w:sz w:val="20"/>
                <w:szCs w:val="20"/>
              </w:rPr>
            </w:pPr>
            <w:r>
              <w:rPr>
                <w:rFonts w:eastAsia="Times New Roman"/>
                <w:sz w:val="20"/>
                <w:szCs w:val="20"/>
              </w:rPr>
              <w:t>58,907</w:t>
            </w:r>
          </w:p>
        </w:tc>
        <w:tc>
          <w:tcPr>
            <w:tcW w:w="50" w:type="pct"/>
            <w:shd w:val="clear" w:color="auto" w:fill="CCEEFF"/>
            <w:tcMar>
              <w:top w:w="0" w:type="dxa"/>
              <w:left w:w="0" w:type="dxa"/>
              <w:bottom w:w="15" w:type="dxa"/>
              <w:right w:w="0" w:type="dxa"/>
            </w:tcMar>
            <w:vAlign w:val="center"/>
            <w:hideMark/>
          </w:tcPr>
          <w:p w14:paraId="356197B6"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center"/>
            <w:hideMark/>
          </w:tcPr>
          <w:p w14:paraId="7C05E992"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center"/>
            <w:hideMark/>
          </w:tcPr>
          <w:p w14:paraId="09DE78AF" w14:textId="77777777" w:rsidR="00000000" w:rsidRDefault="00847163">
            <w:pPr>
              <w:rPr>
                <w:rFonts w:eastAsia="Times New Roman"/>
                <w:sz w:val="20"/>
                <w:szCs w:val="20"/>
              </w:rPr>
            </w:pPr>
            <w:r>
              <w:rPr>
                <w:rFonts w:eastAsia="Times New Roman"/>
                <w:sz w:val="20"/>
                <w:szCs w:val="20"/>
              </w:rPr>
              <w:t> </w:t>
            </w:r>
          </w:p>
        </w:tc>
        <w:tc>
          <w:tcPr>
            <w:tcW w:w="800" w:type="pct"/>
            <w:shd w:val="clear" w:color="auto" w:fill="CCEEFF"/>
            <w:vAlign w:val="center"/>
            <w:hideMark/>
          </w:tcPr>
          <w:p w14:paraId="36C881C1" w14:textId="77777777" w:rsidR="00000000" w:rsidRDefault="00847163">
            <w:pPr>
              <w:jc w:val="right"/>
              <w:rPr>
                <w:rFonts w:eastAsia="Times New Roman"/>
                <w:sz w:val="20"/>
                <w:szCs w:val="20"/>
              </w:rPr>
            </w:pPr>
            <w:r>
              <w:rPr>
                <w:rFonts w:eastAsia="Times New Roman"/>
                <w:sz w:val="20"/>
                <w:szCs w:val="20"/>
              </w:rPr>
              <w:t>66,516</w:t>
            </w:r>
          </w:p>
        </w:tc>
        <w:tc>
          <w:tcPr>
            <w:tcW w:w="50" w:type="pct"/>
            <w:shd w:val="clear" w:color="auto" w:fill="CCEEFF"/>
            <w:tcMar>
              <w:top w:w="0" w:type="dxa"/>
              <w:left w:w="0" w:type="dxa"/>
              <w:bottom w:w="15" w:type="dxa"/>
              <w:right w:w="0" w:type="dxa"/>
            </w:tcMar>
            <w:vAlign w:val="center"/>
            <w:hideMark/>
          </w:tcPr>
          <w:p w14:paraId="45269B16" w14:textId="77777777" w:rsidR="00000000" w:rsidRDefault="00847163">
            <w:pPr>
              <w:rPr>
                <w:rFonts w:eastAsia="Times New Roman"/>
                <w:sz w:val="20"/>
                <w:szCs w:val="20"/>
              </w:rPr>
            </w:pPr>
            <w:r>
              <w:rPr>
                <w:rFonts w:eastAsia="Times New Roman"/>
                <w:sz w:val="20"/>
                <w:szCs w:val="20"/>
              </w:rPr>
              <w:t> </w:t>
            </w:r>
          </w:p>
        </w:tc>
      </w:tr>
      <w:tr w:rsidR="00000000" w14:paraId="640CF281" w14:textId="77777777">
        <w:trPr>
          <w:tblCellSpacing w:w="0" w:type="dxa"/>
        </w:trPr>
        <w:tc>
          <w:tcPr>
            <w:tcW w:w="0" w:type="auto"/>
            <w:shd w:val="clear" w:color="auto" w:fill="FFFFFF"/>
            <w:vAlign w:val="bottom"/>
            <w:hideMark/>
          </w:tcPr>
          <w:p w14:paraId="44A333EF" w14:textId="77777777" w:rsidR="00000000" w:rsidRDefault="00847163">
            <w:pPr>
              <w:pStyle w:val="a3"/>
              <w:spacing w:before="0" w:beforeAutospacing="0" w:after="0" w:afterAutospacing="0"/>
              <w:ind w:left="180"/>
              <w:rPr>
                <w:sz w:val="20"/>
                <w:szCs w:val="20"/>
              </w:rPr>
            </w:pPr>
            <w:r>
              <w:rPr>
                <w:sz w:val="20"/>
                <w:szCs w:val="20"/>
              </w:rPr>
              <w:t>Above-market and below-market leases amortization, net</w:t>
            </w:r>
          </w:p>
        </w:tc>
        <w:tc>
          <w:tcPr>
            <w:tcW w:w="50" w:type="pct"/>
            <w:shd w:val="clear" w:color="auto" w:fill="FFFFFF"/>
            <w:vAlign w:val="bottom"/>
            <w:hideMark/>
          </w:tcPr>
          <w:p w14:paraId="440C2513" w14:textId="77777777" w:rsidR="00000000" w:rsidRDefault="0084716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20F72E29" w14:textId="77777777" w:rsidR="00000000" w:rsidRDefault="00847163">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14:paraId="45B28FB8" w14:textId="77777777" w:rsidR="00000000" w:rsidRDefault="00847163">
            <w:pPr>
              <w:jc w:val="right"/>
              <w:rPr>
                <w:rFonts w:eastAsia="Times New Roman"/>
                <w:sz w:val="20"/>
                <w:szCs w:val="20"/>
              </w:rPr>
            </w:pPr>
            <w:r>
              <w:rPr>
                <w:rFonts w:eastAsia="Times New Roman"/>
                <w:sz w:val="20"/>
                <w:szCs w:val="20"/>
              </w:rPr>
              <w:t>9,942</w:t>
            </w:r>
          </w:p>
        </w:tc>
        <w:tc>
          <w:tcPr>
            <w:tcW w:w="50" w:type="pct"/>
            <w:shd w:val="clear" w:color="auto" w:fill="FFFFFF"/>
            <w:tcMar>
              <w:top w:w="0" w:type="dxa"/>
              <w:left w:w="0" w:type="dxa"/>
              <w:bottom w:w="15" w:type="dxa"/>
              <w:right w:w="0" w:type="dxa"/>
            </w:tcMar>
            <w:vAlign w:val="bottom"/>
            <w:hideMark/>
          </w:tcPr>
          <w:p w14:paraId="6E4061DA"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6F6EA7F" w14:textId="77777777" w:rsidR="00000000" w:rsidRDefault="0084716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398EDF2E" w14:textId="77777777" w:rsidR="00000000" w:rsidRDefault="00847163">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14:paraId="3914C7C5" w14:textId="77777777" w:rsidR="00000000" w:rsidRDefault="00847163">
            <w:pPr>
              <w:jc w:val="right"/>
              <w:rPr>
                <w:rFonts w:eastAsia="Times New Roman"/>
                <w:sz w:val="20"/>
                <w:szCs w:val="20"/>
              </w:rPr>
            </w:pPr>
            <w:r>
              <w:rPr>
                <w:rFonts w:eastAsia="Times New Roman"/>
                <w:sz w:val="20"/>
                <w:szCs w:val="20"/>
              </w:rPr>
              <w:t>9,314</w:t>
            </w:r>
          </w:p>
        </w:tc>
        <w:tc>
          <w:tcPr>
            <w:tcW w:w="50" w:type="pct"/>
            <w:shd w:val="clear" w:color="auto" w:fill="FFFFFF"/>
            <w:tcMar>
              <w:top w:w="0" w:type="dxa"/>
              <w:left w:w="0" w:type="dxa"/>
              <w:bottom w:w="15" w:type="dxa"/>
              <w:right w:w="0" w:type="dxa"/>
            </w:tcMar>
            <w:vAlign w:val="bottom"/>
            <w:hideMark/>
          </w:tcPr>
          <w:p w14:paraId="6D40A528" w14:textId="77777777" w:rsidR="00000000" w:rsidRDefault="00847163">
            <w:pPr>
              <w:rPr>
                <w:rFonts w:eastAsia="Times New Roman"/>
                <w:sz w:val="20"/>
                <w:szCs w:val="20"/>
              </w:rPr>
            </w:pPr>
            <w:r>
              <w:rPr>
                <w:rFonts w:eastAsia="Times New Roman"/>
                <w:sz w:val="20"/>
                <w:szCs w:val="20"/>
              </w:rPr>
              <w:t> </w:t>
            </w:r>
          </w:p>
        </w:tc>
      </w:tr>
      <w:tr w:rsidR="00000000" w14:paraId="1A2DC78B" w14:textId="77777777">
        <w:trPr>
          <w:tblCellSpacing w:w="0" w:type="dxa"/>
        </w:trPr>
        <w:tc>
          <w:tcPr>
            <w:tcW w:w="0" w:type="auto"/>
            <w:shd w:val="clear" w:color="auto" w:fill="CCEEFF"/>
            <w:vAlign w:val="bottom"/>
            <w:hideMark/>
          </w:tcPr>
          <w:p w14:paraId="5FC02C2F" w14:textId="77777777" w:rsidR="00000000" w:rsidRDefault="00847163">
            <w:pPr>
              <w:pStyle w:val="a3"/>
              <w:spacing w:before="0" w:beforeAutospacing="0" w:after="0" w:afterAutospacing="0"/>
              <w:ind w:left="360"/>
              <w:rPr>
                <w:sz w:val="20"/>
                <w:szCs w:val="20"/>
              </w:rPr>
            </w:pPr>
            <w:r>
              <w:rPr>
                <w:sz w:val="20"/>
                <w:szCs w:val="20"/>
              </w:rPr>
              <w:t>Total lease cost</w:t>
            </w:r>
          </w:p>
        </w:tc>
        <w:tc>
          <w:tcPr>
            <w:tcW w:w="50" w:type="pct"/>
            <w:shd w:val="clear" w:color="auto" w:fill="CCEEFF"/>
            <w:vAlign w:val="bottom"/>
            <w:hideMark/>
          </w:tcPr>
          <w:p w14:paraId="6A6BE16F" w14:textId="77777777" w:rsidR="00000000" w:rsidRDefault="0084716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47B461C6" w14:textId="77777777" w:rsidR="00000000" w:rsidRDefault="00847163">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CCEEFF"/>
            <w:vAlign w:val="bottom"/>
            <w:hideMark/>
          </w:tcPr>
          <w:p w14:paraId="6E17CBD5" w14:textId="77777777" w:rsidR="00000000" w:rsidRDefault="00847163">
            <w:pPr>
              <w:jc w:val="right"/>
              <w:rPr>
                <w:rFonts w:eastAsia="Times New Roman"/>
                <w:sz w:val="20"/>
                <w:szCs w:val="20"/>
              </w:rPr>
            </w:pPr>
            <w:r>
              <w:rPr>
                <w:rFonts w:eastAsia="Times New Roman"/>
                <w:sz w:val="20"/>
                <w:szCs w:val="20"/>
              </w:rPr>
              <w:t>286,004</w:t>
            </w:r>
          </w:p>
        </w:tc>
        <w:tc>
          <w:tcPr>
            <w:tcW w:w="50" w:type="pct"/>
            <w:shd w:val="clear" w:color="auto" w:fill="CCEEFF"/>
            <w:tcMar>
              <w:top w:w="0" w:type="dxa"/>
              <w:left w:w="0" w:type="dxa"/>
              <w:bottom w:w="45" w:type="dxa"/>
              <w:right w:w="0" w:type="dxa"/>
            </w:tcMar>
            <w:vAlign w:val="bottom"/>
            <w:hideMark/>
          </w:tcPr>
          <w:p w14:paraId="21F3A198"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A8AF766" w14:textId="77777777" w:rsidR="00000000" w:rsidRDefault="0084716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6041B9DA" w14:textId="77777777" w:rsidR="00000000" w:rsidRDefault="00847163">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CCEEFF"/>
            <w:vAlign w:val="bottom"/>
            <w:hideMark/>
          </w:tcPr>
          <w:p w14:paraId="5483CA11" w14:textId="77777777" w:rsidR="00000000" w:rsidRDefault="00847163">
            <w:pPr>
              <w:jc w:val="right"/>
              <w:rPr>
                <w:rFonts w:eastAsia="Times New Roman"/>
                <w:sz w:val="20"/>
                <w:szCs w:val="20"/>
              </w:rPr>
            </w:pPr>
            <w:r>
              <w:rPr>
                <w:rFonts w:eastAsia="Times New Roman"/>
                <w:sz w:val="20"/>
                <w:szCs w:val="20"/>
              </w:rPr>
              <w:t>290,634</w:t>
            </w:r>
          </w:p>
        </w:tc>
        <w:tc>
          <w:tcPr>
            <w:tcW w:w="50" w:type="pct"/>
            <w:shd w:val="clear" w:color="auto" w:fill="CCEEFF"/>
            <w:tcMar>
              <w:top w:w="0" w:type="dxa"/>
              <w:left w:w="0" w:type="dxa"/>
              <w:bottom w:w="45" w:type="dxa"/>
              <w:right w:w="0" w:type="dxa"/>
            </w:tcMar>
            <w:vAlign w:val="bottom"/>
            <w:hideMark/>
          </w:tcPr>
          <w:p w14:paraId="5EEBE144" w14:textId="77777777" w:rsidR="00000000" w:rsidRDefault="00847163">
            <w:pPr>
              <w:rPr>
                <w:rFonts w:eastAsia="Times New Roman"/>
                <w:sz w:val="20"/>
                <w:szCs w:val="20"/>
              </w:rPr>
            </w:pPr>
            <w:r>
              <w:rPr>
                <w:rFonts w:eastAsia="Times New Roman"/>
                <w:sz w:val="20"/>
                <w:szCs w:val="20"/>
              </w:rPr>
              <w:t> </w:t>
            </w:r>
          </w:p>
        </w:tc>
      </w:tr>
    </w:tbl>
    <w:p w14:paraId="694CF12A" w14:textId="77777777" w:rsidR="00000000" w:rsidRDefault="00847163">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29DD242E" w14:textId="77777777">
        <w:trPr>
          <w:tblCellSpacing w:w="0" w:type="dxa"/>
        </w:trPr>
        <w:tc>
          <w:tcPr>
            <w:tcW w:w="360" w:type="dxa"/>
            <w:hideMark/>
          </w:tcPr>
          <w:p w14:paraId="47CCD803" w14:textId="77777777" w:rsidR="00000000" w:rsidRDefault="00847163">
            <w:pPr>
              <w:pStyle w:val="a3"/>
              <w:spacing w:before="0" w:beforeAutospacing="0" w:after="0" w:afterAutospacing="0"/>
              <w:jc w:val="both"/>
              <w:rPr>
                <w:sz w:val="18"/>
                <w:szCs w:val="18"/>
              </w:rPr>
            </w:pPr>
            <w:r>
              <w:rPr>
                <w:sz w:val="18"/>
                <w:szCs w:val="18"/>
              </w:rPr>
              <w:t>(</w:t>
            </w:r>
            <w:r>
              <w:rPr>
                <w:rStyle w:val="a6"/>
                <w:sz w:val="18"/>
                <w:szCs w:val="18"/>
              </w:rPr>
              <w:t>1</w:t>
            </w:r>
            <w:r>
              <w:rPr>
                <w:sz w:val="18"/>
                <w:szCs w:val="18"/>
              </w:rPr>
              <w:t>)</w:t>
            </w:r>
          </w:p>
        </w:tc>
        <w:tc>
          <w:tcPr>
            <w:tcW w:w="0" w:type="auto"/>
            <w:hideMark/>
          </w:tcPr>
          <w:p w14:paraId="1887B951" w14:textId="77777777" w:rsidR="00000000" w:rsidRDefault="00847163">
            <w:pPr>
              <w:rPr>
                <w:rFonts w:eastAsia="Times New Roman"/>
                <w:sz w:val="18"/>
                <w:szCs w:val="18"/>
              </w:rPr>
            </w:pPr>
            <w:r>
              <w:rPr>
                <w:rFonts w:eastAsia="Times New Roman"/>
                <w:sz w:val="18"/>
                <w:szCs w:val="18"/>
              </w:rPr>
              <w:t>Includes minimum base rents, expense reimbursements, ancillary income and straight-line rent adjustments.</w:t>
            </w:r>
          </w:p>
        </w:tc>
      </w:tr>
      <w:tr w:rsidR="00000000" w14:paraId="28C570CF" w14:textId="77777777">
        <w:trPr>
          <w:tblCellSpacing w:w="0" w:type="dxa"/>
        </w:trPr>
        <w:tc>
          <w:tcPr>
            <w:tcW w:w="360" w:type="dxa"/>
            <w:vAlign w:val="center"/>
            <w:hideMark/>
          </w:tcPr>
          <w:p w14:paraId="23C1C4B1" w14:textId="77777777" w:rsidR="00000000" w:rsidRDefault="00847163">
            <w:pPr>
              <w:rPr>
                <w:rFonts w:eastAsia="Times New Roman"/>
                <w:sz w:val="18"/>
                <w:szCs w:val="18"/>
              </w:rPr>
            </w:pPr>
            <w:r>
              <w:rPr>
                <w:rFonts w:eastAsia="Times New Roman"/>
                <w:sz w:val="18"/>
                <w:szCs w:val="18"/>
              </w:rPr>
              <w:t>(</w:t>
            </w:r>
            <w:r>
              <w:rPr>
                <w:rStyle w:val="a6"/>
                <w:rFonts w:eastAsia="Times New Roman"/>
                <w:sz w:val="18"/>
                <w:szCs w:val="18"/>
              </w:rPr>
              <w:t>2</w:t>
            </w:r>
            <w:r>
              <w:rPr>
                <w:rFonts w:eastAsia="Times New Roman"/>
                <w:sz w:val="18"/>
                <w:szCs w:val="18"/>
              </w:rPr>
              <w:t>)</w:t>
            </w:r>
          </w:p>
        </w:tc>
        <w:tc>
          <w:tcPr>
            <w:tcW w:w="0" w:type="auto"/>
            <w:vAlign w:val="center"/>
            <w:hideMark/>
          </w:tcPr>
          <w:p w14:paraId="5BA374D2" w14:textId="77777777" w:rsidR="00000000" w:rsidRDefault="00847163">
            <w:pPr>
              <w:rPr>
                <w:rFonts w:eastAsia="Times New Roman"/>
                <w:sz w:val="18"/>
                <w:szCs w:val="18"/>
              </w:rPr>
            </w:pPr>
            <w:r>
              <w:rPr>
                <w:rFonts w:eastAsia="Times New Roman"/>
                <w:sz w:val="18"/>
                <w:szCs w:val="18"/>
              </w:rPr>
              <w:t>Includes minimum base rents, expense reimbursements, percentage rent, lease termination fee income and ancillary income.</w:t>
            </w:r>
          </w:p>
        </w:tc>
      </w:tr>
    </w:tbl>
    <w:p w14:paraId="39858AD8" w14:textId="77777777" w:rsidR="00000000" w:rsidRDefault="00847163">
      <w:pPr>
        <w:pStyle w:val="a3"/>
        <w:spacing w:before="0" w:beforeAutospacing="0" w:after="0" w:afterAutospacing="0"/>
        <w:ind w:firstLine="2880"/>
        <w:rPr>
          <w:sz w:val="20"/>
          <w:szCs w:val="20"/>
        </w:rPr>
      </w:pPr>
      <w:r>
        <w:rPr>
          <w:sz w:val="20"/>
          <w:szCs w:val="20"/>
        </w:rPr>
        <w:t> </w:t>
      </w:r>
    </w:p>
    <w:p w14:paraId="532C4B8C" w14:textId="77777777" w:rsidR="00000000" w:rsidRDefault="00847163">
      <w:pPr>
        <w:pStyle w:val="a3"/>
        <w:spacing w:before="0" w:beforeAutospacing="0" w:after="0" w:afterAutospacing="0"/>
        <w:jc w:val="both"/>
        <w:rPr>
          <w:sz w:val="20"/>
          <w:szCs w:val="20"/>
        </w:rPr>
      </w:pPr>
      <w:r>
        <w:rPr>
          <w:i/>
          <w:iCs/>
          <w:sz w:val="20"/>
          <w:szCs w:val="20"/>
        </w:rPr>
        <w:t>Lessee Leases</w:t>
      </w:r>
    </w:p>
    <w:p w14:paraId="655B13D9" w14:textId="77777777" w:rsidR="00000000" w:rsidRDefault="00847163">
      <w:pPr>
        <w:pStyle w:val="a3"/>
        <w:spacing w:before="0" w:beforeAutospacing="0" w:after="0" w:afterAutospacing="0"/>
        <w:jc w:val="both"/>
        <w:rPr>
          <w:sz w:val="20"/>
          <w:szCs w:val="20"/>
        </w:rPr>
      </w:pPr>
      <w:r>
        <w:rPr>
          <w:sz w:val="20"/>
          <w:szCs w:val="20"/>
        </w:rPr>
        <w:t> </w:t>
      </w:r>
    </w:p>
    <w:p w14:paraId="72154B70" w14:textId="77777777" w:rsidR="00000000" w:rsidRDefault="00847163">
      <w:pPr>
        <w:pStyle w:val="a3"/>
        <w:spacing w:before="0" w:beforeAutospacing="0" w:after="0" w:afterAutospacing="0"/>
        <w:ind w:firstLine="360"/>
        <w:jc w:val="both"/>
        <w:rPr>
          <w:sz w:val="20"/>
          <w:szCs w:val="20"/>
        </w:rPr>
      </w:pPr>
      <w:r>
        <w:rPr>
          <w:sz w:val="20"/>
          <w:szCs w:val="20"/>
        </w:rPr>
        <w:t xml:space="preserve">The Company currently leases real estate space under noncancelable operating lease agreements for ground leases and </w:t>
      </w:r>
      <w:r>
        <w:rPr>
          <w:sz w:val="20"/>
          <w:szCs w:val="20"/>
        </w:rPr>
        <w:t>administrative office leases. The Company’s leases have remaining lease terms ranging from less than</w:t>
      </w:r>
      <w:r>
        <w:rPr>
          <w:sz w:val="20"/>
          <w:szCs w:val="20"/>
        </w:rPr>
        <w:t xml:space="preserve"> </w:t>
      </w:r>
      <w:r>
        <w:rPr>
          <w:sz w:val="20"/>
          <w:szCs w:val="20"/>
        </w:rPr>
        <w:t>on</w:t>
      </w:r>
      <w:r>
        <w:rPr>
          <w:sz w:val="20"/>
          <w:szCs w:val="20"/>
        </w:rPr>
        <w:t>e</w:t>
      </w:r>
      <w:r>
        <w:rPr>
          <w:sz w:val="20"/>
          <w:szCs w:val="20"/>
        </w:rPr>
        <w:t xml:space="preserve"> year to 51.9 years, some of which include options to extend the terms for up to an additional 75 years. The Company does </w:t>
      </w:r>
      <w:r>
        <w:rPr>
          <w:rStyle w:val="a6"/>
          <w:sz w:val="20"/>
          <w:szCs w:val="20"/>
        </w:rPr>
        <w:t>not</w:t>
      </w:r>
      <w:r>
        <w:rPr>
          <w:sz w:val="20"/>
          <w:szCs w:val="20"/>
        </w:rPr>
        <w:t xml:space="preserve"> include any of its renewal</w:t>
      </w:r>
      <w:r>
        <w:rPr>
          <w:sz w:val="20"/>
          <w:szCs w:val="20"/>
        </w:rPr>
        <w:t xml:space="preserve"> options in its lease terms for calculating its lease liability as the renewal options allow the Company to maintain operational flexibility, and the Company is </w:t>
      </w:r>
      <w:r>
        <w:rPr>
          <w:rStyle w:val="a6"/>
          <w:sz w:val="20"/>
          <w:szCs w:val="20"/>
        </w:rPr>
        <w:t>not</w:t>
      </w:r>
      <w:r>
        <w:rPr>
          <w:sz w:val="20"/>
          <w:szCs w:val="20"/>
        </w:rPr>
        <w:t xml:space="preserve"> reasonably certain it will exercise these renewal options at this time. The weighted-averag</w:t>
      </w:r>
      <w:r>
        <w:rPr>
          <w:sz w:val="20"/>
          <w:szCs w:val="20"/>
        </w:rPr>
        <w:t xml:space="preserve">e remaining non-cancelable lease term for the Company’s operating leases was 21.0 years at </w:t>
      </w:r>
      <w:r>
        <w:rPr>
          <w:rStyle w:val="a6"/>
          <w:sz w:val="20"/>
          <w:szCs w:val="20"/>
        </w:rPr>
        <w:t xml:space="preserve">March 31, 2020. </w:t>
      </w:r>
      <w:r>
        <w:rPr>
          <w:sz w:val="20"/>
          <w:szCs w:val="20"/>
        </w:rPr>
        <w:t xml:space="preserve">The weighted-average discount rate was 6.65% at </w:t>
      </w:r>
      <w:r>
        <w:rPr>
          <w:rStyle w:val="a6"/>
          <w:sz w:val="20"/>
          <w:szCs w:val="20"/>
        </w:rPr>
        <w:t xml:space="preserve">March 31, 2020. </w:t>
      </w:r>
      <w:r>
        <w:rPr>
          <w:sz w:val="20"/>
          <w:szCs w:val="20"/>
        </w:rPr>
        <w:t>The Company’s operating lease liabilities are determined based on the estimated prese</w:t>
      </w:r>
      <w:r>
        <w:rPr>
          <w:sz w:val="20"/>
          <w:szCs w:val="20"/>
        </w:rPr>
        <w:t>nt value of the Company’s minimum lease payments under its lease agreements. The discount rate used to determine the lease liabilities is based on the estimated incremental borrowing rate on a lease by lease basis. When calculating the incremental borrowin</w:t>
      </w:r>
      <w:r>
        <w:rPr>
          <w:sz w:val="20"/>
          <w:szCs w:val="20"/>
        </w:rPr>
        <w:t>g rates, the Company utilized data from (i) its recent debt issuances, (ii) publicly available data for instruments with similar characteristics, (iii) observable mortgage rates and (iv) unlevered property yields and discount rates. The Company then applie</w:t>
      </w:r>
      <w:r>
        <w:rPr>
          <w:sz w:val="20"/>
          <w:szCs w:val="20"/>
        </w:rPr>
        <w:t xml:space="preserve">d adjustments to account for considerations related to term and security that </w:t>
      </w:r>
      <w:r>
        <w:rPr>
          <w:rStyle w:val="a6"/>
          <w:sz w:val="20"/>
          <w:szCs w:val="20"/>
        </w:rPr>
        <w:t>may not</w:t>
      </w:r>
      <w:r>
        <w:rPr>
          <w:sz w:val="20"/>
          <w:szCs w:val="20"/>
        </w:rPr>
        <w:t xml:space="preserve"> be fully incorporated by the data sets.</w:t>
      </w:r>
    </w:p>
    <w:p w14:paraId="35FBFF33" w14:textId="77777777" w:rsidR="00000000" w:rsidRDefault="00847163">
      <w:pPr>
        <w:pStyle w:val="a3"/>
        <w:spacing w:before="0" w:beforeAutospacing="0" w:after="0" w:afterAutospacing="0"/>
        <w:ind w:firstLine="360"/>
        <w:jc w:val="both"/>
        <w:rPr>
          <w:sz w:val="20"/>
          <w:szCs w:val="20"/>
        </w:rPr>
      </w:pPr>
      <w:r>
        <w:rPr>
          <w:sz w:val="20"/>
          <w:szCs w:val="20"/>
        </w:rPr>
        <w:t> </w:t>
      </w:r>
    </w:p>
    <w:p w14:paraId="1F7A1694" w14:textId="77777777" w:rsidR="00000000" w:rsidRDefault="00847163">
      <w:pPr>
        <w:pStyle w:val="a3"/>
        <w:spacing w:before="0" w:beforeAutospacing="0" w:after="0" w:afterAutospacing="0"/>
        <w:ind w:firstLine="360"/>
        <w:jc w:val="both"/>
        <w:rPr>
          <w:sz w:val="20"/>
          <w:szCs w:val="20"/>
        </w:rPr>
      </w:pPr>
      <w:r>
        <w:rPr>
          <w:sz w:val="20"/>
          <w:szCs w:val="20"/>
        </w:rPr>
        <w:t xml:space="preserve">The components of the Company’s lease expense, which are included in rent expense and general and administrative expense on the </w:t>
      </w:r>
      <w:r>
        <w:rPr>
          <w:sz w:val="20"/>
          <w:szCs w:val="20"/>
        </w:rPr>
        <w:t xml:space="preserve">Company’s Condensed Consolidated Statements of Income for the </w:t>
      </w:r>
      <w:r>
        <w:rPr>
          <w:rStyle w:val="a6"/>
          <w:sz w:val="20"/>
          <w:szCs w:val="20"/>
        </w:rPr>
        <w:t>three</w:t>
      </w:r>
      <w:r>
        <w:rPr>
          <w:sz w:val="20"/>
          <w:szCs w:val="20"/>
        </w:rPr>
        <w:t xml:space="preserve"> months ended </w:t>
      </w:r>
      <w:r>
        <w:rPr>
          <w:rStyle w:val="a6"/>
          <w:sz w:val="20"/>
          <w:szCs w:val="20"/>
        </w:rPr>
        <w:t xml:space="preserve">March 31, 2020 </w:t>
      </w:r>
      <w:r>
        <w:rPr>
          <w:sz w:val="20"/>
          <w:szCs w:val="20"/>
        </w:rPr>
        <w:t xml:space="preserve">and </w:t>
      </w:r>
      <w:r>
        <w:rPr>
          <w:rStyle w:val="a6"/>
          <w:sz w:val="20"/>
          <w:szCs w:val="20"/>
        </w:rPr>
        <w:t>2019,</w:t>
      </w:r>
      <w:r>
        <w:rPr>
          <w:sz w:val="20"/>
          <w:szCs w:val="20"/>
        </w:rPr>
        <w:t xml:space="preserve"> were as follows (in thousands):</w:t>
      </w:r>
    </w:p>
    <w:p w14:paraId="29C0F772" w14:textId="77777777" w:rsidR="00000000" w:rsidRDefault="00847163">
      <w:pPr>
        <w:pStyle w:val="a3"/>
        <w:spacing w:before="0" w:beforeAutospacing="0" w:after="0" w:afterAutospacing="0"/>
        <w:ind w:firstLine="360"/>
        <w:jc w:val="both"/>
        <w:rPr>
          <w:sz w:val="20"/>
          <w:szCs w:val="20"/>
        </w:rPr>
      </w:pPr>
      <w:r>
        <w:rPr>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4110"/>
        <w:gridCol w:w="56"/>
        <w:gridCol w:w="100"/>
        <w:gridCol w:w="1054"/>
        <w:gridCol w:w="57"/>
        <w:gridCol w:w="57"/>
        <w:gridCol w:w="100"/>
        <w:gridCol w:w="1054"/>
        <w:gridCol w:w="57"/>
      </w:tblGrid>
      <w:tr w:rsidR="00000000" w14:paraId="7C09740D" w14:textId="77777777">
        <w:trPr>
          <w:tblCellSpacing w:w="0" w:type="dxa"/>
        </w:trPr>
        <w:tc>
          <w:tcPr>
            <w:tcW w:w="0" w:type="auto"/>
            <w:vAlign w:val="bottom"/>
            <w:hideMark/>
          </w:tcPr>
          <w:p w14:paraId="6AE1956C"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6B2E353C" w14:textId="77777777" w:rsidR="00000000" w:rsidRDefault="00847163">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14:paraId="66BD394D" w14:textId="77777777" w:rsidR="00000000" w:rsidRDefault="00847163">
            <w:pPr>
              <w:pStyle w:val="a3"/>
              <w:spacing w:before="0" w:beforeAutospacing="0" w:after="0" w:afterAutospacing="0"/>
              <w:jc w:val="center"/>
              <w:rPr>
                <w:sz w:val="20"/>
                <w:szCs w:val="20"/>
              </w:rPr>
            </w:pPr>
            <w:r>
              <w:rPr>
                <w:b/>
                <w:bCs/>
                <w:sz w:val="20"/>
                <w:szCs w:val="20"/>
              </w:rPr>
              <w:t>Three Months Ended March 31,</w:t>
            </w:r>
          </w:p>
        </w:tc>
        <w:tc>
          <w:tcPr>
            <w:tcW w:w="0" w:type="auto"/>
            <w:tcMar>
              <w:top w:w="0" w:type="dxa"/>
              <w:left w:w="0" w:type="dxa"/>
              <w:bottom w:w="15" w:type="dxa"/>
              <w:right w:w="0" w:type="dxa"/>
            </w:tcMar>
            <w:vAlign w:val="bottom"/>
            <w:hideMark/>
          </w:tcPr>
          <w:p w14:paraId="044C3E94" w14:textId="77777777" w:rsidR="00000000" w:rsidRDefault="00847163">
            <w:pPr>
              <w:rPr>
                <w:rFonts w:eastAsia="Times New Roman"/>
                <w:sz w:val="20"/>
                <w:szCs w:val="20"/>
              </w:rPr>
            </w:pPr>
            <w:r>
              <w:rPr>
                <w:rFonts w:eastAsia="Times New Roman"/>
                <w:sz w:val="20"/>
                <w:szCs w:val="20"/>
              </w:rPr>
              <w:t> </w:t>
            </w:r>
          </w:p>
        </w:tc>
      </w:tr>
      <w:tr w:rsidR="00000000" w14:paraId="06C14201" w14:textId="77777777">
        <w:trPr>
          <w:tblCellSpacing w:w="0" w:type="dxa"/>
        </w:trPr>
        <w:tc>
          <w:tcPr>
            <w:tcW w:w="0" w:type="auto"/>
            <w:vAlign w:val="bottom"/>
            <w:hideMark/>
          </w:tcPr>
          <w:p w14:paraId="11B61115"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10BA1DEF" w14:textId="77777777" w:rsidR="00000000" w:rsidRDefault="0084716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4F1B225B" w14:textId="77777777" w:rsidR="00000000" w:rsidRDefault="00847163">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14:paraId="5F01D04D"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63A1129B" w14:textId="77777777" w:rsidR="00000000" w:rsidRDefault="0084716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3553AF15" w14:textId="77777777" w:rsidR="00000000" w:rsidRDefault="00847163">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66708C3F" w14:textId="77777777" w:rsidR="00000000" w:rsidRDefault="00847163">
            <w:pPr>
              <w:rPr>
                <w:rFonts w:eastAsia="Times New Roman"/>
                <w:sz w:val="20"/>
                <w:szCs w:val="20"/>
              </w:rPr>
            </w:pPr>
            <w:r>
              <w:rPr>
                <w:rFonts w:eastAsia="Times New Roman"/>
                <w:sz w:val="20"/>
                <w:szCs w:val="20"/>
              </w:rPr>
              <w:t> </w:t>
            </w:r>
          </w:p>
        </w:tc>
      </w:tr>
      <w:tr w:rsidR="00000000" w14:paraId="3B9F484D" w14:textId="77777777">
        <w:trPr>
          <w:tblCellSpacing w:w="0" w:type="dxa"/>
        </w:trPr>
        <w:tc>
          <w:tcPr>
            <w:tcW w:w="3100" w:type="pct"/>
            <w:shd w:val="clear" w:color="auto" w:fill="CCEEFF"/>
            <w:vAlign w:val="bottom"/>
            <w:hideMark/>
          </w:tcPr>
          <w:p w14:paraId="3F0DD02B" w14:textId="77777777" w:rsidR="00000000" w:rsidRDefault="00847163">
            <w:pPr>
              <w:pStyle w:val="a3"/>
              <w:spacing w:before="0" w:beforeAutospacing="0" w:after="0" w:afterAutospacing="0"/>
              <w:rPr>
                <w:sz w:val="20"/>
                <w:szCs w:val="20"/>
              </w:rPr>
            </w:pPr>
            <w:r>
              <w:rPr>
                <w:sz w:val="20"/>
                <w:szCs w:val="20"/>
              </w:rPr>
              <w:t>Lease cost:</w:t>
            </w:r>
          </w:p>
        </w:tc>
        <w:tc>
          <w:tcPr>
            <w:tcW w:w="0" w:type="auto"/>
            <w:shd w:val="clear" w:color="auto" w:fill="CCEEFF"/>
            <w:vAlign w:val="bottom"/>
            <w:hideMark/>
          </w:tcPr>
          <w:p w14:paraId="0FF7D71E"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04570B"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8BFCDD" w14:textId="77777777" w:rsidR="00000000" w:rsidRDefault="00847163">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14:paraId="74708924"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C4A28C9"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40B607D"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3818177" w14:textId="77777777" w:rsidR="00000000" w:rsidRDefault="00847163">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14:paraId="3A5074D8" w14:textId="77777777" w:rsidR="00000000" w:rsidRDefault="00847163">
            <w:pPr>
              <w:rPr>
                <w:rFonts w:eastAsia="Times New Roman"/>
                <w:sz w:val="20"/>
                <w:szCs w:val="20"/>
              </w:rPr>
            </w:pPr>
            <w:r>
              <w:rPr>
                <w:rFonts w:eastAsia="Times New Roman"/>
                <w:sz w:val="20"/>
                <w:szCs w:val="20"/>
              </w:rPr>
              <w:t> </w:t>
            </w:r>
          </w:p>
        </w:tc>
      </w:tr>
      <w:tr w:rsidR="00000000" w14:paraId="7AF94F99" w14:textId="77777777">
        <w:trPr>
          <w:tblCellSpacing w:w="0" w:type="dxa"/>
        </w:trPr>
        <w:tc>
          <w:tcPr>
            <w:tcW w:w="0" w:type="auto"/>
            <w:shd w:val="clear" w:color="auto" w:fill="FFFFFF"/>
            <w:vAlign w:val="bottom"/>
            <w:hideMark/>
          </w:tcPr>
          <w:p w14:paraId="68A596E6" w14:textId="77777777" w:rsidR="00000000" w:rsidRDefault="00847163">
            <w:pPr>
              <w:pStyle w:val="a3"/>
              <w:spacing w:before="0" w:beforeAutospacing="0" w:after="0" w:afterAutospacing="0"/>
              <w:ind w:left="180"/>
              <w:rPr>
                <w:sz w:val="20"/>
                <w:szCs w:val="20"/>
              </w:rPr>
            </w:pPr>
            <w:r>
              <w:rPr>
                <w:sz w:val="20"/>
                <w:szCs w:val="20"/>
              </w:rPr>
              <w:t>Operating lease cost</w:t>
            </w:r>
          </w:p>
        </w:tc>
        <w:tc>
          <w:tcPr>
            <w:tcW w:w="50" w:type="pct"/>
            <w:shd w:val="clear" w:color="auto" w:fill="FFFFFF"/>
            <w:vAlign w:val="bottom"/>
            <w:hideMark/>
          </w:tcPr>
          <w:p w14:paraId="339AE918"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8ED1B01" w14:textId="77777777" w:rsidR="00000000" w:rsidRDefault="00847163">
            <w:pPr>
              <w:rPr>
                <w:rFonts w:eastAsia="Times New Roman"/>
                <w:sz w:val="20"/>
                <w:szCs w:val="20"/>
              </w:rPr>
            </w:pPr>
            <w:r>
              <w:rPr>
                <w:rFonts w:eastAsia="Times New Roman"/>
                <w:sz w:val="20"/>
                <w:szCs w:val="20"/>
              </w:rPr>
              <w:t>$</w:t>
            </w:r>
          </w:p>
        </w:tc>
        <w:tc>
          <w:tcPr>
            <w:tcW w:w="800" w:type="pct"/>
            <w:shd w:val="clear" w:color="auto" w:fill="FFFFFF"/>
            <w:vAlign w:val="bottom"/>
            <w:hideMark/>
          </w:tcPr>
          <w:p w14:paraId="1B31D4AD" w14:textId="77777777" w:rsidR="00000000" w:rsidRDefault="00847163">
            <w:pPr>
              <w:jc w:val="right"/>
              <w:rPr>
                <w:rFonts w:eastAsia="Times New Roman"/>
                <w:sz w:val="20"/>
                <w:szCs w:val="20"/>
              </w:rPr>
            </w:pPr>
            <w:r>
              <w:rPr>
                <w:rFonts w:eastAsia="Times New Roman"/>
                <w:sz w:val="20"/>
                <w:szCs w:val="20"/>
              </w:rPr>
              <w:t>2,598</w:t>
            </w:r>
          </w:p>
        </w:tc>
        <w:tc>
          <w:tcPr>
            <w:tcW w:w="50" w:type="pct"/>
            <w:shd w:val="clear" w:color="auto" w:fill="FFFFFF"/>
            <w:vAlign w:val="bottom"/>
            <w:hideMark/>
          </w:tcPr>
          <w:p w14:paraId="61B8A61F"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3C9D2B9"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0A5C66A" w14:textId="77777777" w:rsidR="00000000" w:rsidRDefault="00847163">
            <w:pPr>
              <w:rPr>
                <w:rFonts w:eastAsia="Times New Roman"/>
                <w:sz w:val="20"/>
                <w:szCs w:val="20"/>
              </w:rPr>
            </w:pPr>
            <w:r>
              <w:rPr>
                <w:rFonts w:eastAsia="Times New Roman"/>
                <w:sz w:val="20"/>
                <w:szCs w:val="20"/>
              </w:rPr>
              <w:t>$</w:t>
            </w:r>
          </w:p>
        </w:tc>
        <w:tc>
          <w:tcPr>
            <w:tcW w:w="800" w:type="pct"/>
            <w:shd w:val="clear" w:color="auto" w:fill="FFFFFF"/>
            <w:vAlign w:val="bottom"/>
            <w:hideMark/>
          </w:tcPr>
          <w:p w14:paraId="22B9CE17" w14:textId="77777777" w:rsidR="00000000" w:rsidRDefault="00847163">
            <w:pPr>
              <w:jc w:val="right"/>
              <w:rPr>
                <w:rFonts w:eastAsia="Times New Roman"/>
                <w:sz w:val="20"/>
                <w:szCs w:val="20"/>
              </w:rPr>
            </w:pPr>
            <w:r>
              <w:rPr>
                <w:rFonts w:eastAsia="Times New Roman"/>
                <w:sz w:val="20"/>
                <w:szCs w:val="20"/>
              </w:rPr>
              <w:t>3,328</w:t>
            </w:r>
          </w:p>
        </w:tc>
        <w:tc>
          <w:tcPr>
            <w:tcW w:w="50" w:type="pct"/>
            <w:shd w:val="clear" w:color="auto" w:fill="FFFFFF"/>
            <w:vAlign w:val="bottom"/>
            <w:hideMark/>
          </w:tcPr>
          <w:p w14:paraId="4D240C51" w14:textId="77777777" w:rsidR="00000000" w:rsidRDefault="00847163">
            <w:pPr>
              <w:rPr>
                <w:rFonts w:eastAsia="Times New Roman"/>
                <w:sz w:val="20"/>
                <w:szCs w:val="20"/>
              </w:rPr>
            </w:pPr>
            <w:r>
              <w:rPr>
                <w:rFonts w:eastAsia="Times New Roman"/>
                <w:sz w:val="20"/>
                <w:szCs w:val="20"/>
              </w:rPr>
              <w:t> </w:t>
            </w:r>
          </w:p>
        </w:tc>
      </w:tr>
      <w:tr w:rsidR="00000000" w14:paraId="70817FBB" w14:textId="77777777">
        <w:trPr>
          <w:tblCellSpacing w:w="0" w:type="dxa"/>
        </w:trPr>
        <w:tc>
          <w:tcPr>
            <w:tcW w:w="0" w:type="auto"/>
            <w:shd w:val="clear" w:color="auto" w:fill="CCEEFF"/>
            <w:vAlign w:val="bottom"/>
            <w:hideMark/>
          </w:tcPr>
          <w:p w14:paraId="496F880F" w14:textId="77777777" w:rsidR="00000000" w:rsidRDefault="00847163">
            <w:pPr>
              <w:pStyle w:val="a3"/>
              <w:spacing w:before="0" w:beforeAutospacing="0" w:after="0" w:afterAutospacing="0"/>
              <w:ind w:left="180"/>
              <w:rPr>
                <w:sz w:val="20"/>
                <w:szCs w:val="20"/>
              </w:rPr>
            </w:pPr>
            <w:r>
              <w:rPr>
                <w:sz w:val="20"/>
                <w:szCs w:val="20"/>
              </w:rPr>
              <w:t>Variable lease cost</w:t>
            </w:r>
          </w:p>
        </w:tc>
        <w:tc>
          <w:tcPr>
            <w:tcW w:w="50" w:type="pct"/>
            <w:shd w:val="clear" w:color="auto" w:fill="CCEEFF"/>
            <w:vAlign w:val="bottom"/>
            <w:hideMark/>
          </w:tcPr>
          <w:p w14:paraId="56C37B71" w14:textId="77777777" w:rsidR="00000000" w:rsidRDefault="0084716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24638FA5" w14:textId="77777777" w:rsidR="00000000" w:rsidRDefault="00847163">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14:paraId="1A8A6E82" w14:textId="77777777" w:rsidR="00000000" w:rsidRDefault="00847163">
            <w:pPr>
              <w:jc w:val="right"/>
              <w:rPr>
                <w:rFonts w:eastAsia="Times New Roman"/>
                <w:sz w:val="20"/>
                <w:szCs w:val="20"/>
              </w:rPr>
            </w:pPr>
            <w:r>
              <w:rPr>
                <w:rFonts w:eastAsia="Times New Roman"/>
                <w:sz w:val="20"/>
                <w:szCs w:val="20"/>
              </w:rPr>
              <w:t>727</w:t>
            </w:r>
          </w:p>
        </w:tc>
        <w:tc>
          <w:tcPr>
            <w:tcW w:w="50" w:type="pct"/>
            <w:shd w:val="clear" w:color="auto" w:fill="CCEEFF"/>
            <w:tcMar>
              <w:top w:w="0" w:type="dxa"/>
              <w:left w:w="0" w:type="dxa"/>
              <w:bottom w:w="15" w:type="dxa"/>
              <w:right w:w="0" w:type="dxa"/>
            </w:tcMar>
            <w:vAlign w:val="bottom"/>
            <w:hideMark/>
          </w:tcPr>
          <w:p w14:paraId="4BBE223B"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8340354" w14:textId="77777777" w:rsidR="00000000" w:rsidRDefault="0084716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5E709BCF" w14:textId="77777777" w:rsidR="00000000" w:rsidRDefault="00847163">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14:paraId="21163C6D" w14:textId="77777777" w:rsidR="00000000" w:rsidRDefault="00847163">
            <w:pPr>
              <w:jc w:val="right"/>
              <w:rPr>
                <w:rFonts w:eastAsia="Times New Roman"/>
                <w:sz w:val="20"/>
                <w:szCs w:val="20"/>
              </w:rPr>
            </w:pPr>
            <w:r>
              <w:rPr>
                <w:rFonts w:eastAsia="Times New Roman"/>
                <w:sz w:val="20"/>
                <w:szCs w:val="20"/>
              </w:rPr>
              <w:t>269</w:t>
            </w:r>
          </w:p>
        </w:tc>
        <w:tc>
          <w:tcPr>
            <w:tcW w:w="50" w:type="pct"/>
            <w:shd w:val="clear" w:color="auto" w:fill="CCEEFF"/>
            <w:tcMar>
              <w:top w:w="0" w:type="dxa"/>
              <w:left w:w="0" w:type="dxa"/>
              <w:bottom w:w="15" w:type="dxa"/>
              <w:right w:w="0" w:type="dxa"/>
            </w:tcMar>
            <w:vAlign w:val="bottom"/>
            <w:hideMark/>
          </w:tcPr>
          <w:p w14:paraId="6D18EE79" w14:textId="77777777" w:rsidR="00000000" w:rsidRDefault="00847163">
            <w:pPr>
              <w:rPr>
                <w:rFonts w:eastAsia="Times New Roman"/>
                <w:sz w:val="20"/>
                <w:szCs w:val="20"/>
              </w:rPr>
            </w:pPr>
            <w:r>
              <w:rPr>
                <w:rFonts w:eastAsia="Times New Roman"/>
                <w:sz w:val="20"/>
                <w:szCs w:val="20"/>
              </w:rPr>
              <w:t> </w:t>
            </w:r>
          </w:p>
        </w:tc>
      </w:tr>
      <w:tr w:rsidR="00000000" w14:paraId="7D66F8EC" w14:textId="77777777">
        <w:trPr>
          <w:tblCellSpacing w:w="0" w:type="dxa"/>
        </w:trPr>
        <w:tc>
          <w:tcPr>
            <w:tcW w:w="0" w:type="auto"/>
            <w:shd w:val="clear" w:color="auto" w:fill="FFFFFF"/>
            <w:vAlign w:val="bottom"/>
            <w:hideMark/>
          </w:tcPr>
          <w:p w14:paraId="330E18CD" w14:textId="77777777" w:rsidR="00000000" w:rsidRDefault="00847163">
            <w:pPr>
              <w:pStyle w:val="a3"/>
              <w:spacing w:before="0" w:beforeAutospacing="0" w:after="0" w:afterAutospacing="0"/>
              <w:ind w:left="360"/>
              <w:rPr>
                <w:sz w:val="20"/>
                <w:szCs w:val="20"/>
              </w:rPr>
            </w:pPr>
            <w:r>
              <w:rPr>
                <w:sz w:val="20"/>
                <w:szCs w:val="20"/>
              </w:rPr>
              <w:t>Total lease cost</w:t>
            </w:r>
          </w:p>
        </w:tc>
        <w:tc>
          <w:tcPr>
            <w:tcW w:w="50" w:type="pct"/>
            <w:shd w:val="clear" w:color="auto" w:fill="FFFFFF"/>
            <w:vAlign w:val="bottom"/>
            <w:hideMark/>
          </w:tcPr>
          <w:p w14:paraId="3EDA51A8" w14:textId="77777777" w:rsidR="00000000" w:rsidRDefault="0084716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587B640F" w14:textId="77777777" w:rsidR="00000000" w:rsidRDefault="00847163">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FFFFFF"/>
            <w:vAlign w:val="bottom"/>
            <w:hideMark/>
          </w:tcPr>
          <w:p w14:paraId="10BA7EF9" w14:textId="77777777" w:rsidR="00000000" w:rsidRDefault="00847163">
            <w:pPr>
              <w:jc w:val="right"/>
              <w:rPr>
                <w:rFonts w:eastAsia="Times New Roman"/>
                <w:sz w:val="20"/>
                <w:szCs w:val="20"/>
              </w:rPr>
            </w:pPr>
            <w:r>
              <w:rPr>
                <w:rFonts w:eastAsia="Times New Roman"/>
                <w:sz w:val="20"/>
                <w:szCs w:val="20"/>
              </w:rPr>
              <w:t>3,325</w:t>
            </w:r>
          </w:p>
        </w:tc>
        <w:tc>
          <w:tcPr>
            <w:tcW w:w="50" w:type="pct"/>
            <w:shd w:val="clear" w:color="auto" w:fill="FFFFFF"/>
            <w:tcMar>
              <w:top w:w="0" w:type="dxa"/>
              <w:left w:w="0" w:type="dxa"/>
              <w:bottom w:w="45" w:type="dxa"/>
              <w:right w:w="0" w:type="dxa"/>
            </w:tcMar>
            <w:vAlign w:val="bottom"/>
            <w:hideMark/>
          </w:tcPr>
          <w:p w14:paraId="5DA5E308"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0039C2C" w14:textId="77777777" w:rsidR="00000000" w:rsidRDefault="0084716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658B1DE5" w14:textId="77777777" w:rsidR="00000000" w:rsidRDefault="00847163">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FFFFFF"/>
            <w:vAlign w:val="bottom"/>
            <w:hideMark/>
          </w:tcPr>
          <w:p w14:paraId="2506D932" w14:textId="77777777" w:rsidR="00000000" w:rsidRDefault="00847163">
            <w:pPr>
              <w:jc w:val="right"/>
              <w:rPr>
                <w:rFonts w:eastAsia="Times New Roman"/>
                <w:sz w:val="20"/>
                <w:szCs w:val="20"/>
              </w:rPr>
            </w:pPr>
            <w:r>
              <w:rPr>
                <w:rFonts w:eastAsia="Times New Roman"/>
                <w:sz w:val="20"/>
                <w:szCs w:val="20"/>
              </w:rPr>
              <w:t>3,597</w:t>
            </w:r>
          </w:p>
        </w:tc>
        <w:tc>
          <w:tcPr>
            <w:tcW w:w="50" w:type="pct"/>
            <w:shd w:val="clear" w:color="auto" w:fill="FFFFFF"/>
            <w:tcMar>
              <w:top w:w="0" w:type="dxa"/>
              <w:left w:w="0" w:type="dxa"/>
              <w:bottom w:w="45" w:type="dxa"/>
              <w:right w:w="0" w:type="dxa"/>
            </w:tcMar>
            <w:vAlign w:val="bottom"/>
            <w:hideMark/>
          </w:tcPr>
          <w:p w14:paraId="12C7286F" w14:textId="77777777" w:rsidR="00000000" w:rsidRDefault="00847163">
            <w:pPr>
              <w:rPr>
                <w:rFonts w:eastAsia="Times New Roman"/>
                <w:sz w:val="20"/>
                <w:szCs w:val="20"/>
              </w:rPr>
            </w:pPr>
            <w:r>
              <w:rPr>
                <w:rFonts w:eastAsia="Times New Roman"/>
                <w:sz w:val="20"/>
                <w:szCs w:val="20"/>
              </w:rPr>
              <w:t> </w:t>
            </w:r>
          </w:p>
        </w:tc>
      </w:tr>
    </w:tbl>
    <w:p w14:paraId="72686453" w14:textId="77777777" w:rsidR="00000000" w:rsidRDefault="00847163">
      <w:pPr>
        <w:pStyle w:val="a3"/>
        <w:spacing w:before="0" w:beforeAutospacing="0" w:after="0" w:afterAutospacing="0"/>
        <w:ind w:firstLine="360"/>
        <w:jc w:val="both"/>
        <w:rPr>
          <w:sz w:val="20"/>
          <w:szCs w:val="20"/>
        </w:rPr>
      </w:pPr>
      <w:r>
        <w:rPr>
          <w:sz w:val="20"/>
          <w:szCs w:val="20"/>
        </w:rPr>
        <w:t> </w:t>
      </w:r>
    </w:p>
    <w:p w14:paraId="29DDC841" w14:textId="77777777" w:rsidR="00000000" w:rsidRDefault="00847163">
      <w:pPr>
        <w:divId w:val="413473948"/>
        <w:rPr>
          <w:rFonts w:eastAsia="Times New Roman"/>
          <w:sz w:val="20"/>
          <w:szCs w:val="20"/>
        </w:rPr>
      </w:pPr>
      <w:r>
        <w:rPr>
          <w:rFonts w:eastAsia="Times New Roman"/>
          <w:sz w:val="20"/>
          <w:szCs w:val="20"/>
        </w:rPr>
        <w:t xml:space="preserve">  </w:t>
      </w:r>
    </w:p>
    <w:p w14:paraId="3C582215" w14:textId="77777777" w:rsidR="00000000" w:rsidRDefault="00847163">
      <w:pPr>
        <w:pStyle w:val="a3"/>
        <w:spacing w:before="0" w:beforeAutospacing="0" w:after="0" w:afterAutospacing="0"/>
        <w:rPr>
          <w:sz w:val="20"/>
          <w:szCs w:val="20"/>
        </w:rPr>
      </w:pPr>
      <w:r>
        <w:rPr>
          <w:rStyle w:val="a6"/>
          <w:sz w:val="20"/>
          <w:szCs w:val="20"/>
        </w:rPr>
        <w:t>7.</w:t>
      </w:r>
      <w:r>
        <w:rPr>
          <w:sz w:val="20"/>
          <w:szCs w:val="20"/>
        </w:rPr>
        <w:t xml:space="preserve"> </w:t>
      </w:r>
      <w:r>
        <w:rPr>
          <w:sz w:val="20"/>
          <w:szCs w:val="20"/>
          <w:u w:val="single"/>
        </w:rPr>
        <w:t>Other Assets</w:t>
      </w:r>
    </w:p>
    <w:p w14:paraId="1C204983" w14:textId="77777777" w:rsidR="00000000" w:rsidRDefault="00847163">
      <w:pPr>
        <w:pStyle w:val="a3"/>
        <w:spacing w:before="0" w:beforeAutospacing="0" w:after="0" w:afterAutospacing="0"/>
        <w:rPr>
          <w:sz w:val="20"/>
          <w:szCs w:val="20"/>
        </w:rPr>
      </w:pPr>
      <w:r>
        <w:rPr>
          <w:sz w:val="20"/>
          <w:szCs w:val="20"/>
        </w:rPr>
        <w:t> </w:t>
      </w:r>
    </w:p>
    <w:p w14:paraId="1DB0DDD0" w14:textId="77777777" w:rsidR="00000000" w:rsidRDefault="00847163">
      <w:pPr>
        <w:pStyle w:val="a3"/>
        <w:spacing w:before="0" w:beforeAutospacing="0" w:after="0" w:afterAutospacing="0"/>
        <w:rPr>
          <w:sz w:val="20"/>
          <w:szCs w:val="20"/>
        </w:rPr>
      </w:pPr>
      <w:r>
        <w:rPr>
          <w:i/>
          <w:iCs/>
          <w:sz w:val="20"/>
          <w:szCs w:val="20"/>
        </w:rPr>
        <w:t>Mortgages and Other Financing Receivables -</w:t>
      </w:r>
    </w:p>
    <w:p w14:paraId="253A4962" w14:textId="77777777" w:rsidR="00000000" w:rsidRDefault="00847163">
      <w:pPr>
        <w:pStyle w:val="a3"/>
        <w:spacing w:before="0" w:beforeAutospacing="0" w:after="0" w:afterAutospacing="0"/>
        <w:ind w:firstLine="720"/>
        <w:jc w:val="both"/>
        <w:rPr>
          <w:sz w:val="20"/>
          <w:szCs w:val="20"/>
        </w:rPr>
      </w:pPr>
      <w:r>
        <w:rPr>
          <w:sz w:val="20"/>
          <w:szCs w:val="20"/>
        </w:rPr>
        <w:t> </w:t>
      </w:r>
    </w:p>
    <w:p w14:paraId="481DFFC1" w14:textId="77777777" w:rsidR="00000000" w:rsidRDefault="00847163">
      <w:pPr>
        <w:pStyle w:val="a3"/>
        <w:spacing w:before="0" w:beforeAutospacing="0" w:after="0" w:afterAutospacing="0"/>
        <w:ind w:firstLine="360"/>
        <w:jc w:val="both"/>
        <w:rPr>
          <w:sz w:val="20"/>
          <w:szCs w:val="20"/>
        </w:rPr>
      </w:pPr>
      <w:r>
        <w:rPr>
          <w:sz w:val="20"/>
          <w:szCs w:val="20"/>
        </w:rPr>
        <w:t xml:space="preserve">The Company has various mortgages and other financing receivables which consist of loans acquired and loans originated by the Company. The Company reviews payment status to identify performing versus non-performing loans. As of </w:t>
      </w:r>
      <w:r>
        <w:rPr>
          <w:rStyle w:val="a6"/>
          <w:sz w:val="20"/>
          <w:szCs w:val="20"/>
        </w:rPr>
        <w:t xml:space="preserve">March 31, 2020, </w:t>
      </w:r>
      <w:r>
        <w:rPr>
          <w:sz w:val="20"/>
          <w:szCs w:val="20"/>
        </w:rPr>
        <w:t xml:space="preserve">the Company </w:t>
      </w:r>
      <w:r>
        <w:rPr>
          <w:sz w:val="20"/>
          <w:szCs w:val="20"/>
        </w:rPr>
        <w:t>had a total of</w:t>
      </w:r>
      <w:r>
        <w:rPr>
          <w:sz w:val="20"/>
          <w:szCs w:val="20"/>
        </w:rPr>
        <w:t xml:space="preserve"> </w:t>
      </w:r>
      <w:r>
        <w:rPr>
          <w:sz w:val="20"/>
          <w:szCs w:val="20"/>
        </w:rPr>
        <w:t>seve</w:t>
      </w:r>
      <w:r>
        <w:rPr>
          <w:sz w:val="20"/>
          <w:szCs w:val="20"/>
        </w:rPr>
        <w:t>n</w:t>
      </w:r>
      <w:r>
        <w:rPr>
          <w:sz w:val="20"/>
          <w:szCs w:val="20"/>
        </w:rPr>
        <w:t xml:space="preserve"> loans aggregating $7.8 million, all of which were identified as performing loans.</w:t>
      </w:r>
    </w:p>
    <w:p w14:paraId="41E97012" w14:textId="77777777" w:rsidR="00000000" w:rsidRDefault="00847163">
      <w:pPr>
        <w:pStyle w:val="a3"/>
        <w:spacing w:before="0" w:beforeAutospacing="0" w:after="0" w:afterAutospacing="0"/>
        <w:ind w:firstLine="360"/>
        <w:jc w:val="both"/>
        <w:rPr>
          <w:sz w:val="20"/>
          <w:szCs w:val="20"/>
        </w:rPr>
      </w:pPr>
      <w:r>
        <w:rPr>
          <w:sz w:val="20"/>
          <w:szCs w:val="20"/>
        </w:rPr>
        <w:t> </w:t>
      </w:r>
    </w:p>
    <w:p w14:paraId="337D3E07" w14:textId="77777777" w:rsidR="00000000" w:rsidRDefault="00847163">
      <w:pPr>
        <w:pStyle w:val="a3"/>
        <w:spacing w:before="0" w:beforeAutospacing="0" w:after="0" w:afterAutospacing="0"/>
        <w:rPr>
          <w:sz w:val="20"/>
          <w:szCs w:val="20"/>
        </w:rPr>
      </w:pPr>
      <w:r>
        <w:rPr>
          <w:i/>
          <w:iCs/>
          <w:sz w:val="20"/>
          <w:szCs w:val="20"/>
        </w:rPr>
        <w:t>Assets Held-For-Sale -</w:t>
      </w:r>
    </w:p>
    <w:p w14:paraId="66C16410" w14:textId="77777777" w:rsidR="00000000" w:rsidRDefault="00847163">
      <w:pPr>
        <w:pStyle w:val="a3"/>
        <w:spacing w:before="0" w:beforeAutospacing="0" w:after="0" w:afterAutospacing="0"/>
        <w:rPr>
          <w:sz w:val="20"/>
          <w:szCs w:val="20"/>
        </w:rPr>
      </w:pPr>
      <w:r>
        <w:rPr>
          <w:sz w:val="20"/>
          <w:szCs w:val="20"/>
        </w:rPr>
        <w:t> </w:t>
      </w:r>
    </w:p>
    <w:p w14:paraId="2428ABA1" w14:textId="77777777" w:rsidR="00000000" w:rsidRDefault="00847163">
      <w:pPr>
        <w:pStyle w:val="a3"/>
        <w:spacing w:before="0" w:beforeAutospacing="0" w:after="0" w:afterAutospacing="0"/>
        <w:ind w:firstLine="360"/>
        <w:jc w:val="both"/>
        <w:rPr>
          <w:sz w:val="20"/>
          <w:szCs w:val="20"/>
        </w:rPr>
      </w:pPr>
      <w:r>
        <w:rPr>
          <w:sz w:val="20"/>
          <w:szCs w:val="20"/>
        </w:rPr>
        <w:t xml:space="preserve">At </w:t>
      </w:r>
      <w:r>
        <w:rPr>
          <w:rStyle w:val="a6"/>
          <w:sz w:val="20"/>
          <w:szCs w:val="20"/>
        </w:rPr>
        <w:t xml:space="preserve">March 31, 2020, </w:t>
      </w:r>
      <w:r>
        <w:rPr>
          <w:sz w:val="20"/>
          <w:szCs w:val="20"/>
        </w:rPr>
        <w:t xml:space="preserve">the Company had a property classified as held-for-sale at a net carrying amount of $1.3 million (including </w:t>
      </w:r>
      <w:r>
        <w:rPr>
          <w:sz w:val="20"/>
          <w:szCs w:val="20"/>
        </w:rPr>
        <w:t xml:space="preserve">accumulated depreciation and amortization of $1.1 million). The Company’s determination of the fair value of the property was based upon an executed contract of sale with a </w:t>
      </w:r>
      <w:r>
        <w:rPr>
          <w:rStyle w:val="a6"/>
          <w:sz w:val="20"/>
          <w:szCs w:val="20"/>
        </w:rPr>
        <w:t>third</w:t>
      </w:r>
      <w:r>
        <w:rPr>
          <w:sz w:val="20"/>
          <w:szCs w:val="20"/>
        </w:rPr>
        <w:t xml:space="preserve"> party, which is in excess of the book value of this property.</w:t>
      </w:r>
    </w:p>
    <w:p w14:paraId="474D15F5" w14:textId="77777777" w:rsidR="00000000" w:rsidRDefault="00847163">
      <w:pPr>
        <w:pStyle w:val="a3"/>
        <w:spacing w:before="0" w:beforeAutospacing="0" w:after="0" w:afterAutospacing="0"/>
        <w:rPr>
          <w:sz w:val="20"/>
          <w:szCs w:val="20"/>
        </w:rPr>
      </w:pPr>
      <w:r>
        <w:rPr>
          <w:i/>
          <w:iCs/>
          <w:sz w:val="20"/>
          <w:szCs w:val="20"/>
        </w:rPr>
        <w:t> </w:t>
      </w:r>
    </w:p>
    <w:p w14:paraId="73502301" w14:textId="77777777" w:rsidR="00000000" w:rsidRDefault="00847163">
      <w:pPr>
        <w:divId w:val="197593038"/>
        <w:rPr>
          <w:rFonts w:eastAsia="Times New Roman"/>
          <w:sz w:val="20"/>
          <w:szCs w:val="20"/>
        </w:rPr>
      </w:pPr>
      <w:r>
        <w:rPr>
          <w:rFonts w:eastAsia="Times New Roman"/>
          <w:sz w:val="20"/>
          <w:szCs w:val="20"/>
        </w:rPr>
        <w:t xml:space="preserve">  </w:t>
      </w:r>
    </w:p>
    <w:p w14:paraId="645BD6BF" w14:textId="77777777" w:rsidR="00000000" w:rsidRDefault="00847163">
      <w:pPr>
        <w:pStyle w:val="a3"/>
        <w:spacing w:before="0" w:beforeAutospacing="0" w:after="0" w:afterAutospacing="0"/>
        <w:rPr>
          <w:sz w:val="20"/>
          <w:szCs w:val="20"/>
        </w:rPr>
      </w:pPr>
      <w:r>
        <w:rPr>
          <w:rStyle w:val="a6"/>
          <w:sz w:val="20"/>
          <w:szCs w:val="20"/>
        </w:rPr>
        <w:t>8.</w:t>
      </w:r>
      <w:r>
        <w:rPr>
          <w:sz w:val="20"/>
          <w:szCs w:val="20"/>
        </w:rPr>
        <w:t xml:space="preserve"> </w:t>
      </w:r>
      <w:r>
        <w:rPr>
          <w:sz w:val="20"/>
          <w:szCs w:val="20"/>
          <w:u w:val="single"/>
        </w:rPr>
        <w:t xml:space="preserve">Notes, </w:t>
      </w:r>
      <w:r>
        <w:rPr>
          <w:sz w:val="20"/>
          <w:szCs w:val="20"/>
          <w:u w:val="single"/>
        </w:rPr>
        <w:t>Mortgages and Construction Loan Payable</w:t>
      </w:r>
    </w:p>
    <w:p w14:paraId="324A411E" w14:textId="77777777" w:rsidR="00000000" w:rsidRDefault="00847163">
      <w:pPr>
        <w:pStyle w:val="a3"/>
        <w:spacing w:before="0" w:beforeAutospacing="0" w:after="0" w:afterAutospacing="0"/>
        <w:jc w:val="both"/>
        <w:rPr>
          <w:sz w:val="20"/>
          <w:szCs w:val="20"/>
        </w:rPr>
      </w:pPr>
      <w:r>
        <w:rPr>
          <w:sz w:val="20"/>
          <w:szCs w:val="20"/>
        </w:rPr>
        <w:t> </w:t>
      </w:r>
    </w:p>
    <w:p w14:paraId="65B0ECAB" w14:textId="77777777" w:rsidR="00000000" w:rsidRDefault="00847163">
      <w:pPr>
        <w:pStyle w:val="a3"/>
        <w:spacing w:before="0" w:beforeAutospacing="0" w:after="0" w:afterAutospacing="0"/>
        <w:jc w:val="both"/>
        <w:rPr>
          <w:sz w:val="20"/>
          <w:szCs w:val="20"/>
        </w:rPr>
      </w:pPr>
      <w:r>
        <w:rPr>
          <w:i/>
          <w:iCs/>
          <w:sz w:val="20"/>
          <w:szCs w:val="20"/>
        </w:rPr>
        <w:t xml:space="preserve">Notes Payable – </w:t>
      </w:r>
    </w:p>
    <w:p w14:paraId="4F7454FB" w14:textId="77777777" w:rsidR="00000000" w:rsidRDefault="00847163">
      <w:pPr>
        <w:pStyle w:val="a3"/>
        <w:spacing w:before="0" w:beforeAutospacing="0" w:after="0" w:afterAutospacing="0"/>
        <w:jc w:val="both"/>
        <w:rPr>
          <w:sz w:val="20"/>
          <w:szCs w:val="20"/>
        </w:rPr>
      </w:pPr>
      <w:r>
        <w:rPr>
          <w:sz w:val="20"/>
          <w:szCs w:val="20"/>
        </w:rPr>
        <w:t> </w:t>
      </w:r>
    </w:p>
    <w:p w14:paraId="3CECFA80" w14:textId="77777777" w:rsidR="00000000" w:rsidRDefault="00847163">
      <w:pPr>
        <w:pStyle w:val="a3"/>
        <w:spacing w:before="0" w:beforeAutospacing="0" w:after="0" w:afterAutospacing="0"/>
        <w:ind w:firstLine="360"/>
        <w:jc w:val="both"/>
        <w:rPr>
          <w:sz w:val="20"/>
          <w:szCs w:val="20"/>
        </w:rPr>
      </w:pPr>
      <w:r>
        <w:rPr>
          <w:sz w:val="20"/>
          <w:szCs w:val="20"/>
        </w:rPr>
        <w:t xml:space="preserve">In </w:t>
      </w:r>
      <w:r>
        <w:rPr>
          <w:rStyle w:val="a6"/>
          <w:sz w:val="20"/>
          <w:szCs w:val="20"/>
        </w:rPr>
        <w:t xml:space="preserve">February 2020, </w:t>
      </w:r>
      <w:r>
        <w:rPr>
          <w:sz w:val="20"/>
          <w:szCs w:val="20"/>
        </w:rPr>
        <w:t>the Company closed on a new $2.0 billion unsecured revolving credit facility (the “Credit Facility”) with a group of banks, which replaced the Company’s existing $2.25 billion u</w:t>
      </w:r>
      <w:r>
        <w:rPr>
          <w:sz w:val="20"/>
          <w:szCs w:val="20"/>
        </w:rPr>
        <w:t xml:space="preserve">nsecured revolving credit facility. The Credit Facility is scheduled to expire in </w:t>
      </w:r>
      <w:r>
        <w:rPr>
          <w:rStyle w:val="a6"/>
          <w:sz w:val="20"/>
          <w:szCs w:val="20"/>
        </w:rPr>
        <w:t xml:space="preserve">March 2024, </w:t>
      </w:r>
      <w:r>
        <w:rPr>
          <w:sz w:val="20"/>
          <w:szCs w:val="20"/>
        </w:rPr>
        <w:t xml:space="preserve">with </w:t>
      </w:r>
      <w:r>
        <w:rPr>
          <w:rStyle w:val="a6"/>
          <w:sz w:val="20"/>
          <w:szCs w:val="20"/>
        </w:rPr>
        <w:t>two</w:t>
      </w:r>
      <w:r>
        <w:rPr>
          <w:sz w:val="20"/>
          <w:szCs w:val="20"/>
        </w:rPr>
        <w:t xml:space="preserve"> additional </w:t>
      </w:r>
      <w:r>
        <w:rPr>
          <w:rStyle w:val="a6"/>
          <w:sz w:val="20"/>
          <w:szCs w:val="20"/>
        </w:rPr>
        <w:t>six</w:t>
      </w:r>
      <w:r>
        <w:rPr>
          <w:sz w:val="20"/>
          <w:szCs w:val="20"/>
        </w:rPr>
        <w:t xml:space="preserve">-month options to extend the maturity date, at the Company’s discretion, to </w:t>
      </w:r>
      <w:r>
        <w:rPr>
          <w:rStyle w:val="a6"/>
          <w:sz w:val="20"/>
          <w:szCs w:val="20"/>
        </w:rPr>
        <w:t xml:space="preserve">March 2025. </w:t>
      </w:r>
      <w:r>
        <w:rPr>
          <w:sz w:val="20"/>
          <w:szCs w:val="20"/>
        </w:rPr>
        <w:t>The Credit Facility, which accrues interest at a ra</w:t>
      </w:r>
      <w:r>
        <w:rPr>
          <w:sz w:val="20"/>
          <w:szCs w:val="20"/>
        </w:rPr>
        <w:t xml:space="preserve">te of LIBOR plus 77.5 basis points (1.76% as of </w:t>
      </w:r>
      <w:r>
        <w:rPr>
          <w:rStyle w:val="a6"/>
          <w:sz w:val="20"/>
          <w:szCs w:val="20"/>
        </w:rPr>
        <w:t xml:space="preserve">March 31, 2020), </w:t>
      </w:r>
      <w:r>
        <w:rPr>
          <w:sz w:val="20"/>
          <w:szCs w:val="20"/>
        </w:rPr>
        <w:t xml:space="preserve">can be increased to $2.75 </w:t>
      </w:r>
      <w:r>
        <w:rPr>
          <w:sz w:val="20"/>
          <w:szCs w:val="20"/>
        </w:rPr>
        <w:t>billion through an accordion feature. Pursuant to the terms of the Credit Facility, the Company, among other things, is subject to covenants requiring the maintenance of (i) maximum indebtedness ratios and (ii) minimum interest and fixed charge coverage ra</w:t>
      </w:r>
      <w:r>
        <w:rPr>
          <w:sz w:val="20"/>
          <w:szCs w:val="20"/>
        </w:rPr>
        <w:t xml:space="preserve">tios. As of </w:t>
      </w:r>
      <w:r>
        <w:rPr>
          <w:rStyle w:val="a6"/>
          <w:sz w:val="20"/>
          <w:szCs w:val="20"/>
        </w:rPr>
        <w:t xml:space="preserve">March 31, 2020, </w:t>
      </w:r>
      <w:r>
        <w:rPr>
          <w:sz w:val="20"/>
          <w:szCs w:val="20"/>
        </w:rPr>
        <w:t>the Credit Facility had an outstanding balance of $675.0 million and $0.3 million appropriated for letters of credit and the Company was in compliance with its covenants.</w:t>
      </w:r>
    </w:p>
    <w:p w14:paraId="6A52C7C1" w14:textId="77777777" w:rsidR="00000000" w:rsidRDefault="00847163">
      <w:pPr>
        <w:pStyle w:val="a3"/>
        <w:spacing w:before="0" w:beforeAutospacing="0" w:after="0" w:afterAutospacing="0"/>
        <w:ind w:firstLine="360"/>
        <w:jc w:val="both"/>
        <w:rPr>
          <w:sz w:val="20"/>
          <w:szCs w:val="20"/>
        </w:rPr>
      </w:pPr>
      <w:r>
        <w:rPr>
          <w:sz w:val="20"/>
          <w:szCs w:val="20"/>
        </w:rPr>
        <w:t> </w:t>
      </w:r>
    </w:p>
    <w:p w14:paraId="04C62D5B" w14:textId="77777777" w:rsidR="00000000" w:rsidRDefault="00847163">
      <w:pPr>
        <w:pStyle w:val="a3"/>
        <w:spacing w:before="0" w:beforeAutospacing="0" w:after="0" w:afterAutospacing="0"/>
        <w:ind w:firstLine="360"/>
        <w:jc w:val="both"/>
        <w:rPr>
          <w:sz w:val="20"/>
          <w:szCs w:val="20"/>
        </w:rPr>
      </w:pPr>
      <w:r>
        <w:rPr>
          <w:sz w:val="20"/>
          <w:szCs w:val="20"/>
        </w:rPr>
        <w:t xml:space="preserve">On </w:t>
      </w:r>
      <w:r>
        <w:rPr>
          <w:rStyle w:val="a6"/>
          <w:sz w:val="20"/>
          <w:szCs w:val="20"/>
        </w:rPr>
        <w:t xml:space="preserve">April 1, 2020, </w:t>
      </w:r>
      <w:r>
        <w:rPr>
          <w:sz w:val="20"/>
          <w:szCs w:val="20"/>
        </w:rPr>
        <w:t>the Company entered into a new $375.0</w:t>
      </w:r>
      <w:r>
        <w:rPr>
          <w:sz w:val="20"/>
          <w:szCs w:val="20"/>
        </w:rPr>
        <w:t xml:space="preserve"> million unsecured term loan credit facility pursuant to a credit agreement (the “Term Loan”), with a group of banks, which is scheduled to expire in </w:t>
      </w:r>
      <w:r>
        <w:rPr>
          <w:rStyle w:val="a6"/>
          <w:sz w:val="20"/>
          <w:szCs w:val="20"/>
        </w:rPr>
        <w:t xml:space="preserve">April 2021, </w:t>
      </w:r>
      <w:r>
        <w:rPr>
          <w:sz w:val="20"/>
          <w:szCs w:val="20"/>
        </w:rPr>
        <w:t xml:space="preserve">with a </w:t>
      </w:r>
      <w:r>
        <w:rPr>
          <w:rStyle w:val="a6"/>
          <w:sz w:val="20"/>
          <w:szCs w:val="20"/>
        </w:rPr>
        <w:t>one</w:t>
      </w:r>
      <w:r>
        <w:rPr>
          <w:sz w:val="20"/>
          <w:szCs w:val="20"/>
        </w:rPr>
        <w:t xml:space="preserve">-year extension option to extend the maturity date, at the Company’s discretion, to </w:t>
      </w:r>
      <w:r>
        <w:rPr>
          <w:rStyle w:val="a6"/>
          <w:sz w:val="20"/>
          <w:szCs w:val="20"/>
        </w:rPr>
        <w:t xml:space="preserve">April 2022. </w:t>
      </w:r>
      <w:r>
        <w:rPr>
          <w:sz w:val="20"/>
          <w:szCs w:val="20"/>
        </w:rPr>
        <w:t>The Term Loan accrues interest at a rate of LIBOR plus 140 basis points or, at the Company’s option, a spread of 40 basis points to the base rate defined in the Term Loan, that in each case fluctuates in accordance with changes in the Company’s</w:t>
      </w:r>
      <w:r>
        <w:rPr>
          <w:sz w:val="20"/>
          <w:szCs w:val="20"/>
        </w:rPr>
        <w:t xml:space="preserve"> senior debt ratings. The Term Loan can be increased by an additional $750.0 million through an accordion feature. Pursuant to the terms of the Term Loan, the Company is subject to covenants that are substantially the same as those in the Credit Facility. </w:t>
      </w:r>
      <w:r>
        <w:rPr>
          <w:sz w:val="20"/>
          <w:szCs w:val="20"/>
        </w:rPr>
        <w:t xml:space="preserve">During </w:t>
      </w:r>
      <w:r>
        <w:rPr>
          <w:rStyle w:val="a6"/>
          <w:sz w:val="20"/>
          <w:szCs w:val="20"/>
        </w:rPr>
        <w:t xml:space="preserve">April 2020, </w:t>
      </w:r>
      <w:r>
        <w:rPr>
          <w:sz w:val="20"/>
          <w:szCs w:val="20"/>
        </w:rPr>
        <w:t>borrowings under the Term Loan were increased to $590.0 million through the accordion feature.</w:t>
      </w:r>
    </w:p>
    <w:p w14:paraId="41C6A14C" w14:textId="77777777" w:rsidR="00000000" w:rsidRDefault="00847163">
      <w:pPr>
        <w:pStyle w:val="a3"/>
        <w:spacing w:before="0" w:beforeAutospacing="0" w:after="0" w:afterAutospacing="0"/>
        <w:ind w:firstLine="360"/>
        <w:jc w:val="both"/>
        <w:rPr>
          <w:sz w:val="20"/>
          <w:szCs w:val="20"/>
        </w:rPr>
      </w:pPr>
      <w:r>
        <w:rPr>
          <w:sz w:val="20"/>
          <w:szCs w:val="20"/>
        </w:rPr>
        <w:t> </w:t>
      </w:r>
    </w:p>
    <w:p w14:paraId="7C26C503" w14:textId="77777777" w:rsidR="00000000" w:rsidRDefault="00847163">
      <w:pPr>
        <w:pStyle w:val="a3"/>
        <w:spacing w:before="0" w:beforeAutospacing="0" w:after="0" w:afterAutospacing="0"/>
        <w:jc w:val="both"/>
        <w:rPr>
          <w:sz w:val="20"/>
          <w:szCs w:val="20"/>
        </w:rPr>
      </w:pPr>
      <w:r>
        <w:rPr>
          <w:i/>
          <w:iCs/>
          <w:sz w:val="20"/>
          <w:szCs w:val="20"/>
        </w:rPr>
        <w:t xml:space="preserve">Mortgages and Construction Loan Payable - </w:t>
      </w:r>
    </w:p>
    <w:p w14:paraId="7660ED36" w14:textId="77777777" w:rsidR="00000000" w:rsidRDefault="00847163">
      <w:pPr>
        <w:pStyle w:val="a3"/>
        <w:spacing w:before="0" w:beforeAutospacing="0" w:after="0" w:afterAutospacing="0"/>
        <w:jc w:val="both"/>
        <w:rPr>
          <w:sz w:val="20"/>
          <w:szCs w:val="20"/>
        </w:rPr>
      </w:pPr>
      <w:r>
        <w:rPr>
          <w:sz w:val="20"/>
          <w:szCs w:val="20"/>
        </w:rPr>
        <w:t> </w:t>
      </w:r>
    </w:p>
    <w:p w14:paraId="7F792AD2" w14:textId="77777777" w:rsidR="00000000" w:rsidRDefault="00847163">
      <w:pPr>
        <w:pStyle w:val="a3"/>
        <w:spacing w:before="0" w:beforeAutospacing="0" w:after="0" w:afterAutospacing="0"/>
        <w:ind w:firstLine="360"/>
        <w:jc w:val="both"/>
        <w:rPr>
          <w:sz w:val="20"/>
          <w:szCs w:val="20"/>
        </w:rPr>
      </w:pPr>
      <w:r>
        <w:rPr>
          <w:sz w:val="20"/>
          <w:szCs w:val="20"/>
        </w:rPr>
        <w:t xml:space="preserve">In </w:t>
      </w:r>
      <w:r>
        <w:rPr>
          <w:rStyle w:val="a6"/>
          <w:sz w:val="20"/>
          <w:szCs w:val="20"/>
        </w:rPr>
        <w:t xml:space="preserve">August 2018, </w:t>
      </w:r>
      <w:r>
        <w:rPr>
          <w:sz w:val="20"/>
          <w:szCs w:val="20"/>
        </w:rPr>
        <w:t xml:space="preserve">the Company closed on a construction loan commitment of $67.0 million relating </w:t>
      </w:r>
      <w:r>
        <w:rPr>
          <w:sz w:val="20"/>
          <w:szCs w:val="20"/>
        </w:rPr>
        <w:t xml:space="preserve">to </w:t>
      </w:r>
      <w:r>
        <w:rPr>
          <w:rStyle w:val="a6"/>
          <w:sz w:val="20"/>
          <w:szCs w:val="20"/>
        </w:rPr>
        <w:t>one</w:t>
      </w:r>
      <w:r>
        <w:rPr>
          <w:sz w:val="20"/>
          <w:szCs w:val="20"/>
        </w:rPr>
        <w:t xml:space="preserve"> development property. This loan commitment was scheduled to mature in </w:t>
      </w:r>
      <w:r>
        <w:rPr>
          <w:rStyle w:val="a6"/>
          <w:sz w:val="20"/>
          <w:szCs w:val="20"/>
        </w:rPr>
        <w:t xml:space="preserve">August 2020, </w:t>
      </w:r>
      <w:r>
        <w:rPr>
          <w:sz w:val="20"/>
          <w:szCs w:val="20"/>
        </w:rPr>
        <w:t xml:space="preserve">with </w:t>
      </w:r>
      <w:r>
        <w:rPr>
          <w:rStyle w:val="a6"/>
          <w:sz w:val="20"/>
          <w:szCs w:val="20"/>
        </w:rPr>
        <w:t>six</w:t>
      </w:r>
      <w:r>
        <w:rPr>
          <w:sz w:val="20"/>
          <w:szCs w:val="20"/>
        </w:rPr>
        <w:t xml:space="preserve"> additional </w:t>
      </w:r>
      <w:r>
        <w:rPr>
          <w:rStyle w:val="a6"/>
          <w:sz w:val="20"/>
          <w:szCs w:val="20"/>
        </w:rPr>
        <w:t>six</w:t>
      </w:r>
      <w:r>
        <w:rPr>
          <w:sz w:val="20"/>
          <w:szCs w:val="20"/>
        </w:rPr>
        <w:t xml:space="preserve">-month options to extend the maturity date to </w:t>
      </w:r>
      <w:r>
        <w:rPr>
          <w:rStyle w:val="a6"/>
          <w:sz w:val="20"/>
          <w:szCs w:val="20"/>
        </w:rPr>
        <w:t xml:space="preserve">August 2023, </w:t>
      </w:r>
      <w:r>
        <w:rPr>
          <w:sz w:val="20"/>
          <w:szCs w:val="20"/>
        </w:rPr>
        <w:t xml:space="preserve">and bore interest at a rate of LIBOR plus 180 basis points. During the </w:t>
      </w:r>
      <w:r>
        <w:rPr>
          <w:rStyle w:val="a6"/>
          <w:sz w:val="20"/>
          <w:szCs w:val="20"/>
        </w:rPr>
        <w:t>three</w:t>
      </w:r>
      <w:r>
        <w:rPr>
          <w:sz w:val="20"/>
          <w:szCs w:val="20"/>
        </w:rPr>
        <w:t xml:space="preserve"> months </w:t>
      </w:r>
      <w:r>
        <w:rPr>
          <w:sz w:val="20"/>
          <w:szCs w:val="20"/>
        </w:rPr>
        <w:t xml:space="preserve">ended </w:t>
      </w:r>
      <w:r>
        <w:rPr>
          <w:rStyle w:val="a6"/>
          <w:sz w:val="20"/>
          <w:szCs w:val="20"/>
        </w:rPr>
        <w:t xml:space="preserve">March 31, 2020, </w:t>
      </w:r>
      <w:r>
        <w:rPr>
          <w:sz w:val="20"/>
          <w:szCs w:val="20"/>
        </w:rPr>
        <w:t>this construction loan was fully repaid.</w:t>
      </w:r>
    </w:p>
    <w:p w14:paraId="666CC461" w14:textId="77777777" w:rsidR="00000000" w:rsidRDefault="00847163">
      <w:pPr>
        <w:pStyle w:val="a3"/>
        <w:spacing w:before="0" w:beforeAutospacing="0" w:after="0" w:afterAutospacing="0"/>
        <w:jc w:val="both"/>
        <w:rPr>
          <w:sz w:val="20"/>
          <w:szCs w:val="20"/>
        </w:rPr>
      </w:pPr>
      <w:r>
        <w:rPr>
          <w:sz w:val="20"/>
          <w:szCs w:val="20"/>
        </w:rPr>
        <w:t> </w:t>
      </w:r>
    </w:p>
    <w:p w14:paraId="75B6B472" w14:textId="77777777" w:rsidR="00000000" w:rsidRDefault="00847163">
      <w:pPr>
        <w:pStyle w:val="a3"/>
        <w:spacing w:before="0" w:beforeAutospacing="0" w:after="0" w:afterAutospacing="0"/>
        <w:ind w:firstLine="360"/>
        <w:jc w:val="both"/>
        <w:rPr>
          <w:sz w:val="20"/>
          <w:szCs w:val="20"/>
        </w:rPr>
      </w:pPr>
      <w:r>
        <w:rPr>
          <w:sz w:val="20"/>
          <w:szCs w:val="20"/>
        </w:rPr>
        <w:t xml:space="preserve">During the </w:t>
      </w:r>
      <w:r>
        <w:rPr>
          <w:rStyle w:val="a6"/>
          <w:sz w:val="20"/>
          <w:szCs w:val="20"/>
        </w:rPr>
        <w:t>three</w:t>
      </w:r>
      <w:r>
        <w:rPr>
          <w:sz w:val="20"/>
          <w:szCs w:val="20"/>
        </w:rPr>
        <w:t xml:space="preserve"> months ended </w:t>
      </w:r>
      <w:r>
        <w:rPr>
          <w:rStyle w:val="a6"/>
          <w:sz w:val="20"/>
          <w:szCs w:val="20"/>
        </w:rPr>
        <w:t xml:space="preserve">March 31, 2020, </w:t>
      </w:r>
      <w:r>
        <w:rPr>
          <w:sz w:val="20"/>
          <w:szCs w:val="20"/>
        </w:rPr>
        <w:t>the Company repaid $8.8 million of mortgage debt (including fair market value adjustment of $0.1 million) that encumbered an operating property.</w:t>
      </w:r>
    </w:p>
    <w:p w14:paraId="7D35793D" w14:textId="77777777" w:rsidR="00000000" w:rsidRDefault="00847163">
      <w:pPr>
        <w:pStyle w:val="a3"/>
        <w:spacing w:before="0" w:beforeAutospacing="0" w:after="0" w:afterAutospacing="0"/>
        <w:ind w:firstLine="360"/>
        <w:jc w:val="both"/>
        <w:rPr>
          <w:sz w:val="20"/>
          <w:szCs w:val="20"/>
        </w:rPr>
      </w:pPr>
      <w:r>
        <w:rPr>
          <w:sz w:val="20"/>
          <w:szCs w:val="20"/>
        </w:rPr>
        <w:t> </w:t>
      </w:r>
    </w:p>
    <w:p w14:paraId="077914DF" w14:textId="77777777" w:rsidR="00000000" w:rsidRDefault="00847163">
      <w:pPr>
        <w:jc w:val="center"/>
        <w:divId w:val="2002810431"/>
        <w:rPr>
          <w:rFonts w:eastAsia="Times New Roman"/>
          <w:sz w:val="20"/>
          <w:szCs w:val="20"/>
        </w:rPr>
      </w:pPr>
      <w:r>
        <w:rPr>
          <w:rStyle w:val="a6"/>
          <w:rFonts w:eastAsia="Times New Roman"/>
          <w:sz w:val="20"/>
          <w:szCs w:val="20"/>
        </w:rPr>
        <w:t>13</w:t>
      </w:r>
      <w:r>
        <w:rPr>
          <w:rFonts w:eastAsia="Times New Roman"/>
          <w:sz w:val="20"/>
          <w:szCs w:val="20"/>
        </w:rPr>
        <w:t xml:space="preserve"> </w:t>
      </w:r>
    </w:p>
    <w:p w14:paraId="4B225E4B" w14:textId="77777777" w:rsidR="00000000" w:rsidRDefault="00847163">
      <w:pPr>
        <w:divId w:val="549071371"/>
        <w:rPr>
          <w:rFonts w:eastAsia="Times New Roman"/>
          <w:sz w:val="20"/>
          <w:szCs w:val="20"/>
        </w:rPr>
      </w:pPr>
      <w:r>
        <w:rPr>
          <w:rFonts w:eastAsia="Times New Roman"/>
          <w:sz w:val="20"/>
          <w:szCs w:val="20"/>
        </w:rPr>
        <w:pict w14:anchorId="087EA92F">
          <v:rect id="_x0000_i1041" style="width:415.3pt;height:1.5pt" o:hralign="center" o:hrstd="t" o:hrnoshade="t" o:hr="t" fillcolor="black" stroked="f"/>
        </w:pict>
      </w:r>
    </w:p>
    <w:p w14:paraId="00882E54" w14:textId="77777777" w:rsidR="00000000" w:rsidRDefault="00847163">
      <w:pPr>
        <w:divId w:val="1984384283"/>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03660025" w14:textId="77777777" w:rsidR="00000000" w:rsidRDefault="00847163">
      <w:pPr>
        <w:pStyle w:val="a3"/>
        <w:spacing w:before="0" w:beforeAutospacing="0" w:after="0" w:afterAutospacing="0"/>
        <w:ind w:firstLine="360"/>
        <w:jc w:val="both"/>
        <w:rPr>
          <w:sz w:val="20"/>
          <w:szCs w:val="20"/>
        </w:rPr>
      </w:pPr>
      <w:r>
        <w:rPr>
          <w:sz w:val="20"/>
          <w:szCs w:val="20"/>
        </w:rPr>
        <w:t> </w:t>
      </w:r>
    </w:p>
    <w:p w14:paraId="7B2044AF" w14:textId="77777777" w:rsidR="00000000" w:rsidRDefault="00847163">
      <w:pPr>
        <w:divId w:val="2036420775"/>
        <w:rPr>
          <w:rFonts w:eastAsia="Times New Roman"/>
          <w:sz w:val="20"/>
          <w:szCs w:val="20"/>
        </w:rPr>
      </w:pPr>
      <w:r>
        <w:rPr>
          <w:rFonts w:eastAsia="Times New Roman"/>
          <w:sz w:val="20"/>
          <w:szCs w:val="20"/>
        </w:rPr>
        <w:t xml:space="preserve">  </w:t>
      </w:r>
    </w:p>
    <w:p w14:paraId="1FF7F095" w14:textId="77777777" w:rsidR="00000000" w:rsidRDefault="00847163">
      <w:pPr>
        <w:pStyle w:val="a3"/>
        <w:spacing w:before="0" w:beforeAutospacing="0" w:after="0" w:afterAutospacing="0"/>
        <w:rPr>
          <w:sz w:val="20"/>
          <w:szCs w:val="20"/>
        </w:rPr>
      </w:pPr>
      <w:r>
        <w:rPr>
          <w:rStyle w:val="a6"/>
          <w:sz w:val="20"/>
          <w:szCs w:val="20"/>
        </w:rPr>
        <w:t>9.</w:t>
      </w:r>
      <w:r>
        <w:rPr>
          <w:sz w:val="20"/>
          <w:szCs w:val="20"/>
        </w:rPr>
        <w:t xml:space="preserve"> </w:t>
      </w:r>
      <w:r>
        <w:rPr>
          <w:sz w:val="20"/>
          <w:szCs w:val="20"/>
          <w:u w:val="single"/>
        </w:rPr>
        <w:t>Noncontrolling Interests</w:t>
      </w:r>
    </w:p>
    <w:p w14:paraId="05D55A3A" w14:textId="77777777" w:rsidR="00000000" w:rsidRDefault="00847163">
      <w:pPr>
        <w:pStyle w:val="a3"/>
        <w:spacing w:before="0" w:beforeAutospacing="0" w:after="0" w:afterAutospacing="0"/>
        <w:rPr>
          <w:sz w:val="20"/>
          <w:szCs w:val="20"/>
        </w:rPr>
      </w:pPr>
      <w:r>
        <w:rPr>
          <w:sz w:val="20"/>
          <w:szCs w:val="20"/>
        </w:rPr>
        <w:t> </w:t>
      </w:r>
    </w:p>
    <w:p w14:paraId="64F30B3B" w14:textId="77777777" w:rsidR="00000000" w:rsidRDefault="00847163">
      <w:pPr>
        <w:pStyle w:val="a3"/>
        <w:spacing w:before="0" w:beforeAutospacing="0" w:after="0" w:afterAutospacing="0"/>
        <w:ind w:firstLine="360"/>
        <w:jc w:val="both"/>
        <w:rPr>
          <w:sz w:val="20"/>
          <w:szCs w:val="20"/>
        </w:rPr>
      </w:pPr>
      <w:r>
        <w:rPr>
          <w:sz w:val="20"/>
          <w:szCs w:val="20"/>
        </w:rPr>
        <w:t xml:space="preserve">Noncontrolling interests represent the portion of equity that the Company does </w:t>
      </w:r>
      <w:r>
        <w:rPr>
          <w:rStyle w:val="a6"/>
          <w:sz w:val="20"/>
          <w:szCs w:val="20"/>
        </w:rPr>
        <w:t>not</w:t>
      </w:r>
      <w:r>
        <w:rPr>
          <w:sz w:val="20"/>
          <w:szCs w:val="20"/>
        </w:rPr>
        <w:t xml:space="preserve"> own in entities it co</w:t>
      </w:r>
      <w:r>
        <w:rPr>
          <w:sz w:val="20"/>
          <w:szCs w:val="20"/>
        </w:rPr>
        <w:t>nsolidates as a result of having a controlling interest or determining that the Company was the primary beneficiary of a VIE in accordance with the provisions of the FASB’s Consolidation guidance.  The Company accounts and reports for noncontrolling intere</w:t>
      </w:r>
      <w:r>
        <w:rPr>
          <w:sz w:val="20"/>
          <w:szCs w:val="20"/>
        </w:rPr>
        <w:t>sts in accordance with the Consolidation guidance and the Distinguishing Liabilities from Equity guidance issued by the FASB. The Company identifies its noncontrolling interests separately within the equity section on the Company’s Condensed Consolidated B</w:t>
      </w:r>
      <w:r>
        <w:rPr>
          <w:sz w:val="20"/>
          <w:szCs w:val="20"/>
        </w:rPr>
        <w:t>alance Sheets. The amounts of consolidated net income attributable to the Company and to the noncontrolling interests are presented separately on the Company’s Condensed Consolidated Statements of Income.</w:t>
      </w:r>
    </w:p>
    <w:p w14:paraId="5B02BE0F" w14:textId="77777777" w:rsidR="00000000" w:rsidRDefault="00847163">
      <w:pPr>
        <w:pStyle w:val="a3"/>
        <w:spacing w:before="0" w:beforeAutospacing="0" w:after="0" w:afterAutospacing="0"/>
        <w:jc w:val="both"/>
        <w:rPr>
          <w:sz w:val="20"/>
          <w:szCs w:val="20"/>
        </w:rPr>
      </w:pPr>
      <w:r>
        <w:rPr>
          <w:sz w:val="20"/>
          <w:szCs w:val="20"/>
        </w:rPr>
        <w:t> </w:t>
      </w:r>
    </w:p>
    <w:p w14:paraId="1342274F" w14:textId="77777777" w:rsidR="00000000" w:rsidRDefault="00847163">
      <w:pPr>
        <w:pStyle w:val="a3"/>
        <w:spacing w:before="0" w:beforeAutospacing="0" w:after="0" w:afterAutospacing="0"/>
        <w:ind w:firstLine="360"/>
        <w:jc w:val="both"/>
        <w:rPr>
          <w:sz w:val="20"/>
          <w:szCs w:val="20"/>
        </w:rPr>
      </w:pPr>
      <w:r>
        <w:rPr>
          <w:sz w:val="20"/>
          <w:szCs w:val="20"/>
        </w:rPr>
        <w:t xml:space="preserve">During the </w:t>
      </w:r>
      <w:r>
        <w:rPr>
          <w:rStyle w:val="a6"/>
          <w:sz w:val="20"/>
          <w:szCs w:val="20"/>
        </w:rPr>
        <w:t>three</w:t>
      </w:r>
      <w:r>
        <w:rPr>
          <w:sz w:val="20"/>
          <w:szCs w:val="20"/>
        </w:rPr>
        <w:t xml:space="preserve"> months ended </w:t>
      </w:r>
      <w:r>
        <w:rPr>
          <w:rStyle w:val="a6"/>
          <w:sz w:val="20"/>
          <w:szCs w:val="20"/>
        </w:rPr>
        <w:t xml:space="preserve">March 31, 2020, </w:t>
      </w:r>
      <w:r>
        <w:rPr>
          <w:sz w:val="20"/>
          <w:szCs w:val="20"/>
        </w:rPr>
        <w:t>the</w:t>
      </w:r>
      <w:r>
        <w:rPr>
          <w:sz w:val="20"/>
          <w:szCs w:val="20"/>
        </w:rPr>
        <w:t xml:space="preserve"> Company acquired its partner’s interests in a consolidated entity for a purchase price of $20.0 million. This transaction resulted in a net decrease in Noncontrolling interests of $0.5 million and a corresponding net increase in Paid-in capital of $19.5 m</w:t>
      </w:r>
      <w:r>
        <w:rPr>
          <w:sz w:val="20"/>
          <w:szCs w:val="20"/>
        </w:rPr>
        <w:t xml:space="preserve">illion on the Company’s Condensed Consolidated Balance Sheets. There are </w:t>
      </w:r>
      <w:r>
        <w:rPr>
          <w:rStyle w:val="a6"/>
          <w:sz w:val="20"/>
          <w:szCs w:val="20"/>
        </w:rPr>
        <w:t>no</w:t>
      </w:r>
      <w:r>
        <w:rPr>
          <w:sz w:val="20"/>
          <w:szCs w:val="20"/>
        </w:rPr>
        <w:t xml:space="preserve"> remaining partners in this consolidated entity.</w:t>
      </w:r>
    </w:p>
    <w:p w14:paraId="6BEABDB7" w14:textId="77777777" w:rsidR="00000000" w:rsidRDefault="00847163">
      <w:pPr>
        <w:pStyle w:val="a3"/>
        <w:spacing w:before="0" w:beforeAutospacing="0" w:after="0" w:afterAutospacing="0"/>
        <w:jc w:val="both"/>
        <w:rPr>
          <w:sz w:val="20"/>
          <w:szCs w:val="20"/>
        </w:rPr>
      </w:pPr>
      <w:r>
        <w:rPr>
          <w:sz w:val="20"/>
          <w:szCs w:val="20"/>
        </w:rPr>
        <w:t> </w:t>
      </w:r>
    </w:p>
    <w:p w14:paraId="277D0247" w14:textId="77777777" w:rsidR="00000000" w:rsidRDefault="00847163">
      <w:pPr>
        <w:pStyle w:val="a3"/>
        <w:spacing w:before="0" w:beforeAutospacing="0" w:after="0" w:afterAutospacing="0"/>
        <w:ind w:firstLine="360"/>
        <w:jc w:val="both"/>
        <w:rPr>
          <w:sz w:val="20"/>
          <w:szCs w:val="20"/>
        </w:rPr>
      </w:pPr>
      <w:r>
        <w:rPr>
          <w:sz w:val="20"/>
          <w:szCs w:val="20"/>
        </w:rPr>
        <w:t>Included within noncontrolling interests are units that were determined to be contingently redeemable that are classified as Redee</w:t>
      </w:r>
      <w:r>
        <w:rPr>
          <w:sz w:val="20"/>
          <w:szCs w:val="20"/>
        </w:rPr>
        <w:t>mable noncontrolling interests and presented in the mezzanine section between Total liabilities and Stockholder’s equity on the Company’s Condensed Consolidated Balance Sheets.</w:t>
      </w:r>
    </w:p>
    <w:p w14:paraId="01CD2DBF" w14:textId="77777777" w:rsidR="00000000" w:rsidRDefault="00847163">
      <w:pPr>
        <w:pStyle w:val="a3"/>
        <w:spacing w:before="0" w:beforeAutospacing="0" w:after="0" w:afterAutospacing="0"/>
        <w:jc w:val="both"/>
        <w:rPr>
          <w:sz w:val="20"/>
          <w:szCs w:val="20"/>
        </w:rPr>
      </w:pPr>
      <w:r>
        <w:rPr>
          <w:sz w:val="20"/>
          <w:szCs w:val="20"/>
        </w:rPr>
        <w:t> </w:t>
      </w:r>
    </w:p>
    <w:p w14:paraId="3760A498" w14:textId="77777777" w:rsidR="00000000" w:rsidRDefault="00847163">
      <w:pPr>
        <w:pStyle w:val="a3"/>
        <w:spacing w:before="0" w:beforeAutospacing="0" w:after="0" w:afterAutospacing="0"/>
        <w:ind w:firstLine="360"/>
        <w:jc w:val="both"/>
        <w:rPr>
          <w:sz w:val="20"/>
          <w:szCs w:val="20"/>
        </w:rPr>
      </w:pPr>
      <w:r>
        <w:rPr>
          <w:sz w:val="20"/>
          <w:szCs w:val="20"/>
        </w:rPr>
        <w:t>The following table presents the change in the redemption value of the Redeem</w:t>
      </w:r>
      <w:r>
        <w:rPr>
          <w:sz w:val="20"/>
          <w:szCs w:val="20"/>
        </w:rPr>
        <w:t xml:space="preserve">able noncontrolling interests for the </w:t>
      </w:r>
      <w:r>
        <w:rPr>
          <w:rStyle w:val="a6"/>
          <w:sz w:val="20"/>
          <w:szCs w:val="20"/>
        </w:rPr>
        <w:t>three</w:t>
      </w:r>
      <w:r>
        <w:rPr>
          <w:sz w:val="20"/>
          <w:szCs w:val="20"/>
        </w:rPr>
        <w:t xml:space="preserve"> months ended </w:t>
      </w:r>
      <w:r>
        <w:rPr>
          <w:rStyle w:val="a6"/>
          <w:sz w:val="20"/>
          <w:szCs w:val="20"/>
        </w:rPr>
        <w:t xml:space="preserve">March 31, 2020 </w:t>
      </w:r>
      <w:r>
        <w:rPr>
          <w:sz w:val="20"/>
          <w:szCs w:val="20"/>
        </w:rPr>
        <w:t xml:space="preserve">and </w:t>
      </w:r>
      <w:r>
        <w:rPr>
          <w:rStyle w:val="a6"/>
          <w:sz w:val="20"/>
          <w:szCs w:val="20"/>
        </w:rPr>
        <w:t>2019</w:t>
      </w:r>
      <w:r>
        <w:rPr>
          <w:sz w:val="20"/>
          <w:szCs w:val="20"/>
        </w:rPr>
        <w:t xml:space="preserve"> (in thousands): </w:t>
      </w:r>
    </w:p>
    <w:p w14:paraId="11973B82" w14:textId="77777777" w:rsidR="00000000" w:rsidRDefault="00847163">
      <w:pPr>
        <w:pStyle w:val="a3"/>
        <w:spacing w:before="0" w:beforeAutospacing="0" w:after="0" w:afterAutospacing="0"/>
        <w:jc w:val="both"/>
        <w:rPr>
          <w:sz w:val="20"/>
          <w:szCs w:val="20"/>
        </w:rPr>
      </w:pPr>
      <w:r>
        <w:rPr>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4106"/>
        <w:gridCol w:w="52"/>
        <w:gridCol w:w="100"/>
        <w:gridCol w:w="1050"/>
        <w:gridCol w:w="67"/>
        <w:gridCol w:w="53"/>
        <w:gridCol w:w="100"/>
        <w:gridCol w:w="1050"/>
        <w:gridCol w:w="67"/>
      </w:tblGrid>
      <w:tr w:rsidR="00000000" w14:paraId="324AABE9" w14:textId="77777777">
        <w:trPr>
          <w:tblCellSpacing w:w="0" w:type="dxa"/>
        </w:trPr>
        <w:tc>
          <w:tcPr>
            <w:tcW w:w="0" w:type="auto"/>
            <w:vAlign w:val="bottom"/>
            <w:hideMark/>
          </w:tcPr>
          <w:p w14:paraId="71D29E00"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3804538C" w14:textId="77777777" w:rsidR="00000000" w:rsidRDefault="00847163">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14:paraId="1905EAEB" w14:textId="77777777" w:rsidR="00000000" w:rsidRDefault="00847163">
            <w:pPr>
              <w:pStyle w:val="a3"/>
              <w:spacing w:before="0" w:beforeAutospacing="0" w:after="0" w:afterAutospacing="0"/>
              <w:jc w:val="center"/>
              <w:rPr>
                <w:sz w:val="20"/>
                <w:szCs w:val="20"/>
              </w:rPr>
            </w:pPr>
            <w:r>
              <w:rPr>
                <w:b/>
                <w:bCs/>
                <w:sz w:val="20"/>
                <w:szCs w:val="20"/>
              </w:rPr>
              <w:t>Three Months Ended March 31,</w:t>
            </w:r>
          </w:p>
        </w:tc>
        <w:tc>
          <w:tcPr>
            <w:tcW w:w="0" w:type="auto"/>
            <w:tcMar>
              <w:top w:w="0" w:type="dxa"/>
              <w:left w:w="0" w:type="dxa"/>
              <w:bottom w:w="15" w:type="dxa"/>
              <w:right w:w="0" w:type="dxa"/>
            </w:tcMar>
            <w:vAlign w:val="bottom"/>
            <w:hideMark/>
          </w:tcPr>
          <w:p w14:paraId="1311F0AC" w14:textId="77777777" w:rsidR="00000000" w:rsidRDefault="00847163">
            <w:pPr>
              <w:rPr>
                <w:rFonts w:eastAsia="Times New Roman"/>
                <w:sz w:val="20"/>
                <w:szCs w:val="20"/>
              </w:rPr>
            </w:pPr>
            <w:r>
              <w:rPr>
                <w:rFonts w:eastAsia="Times New Roman"/>
                <w:sz w:val="20"/>
                <w:szCs w:val="20"/>
              </w:rPr>
              <w:t> </w:t>
            </w:r>
          </w:p>
        </w:tc>
      </w:tr>
      <w:tr w:rsidR="00000000" w14:paraId="30C2D1C9" w14:textId="77777777">
        <w:trPr>
          <w:tblCellSpacing w:w="0" w:type="dxa"/>
        </w:trPr>
        <w:tc>
          <w:tcPr>
            <w:tcW w:w="0" w:type="auto"/>
            <w:vAlign w:val="bottom"/>
            <w:hideMark/>
          </w:tcPr>
          <w:p w14:paraId="75B1D0AC"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419F5E2E" w14:textId="77777777" w:rsidR="00000000" w:rsidRDefault="0084716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19ECE2C1" w14:textId="77777777" w:rsidR="00000000" w:rsidRDefault="00847163">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14:paraId="2FC3CA00"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05292B35" w14:textId="77777777" w:rsidR="00000000" w:rsidRDefault="0084716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176B557E" w14:textId="77777777" w:rsidR="00000000" w:rsidRDefault="00847163">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0BBB6FF5" w14:textId="77777777" w:rsidR="00000000" w:rsidRDefault="00847163">
            <w:pPr>
              <w:rPr>
                <w:rFonts w:eastAsia="Times New Roman"/>
                <w:sz w:val="20"/>
                <w:szCs w:val="20"/>
              </w:rPr>
            </w:pPr>
            <w:r>
              <w:rPr>
                <w:rFonts w:eastAsia="Times New Roman"/>
                <w:sz w:val="20"/>
                <w:szCs w:val="20"/>
              </w:rPr>
              <w:t> </w:t>
            </w:r>
          </w:p>
        </w:tc>
      </w:tr>
      <w:tr w:rsidR="00000000" w14:paraId="23C1FC07" w14:textId="77777777">
        <w:trPr>
          <w:tblCellSpacing w:w="0" w:type="dxa"/>
        </w:trPr>
        <w:tc>
          <w:tcPr>
            <w:tcW w:w="3100" w:type="pct"/>
            <w:shd w:val="clear" w:color="auto" w:fill="CCEEFF"/>
            <w:vAlign w:val="bottom"/>
            <w:hideMark/>
          </w:tcPr>
          <w:p w14:paraId="3CF6E64F" w14:textId="77777777" w:rsidR="00000000" w:rsidRDefault="00847163">
            <w:pPr>
              <w:pStyle w:val="a3"/>
              <w:spacing w:before="0" w:beforeAutospacing="0" w:after="0" w:afterAutospacing="0"/>
              <w:rPr>
                <w:sz w:val="20"/>
                <w:szCs w:val="20"/>
              </w:rPr>
            </w:pPr>
            <w:r>
              <w:rPr>
                <w:sz w:val="20"/>
                <w:szCs w:val="20"/>
              </w:rPr>
              <w:t>Balance at January 1,</w:t>
            </w:r>
          </w:p>
        </w:tc>
        <w:tc>
          <w:tcPr>
            <w:tcW w:w="50" w:type="pct"/>
            <w:shd w:val="clear" w:color="auto" w:fill="CCEEFF"/>
            <w:vAlign w:val="bottom"/>
            <w:hideMark/>
          </w:tcPr>
          <w:p w14:paraId="66EE39D1"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C2CEDF3" w14:textId="77777777" w:rsidR="00000000" w:rsidRDefault="00847163">
            <w:pPr>
              <w:rPr>
                <w:rFonts w:eastAsia="Times New Roman"/>
                <w:sz w:val="20"/>
                <w:szCs w:val="20"/>
              </w:rPr>
            </w:pPr>
            <w:r>
              <w:rPr>
                <w:rFonts w:eastAsia="Times New Roman"/>
                <w:sz w:val="20"/>
                <w:szCs w:val="20"/>
              </w:rPr>
              <w:t>$</w:t>
            </w:r>
          </w:p>
        </w:tc>
        <w:tc>
          <w:tcPr>
            <w:tcW w:w="800" w:type="pct"/>
            <w:shd w:val="clear" w:color="auto" w:fill="CCEEFF"/>
            <w:vAlign w:val="bottom"/>
            <w:hideMark/>
          </w:tcPr>
          <w:p w14:paraId="42B17A1D" w14:textId="77777777" w:rsidR="00000000" w:rsidRDefault="00847163">
            <w:pPr>
              <w:jc w:val="right"/>
              <w:rPr>
                <w:rFonts w:eastAsia="Times New Roman"/>
                <w:sz w:val="20"/>
                <w:szCs w:val="20"/>
              </w:rPr>
            </w:pPr>
            <w:r>
              <w:rPr>
                <w:rFonts w:eastAsia="Times New Roman"/>
                <w:sz w:val="20"/>
                <w:szCs w:val="20"/>
              </w:rPr>
              <w:t>17,943</w:t>
            </w:r>
          </w:p>
        </w:tc>
        <w:tc>
          <w:tcPr>
            <w:tcW w:w="50" w:type="pct"/>
            <w:shd w:val="clear" w:color="auto" w:fill="CCEEFF"/>
            <w:vAlign w:val="bottom"/>
            <w:hideMark/>
          </w:tcPr>
          <w:p w14:paraId="2DA68786"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8A9E31D"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87ABBA8" w14:textId="77777777" w:rsidR="00000000" w:rsidRDefault="00847163">
            <w:pPr>
              <w:rPr>
                <w:rFonts w:eastAsia="Times New Roman"/>
                <w:sz w:val="20"/>
                <w:szCs w:val="20"/>
              </w:rPr>
            </w:pPr>
            <w:r>
              <w:rPr>
                <w:rFonts w:eastAsia="Times New Roman"/>
                <w:sz w:val="20"/>
                <w:szCs w:val="20"/>
              </w:rPr>
              <w:t>$</w:t>
            </w:r>
          </w:p>
        </w:tc>
        <w:tc>
          <w:tcPr>
            <w:tcW w:w="800" w:type="pct"/>
            <w:shd w:val="clear" w:color="auto" w:fill="CCEEFF"/>
            <w:vAlign w:val="bottom"/>
            <w:hideMark/>
          </w:tcPr>
          <w:p w14:paraId="777DF9FD" w14:textId="77777777" w:rsidR="00000000" w:rsidRDefault="00847163">
            <w:pPr>
              <w:jc w:val="right"/>
              <w:rPr>
                <w:rFonts w:eastAsia="Times New Roman"/>
                <w:sz w:val="20"/>
                <w:szCs w:val="20"/>
              </w:rPr>
            </w:pPr>
            <w:r>
              <w:rPr>
                <w:rFonts w:eastAsia="Times New Roman"/>
                <w:sz w:val="20"/>
                <w:szCs w:val="20"/>
              </w:rPr>
              <w:t>23,682</w:t>
            </w:r>
          </w:p>
        </w:tc>
        <w:tc>
          <w:tcPr>
            <w:tcW w:w="50" w:type="pct"/>
            <w:shd w:val="clear" w:color="auto" w:fill="CCEEFF"/>
            <w:vAlign w:val="bottom"/>
            <w:hideMark/>
          </w:tcPr>
          <w:p w14:paraId="36EC5692" w14:textId="77777777" w:rsidR="00000000" w:rsidRDefault="00847163">
            <w:pPr>
              <w:rPr>
                <w:rFonts w:eastAsia="Times New Roman"/>
                <w:sz w:val="20"/>
                <w:szCs w:val="20"/>
              </w:rPr>
            </w:pPr>
            <w:r>
              <w:rPr>
                <w:rFonts w:eastAsia="Times New Roman"/>
                <w:sz w:val="20"/>
                <w:szCs w:val="20"/>
              </w:rPr>
              <w:t> </w:t>
            </w:r>
          </w:p>
        </w:tc>
      </w:tr>
      <w:tr w:rsidR="00000000" w14:paraId="31776C40" w14:textId="77777777">
        <w:trPr>
          <w:tblCellSpacing w:w="0" w:type="dxa"/>
        </w:trPr>
        <w:tc>
          <w:tcPr>
            <w:tcW w:w="0" w:type="auto"/>
            <w:shd w:val="clear" w:color="auto" w:fill="FFFFFF"/>
            <w:vAlign w:val="bottom"/>
            <w:hideMark/>
          </w:tcPr>
          <w:p w14:paraId="63EE5BFA" w14:textId="77777777" w:rsidR="00000000" w:rsidRDefault="00847163">
            <w:pPr>
              <w:pStyle w:val="a3"/>
              <w:spacing w:before="0" w:beforeAutospacing="0" w:after="0" w:afterAutospacing="0"/>
              <w:ind w:left="180"/>
              <w:rPr>
                <w:sz w:val="20"/>
                <w:szCs w:val="20"/>
              </w:rPr>
            </w:pPr>
            <w:r>
              <w:rPr>
                <w:sz w:val="20"/>
                <w:szCs w:val="20"/>
              </w:rPr>
              <w:t>Income</w:t>
            </w:r>
          </w:p>
        </w:tc>
        <w:tc>
          <w:tcPr>
            <w:tcW w:w="50" w:type="pct"/>
            <w:shd w:val="clear" w:color="auto" w:fill="FFFFFF"/>
            <w:vAlign w:val="bottom"/>
            <w:hideMark/>
          </w:tcPr>
          <w:p w14:paraId="4A4B71F1"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B5F0883" w14:textId="77777777" w:rsidR="00000000" w:rsidRDefault="00847163">
            <w:pPr>
              <w:rPr>
                <w:rFonts w:eastAsia="Times New Roman"/>
                <w:sz w:val="20"/>
                <w:szCs w:val="20"/>
              </w:rPr>
            </w:pPr>
            <w:r>
              <w:rPr>
                <w:rFonts w:eastAsia="Times New Roman"/>
                <w:sz w:val="20"/>
                <w:szCs w:val="20"/>
              </w:rPr>
              <w:t> </w:t>
            </w:r>
          </w:p>
        </w:tc>
        <w:tc>
          <w:tcPr>
            <w:tcW w:w="800" w:type="pct"/>
            <w:shd w:val="clear" w:color="auto" w:fill="FFFFFF"/>
            <w:vAlign w:val="bottom"/>
            <w:hideMark/>
          </w:tcPr>
          <w:p w14:paraId="17D65AE4" w14:textId="77777777" w:rsidR="00000000" w:rsidRDefault="00847163">
            <w:pPr>
              <w:jc w:val="right"/>
              <w:rPr>
                <w:rFonts w:eastAsia="Times New Roman"/>
                <w:sz w:val="20"/>
                <w:szCs w:val="20"/>
              </w:rPr>
            </w:pPr>
            <w:r>
              <w:rPr>
                <w:rFonts w:eastAsia="Times New Roman"/>
                <w:sz w:val="20"/>
                <w:szCs w:val="20"/>
              </w:rPr>
              <w:t>262</w:t>
            </w:r>
          </w:p>
        </w:tc>
        <w:tc>
          <w:tcPr>
            <w:tcW w:w="50" w:type="pct"/>
            <w:shd w:val="clear" w:color="auto" w:fill="FFFFFF"/>
            <w:vAlign w:val="bottom"/>
            <w:hideMark/>
          </w:tcPr>
          <w:p w14:paraId="15699361"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E47ACB5"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EB965A1" w14:textId="77777777" w:rsidR="00000000" w:rsidRDefault="00847163">
            <w:pPr>
              <w:rPr>
                <w:rFonts w:eastAsia="Times New Roman"/>
                <w:sz w:val="20"/>
                <w:szCs w:val="20"/>
              </w:rPr>
            </w:pPr>
            <w:r>
              <w:rPr>
                <w:rFonts w:eastAsia="Times New Roman"/>
                <w:sz w:val="20"/>
                <w:szCs w:val="20"/>
              </w:rPr>
              <w:t> </w:t>
            </w:r>
          </w:p>
        </w:tc>
        <w:tc>
          <w:tcPr>
            <w:tcW w:w="800" w:type="pct"/>
            <w:shd w:val="clear" w:color="auto" w:fill="FFFFFF"/>
            <w:vAlign w:val="bottom"/>
            <w:hideMark/>
          </w:tcPr>
          <w:p w14:paraId="597CD570" w14:textId="77777777" w:rsidR="00000000" w:rsidRDefault="00847163">
            <w:pPr>
              <w:jc w:val="right"/>
              <w:rPr>
                <w:rFonts w:eastAsia="Times New Roman"/>
                <w:sz w:val="20"/>
                <w:szCs w:val="20"/>
              </w:rPr>
            </w:pPr>
            <w:r>
              <w:rPr>
                <w:rFonts w:eastAsia="Times New Roman"/>
                <w:sz w:val="20"/>
                <w:szCs w:val="20"/>
              </w:rPr>
              <w:t>92</w:t>
            </w:r>
          </w:p>
        </w:tc>
        <w:tc>
          <w:tcPr>
            <w:tcW w:w="50" w:type="pct"/>
            <w:shd w:val="clear" w:color="auto" w:fill="FFFFFF"/>
            <w:vAlign w:val="bottom"/>
            <w:hideMark/>
          </w:tcPr>
          <w:p w14:paraId="2514FE95" w14:textId="77777777" w:rsidR="00000000" w:rsidRDefault="00847163">
            <w:pPr>
              <w:rPr>
                <w:rFonts w:eastAsia="Times New Roman"/>
                <w:sz w:val="20"/>
                <w:szCs w:val="20"/>
              </w:rPr>
            </w:pPr>
            <w:r>
              <w:rPr>
                <w:rFonts w:eastAsia="Times New Roman"/>
                <w:sz w:val="20"/>
                <w:szCs w:val="20"/>
              </w:rPr>
              <w:t> </w:t>
            </w:r>
          </w:p>
        </w:tc>
      </w:tr>
      <w:tr w:rsidR="00000000" w14:paraId="5A2FBA34" w14:textId="77777777">
        <w:trPr>
          <w:tblCellSpacing w:w="0" w:type="dxa"/>
        </w:trPr>
        <w:tc>
          <w:tcPr>
            <w:tcW w:w="0" w:type="auto"/>
            <w:shd w:val="clear" w:color="auto" w:fill="CCEEFF"/>
            <w:vAlign w:val="bottom"/>
            <w:hideMark/>
          </w:tcPr>
          <w:p w14:paraId="4D80B016" w14:textId="77777777" w:rsidR="00000000" w:rsidRDefault="00847163">
            <w:pPr>
              <w:pStyle w:val="a3"/>
              <w:spacing w:before="0" w:beforeAutospacing="0" w:after="0" w:afterAutospacing="0"/>
              <w:ind w:left="180"/>
              <w:rPr>
                <w:sz w:val="20"/>
                <w:szCs w:val="20"/>
              </w:rPr>
            </w:pPr>
            <w:r>
              <w:rPr>
                <w:sz w:val="20"/>
                <w:szCs w:val="20"/>
              </w:rPr>
              <w:t>Distributions</w:t>
            </w:r>
          </w:p>
        </w:tc>
        <w:tc>
          <w:tcPr>
            <w:tcW w:w="50" w:type="pct"/>
            <w:shd w:val="clear" w:color="auto" w:fill="CCEEFF"/>
            <w:tcMar>
              <w:top w:w="0" w:type="dxa"/>
              <w:left w:w="0" w:type="dxa"/>
              <w:bottom w:w="15" w:type="dxa"/>
              <w:right w:w="0" w:type="dxa"/>
            </w:tcMar>
            <w:vAlign w:val="bottom"/>
            <w:hideMark/>
          </w:tcPr>
          <w:p w14:paraId="5CF017DA" w14:textId="77777777" w:rsidR="00000000" w:rsidRDefault="0084716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01CFFA90" w14:textId="77777777" w:rsidR="00000000" w:rsidRDefault="00847163">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14:paraId="22CC1D2A" w14:textId="77777777" w:rsidR="00000000" w:rsidRDefault="00847163">
            <w:pPr>
              <w:jc w:val="right"/>
              <w:rPr>
                <w:rFonts w:eastAsia="Times New Roman"/>
                <w:sz w:val="20"/>
                <w:szCs w:val="20"/>
              </w:rPr>
            </w:pPr>
            <w:r>
              <w:rPr>
                <w:rFonts w:eastAsia="Times New Roman"/>
                <w:sz w:val="20"/>
                <w:szCs w:val="20"/>
              </w:rPr>
              <w:t>(262</w:t>
            </w:r>
          </w:p>
        </w:tc>
        <w:tc>
          <w:tcPr>
            <w:tcW w:w="50" w:type="pct"/>
            <w:shd w:val="clear" w:color="auto" w:fill="CCEEFF"/>
            <w:tcMar>
              <w:top w:w="0" w:type="dxa"/>
              <w:left w:w="0" w:type="dxa"/>
              <w:bottom w:w="15" w:type="dxa"/>
              <w:right w:w="0" w:type="dxa"/>
            </w:tcMar>
            <w:vAlign w:val="bottom"/>
            <w:hideMark/>
          </w:tcPr>
          <w:p w14:paraId="0B87863E" w14:textId="77777777" w:rsidR="00000000" w:rsidRDefault="00847163">
            <w:pPr>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6935A28E" w14:textId="77777777" w:rsidR="00000000" w:rsidRDefault="0084716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49AA1DF7" w14:textId="77777777" w:rsidR="00000000" w:rsidRDefault="00847163">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14:paraId="1E4C7AA7" w14:textId="77777777" w:rsidR="00000000" w:rsidRDefault="00847163">
            <w:pPr>
              <w:jc w:val="right"/>
              <w:rPr>
                <w:rFonts w:eastAsia="Times New Roman"/>
                <w:sz w:val="20"/>
                <w:szCs w:val="20"/>
              </w:rPr>
            </w:pPr>
            <w:r>
              <w:rPr>
                <w:rFonts w:eastAsia="Times New Roman"/>
                <w:sz w:val="20"/>
                <w:szCs w:val="20"/>
              </w:rPr>
              <w:t>(90</w:t>
            </w:r>
          </w:p>
        </w:tc>
        <w:tc>
          <w:tcPr>
            <w:tcW w:w="50" w:type="pct"/>
            <w:shd w:val="clear" w:color="auto" w:fill="CCEEFF"/>
            <w:tcMar>
              <w:top w:w="0" w:type="dxa"/>
              <w:left w:w="0" w:type="dxa"/>
              <w:bottom w:w="15" w:type="dxa"/>
              <w:right w:w="0" w:type="dxa"/>
            </w:tcMar>
            <w:vAlign w:val="bottom"/>
            <w:hideMark/>
          </w:tcPr>
          <w:p w14:paraId="770A1E0C" w14:textId="77777777" w:rsidR="00000000" w:rsidRDefault="00847163">
            <w:pPr>
              <w:rPr>
                <w:rFonts w:eastAsia="Times New Roman"/>
                <w:sz w:val="20"/>
                <w:szCs w:val="20"/>
              </w:rPr>
            </w:pPr>
            <w:r>
              <w:rPr>
                <w:rFonts w:eastAsia="Times New Roman"/>
                <w:sz w:val="20"/>
                <w:szCs w:val="20"/>
              </w:rPr>
              <w:t>)</w:t>
            </w:r>
          </w:p>
        </w:tc>
      </w:tr>
      <w:tr w:rsidR="00000000" w14:paraId="58837B00" w14:textId="77777777">
        <w:trPr>
          <w:tblCellSpacing w:w="0" w:type="dxa"/>
        </w:trPr>
        <w:tc>
          <w:tcPr>
            <w:tcW w:w="0" w:type="auto"/>
            <w:shd w:val="clear" w:color="auto" w:fill="FFFFFF"/>
            <w:vAlign w:val="bottom"/>
            <w:hideMark/>
          </w:tcPr>
          <w:p w14:paraId="740742DD" w14:textId="77777777" w:rsidR="00000000" w:rsidRDefault="00847163">
            <w:pPr>
              <w:pStyle w:val="a3"/>
              <w:spacing w:before="0" w:beforeAutospacing="0" w:after="0" w:afterAutospacing="0"/>
              <w:rPr>
                <w:sz w:val="20"/>
                <w:szCs w:val="20"/>
              </w:rPr>
            </w:pPr>
            <w:r>
              <w:rPr>
                <w:sz w:val="20"/>
                <w:szCs w:val="20"/>
              </w:rPr>
              <w:t>Balance at March 31,</w:t>
            </w:r>
          </w:p>
        </w:tc>
        <w:tc>
          <w:tcPr>
            <w:tcW w:w="50" w:type="pct"/>
            <w:shd w:val="clear" w:color="auto" w:fill="FFFFFF"/>
            <w:vAlign w:val="bottom"/>
            <w:hideMark/>
          </w:tcPr>
          <w:p w14:paraId="559D20A7" w14:textId="77777777" w:rsidR="00000000" w:rsidRDefault="0084716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07FA96FD" w14:textId="77777777" w:rsidR="00000000" w:rsidRDefault="00847163">
            <w:pPr>
              <w:rPr>
                <w:rFonts w:eastAsia="Times New Roman"/>
                <w:sz w:val="20"/>
                <w:szCs w:val="20"/>
              </w:rPr>
            </w:pPr>
            <w:r>
              <w:rPr>
                <w:rFonts w:eastAsia="Times New Roman"/>
                <w:b/>
                <w:bCs/>
                <w:sz w:val="20"/>
                <w:szCs w:val="20"/>
              </w:rPr>
              <w:t>$</w:t>
            </w:r>
          </w:p>
        </w:tc>
        <w:tc>
          <w:tcPr>
            <w:tcW w:w="800" w:type="pct"/>
            <w:tcBorders>
              <w:bottom w:val="double" w:sz="6" w:space="0" w:color="000000"/>
            </w:tcBorders>
            <w:shd w:val="clear" w:color="auto" w:fill="FFFFFF"/>
            <w:vAlign w:val="bottom"/>
            <w:hideMark/>
          </w:tcPr>
          <w:p w14:paraId="337F261A" w14:textId="77777777" w:rsidR="00000000" w:rsidRDefault="00847163">
            <w:pPr>
              <w:jc w:val="right"/>
              <w:rPr>
                <w:rFonts w:eastAsia="Times New Roman"/>
                <w:sz w:val="20"/>
                <w:szCs w:val="20"/>
              </w:rPr>
            </w:pPr>
            <w:r>
              <w:rPr>
                <w:rFonts w:eastAsia="Times New Roman"/>
                <w:b/>
                <w:bCs/>
                <w:sz w:val="20"/>
                <w:szCs w:val="20"/>
              </w:rPr>
              <w:t>17,943</w:t>
            </w:r>
          </w:p>
        </w:tc>
        <w:tc>
          <w:tcPr>
            <w:tcW w:w="50" w:type="pct"/>
            <w:shd w:val="clear" w:color="auto" w:fill="FFFFFF"/>
            <w:tcMar>
              <w:top w:w="0" w:type="dxa"/>
              <w:left w:w="0" w:type="dxa"/>
              <w:bottom w:w="45" w:type="dxa"/>
              <w:right w:w="0" w:type="dxa"/>
            </w:tcMar>
            <w:vAlign w:val="bottom"/>
            <w:hideMark/>
          </w:tcPr>
          <w:p w14:paraId="2FE58425"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30B4AF9" w14:textId="77777777" w:rsidR="00000000" w:rsidRDefault="0084716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3347E988" w14:textId="77777777" w:rsidR="00000000" w:rsidRDefault="00847163">
            <w:pPr>
              <w:rPr>
                <w:rFonts w:eastAsia="Times New Roman"/>
                <w:sz w:val="20"/>
                <w:szCs w:val="20"/>
              </w:rPr>
            </w:pPr>
            <w:r>
              <w:rPr>
                <w:rFonts w:eastAsia="Times New Roman"/>
                <w:b/>
                <w:bCs/>
                <w:sz w:val="20"/>
                <w:szCs w:val="20"/>
              </w:rPr>
              <w:t>$</w:t>
            </w:r>
          </w:p>
        </w:tc>
        <w:tc>
          <w:tcPr>
            <w:tcW w:w="800" w:type="pct"/>
            <w:tcBorders>
              <w:bottom w:val="double" w:sz="6" w:space="0" w:color="000000"/>
            </w:tcBorders>
            <w:shd w:val="clear" w:color="auto" w:fill="FFFFFF"/>
            <w:vAlign w:val="bottom"/>
            <w:hideMark/>
          </w:tcPr>
          <w:p w14:paraId="68D6CD49" w14:textId="77777777" w:rsidR="00000000" w:rsidRDefault="00847163">
            <w:pPr>
              <w:jc w:val="right"/>
              <w:rPr>
                <w:rFonts w:eastAsia="Times New Roman"/>
                <w:sz w:val="20"/>
                <w:szCs w:val="20"/>
              </w:rPr>
            </w:pPr>
            <w:r>
              <w:rPr>
                <w:rFonts w:eastAsia="Times New Roman"/>
                <w:b/>
                <w:bCs/>
                <w:sz w:val="20"/>
                <w:szCs w:val="20"/>
              </w:rPr>
              <w:t>22,684</w:t>
            </w:r>
          </w:p>
        </w:tc>
        <w:tc>
          <w:tcPr>
            <w:tcW w:w="50" w:type="pct"/>
            <w:shd w:val="clear" w:color="auto" w:fill="FFFFFF"/>
            <w:tcMar>
              <w:top w:w="0" w:type="dxa"/>
              <w:left w:w="0" w:type="dxa"/>
              <w:bottom w:w="45" w:type="dxa"/>
              <w:right w:w="0" w:type="dxa"/>
            </w:tcMar>
            <w:vAlign w:val="bottom"/>
            <w:hideMark/>
          </w:tcPr>
          <w:p w14:paraId="138E6348" w14:textId="77777777" w:rsidR="00000000" w:rsidRDefault="00847163">
            <w:pPr>
              <w:rPr>
                <w:rFonts w:eastAsia="Times New Roman"/>
                <w:sz w:val="20"/>
                <w:szCs w:val="20"/>
              </w:rPr>
            </w:pPr>
            <w:r>
              <w:rPr>
                <w:rFonts w:eastAsia="Times New Roman"/>
                <w:sz w:val="20"/>
                <w:szCs w:val="20"/>
              </w:rPr>
              <w:t> </w:t>
            </w:r>
          </w:p>
        </w:tc>
      </w:tr>
    </w:tbl>
    <w:p w14:paraId="47129188" w14:textId="77777777" w:rsidR="00000000" w:rsidRDefault="00847163">
      <w:pPr>
        <w:pStyle w:val="a3"/>
        <w:spacing w:before="0" w:beforeAutospacing="0" w:after="0" w:afterAutospacing="0"/>
        <w:ind w:left="1440"/>
        <w:jc w:val="both"/>
        <w:rPr>
          <w:sz w:val="20"/>
          <w:szCs w:val="20"/>
        </w:rPr>
      </w:pPr>
      <w:r>
        <w:rPr>
          <w:sz w:val="20"/>
          <w:szCs w:val="20"/>
        </w:rPr>
        <w:t> </w:t>
      </w:r>
    </w:p>
    <w:p w14:paraId="2E65E2C7" w14:textId="77777777" w:rsidR="00000000" w:rsidRDefault="00847163">
      <w:pPr>
        <w:divId w:val="1999069671"/>
        <w:rPr>
          <w:rFonts w:eastAsia="Times New Roman"/>
          <w:sz w:val="20"/>
          <w:szCs w:val="20"/>
        </w:rPr>
      </w:pPr>
      <w:r>
        <w:rPr>
          <w:rFonts w:eastAsia="Times New Roman"/>
          <w:sz w:val="20"/>
          <w:szCs w:val="20"/>
        </w:rPr>
        <w:t xml:space="preserve">  </w:t>
      </w:r>
    </w:p>
    <w:p w14:paraId="15B9B401" w14:textId="77777777" w:rsidR="00000000" w:rsidRDefault="00847163">
      <w:pPr>
        <w:pStyle w:val="a3"/>
        <w:spacing w:before="0" w:beforeAutospacing="0" w:after="0" w:afterAutospacing="0"/>
        <w:jc w:val="both"/>
        <w:rPr>
          <w:sz w:val="20"/>
          <w:szCs w:val="20"/>
        </w:rPr>
      </w:pPr>
      <w:r>
        <w:rPr>
          <w:rStyle w:val="a6"/>
          <w:sz w:val="20"/>
          <w:szCs w:val="20"/>
        </w:rPr>
        <w:t>10.</w:t>
      </w:r>
      <w:r>
        <w:rPr>
          <w:sz w:val="20"/>
          <w:szCs w:val="20"/>
        </w:rPr>
        <w:t xml:space="preserve"> </w:t>
      </w:r>
      <w:r>
        <w:rPr>
          <w:sz w:val="20"/>
          <w:szCs w:val="20"/>
          <w:u w:val="single"/>
        </w:rPr>
        <w:t>Variable Interest Entities (“VIE”)</w:t>
      </w:r>
    </w:p>
    <w:p w14:paraId="103B3753" w14:textId="77777777" w:rsidR="00000000" w:rsidRDefault="00847163">
      <w:pPr>
        <w:pStyle w:val="a3"/>
        <w:spacing w:before="0" w:beforeAutospacing="0" w:after="0" w:afterAutospacing="0"/>
        <w:jc w:val="both"/>
        <w:rPr>
          <w:sz w:val="20"/>
          <w:szCs w:val="20"/>
        </w:rPr>
      </w:pPr>
      <w:r>
        <w:rPr>
          <w:sz w:val="20"/>
          <w:szCs w:val="20"/>
        </w:rPr>
        <w:t> </w:t>
      </w:r>
    </w:p>
    <w:p w14:paraId="4AC61E07" w14:textId="77777777" w:rsidR="00000000" w:rsidRDefault="00847163">
      <w:pPr>
        <w:pStyle w:val="a3"/>
        <w:spacing w:before="0" w:beforeAutospacing="0" w:after="0" w:afterAutospacing="0"/>
        <w:ind w:firstLine="360"/>
        <w:jc w:val="both"/>
        <w:rPr>
          <w:sz w:val="20"/>
          <w:szCs w:val="20"/>
        </w:rPr>
      </w:pPr>
      <w:r>
        <w:rPr>
          <w:sz w:val="20"/>
          <w:szCs w:val="20"/>
        </w:rPr>
        <w:t xml:space="preserve">Included within the Company’s consolidated operating properties at both </w:t>
      </w:r>
      <w:r>
        <w:rPr>
          <w:rStyle w:val="a6"/>
          <w:sz w:val="20"/>
          <w:szCs w:val="20"/>
        </w:rPr>
        <w:t xml:space="preserve">March 31, 2020 </w:t>
      </w:r>
      <w:r>
        <w:rPr>
          <w:sz w:val="20"/>
          <w:szCs w:val="20"/>
        </w:rPr>
        <w:t xml:space="preserve">and </w:t>
      </w:r>
      <w:r>
        <w:rPr>
          <w:rStyle w:val="a6"/>
          <w:sz w:val="20"/>
          <w:szCs w:val="20"/>
        </w:rPr>
        <w:t xml:space="preserve">December 31, 2019, </w:t>
      </w:r>
      <w:r>
        <w:rPr>
          <w:sz w:val="20"/>
          <w:szCs w:val="20"/>
        </w:rPr>
        <w:t>are 22 consolidated entities that are VIEs, for which the Company is the primary beneficiary. These entities have been established to own and operate real estate property. The Company’s involvement with these entities is through its majo</w:t>
      </w:r>
      <w:r>
        <w:rPr>
          <w:sz w:val="20"/>
          <w:szCs w:val="20"/>
        </w:rPr>
        <w:t xml:space="preserve">rity ownership and management of the properties. The entities were deemed VIEs primarily because the unrelated investors do </w:t>
      </w:r>
      <w:r>
        <w:rPr>
          <w:rStyle w:val="a6"/>
          <w:sz w:val="20"/>
          <w:szCs w:val="20"/>
        </w:rPr>
        <w:t>not</w:t>
      </w:r>
      <w:r>
        <w:rPr>
          <w:sz w:val="20"/>
          <w:szCs w:val="20"/>
        </w:rPr>
        <w:t xml:space="preserve"> have substantive kick-out rights to remove the general or managing partner by a vote of a simple majority or less and they do </w:t>
      </w:r>
      <w:r>
        <w:rPr>
          <w:rStyle w:val="a6"/>
          <w:sz w:val="20"/>
          <w:szCs w:val="20"/>
        </w:rPr>
        <w:t>no</w:t>
      </w:r>
      <w:r>
        <w:rPr>
          <w:rStyle w:val="a6"/>
          <w:sz w:val="20"/>
          <w:szCs w:val="20"/>
        </w:rPr>
        <w:t>t</w:t>
      </w:r>
      <w:r>
        <w:rPr>
          <w:sz w:val="20"/>
          <w:szCs w:val="20"/>
        </w:rPr>
        <w:t xml:space="preserve"> have substantive participating rights. The Company determined that it was the primary beneficiary of these VIEs as a result of its controlling financial interest. At </w:t>
      </w:r>
      <w:r>
        <w:rPr>
          <w:rStyle w:val="a6"/>
          <w:sz w:val="20"/>
          <w:szCs w:val="20"/>
        </w:rPr>
        <w:t xml:space="preserve">March 31, 2020, </w:t>
      </w:r>
      <w:r>
        <w:rPr>
          <w:sz w:val="20"/>
          <w:szCs w:val="20"/>
        </w:rPr>
        <w:t xml:space="preserve">total assets of these VIEs were $1.0 billion and total liabilities were </w:t>
      </w:r>
      <w:r>
        <w:rPr>
          <w:sz w:val="20"/>
          <w:szCs w:val="20"/>
        </w:rPr>
        <w:t xml:space="preserve">$65.5 million. At </w:t>
      </w:r>
      <w:r>
        <w:rPr>
          <w:rStyle w:val="a6"/>
          <w:sz w:val="20"/>
          <w:szCs w:val="20"/>
        </w:rPr>
        <w:t xml:space="preserve">December 31, 2019, </w:t>
      </w:r>
      <w:r>
        <w:rPr>
          <w:sz w:val="20"/>
          <w:szCs w:val="20"/>
        </w:rPr>
        <w:t>total assets of these VIEs were $0.9 billion and total liabilities were $70.9 million.</w:t>
      </w:r>
    </w:p>
    <w:p w14:paraId="2D7AD932" w14:textId="77777777" w:rsidR="00000000" w:rsidRDefault="00847163">
      <w:pPr>
        <w:pStyle w:val="a3"/>
        <w:spacing w:before="0" w:beforeAutospacing="0" w:after="0" w:afterAutospacing="0"/>
        <w:ind w:firstLine="360"/>
        <w:jc w:val="both"/>
        <w:rPr>
          <w:sz w:val="20"/>
          <w:szCs w:val="20"/>
        </w:rPr>
      </w:pPr>
      <w:r>
        <w:rPr>
          <w:sz w:val="20"/>
          <w:szCs w:val="20"/>
        </w:rPr>
        <w:t> </w:t>
      </w:r>
    </w:p>
    <w:p w14:paraId="5CEB2728" w14:textId="77777777" w:rsidR="00000000" w:rsidRDefault="00847163">
      <w:pPr>
        <w:pStyle w:val="a3"/>
        <w:spacing w:before="0" w:beforeAutospacing="0" w:after="0" w:afterAutospacing="0"/>
        <w:ind w:firstLine="360"/>
        <w:jc w:val="both"/>
        <w:rPr>
          <w:sz w:val="20"/>
          <w:szCs w:val="20"/>
        </w:rPr>
      </w:pPr>
      <w:r>
        <w:rPr>
          <w:sz w:val="20"/>
          <w:szCs w:val="20"/>
        </w:rPr>
        <w:t xml:space="preserve">The majority of the operations of these VIEs are funded with cash flows generated from the properties. The Company has </w:t>
      </w:r>
      <w:r>
        <w:rPr>
          <w:rStyle w:val="a6"/>
          <w:sz w:val="20"/>
          <w:szCs w:val="20"/>
        </w:rPr>
        <w:t>not</w:t>
      </w:r>
      <w:r>
        <w:rPr>
          <w:sz w:val="20"/>
          <w:szCs w:val="20"/>
        </w:rPr>
        <w:t xml:space="preserve"> provide</w:t>
      </w:r>
      <w:r>
        <w:rPr>
          <w:sz w:val="20"/>
          <w:szCs w:val="20"/>
        </w:rPr>
        <w:t xml:space="preserve">d financial support to any of these VIEs that it was </w:t>
      </w:r>
      <w:r>
        <w:rPr>
          <w:rStyle w:val="a6"/>
          <w:sz w:val="20"/>
          <w:szCs w:val="20"/>
        </w:rPr>
        <w:t>not</w:t>
      </w:r>
      <w:r>
        <w:rPr>
          <w:sz w:val="20"/>
          <w:szCs w:val="20"/>
        </w:rPr>
        <w:t xml:space="preserve"> previously contractually required to provide, which consists primarily of funding any capital expenditures, including tenant improvements, which are deemed necessary to continue to operate the entity</w:t>
      </w:r>
      <w:r>
        <w:rPr>
          <w:sz w:val="20"/>
          <w:szCs w:val="20"/>
        </w:rPr>
        <w:t xml:space="preserve"> and any operating cash shortfalls that the entity </w:t>
      </w:r>
      <w:r>
        <w:rPr>
          <w:rStyle w:val="a6"/>
          <w:sz w:val="20"/>
          <w:szCs w:val="20"/>
        </w:rPr>
        <w:t xml:space="preserve">may </w:t>
      </w:r>
      <w:r>
        <w:rPr>
          <w:sz w:val="20"/>
          <w:szCs w:val="20"/>
        </w:rPr>
        <w:t>experience.</w:t>
      </w:r>
    </w:p>
    <w:p w14:paraId="444A1B1F" w14:textId="77777777" w:rsidR="00000000" w:rsidRDefault="00847163">
      <w:pPr>
        <w:pStyle w:val="a3"/>
        <w:spacing w:before="0" w:beforeAutospacing="0" w:after="0" w:afterAutospacing="0"/>
        <w:ind w:firstLine="720"/>
        <w:jc w:val="both"/>
        <w:rPr>
          <w:sz w:val="20"/>
          <w:szCs w:val="20"/>
        </w:rPr>
      </w:pPr>
      <w:r>
        <w:rPr>
          <w:sz w:val="20"/>
          <w:szCs w:val="20"/>
        </w:rPr>
        <w:t> </w:t>
      </w:r>
    </w:p>
    <w:p w14:paraId="69FF5C2F" w14:textId="77777777" w:rsidR="00000000" w:rsidRDefault="00847163">
      <w:pPr>
        <w:pStyle w:val="a3"/>
        <w:spacing w:before="0" w:beforeAutospacing="0" w:after="0" w:afterAutospacing="0"/>
        <w:ind w:firstLine="360"/>
        <w:jc w:val="both"/>
        <w:rPr>
          <w:sz w:val="20"/>
          <w:szCs w:val="20"/>
        </w:rPr>
      </w:pPr>
      <w:r>
        <w:rPr>
          <w:sz w:val="20"/>
          <w:szCs w:val="20"/>
        </w:rPr>
        <w:t xml:space="preserve">Additionally, included within the Company’s real estate development projects at </w:t>
      </w:r>
      <w:r>
        <w:rPr>
          <w:rStyle w:val="a6"/>
          <w:sz w:val="20"/>
          <w:szCs w:val="20"/>
        </w:rPr>
        <w:t xml:space="preserve">December 31, 2019, </w:t>
      </w:r>
      <w:r>
        <w:rPr>
          <w:sz w:val="20"/>
          <w:szCs w:val="20"/>
        </w:rPr>
        <w:t>is</w:t>
      </w:r>
      <w:r>
        <w:rPr>
          <w:sz w:val="20"/>
          <w:szCs w:val="20"/>
        </w:rPr>
        <w:t xml:space="preserve"> </w:t>
      </w:r>
      <w:r>
        <w:rPr>
          <w:sz w:val="20"/>
          <w:szCs w:val="20"/>
        </w:rPr>
        <w:t>on</w:t>
      </w:r>
      <w:r>
        <w:rPr>
          <w:sz w:val="20"/>
          <w:szCs w:val="20"/>
        </w:rPr>
        <w:t>e</w:t>
      </w:r>
      <w:r>
        <w:rPr>
          <w:sz w:val="20"/>
          <w:szCs w:val="20"/>
        </w:rPr>
        <w:t xml:space="preserve"> consolidated entity that was a VIE, for which the Company was the primary benefic</w:t>
      </w:r>
      <w:r>
        <w:rPr>
          <w:sz w:val="20"/>
          <w:szCs w:val="20"/>
        </w:rPr>
        <w:t xml:space="preserve">iary. This entity had been established to develop a real estate property to hold as a long-term investment. The Company’s involvement with this entity is through its majority ownership and management of the property. This entity was deemed a VIE primarily </w:t>
      </w:r>
      <w:r>
        <w:rPr>
          <w:sz w:val="20"/>
          <w:szCs w:val="20"/>
        </w:rPr>
        <w:t xml:space="preserve">because the equity investments at risk were </w:t>
      </w:r>
      <w:r>
        <w:rPr>
          <w:rStyle w:val="a6"/>
          <w:sz w:val="20"/>
          <w:szCs w:val="20"/>
        </w:rPr>
        <w:t>not</w:t>
      </w:r>
      <w:r>
        <w:rPr>
          <w:sz w:val="20"/>
          <w:szCs w:val="20"/>
        </w:rPr>
        <w:t xml:space="preserve"> sufficient to permit the entity to finance its activities without additional financial support. The initial equity contributed to this entity was </w:t>
      </w:r>
      <w:r>
        <w:rPr>
          <w:rStyle w:val="a6"/>
          <w:sz w:val="20"/>
          <w:szCs w:val="20"/>
        </w:rPr>
        <w:t>not</w:t>
      </w:r>
      <w:r>
        <w:rPr>
          <w:sz w:val="20"/>
          <w:szCs w:val="20"/>
        </w:rPr>
        <w:t xml:space="preserve"> sufficient to fully finance the real estate construction a</w:t>
      </w:r>
      <w:r>
        <w:rPr>
          <w:sz w:val="20"/>
          <w:szCs w:val="20"/>
        </w:rPr>
        <w:t xml:space="preserve">s development costs are funded by the partners throughout the construction period. The Company determined that it was the primary beneficiary of this VIE as a result of its controlling financial interest. At </w:t>
      </w:r>
      <w:r>
        <w:rPr>
          <w:rStyle w:val="a6"/>
          <w:sz w:val="20"/>
          <w:szCs w:val="20"/>
        </w:rPr>
        <w:t xml:space="preserve">December 31, 2019, </w:t>
      </w:r>
      <w:r>
        <w:rPr>
          <w:sz w:val="20"/>
          <w:szCs w:val="20"/>
        </w:rPr>
        <w:t>total assets of this real est</w:t>
      </w:r>
      <w:r>
        <w:rPr>
          <w:sz w:val="20"/>
          <w:szCs w:val="20"/>
        </w:rPr>
        <w:t xml:space="preserve">ate development VIE were $346.9 million and total liabilities were $82.5 million. During the </w:t>
      </w:r>
      <w:r>
        <w:rPr>
          <w:rStyle w:val="a6"/>
          <w:sz w:val="20"/>
          <w:szCs w:val="20"/>
        </w:rPr>
        <w:t>three</w:t>
      </w:r>
      <w:r>
        <w:rPr>
          <w:sz w:val="20"/>
          <w:szCs w:val="20"/>
        </w:rPr>
        <w:t xml:space="preserve"> months ended </w:t>
      </w:r>
      <w:r>
        <w:rPr>
          <w:rStyle w:val="a6"/>
          <w:sz w:val="20"/>
          <w:szCs w:val="20"/>
        </w:rPr>
        <w:t xml:space="preserve">March 31, 2020 </w:t>
      </w:r>
      <w:r>
        <w:rPr>
          <w:sz w:val="20"/>
          <w:szCs w:val="20"/>
        </w:rPr>
        <w:t>the Company purchased the partner’s noncontrolling interest and maintains full ownership of the entity. As a result, the entity i</w:t>
      </w:r>
      <w:r>
        <w:rPr>
          <w:sz w:val="20"/>
          <w:szCs w:val="20"/>
        </w:rPr>
        <w:t xml:space="preserve">s </w:t>
      </w:r>
      <w:r>
        <w:rPr>
          <w:rStyle w:val="a6"/>
          <w:sz w:val="20"/>
          <w:szCs w:val="20"/>
        </w:rPr>
        <w:t>no</w:t>
      </w:r>
      <w:r>
        <w:rPr>
          <w:sz w:val="20"/>
          <w:szCs w:val="20"/>
        </w:rPr>
        <w:t xml:space="preserve"> longer a VIE.</w:t>
      </w:r>
    </w:p>
    <w:p w14:paraId="048074CF" w14:textId="77777777" w:rsidR="00000000" w:rsidRDefault="00847163">
      <w:pPr>
        <w:pStyle w:val="a3"/>
        <w:spacing w:before="0" w:beforeAutospacing="0" w:after="0" w:afterAutospacing="0"/>
        <w:ind w:firstLine="720"/>
        <w:jc w:val="both"/>
        <w:rPr>
          <w:sz w:val="20"/>
          <w:szCs w:val="20"/>
        </w:rPr>
      </w:pPr>
      <w:r>
        <w:rPr>
          <w:sz w:val="20"/>
          <w:szCs w:val="20"/>
        </w:rPr>
        <w:t> </w:t>
      </w:r>
    </w:p>
    <w:p w14:paraId="4F0DD4BB" w14:textId="77777777" w:rsidR="00000000" w:rsidRDefault="00847163">
      <w:pPr>
        <w:pStyle w:val="a3"/>
        <w:spacing w:before="0" w:beforeAutospacing="0" w:after="0" w:afterAutospacing="0"/>
        <w:ind w:firstLine="360"/>
        <w:jc w:val="both"/>
        <w:rPr>
          <w:sz w:val="20"/>
          <w:szCs w:val="20"/>
        </w:rPr>
      </w:pPr>
      <w:r>
        <w:rPr>
          <w:sz w:val="20"/>
          <w:szCs w:val="20"/>
        </w:rPr>
        <w:t xml:space="preserve">All liabilities of these consolidated VIEs are non-recourse to the Company (“VIE Liabilities”). The assets of the unencumbered VIEs are </w:t>
      </w:r>
      <w:r>
        <w:rPr>
          <w:rStyle w:val="a6"/>
          <w:sz w:val="20"/>
          <w:szCs w:val="20"/>
        </w:rPr>
        <w:t>not</w:t>
      </w:r>
      <w:r>
        <w:rPr>
          <w:sz w:val="20"/>
          <w:szCs w:val="20"/>
        </w:rPr>
        <w:t xml:space="preserve"> restricted for use to settle only the obligations of these VIEs. The remaining VIE assets are e</w:t>
      </w:r>
      <w:r>
        <w:rPr>
          <w:sz w:val="20"/>
          <w:szCs w:val="20"/>
        </w:rPr>
        <w:t xml:space="preserve">ncumbered by </w:t>
      </w:r>
      <w:r>
        <w:rPr>
          <w:rStyle w:val="a6"/>
          <w:sz w:val="20"/>
          <w:szCs w:val="20"/>
        </w:rPr>
        <w:t>third</w:t>
      </w:r>
      <w:r>
        <w:rPr>
          <w:sz w:val="20"/>
          <w:szCs w:val="20"/>
        </w:rPr>
        <w:t xml:space="preserve"> party non-recourse mortgage debt and a construction loan. The assets associated with these encumbered VIEs (“Restricted Assets”) are collateral under the respective mortgages and a construction loan and are therefore restricted and can o</w:t>
      </w:r>
      <w:r>
        <w:rPr>
          <w:sz w:val="20"/>
          <w:szCs w:val="20"/>
        </w:rPr>
        <w:t xml:space="preserve">nly be used to settle the corresponding liabilities of the VIE. The table below summarizes the consolidated VIEs and the classification of the Restricted Assets and VIE Liabilities on the Company’s Condensed Consolidated Balance Sheets as follows (dollars </w:t>
      </w:r>
      <w:r>
        <w:rPr>
          <w:sz w:val="20"/>
          <w:szCs w:val="20"/>
        </w:rPr>
        <w:t>in millions):</w:t>
      </w:r>
    </w:p>
    <w:p w14:paraId="60A6F83A" w14:textId="77777777" w:rsidR="00000000" w:rsidRDefault="00847163">
      <w:pPr>
        <w:pStyle w:val="a3"/>
        <w:spacing w:before="0" w:beforeAutospacing="0" w:after="0" w:afterAutospacing="0"/>
        <w:ind w:firstLine="360"/>
        <w:jc w:val="both"/>
        <w:rPr>
          <w:sz w:val="20"/>
          <w:szCs w:val="20"/>
        </w:rPr>
      </w:pPr>
      <w:r>
        <w:rPr>
          <w:sz w:val="20"/>
          <w:szCs w:val="20"/>
        </w:rPr>
        <w:t> </w:t>
      </w:r>
    </w:p>
    <w:tbl>
      <w:tblPr>
        <w:tblW w:w="4500" w:type="pct"/>
        <w:tblCellSpacing w:w="0" w:type="dxa"/>
        <w:tblInd w:w="5" w:type="dxa"/>
        <w:tblCellMar>
          <w:left w:w="0" w:type="dxa"/>
          <w:right w:w="0" w:type="dxa"/>
        </w:tblCellMar>
        <w:tblLook w:val="04A0" w:firstRow="1" w:lastRow="0" w:firstColumn="1" w:lastColumn="0" w:noHBand="0" w:noVBand="1"/>
      </w:tblPr>
      <w:tblGrid>
        <w:gridCol w:w="4484"/>
        <w:gridCol w:w="74"/>
        <w:gridCol w:w="150"/>
        <w:gridCol w:w="1196"/>
        <w:gridCol w:w="75"/>
        <w:gridCol w:w="75"/>
        <w:gridCol w:w="150"/>
        <w:gridCol w:w="1196"/>
        <w:gridCol w:w="75"/>
      </w:tblGrid>
      <w:tr w:rsidR="00000000" w14:paraId="2236DA5D" w14:textId="77777777">
        <w:trPr>
          <w:tblCellSpacing w:w="0" w:type="dxa"/>
        </w:trPr>
        <w:tc>
          <w:tcPr>
            <w:tcW w:w="3000" w:type="pct"/>
            <w:vAlign w:val="bottom"/>
            <w:hideMark/>
          </w:tcPr>
          <w:p w14:paraId="008DB14D" w14:textId="77777777" w:rsidR="00000000" w:rsidRDefault="00847163">
            <w:pPr>
              <w:rPr>
                <w:rFonts w:eastAsia="Times New Roman"/>
                <w:sz w:val="20"/>
                <w:szCs w:val="20"/>
              </w:rPr>
            </w:pPr>
            <w:r>
              <w:rPr>
                <w:rFonts w:eastAsia="Times New Roman"/>
                <w:sz w:val="20"/>
                <w:szCs w:val="20"/>
              </w:rPr>
              <w:t> </w:t>
            </w:r>
          </w:p>
        </w:tc>
        <w:tc>
          <w:tcPr>
            <w:tcW w:w="50" w:type="pct"/>
            <w:tcMar>
              <w:top w:w="0" w:type="dxa"/>
              <w:left w:w="0" w:type="dxa"/>
              <w:bottom w:w="15" w:type="dxa"/>
              <w:right w:w="0" w:type="dxa"/>
            </w:tcMar>
            <w:vAlign w:val="bottom"/>
            <w:hideMark/>
          </w:tcPr>
          <w:p w14:paraId="56D77D7C" w14:textId="77777777" w:rsidR="00000000" w:rsidRDefault="00847163">
            <w:pPr>
              <w:rPr>
                <w:rFonts w:eastAsia="Times New Roman"/>
                <w:sz w:val="20"/>
                <w:szCs w:val="20"/>
              </w:rPr>
            </w:pPr>
            <w:r>
              <w:rPr>
                <w:rFonts w:eastAsia="Times New Roman"/>
                <w:sz w:val="20"/>
                <w:szCs w:val="20"/>
              </w:rPr>
              <w:t> </w:t>
            </w:r>
          </w:p>
        </w:tc>
        <w:tc>
          <w:tcPr>
            <w:tcW w:w="100" w:type="pct"/>
            <w:gridSpan w:val="2"/>
            <w:tcBorders>
              <w:bottom w:val="single" w:sz="6" w:space="0" w:color="000000"/>
            </w:tcBorders>
            <w:vAlign w:val="bottom"/>
            <w:hideMark/>
          </w:tcPr>
          <w:p w14:paraId="23F5E5D3" w14:textId="77777777" w:rsidR="00000000" w:rsidRDefault="00847163">
            <w:pPr>
              <w:pStyle w:val="a3"/>
              <w:spacing w:before="0" w:beforeAutospacing="0" w:after="0" w:afterAutospacing="0"/>
              <w:jc w:val="center"/>
              <w:rPr>
                <w:sz w:val="20"/>
                <w:szCs w:val="20"/>
              </w:rPr>
            </w:pPr>
            <w:r>
              <w:rPr>
                <w:b/>
                <w:bCs/>
                <w:sz w:val="20"/>
                <w:szCs w:val="20"/>
              </w:rPr>
              <w:t>As of March 31, 2020</w:t>
            </w:r>
          </w:p>
        </w:tc>
        <w:tc>
          <w:tcPr>
            <w:tcW w:w="50" w:type="pct"/>
            <w:tcMar>
              <w:top w:w="0" w:type="dxa"/>
              <w:left w:w="0" w:type="dxa"/>
              <w:bottom w:w="15" w:type="dxa"/>
              <w:right w:w="0" w:type="dxa"/>
            </w:tcMar>
            <w:vAlign w:val="bottom"/>
            <w:hideMark/>
          </w:tcPr>
          <w:p w14:paraId="2B7EA48C" w14:textId="77777777" w:rsidR="00000000" w:rsidRDefault="00847163">
            <w:pPr>
              <w:rPr>
                <w:rFonts w:eastAsia="Times New Roman"/>
                <w:sz w:val="20"/>
                <w:szCs w:val="20"/>
              </w:rPr>
            </w:pPr>
            <w:r>
              <w:rPr>
                <w:rFonts w:eastAsia="Times New Roman"/>
                <w:sz w:val="20"/>
                <w:szCs w:val="20"/>
              </w:rPr>
              <w:t> </w:t>
            </w:r>
          </w:p>
        </w:tc>
        <w:tc>
          <w:tcPr>
            <w:tcW w:w="50" w:type="pct"/>
            <w:tcMar>
              <w:top w:w="0" w:type="dxa"/>
              <w:left w:w="0" w:type="dxa"/>
              <w:bottom w:w="15" w:type="dxa"/>
              <w:right w:w="0" w:type="dxa"/>
            </w:tcMar>
            <w:vAlign w:val="bottom"/>
            <w:hideMark/>
          </w:tcPr>
          <w:p w14:paraId="347B60FB" w14:textId="77777777" w:rsidR="00000000" w:rsidRDefault="00847163">
            <w:pPr>
              <w:rPr>
                <w:rFonts w:eastAsia="Times New Roman"/>
                <w:sz w:val="20"/>
                <w:szCs w:val="20"/>
              </w:rPr>
            </w:pPr>
            <w:r>
              <w:rPr>
                <w:rFonts w:eastAsia="Times New Roman"/>
                <w:sz w:val="20"/>
                <w:szCs w:val="20"/>
              </w:rPr>
              <w:t> </w:t>
            </w:r>
          </w:p>
        </w:tc>
        <w:tc>
          <w:tcPr>
            <w:tcW w:w="100" w:type="pct"/>
            <w:gridSpan w:val="2"/>
            <w:tcBorders>
              <w:bottom w:val="single" w:sz="6" w:space="0" w:color="000000"/>
            </w:tcBorders>
            <w:vAlign w:val="bottom"/>
            <w:hideMark/>
          </w:tcPr>
          <w:p w14:paraId="7C445A04" w14:textId="77777777" w:rsidR="00000000" w:rsidRDefault="00847163">
            <w:pPr>
              <w:pStyle w:val="a3"/>
              <w:spacing w:before="0" w:beforeAutospacing="0" w:after="0" w:afterAutospacing="0"/>
              <w:jc w:val="center"/>
              <w:rPr>
                <w:sz w:val="20"/>
                <w:szCs w:val="20"/>
              </w:rPr>
            </w:pPr>
            <w:r>
              <w:rPr>
                <w:b/>
                <w:bCs/>
                <w:sz w:val="20"/>
                <w:szCs w:val="20"/>
              </w:rPr>
              <w:t>As of December 31, 2019</w:t>
            </w:r>
          </w:p>
        </w:tc>
        <w:tc>
          <w:tcPr>
            <w:tcW w:w="50" w:type="pct"/>
            <w:tcMar>
              <w:top w:w="0" w:type="dxa"/>
              <w:left w:w="0" w:type="dxa"/>
              <w:bottom w:w="15" w:type="dxa"/>
              <w:right w:w="0" w:type="dxa"/>
            </w:tcMar>
            <w:vAlign w:val="bottom"/>
            <w:hideMark/>
          </w:tcPr>
          <w:p w14:paraId="653E4DAD" w14:textId="77777777" w:rsidR="00000000" w:rsidRDefault="00847163">
            <w:pPr>
              <w:rPr>
                <w:rFonts w:eastAsia="Times New Roman"/>
                <w:sz w:val="20"/>
                <w:szCs w:val="20"/>
              </w:rPr>
            </w:pPr>
            <w:r>
              <w:rPr>
                <w:rFonts w:eastAsia="Times New Roman"/>
                <w:sz w:val="20"/>
                <w:szCs w:val="20"/>
              </w:rPr>
              <w:t> </w:t>
            </w:r>
          </w:p>
        </w:tc>
      </w:tr>
      <w:tr w:rsidR="00000000" w14:paraId="00F6A029" w14:textId="77777777">
        <w:trPr>
          <w:tblCellSpacing w:w="0" w:type="dxa"/>
        </w:trPr>
        <w:tc>
          <w:tcPr>
            <w:tcW w:w="3000" w:type="pct"/>
            <w:shd w:val="clear" w:color="auto" w:fill="CCEEFF"/>
            <w:vAlign w:val="bottom"/>
            <w:hideMark/>
          </w:tcPr>
          <w:p w14:paraId="2D63E692" w14:textId="77777777" w:rsidR="00000000" w:rsidRDefault="00847163">
            <w:pPr>
              <w:pStyle w:val="a3"/>
              <w:spacing w:before="0" w:beforeAutospacing="0" w:after="0" w:afterAutospacing="0"/>
              <w:rPr>
                <w:sz w:val="20"/>
                <w:szCs w:val="20"/>
              </w:rPr>
            </w:pPr>
            <w:r>
              <w:rPr>
                <w:sz w:val="20"/>
                <w:szCs w:val="20"/>
              </w:rPr>
              <w:t>Number of unencumbered VIEs</w:t>
            </w:r>
          </w:p>
        </w:tc>
        <w:tc>
          <w:tcPr>
            <w:tcW w:w="50" w:type="pct"/>
            <w:shd w:val="clear" w:color="auto" w:fill="CCEEFF"/>
            <w:vAlign w:val="bottom"/>
            <w:hideMark/>
          </w:tcPr>
          <w:p w14:paraId="6C913F23" w14:textId="77777777" w:rsidR="00000000" w:rsidRDefault="00847163">
            <w:pPr>
              <w:rPr>
                <w:rFonts w:eastAsia="Times New Roman"/>
                <w:sz w:val="20"/>
                <w:szCs w:val="20"/>
              </w:rPr>
            </w:pPr>
            <w:r>
              <w:rPr>
                <w:rFonts w:eastAsia="Times New Roman"/>
                <w:sz w:val="20"/>
                <w:szCs w:val="20"/>
              </w:rPr>
              <w:t> </w:t>
            </w:r>
          </w:p>
        </w:tc>
        <w:tc>
          <w:tcPr>
            <w:tcW w:w="100" w:type="pct"/>
            <w:shd w:val="clear" w:color="auto" w:fill="CCEEFF"/>
            <w:vAlign w:val="bottom"/>
            <w:hideMark/>
          </w:tcPr>
          <w:p w14:paraId="1B30023A" w14:textId="77777777" w:rsidR="00000000" w:rsidRDefault="00847163">
            <w:pPr>
              <w:rPr>
                <w:rFonts w:eastAsia="Times New Roman"/>
                <w:sz w:val="20"/>
                <w:szCs w:val="20"/>
              </w:rPr>
            </w:pPr>
            <w:r>
              <w:rPr>
                <w:rFonts w:eastAsia="Times New Roman"/>
                <w:sz w:val="20"/>
                <w:szCs w:val="20"/>
              </w:rPr>
              <w:t> </w:t>
            </w:r>
          </w:p>
        </w:tc>
        <w:tc>
          <w:tcPr>
            <w:tcW w:w="800" w:type="pct"/>
            <w:shd w:val="clear" w:color="auto" w:fill="CCEEFF"/>
            <w:vAlign w:val="bottom"/>
            <w:hideMark/>
          </w:tcPr>
          <w:p w14:paraId="1BD21CC0" w14:textId="77777777" w:rsidR="00000000" w:rsidRDefault="00847163">
            <w:pPr>
              <w:jc w:val="right"/>
              <w:rPr>
                <w:rFonts w:eastAsia="Times New Roman"/>
                <w:sz w:val="20"/>
                <w:szCs w:val="20"/>
              </w:rPr>
            </w:pPr>
            <w:r>
              <w:rPr>
                <w:rFonts w:eastAsia="Times New Roman"/>
                <w:sz w:val="20"/>
                <w:szCs w:val="20"/>
              </w:rPr>
              <w:t>19</w:t>
            </w:r>
          </w:p>
        </w:tc>
        <w:tc>
          <w:tcPr>
            <w:tcW w:w="50" w:type="pct"/>
            <w:shd w:val="clear" w:color="auto" w:fill="CCEEFF"/>
            <w:vAlign w:val="bottom"/>
            <w:hideMark/>
          </w:tcPr>
          <w:p w14:paraId="66A5B5A2"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E35F76B" w14:textId="77777777" w:rsidR="00000000" w:rsidRDefault="00847163">
            <w:pPr>
              <w:rPr>
                <w:rFonts w:eastAsia="Times New Roman"/>
                <w:sz w:val="20"/>
                <w:szCs w:val="20"/>
              </w:rPr>
            </w:pPr>
            <w:r>
              <w:rPr>
                <w:rFonts w:eastAsia="Times New Roman"/>
                <w:sz w:val="20"/>
                <w:szCs w:val="20"/>
              </w:rPr>
              <w:t> </w:t>
            </w:r>
          </w:p>
        </w:tc>
        <w:tc>
          <w:tcPr>
            <w:tcW w:w="100" w:type="pct"/>
            <w:shd w:val="clear" w:color="auto" w:fill="CCEEFF"/>
            <w:vAlign w:val="bottom"/>
            <w:hideMark/>
          </w:tcPr>
          <w:p w14:paraId="7761AF77" w14:textId="77777777" w:rsidR="00000000" w:rsidRDefault="00847163">
            <w:pPr>
              <w:rPr>
                <w:rFonts w:eastAsia="Times New Roman"/>
                <w:sz w:val="20"/>
                <w:szCs w:val="20"/>
              </w:rPr>
            </w:pPr>
            <w:r>
              <w:rPr>
                <w:rFonts w:eastAsia="Times New Roman"/>
                <w:sz w:val="20"/>
                <w:szCs w:val="20"/>
              </w:rPr>
              <w:t> </w:t>
            </w:r>
          </w:p>
        </w:tc>
        <w:tc>
          <w:tcPr>
            <w:tcW w:w="800" w:type="pct"/>
            <w:shd w:val="clear" w:color="auto" w:fill="CCEEFF"/>
            <w:vAlign w:val="bottom"/>
            <w:hideMark/>
          </w:tcPr>
          <w:p w14:paraId="79956223" w14:textId="77777777" w:rsidR="00000000" w:rsidRDefault="00847163">
            <w:pPr>
              <w:jc w:val="right"/>
              <w:rPr>
                <w:rFonts w:eastAsia="Times New Roman"/>
                <w:sz w:val="20"/>
                <w:szCs w:val="20"/>
              </w:rPr>
            </w:pPr>
            <w:r>
              <w:rPr>
                <w:rFonts w:eastAsia="Times New Roman"/>
                <w:sz w:val="20"/>
                <w:szCs w:val="20"/>
              </w:rPr>
              <w:t>19</w:t>
            </w:r>
          </w:p>
        </w:tc>
        <w:tc>
          <w:tcPr>
            <w:tcW w:w="50" w:type="pct"/>
            <w:shd w:val="clear" w:color="auto" w:fill="CCEEFF"/>
            <w:vAlign w:val="bottom"/>
            <w:hideMark/>
          </w:tcPr>
          <w:p w14:paraId="72E2C6EE" w14:textId="77777777" w:rsidR="00000000" w:rsidRDefault="00847163">
            <w:pPr>
              <w:rPr>
                <w:rFonts w:eastAsia="Times New Roman"/>
                <w:sz w:val="20"/>
                <w:szCs w:val="20"/>
              </w:rPr>
            </w:pPr>
            <w:r>
              <w:rPr>
                <w:rFonts w:eastAsia="Times New Roman"/>
                <w:sz w:val="20"/>
                <w:szCs w:val="20"/>
              </w:rPr>
              <w:t> </w:t>
            </w:r>
          </w:p>
        </w:tc>
      </w:tr>
      <w:tr w:rsidR="00000000" w14:paraId="6E112794" w14:textId="77777777">
        <w:trPr>
          <w:tblCellSpacing w:w="0" w:type="dxa"/>
        </w:trPr>
        <w:tc>
          <w:tcPr>
            <w:tcW w:w="3000" w:type="pct"/>
            <w:shd w:val="clear" w:color="auto" w:fill="FFFFFF"/>
            <w:vAlign w:val="bottom"/>
            <w:hideMark/>
          </w:tcPr>
          <w:p w14:paraId="106AF693" w14:textId="77777777" w:rsidR="00000000" w:rsidRDefault="00847163">
            <w:pPr>
              <w:pStyle w:val="a3"/>
              <w:spacing w:before="0" w:beforeAutospacing="0" w:after="0" w:afterAutospacing="0"/>
              <w:rPr>
                <w:sz w:val="20"/>
                <w:szCs w:val="20"/>
              </w:rPr>
            </w:pPr>
            <w:r>
              <w:rPr>
                <w:sz w:val="20"/>
                <w:szCs w:val="20"/>
              </w:rPr>
              <w:t>Number of encumbered VIEs</w:t>
            </w:r>
          </w:p>
        </w:tc>
        <w:tc>
          <w:tcPr>
            <w:tcW w:w="50" w:type="pct"/>
            <w:shd w:val="clear" w:color="auto" w:fill="FFFFFF"/>
            <w:tcMar>
              <w:top w:w="0" w:type="dxa"/>
              <w:left w:w="0" w:type="dxa"/>
              <w:bottom w:w="15" w:type="dxa"/>
              <w:right w:w="0" w:type="dxa"/>
            </w:tcMar>
            <w:vAlign w:val="bottom"/>
            <w:hideMark/>
          </w:tcPr>
          <w:p w14:paraId="72822949" w14:textId="77777777" w:rsidR="00000000" w:rsidRDefault="00847163">
            <w:pPr>
              <w:rPr>
                <w:rFonts w:eastAsia="Times New Roman"/>
                <w:sz w:val="20"/>
                <w:szCs w:val="20"/>
              </w:rPr>
            </w:pPr>
            <w:r>
              <w:rPr>
                <w:rFonts w:eastAsia="Times New Roman"/>
                <w:sz w:val="20"/>
                <w:szCs w:val="20"/>
              </w:rPr>
              <w:t> </w:t>
            </w:r>
          </w:p>
        </w:tc>
        <w:tc>
          <w:tcPr>
            <w:tcW w:w="100" w:type="pct"/>
            <w:tcBorders>
              <w:bottom w:val="single" w:sz="6" w:space="0" w:color="000000"/>
            </w:tcBorders>
            <w:shd w:val="clear" w:color="auto" w:fill="FFFFFF"/>
            <w:vAlign w:val="bottom"/>
            <w:hideMark/>
          </w:tcPr>
          <w:p w14:paraId="0676D098" w14:textId="77777777" w:rsidR="00000000" w:rsidRDefault="00847163">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14:paraId="172D04DA" w14:textId="77777777" w:rsidR="00000000" w:rsidRDefault="00847163">
            <w:pPr>
              <w:jc w:val="right"/>
              <w:rPr>
                <w:rFonts w:eastAsia="Times New Roman"/>
                <w:sz w:val="20"/>
                <w:szCs w:val="20"/>
              </w:rPr>
            </w:pPr>
            <w:r>
              <w:rPr>
                <w:rFonts w:eastAsia="Times New Roman"/>
                <w:sz w:val="20"/>
                <w:szCs w:val="20"/>
              </w:rPr>
              <w:t>3</w:t>
            </w:r>
          </w:p>
        </w:tc>
        <w:tc>
          <w:tcPr>
            <w:tcW w:w="50" w:type="pct"/>
            <w:shd w:val="clear" w:color="auto" w:fill="FFFFFF"/>
            <w:tcMar>
              <w:top w:w="0" w:type="dxa"/>
              <w:left w:w="0" w:type="dxa"/>
              <w:bottom w:w="15" w:type="dxa"/>
              <w:right w:w="0" w:type="dxa"/>
            </w:tcMar>
            <w:vAlign w:val="bottom"/>
            <w:hideMark/>
          </w:tcPr>
          <w:p w14:paraId="351FEA6D"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14:paraId="24711929" w14:textId="77777777" w:rsidR="00000000" w:rsidRDefault="00847163">
            <w:pPr>
              <w:rPr>
                <w:rFonts w:eastAsia="Times New Roman"/>
                <w:sz w:val="20"/>
                <w:szCs w:val="20"/>
              </w:rPr>
            </w:pPr>
            <w:r>
              <w:rPr>
                <w:rFonts w:eastAsia="Times New Roman"/>
                <w:sz w:val="20"/>
                <w:szCs w:val="20"/>
              </w:rPr>
              <w:t> </w:t>
            </w:r>
          </w:p>
        </w:tc>
        <w:tc>
          <w:tcPr>
            <w:tcW w:w="100" w:type="pct"/>
            <w:tcBorders>
              <w:bottom w:val="single" w:sz="6" w:space="0" w:color="000000"/>
            </w:tcBorders>
            <w:shd w:val="clear" w:color="auto" w:fill="FFFFFF"/>
            <w:vAlign w:val="bottom"/>
            <w:hideMark/>
          </w:tcPr>
          <w:p w14:paraId="21DF1143" w14:textId="77777777" w:rsidR="00000000" w:rsidRDefault="00847163">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14:paraId="05A6093E" w14:textId="77777777" w:rsidR="00000000" w:rsidRDefault="00847163">
            <w:pPr>
              <w:jc w:val="right"/>
              <w:rPr>
                <w:rFonts w:eastAsia="Times New Roman"/>
                <w:sz w:val="20"/>
                <w:szCs w:val="20"/>
              </w:rPr>
            </w:pPr>
            <w:r>
              <w:rPr>
                <w:rFonts w:eastAsia="Times New Roman"/>
                <w:sz w:val="20"/>
                <w:szCs w:val="20"/>
              </w:rPr>
              <w:t>4</w:t>
            </w:r>
          </w:p>
        </w:tc>
        <w:tc>
          <w:tcPr>
            <w:tcW w:w="50" w:type="pct"/>
            <w:shd w:val="clear" w:color="auto" w:fill="FFFFFF"/>
            <w:tcMar>
              <w:top w:w="0" w:type="dxa"/>
              <w:left w:w="0" w:type="dxa"/>
              <w:bottom w:w="15" w:type="dxa"/>
              <w:right w:w="0" w:type="dxa"/>
            </w:tcMar>
            <w:vAlign w:val="bottom"/>
            <w:hideMark/>
          </w:tcPr>
          <w:p w14:paraId="4DBD3117" w14:textId="77777777" w:rsidR="00000000" w:rsidRDefault="00847163">
            <w:pPr>
              <w:rPr>
                <w:rFonts w:eastAsia="Times New Roman"/>
                <w:sz w:val="20"/>
                <w:szCs w:val="20"/>
              </w:rPr>
            </w:pPr>
            <w:r>
              <w:rPr>
                <w:rFonts w:eastAsia="Times New Roman"/>
                <w:sz w:val="20"/>
                <w:szCs w:val="20"/>
              </w:rPr>
              <w:t> </w:t>
            </w:r>
          </w:p>
        </w:tc>
      </w:tr>
      <w:tr w:rsidR="00000000" w14:paraId="4FE3E606" w14:textId="77777777">
        <w:trPr>
          <w:tblCellSpacing w:w="0" w:type="dxa"/>
        </w:trPr>
        <w:tc>
          <w:tcPr>
            <w:tcW w:w="3000" w:type="pct"/>
            <w:shd w:val="clear" w:color="auto" w:fill="CCEEFF"/>
            <w:vAlign w:val="bottom"/>
            <w:hideMark/>
          </w:tcPr>
          <w:p w14:paraId="23284C02" w14:textId="77777777" w:rsidR="00000000" w:rsidRDefault="00847163">
            <w:pPr>
              <w:pStyle w:val="a3"/>
              <w:spacing w:before="0" w:beforeAutospacing="0" w:after="0" w:afterAutospacing="0"/>
              <w:rPr>
                <w:sz w:val="20"/>
                <w:szCs w:val="20"/>
              </w:rPr>
            </w:pPr>
            <w:r>
              <w:rPr>
                <w:sz w:val="20"/>
                <w:szCs w:val="20"/>
              </w:rPr>
              <w:t>Total number of consolidated VIEs</w:t>
            </w:r>
          </w:p>
        </w:tc>
        <w:tc>
          <w:tcPr>
            <w:tcW w:w="50" w:type="pct"/>
            <w:shd w:val="clear" w:color="auto" w:fill="CCEEFF"/>
            <w:vAlign w:val="bottom"/>
            <w:hideMark/>
          </w:tcPr>
          <w:p w14:paraId="5BF8AA4A" w14:textId="77777777" w:rsidR="00000000" w:rsidRDefault="00847163">
            <w:pPr>
              <w:rPr>
                <w:rFonts w:eastAsia="Times New Roman"/>
                <w:sz w:val="20"/>
                <w:szCs w:val="20"/>
              </w:rPr>
            </w:pPr>
            <w:r>
              <w:rPr>
                <w:rFonts w:eastAsia="Times New Roman"/>
                <w:sz w:val="20"/>
                <w:szCs w:val="20"/>
              </w:rPr>
              <w:t> </w:t>
            </w:r>
          </w:p>
        </w:tc>
        <w:tc>
          <w:tcPr>
            <w:tcW w:w="100" w:type="pct"/>
            <w:shd w:val="clear" w:color="auto" w:fill="CCEEFF"/>
            <w:vAlign w:val="bottom"/>
            <w:hideMark/>
          </w:tcPr>
          <w:p w14:paraId="6DA9B03F" w14:textId="77777777" w:rsidR="00000000" w:rsidRDefault="00847163">
            <w:pPr>
              <w:rPr>
                <w:rFonts w:eastAsia="Times New Roman"/>
                <w:sz w:val="20"/>
                <w:szCs w:val="20"/>
              </w:rPr>
            </w:pPr>
            <w:r>
              <w:rPr>
                <w:rFonts w:eastAsia="Times New Roman"/>
                <w:sz w:val="20"/>
                <w:szCs w:val="20"/>
              </w:rPr>
              <w:t> </w:t>
            </w:r>
          </w:p>
        </w:tc>
        <w:tc>
          <w:tcPr>
            <w:tcW w:w="800" w:type="pct"/>
            <w:shd w:val="clear" w:color="auto" w:fill="CCEEFF"/>
            <w:vAlign w:val="bottom"/>
            <w:hideMark/>
          </w:tcPr>
          <w:p w14:paraId="21DB5926" w14:textId="77777777" w:rsidR="00000000" w:rsidRDefault="00847163">
            <w:pPr>
              <w:jc w:val="right"/>
              <w:rPr>
                <w:rFonts w:eastAsia="Times New Roman"/>
                <w:sz w:val="20"/>
                <w:szCs w:val="20"/>
              </w:rPr>
            </w:pPr>
            <w:r>
              <w:rPr>
                <w:rFonts w:eastAsia="Times New Roman"/>
                <w:sz w:val="20"/>
                <w:szCs w:val="20"/>
              </w:rPr>
              <w:t>22</w:t>
            </w:r>
          </w:p>
        </w:tc>
        <w:tc>
          <w:tcPr>
            <w:tcW w:w="50" w:type="pct"/>
            <w:shd w:val="clear" w:color="auto" w:fill="CCEEFF"/>
            <w:vAlign w:val="bottom"/>
            <w:hideMark/>
          </w:tcPr>
          <w:p w14:paraId="76F7CECF"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BC5CA65" w14:textId="77777777" w:rsidR="00000000" w:rsidRDefault="00847163">
            <w:pPr>
              <w:rPr>
                <w:rFonts w:eastAsia="Times New Roman"/>
                <w:sz w:val="20"/>
                <w:szCs w:val="20"/>
              </w:rPr>
            </w:pPr>
            <w:r>
              <w:rPr>
                <w:rFonts w:eastAsia="Times New Roman"/>
                <w:sz w:val="20"/>
                <w:szCs w:val="20"/>
              </w:rPr>
              <w:t> </w:t>
            </w:r>
          </w:p>
        </w:tc>
        <w:tc>
          <w:tcPr>
            <w:tcW w:w="100" w:type="pct"/>
            <w:shd w:val="clear" w:color="auto" w:fill="CCEEFF"/>
            <w:vAlign w:val="bottom"/>
            <w:hideMark/>
          </w:tcPr>
          <w:p w14:paraId="0DF24D73" w14:textId="77777777" w:rsidR="00000000" w:rsidRDefault="00847163">
            <w:pPr>
              <w:rPr>
                <w:rFonts w:eastAsia="Times New Roman"/>
                <w:sz w:val="20"/>
                <w:szCs w:val="20"/>
              </w:rPr>
            </w:pPr>
            <w:r>
              <w:rPr>
                <w:rFonts w:eastAsia="Times New Roman"/>
                <w:sz w:val="20"/>
                <w:szCs w:val="20"/>
              </w:rPr>
              <w:t> </w:t>
            </w:r>
          </w:p>
        </w:tc>
        <w:tc>
          <w:tcPr>
            <w:tcW w:w="800" w:type="pct"/>
            <w:shd w:val="clear" w:color="auto" w:fill="CCEEFF"/>
            <w:vAlign w:val="bottom"/>
            <w:hideMark/>
          </w:tcPr>
          <w:p w14:paraId="2391F691" w14:textId="77777777" w:rsidR="00000000" w:rsidRDefault="00847163">
            <w:pPr>
              <w:jc w:val="right"/>
              <w:rPr>
                <w:rFonts w:eastAsia="Times New Roman"/>
                <w:sz w:val="20"/>
                <w:szCs w:val="20"/>
              </w:rPr>
            </w:pPr>
            <w:r>
              <w:rPr>
                <w:rFonts w:eastAsia="Times New Roman"/>
                <w:sz w:val="20"/>
                <w:szCs w:val="20"/>
              </w:rPr>
              <w:t>23</w:t>
            </w:r>
          </w:p>
        </w:tc>
        <w:tc>
          <w:tcPr>
            <w:tcW w:w="50" w:type="pct"/>
            <w:shd w:val="clear" w:color="auto" w:fill="CCEEFF"/>
            <w:vAlign w:val="bottom"/>
            <w:hideMark/>
          </w:tcPr>
          <w:p w14:paraId="31ACDE96" w14:textId="77777777" w:rsidR="00000000" w:rsidRDefault="00847163">
            <w:pPr>
              <w:rPr>
                <w:rFonts w:eastAsia="Times New Roman"/>
                <w:sz w:val="20"/>
                <w:szCs w:val="20"/>
              </w:rPr>
            </w:pPr>
            <w:r>
              <w:rPr>
                <w:rFonts w:eastAsia="Times New Roman"/>
                <w:sz w:val="20"/>
                <w:szCs w:val="20"/>
              </w:rPr>
              <w:t> </w:t>
            </w:r>
          </w:p>
        </w:tc>
      </w:tr>
      <w:tr w:rsidR="00000000" w14:paraId="0AA09F41" w14:textId="77777777">
        <w:trPr>
          <w:tblCellSpacing w:w="0" w:type="dxa"/>
        </w:trPr>
        <w:tc>
          <w:tcPr>
            <w:tcW w:w="3000" w:type="pct"/>
            <w:shd w:val="clear" w:color="auto" w:fill="FFFFFF"/>
            <w:vAlign w:val="bottom"/>
            <w:hideMark/>
          </w:tcPr>
          <w:p w14:paraId="74FC6398"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185C23F" w14:textId="77777777" w:rsidR="00000000" w:rsidRDefault="00847163">
            <w:pPr>
              <w:rPr>
                <w:rFonts w:eastAsia="Times New Roman"/>
                <w:sz w:val="20"/>
                <w:szCs w:val="20"/>
              </w:rPr>
            </w:pPr>
            <w:r>
              <w:rPr>
                <w:rFonts w:eastAsia="Times New Roman"/>
                <w:sz w:val="20"/>
                <w:szCs w:val="20"/>
              </w:rPr>
              <w:t> </w:t>
            </w:r>
          </w:p>
        </w:tc>
        <w:tc>
          <w:tcPr>
            <w:tcW w:w="100" w:type="pct"/>
            <w:shd w:val="clear" w:color="auto" w:fill="FFFFFF"/>
            <w:vAlign w:val="bottom"/>
            <w:hideMark/>
          </w:tcPr>
          <w:p w14:paraId="5379A076" w14:textId="77777777" w:rsidR="00000000" w:rsidRDefault="00847163">
            <w:pPr>
              <w:rPr>
                <w:rFonts w:eastAsia="Times New Roman"/>
                <w:sz w:val="20"/>
                <w:szCs w:val="20"/>
              </w:rPr>
            </w:pPr>
            <w:r>
              <w:rPr>
                <w:rFonts w:eastAsia="Times New Roman"/>
                <w:sz w:val="20"/>
                <w:szCs w:val="20"/>
              </w:rPr>
              <w:t> </w:t>
            </w:r>
          </w:p>
        </w:tc>
        <w:tc>
          <w:tcPr>
            <w:tcW w:w="800" w:type="pct"/>
            <w:shd w:val="clear" w:color="auto" w:fill="FFFFFF"/>
            <w:vAlign w:val="bottom"/>
            <w:hideMark/>
          </w:tcPr>
          <w:p w14:paraId="7C0DA3D5"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25321D5"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A45C12B" w14:textId="77777777" w:rsidR="00000000" w:rsidRDefault="00847163">
            <w:pPr>
              <w:rPr>
                <w:rFonts w:eastAsia="Times New Roman"/>
                <w:sz w:val="20"/>
                <w:szCs w:val="20"/>
              </w:rPr>
            </w:pPr>
            <w:r>
              <w:rPr>
                <w:rFonts w:eastAsia="Times New Roman"/>
                <w:sz w:val="20"/>
                <w:szCs w:val="20"/>
              </w:rPr>
              <w:t> </w:t>
            </w:r>
          </w:p>
        </w:tc>
        <w:tc>
          <w:tcPr>
            <w:tcW w:w="100" w:type="pct"/>
            <w:shd w:val="clear" w:color="auto" w:fill="FFFFFF"/>
            <w:vAlign w:val="bottom"/>
            <w:hideMark/>
          </w:tcPr>
          <w:p w14:paraId="211071D4" w14:textId="77777777" w:rsidR="00000000" w:rsidRDefault="00847163">
            <w:pPr>
              <w:rPr>
                <w:rFonts w:eastAsia="Times New Roman"/>
                <w:sz w:val="20"/>
                <w:szCs w:val="20"/>
              </w:rPr>
            </w:pPr>
            <w:r>
              <w:rPr>
                <w:rFonts w:eastAsia="Times New Roman"/>
                <w:sz w:val="20"/>
                <w:szCs w:val="20"/>
              </w:rPr>
              <w:t> </w:t>
            </w:r>
          </w:p>
        </w:tc>
        <w:tc>
          <w:tcPr>
            <w:tcW w:w="800" w:type="pct"/>
            <w:shd w:val="clear" w:color="auto" w:fill="FFFFFF"/>
            <w:vAlign w:val="bottom"/>
            <w:hideMark/>
          </w:tcPr>
          <w:p w14:paraId="0EEB9860"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F4163DA" w14:textId="77777777" w:rsidR="00000000" w:rsidRDefault="00847163">
            <w:pPr>
              <w:rPr>
                <w:rFonts w:eastAsia="Times New Roman"/>
                <w:sz w:val="20"/>
                <w:szCs w:val="20"/>
              </w:rPr>
            </w:pPr>
            <w:r>
              <w:rPr>
                <w:rFonts w:eastAsia="Times New Roman"/>
                <w:sz w:val="20"/>
                <w:szCs w:val="20"/>
              </w:rPr>
              <w:t> </w:t>
            </w:r>
          </w:p>
        </w:tc>
      </w:tr>
      <w:tr w:rsidR="00000000" w14:paraId="454FA221" w14:textId="77777777">
        <w:trPr>
          <w:tblCellSpacing w:w="0" w:type="dxa"/>
        </w:trPr>
        <w:tc>
          <w:tcPr>
            <w:tcW w:w="3000" w:type="pct"/>
            <w:shd w:val="clear" w:color="auto" w:fill="CCEEFF"/>
            <w:vAlign w:val="bottom"/>
            <w:hideMark/>
          </w:tcPr>
          <w:p w14:paraId="4F0A3A3C" w14:textId="77777777" w:rsidR="00000000" w:rsidRDefault="00847163">
            <w:pPr>
              <w:pStyle w:val="a3"/>
              <w:spacing w:before="0" w:beforeAutospacing="0" w:after="0" w:afterAutospacing="0"/>
              <w:rPr>
                <w:sz w:val="20"/>
                <w:szCs w:val="20"/>
              </w:rPr>
            </w:pPr>
            <w:r>
              <w:rPr>
                <w:sz w:val="20"/>
                <w:szCs w:val="20"/>
              </w:rPr>
              <w:t>Restricted Assets:</w:t>
            </w:r>
          </w:p>
        </w:tc>
        <w:tc>
          <w:tcPr>
            <w:tcW w:w="50" w:type="pct"/>
            <w:shd w:val="clear" w:color="auto" w:fill="CCEEFF"/>
            <w:vAlign w:val="bottom"/>
            <w:hideMark/>
          </w:tcPr>
          <w:p w14:paraId="5668DD6C" w14:textId="77777777" w:rsidR="00000000" w:rsidRDefault="00847163">
            <w:pPr>
              <w:rPr>
                <w:rFonts w:eastAsia="Times New Roman"/>
                <w:sz w:val="20"/>
                <w:szCs w:val="20"/>
              </w:rPr>
            </w:pPr>
            <w:r>
              <w:rPr>
                <w:rFonts w:eastAsia="Times New Roman"/>
                <w:sz w:val="20"/>
                <w:szCs w:val="20"/>
              </w:rPr>
              <w:t> </w:t>
            </w:r>
          </w:p>
        </w:tc>
        <w:tc>
          <w:tcPr>
            <w:tcW w:w="100" w:type="pct"/>
            <w:shd w:val="clear" w:color="auto" w:fill="CCEEFF"/>
            <w:vAlign w:val="bottom"/>
            <w:hideMark/>
          </w:tcPr>
          <w:p w14:paraId="100358F8" w14:textId="77777777" w:rsidR="00000000" w:rsidRDefault="00847163">
            <w:pPr>
              <w:rPr>
                <w:rFonts w:eastAsia="Times New Roman"/>
                <w:sz w:val="20"/>
                <w:szCs w:val="20"/>
              </w:rPr>
            </w:pPr>
            <w:r>
              <w:rPr>
                <w:rFonts w:eastAsia="Times New Roman"/>
                <w:sz w:val="20"/>
                <w:szCs w:val="20"/>
              </w:rPr>
              <w:t> </w:t>
            </w:r>
          </w:p>
        </w:tc>
        <w:tc>
          <w:tcPr>
            <w:tcW w:w="800" w:type="pct"/>
            <w:shd w:val="clear" w:color="auto" w:fill="CCEEFF"/>
            <w:vAlign w:val="bottom"/>
            <w:hideMark/>
          </w:tcPr>
          <w:p w14:paraId="6B78E8AD"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88312BC"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77280B3" w14:textId="77777777" w:rsidR="00000000" w:rsidRDefault="00847163">
            <w:pPr>
              <w:rPr>
                <w:rFonts w:eastAsia="Times New Roman"/>
                <w:sz w:val="20"/>
                <w:szCs w:val="20"/>
              </w:rPr>
            </w:pPr>
            <w:r>
              <w:rPr>
                <w:rFonts w:eastAsia="Times New Roman"/>
                <w:sz w:val="20"/>
                <w:szCs w:val="20"/>
              </w:rPr>
              <w:t> </w:t>
            </w:r>
          </w:p>
        </w:tc>
        <w:tc>
          <w:tcPr>
            <w:tcW w:w="100" w:type="pct"/>
            <w:shd w:val="clear" w:color="auto" w:fill="CCEEFF"/>
            <w:vAlign w:val="bottom"/>
            <w:hideMark/>
          </w:tcPr>
          <w:p w14:paraId="7EC03B06" w14:textId="77777777" w:rsidR="00000000" w:rsidRDefault="00847163">
            <w:pPr>
              <w:rPr>
                <w:rFonts w:eastAsia="Times New Roman"/>
                <w:sz w:val="20"/>
                <w:szCs w:val="20"/>
              </w:rPr>
            </w:pPr>
            <w:r>
              <w:rPr>
                <w:rFonts w:eastAsia="Times New Roman"/>
                <w:sz w:val="20"/>
                <w:szCs w:val="20"/>
              </w:rPr>
              <w:t> </w:t>
            </w:r>
          </w:p>
        </w:tc>
        <w:tc>
          <w:tcPr>
            <w:tcW w:w="800" w:type="pct"/>
            <w:shd w:val="clear" w:color="auto" w:fill="CCEEFF"/>
            <w:vAlign w:val="bottom"/>
            <w:hideMark/>
          </w:tcPr>
          <w:p w14:paraId="2FA559E1"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575DA96" w14:textId="77777777" w:rsidR="00000000" w:rsidRDefault="00847163">
            <w:pPr>
              <w:rPr>
                <w:rFonts w:eastAsia="Times New Roman"/>
                <w:sz w:val="20"/>
                <w:szCs w:val="20"/>
              </w:rPr>
            </w:pPr>
            <w:r>
              <w:rPr>
                <w:rFonts w:eastAsia="Times New Roman"/>
                <w:sz w:val="20"/>
                <w:szCs w:val="20"/>
              </w:rPr>
              <w:t> </w:t>
            </w:r>
          </w:p>
        </w:tc>
      </w:tr>
      <w:tr w:rsidR="00000000" w14:paraId="635DA8EE" w14:textId="77777777">
        <w:trPr>
          <w:tblCellSpacing w:w="0" w:type="dxa"/>
        </w:trPr>
        <w:tc>
          <w:tcPr>
            <w:tcW w:w="3000" w:type="pct"/>
            <w:shd w:val="clear" w:color="auto" w:fill="FFFFFF"/>
            <w:vAlign w:val="bottom"/>
            <w:hideMark/>
          </w:tcPr>
          <w:p w14:paraId="1B0BACB9" w14:textId="77777777" w:rsidR="00000000" w:rsidRDefault="00847163">
            <w:pPr>
              <w:pStyle w:val="a3"/>
              <w:spacing w:before="0" w:beforeAutospacing="0" w:after="0" w:afterAutospacing="0"/>
              <w:ind w:left="180"/>
              <w:rPr>
                <w:sz w:val="20"/>
                <w:szCs w:val="20"/>
              </w:rPr>
            </w:pPr>
            <w:r>
              <w:rPr>
                <w:sz w:val="20"/>
                <w:szCs w:val="20"/>
              </w:rPr>
              <w:t>Real estate, net</w:t>
            </w:r>
          </w:p>
        </w:tc>
        <w:tc>
          <w:tcPr>
            <w:tcW w:w="50" w:type="pct"/>
            <w:shd w:val="clear" w:color="auto" w:fill="FFFFFF"/>
            <w:vAlign w:val="bottom"/>
            <w:hideMark/>
          </w:tcPr>
          <w:p w14:paraId="29EDFBCB" w14:textId="77777777" w:rsidR="00000000" w:rsidRDefault="00847163">
            <w:pPr>
              <w:rPr>
                <w:rFonts w:eastAsia="Times New Roman"/>
                <w:sz w:val="20"/>
                <w:szCs w:val="20"/>
              </w:rPr>
            </w:pPr>
            <w:r>
              <w:rPr>
                <w:rFonts w:eastAsia="Times New Roman"/>
                <w:sz w:val="20"/>
                <w:szCs w:val="20"/>
              </w:rPr>
              <w:t> </w:t>
            </w:r>
          </w:p>
        </w:tc>
        <w:tc>
          <w:tcPr>
            <w:tcW w:w="100" w:type="pct"/>
            <w:shd w:val="clear" w:color="auto" w:fill="FFFFFF"/>
            <w:vAlign w:val="bottom"/>
            <w:hideMark/>
          </w:tcPr>
          <w:p w14:paraId="29E15245" w14:textId="77777777" w:rsidR="00000000" w:rsidRDefault="00847163">
            <w:pPr>
              <w:rPr>
                <w:rFonts w:eastAsia="Times New Roman"/>
                <w:sz w:val="20"/>
                <w:szCs w:val="20"/>
              </w:rPr>
            </w:pPr>
            <w:r>
              <w:rPr>
                <w:rFonts w:eastAsia="Times New Roman"/>
                <w:sz w:val="20"/>
                <w:szCs w:val="20"/>
              </w:rPr>
              <w:t>$</w:t>
            </w:r>
          </w:p>
        </w:tc>
        <w:tc>
          <w:tcPr>
            <w:tcW w:w="800" w:type="pct"/>
            <w:shd w:val="clear" w:color="auto" w:fill="FFFFFF"/>
            <w:vAlign w:val="bottom"/>
            <w:hideMark/>
          </w:tcPr>
          <w:p w14:paraId="441DEB65" w14:textId="77777777" w:rsidR="00000000" w:rsidRDefault="00847163">
            <w:pPr>
              <w:jc w:val="right"/>
              <w:rPr>
                <w:rFonts w:eastAsia="Times New Roman"/>
                <w:sz w:val="20"/>
                <w:szCs w:val="20"/>
              </w:rPr>
            </w:pPr>
            <w:r>
              <w:rPr>
                <w:rFonts w:eastAsia="Times New Roman"/>
                <w:sz w:val="20"/>
                <w:szCs w:val="20"/>
              </w:rPr>
              <w:t>99.1</w:t>
            </w:r>
          </w:p>
        </w:tc>
        <w:tc>
          <w:tcPr>
            <w:tcW w:w="50" w:type="pct"/>
            <w:shd w:val="clear" w:color="auto" w:fill="FFFFFF"/>
            <w:vAlign w:val="bottom"/>
            <w:hideMark/>
          </w:tcPr>
          <w:p w14:paraId="4ADC62B9"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3C435AB" w14:textId="77777777" w:rsidR="00000000" w:rsidRDefault="00847163">
            <w:pPr>
              <w:rPr>
                <w:rFonts w:eastAsia="Times New Roman"/>
                <w:sz w:val="20"/>
                <w:szCs w:val="20"/>
              </w:rPr>
            </w:pPr>
            <w:r>
              <w:rPr>
                <w:rFonts w:eastAsia="Times New Roman"/>
                <w:sz w:val="20"/>
                <w:szCs w:val="20"/>
              </w:rPr>
              <w:t> </w:t>
            </w:r>
          </w:p>
        </w:tc>
        <w:tc>
          <w:tcPr>
            <w:tcW w:w="100" w:type="pct"/>
            <w:shd w:val="clear" w:color="auto" w:fill="FFFFFF"/>
            <w:vAlign w:val="bottom"/>
            <w:hideMark/>
          </w:tcPr>
          <w:p w14:paraId="194B8829" w14:textId="77777777" w:rsidR="00000000" w:rsidRDefault="00847163">
            <w:pPr>
              <w:rPr>
                <w:rFonts w:eastAsia="Times New Roman"/>
                <w:sz w:val="20"/>
                <w:szCs w:val="20"/>
              </w:rPr>
            </w:pPr>
            <w:r>
              <w:rPr>
                <w:rFonts w:eastAsia="Times New Roman"/>
                <w:sz w:val="20"/>
                <w:szCs w:val="20"/>
              </w:rPr>
              <w:t>$</w:t>
            </w:r>
          </w:p>
        </w:tc>
        <w:tc>
          <w:tcPr>
            <w:tcW w:w="800" w:type="pct"/>
            <w:shd w:val="clear" w:color="auto" w:fill="FFFFFF"/>
            <w:vAlign w:val="bottom"/>
            <w:hideMark/>
          </w:tcPr>
          <w:p w14:paraId="01B358BA" w14:textId="77777777" w:rsidR="00000000" w:rsidRDefault="00847163">
            <w:pPr>
              <w:jc w:val="right"/>
              <w:rPr>
                <w:rFonts w:eastAsia="Times New Roman"/>
                <w:sz w:val="20"/>
                <w:szCs w:val="20"/>
              </w:rPr>
            </w:pPr>
            <w:r>
              <w:rPr>
                <w:rFonts w:eastAsia="Times New Roman"/>
                <w:sz w:val="20"/>
                <w:szCs w:val="20"/>
              </w:rPr>
              <w:t>228.9</w:t>
            </w:r>
          </w:p>
        </w:tc>
        <w:tc>
          <w:tcPr>
            <w:tcW w:w="50" w:type="pct"/>
            <w:shd w:val="clear" w:color="auto" w:fill="FFFFFF"/>
            <w:vAlign w:val="bottom"/>
            <w:hideMark/>
          </w:tcPr>
          <w:p w14:paraId="585F8427" w14:textId="77777777" w:rsidR="00000000" w:rsidRDefault="00847163">
            <w:pPr>
              <w:rPr>
                <w:rFonts w:eastAsia="Times New Roman"/>
                <w:sz w:val="20"/>
                <w:szCs w:val="20"/>
              </w:rPr>
            </w:pPr>
            <w:r>
              <w:rPr>
                <w:rFonts w:eastAsia="Times New Roman"/>
                <w:sz w:val="20"/>
                <w:szCs w:val="20"/>
              </w:rPr>
              <w:t> </w:t>
            </w:r>
          </w:p>
        </w:tc>
      </w:tr>
      <w:tr w:rsidR="00000000" w14:paraId="7E855D0C" w14:textId="77777777">
        <w:trPr>
          <w:tblCellSpacing w:w="0" w:type="dxa"/>
        </w:trPr>
        <w:tc>
          <w:tcPr>
            <w:tcW w:w="3000" w:type="pct"/>
            <w:shd w:val="clear" w:color="auto" w:fill="CCEEFF"/>
            <w:vAlign w:val="bottom"/>
            <w:hideMark/>
          </w:tcPr>
          <w:p w14:paraId="1B269E5C" w14:textId="77777777" w:rsidR="00000000" w:rsidRDefault="00847163">
            <w:pPr>
              <w:pStyle w:val="a3"/>
              <w:spacing w:before="0" w:beforeAutospacing="0" w:after="0" w:afterAutospacing="0"/>
              <w:ind w:left="180"/>
              <w:rPr>
                <w:sz w:val="20"/>
                <w:szCs w:val="20"/>
              </w:rPr>
            </w:pPr>
            <w:r>
              <w:rPr>
                <w:sz w:val="20"/>
                <w:szCs w:val="20"/>
              </w:rPr>
              <w:t>Cash and cash equivalents</w:t>
            </w:r>
          </w:p>
        </w:tc>
        <w:tc>
          <w:tcPr>
            <w:tcW w:w="50" w:type="pct"/>
            <w:shd w:val="clear" w:color="auto" w:fill="CCEEFF"/>
            <w:vAlign w:val="bottom"/>
            <w:hideMark/>
          </w:tcPr>
          <w:p w14:paraId="3395F87A" w14:textId="77777777" w:rsidR="00000000" w:rsidRDefault="00847163">
            <w:pPr>
              <w:rPr>
                <w:rFonts w:eastAsia="Times New Roman"/>
                <w:sz w:val="20"/>
                <w:szCs w:val="20"/>
              </w:rPr>
            </w:pPr>
            <w:r>
              <w:rPr>
                <w:rFonts w:eastAsia="Times New Roman"/>
                <w:sz w:val="20"/>
                <w:szCs w:val="20"/>
              </w:rPr>
              <w:t> </w:t>
            </w:r>
          </w:p>
        </w:tc>
        <w:tc>
          <w:tcPr>
            <w:tcW w:w="100" w:type="pct"/>
            <w:shd w:val="clear" w:color="auto" w:fill="CCEEFF"/>
            <w:vAlign w:val="bottom"/>
            <w:hideMark/>
          </w:tcPr>
          <w:p w14:paraId="1B6A3DFC" w14:textId="77777777" w:rsidR="00000000" w:rsidRDefault="00847163">
            <w:pPr>
              <w:rPr>
                <w:rFonts w:eastAsia="Times New Roman"/>
                <w:sz w:val="20"/>
                <w:szCs w:val="20"/>
              </w:rPr>
            </w:pPr>
            <w:r>
              <w:rPr>
                <w:rFonts w:eastAsia="Times New Roman"/>
                <w:sz w:val="20"/>
                <w:szCs w:val="20"/>
              </w:rPr>
              <w:t> </w:t>
            </w:r>
          </w:p>
        </w:tc>
        <w:tc>
          <w:tcPr>
            <w:tcW w:w="800" w:type="pct"/>
            <w:shd w:val="clear" w:color="auto" w:fill="CCEEFF"/>
            <w:vAlign w:val="bottom"/>
            <w:hideMark/>
          </w:tcPr>
          <w:p w14:paraId="55D8A1F8" w14:textId="77777777" w:rsidR="00000000" w:rsidRDefault="00847163">
            <w:pPr>
              <w:jc w:val="right"/>
              <w:rPr>
                <w:rFonts w:eastAsia="Times New Roman"/>
                <w:sz w:val="20"/>
                <w:szCs w:val="20"/>
              </w:rPr>
            </w:pPr>
            <w:r>
              <w:rPr>
                <w:rFonts w:eastAsia="Times New Roman"/>
                <w:sz w:val="20"/>
                <w:szCs w:val="20"/>
              </w:rPr>
              <w:t>1.6</w:t>
            </w:r>
          </w:p>
        </w:tc>
        <w:tc>
          <w:tcPr>
            <w:tcW w:w="50" w:type="pct"/>
            <w:shd w:val="clear" w:color="auto" w:fill="CCEEFF"/>
            <w:vAlign w:val="bottom"/>
            <w:hideMark/>
          </w:tcPr>
          <w:p w14:paraId="72CA947C"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0AF60BE" w14:textId="77777777" w:rsidR="00000000" w:rsidRDefault="00847163">
            <w:pPr>
              <w:rPr>
                <w:rFonts w:eastAsia="Times New Roman"/>
                <w:sz w:val="20"/>
                <w:szCs w:val="20"/>
              </w:rPr>
            </w:pPr>
            <w:r>
              <w:rPr>
                <w:rFonts w:eastAsia="Times New Roman"/>
                <w:sz w:val="20"/>
                <w:szCs w:val="20"/>
              </w:rPr>
              <w:t> </w:t>
            </w:r>
          </w:p>
        </w:tc>
        <w:tc>
          <w:tcPr>
            <w:tcW w:w="100" w:type="pct"/>
            <w:shd w:val="clear" w:color="auto" w:fill="CCEEFF"/>
            <w:vAlign w:val="bottom"/>
            <w:hideMark/>
          </w:tcPr>
          <w:p w14:paraId="431F3110" w14:textId="77777777" w:rsidR="00000000" w:rsidRDefault="00847163">
            <w:pPr>
              <w:rPr>
                <w:rFonts w:eastAsia="Times New Roman"/>
                <w:sz w:val="20"/>
                <w:szCs w:val="20"/>
              </w:rPr>
            </w:pPr>
            <w:r>
              <w:rPr>
                <w:rFonts w:eastAsia="Times New Roman"/>
                <w:sz w:val="20"/>
                <w:szCs w:val="20"/>
              </w:rPr>
              <w:t> </w:t>
            </w:r>
          </w:p>
        </w:tc>
        <w:tc>
          <w:tcPr>
            <w:tcW w:w="800" w:type="pct"/>
            <w:shd w:val="clear" w:color="auto" w:fill="CCEEFF"/>
            <w:vAlign w:val="bottom"/>
            <w:hideMark/>
          </w:tcPr>
          <w:p w14:paraId="1EAA1D10" w14:textId="77777777" w:rsidR="00000000" w:rsidRDefault="00847163">
            <w:pPr>
              <w:jc w:val="right"/>
              <w:rPr>
                <w:rFonts w:eastAsia="Times New Roman"/>
                <w:sz w:val="20"/>
                <w:szCs w:val="20"/>
              </w:rPr>
            </w:pPr>
            <w:r>
              <w:rPr>
                <w:rFonts w:eastAsia="Times New Roman"/>
                <w:sz w:val="20"/>
                <w:szCs w:val="20"/>
              </w:rPr>
              <w:t>9.2</w:t>
            </w:r>
          </w:p>
        </w:tc>
        <w:tc>
          <w:tcPr>
            <w:tcW w:w="50" w:type="pct"/>
            <w:shd w:val="clear" w:color="auto" w:fill="CCEEFF"/>
            <w:vAlign w:val="bottom"/>
            <w:hideMark/>
          </w:tcPr>
          <w:p w14:paraId="7F29B804" w14:textId="77777777" w:rsidR="00000000" w:rsidRDefault="00847163">
            <w:pPr>
              <w:rPr>
                <w:rFonts w:eastAsia="Times New Roman"/>
                <w:sz w:val="20"/>
                <w:szCs w:val="20"/>
              </w:rPr>
            </w:pPr>
            <w:r>
              <w:rPr>
                <w:rFonts w:eastAsia="Times New Roman"/>
                <w:sz w:val="20"/>
                <w:szCs w:val="20"/>
              </w:rPr>
              <w:t> </w:t>
            </w:r>
          </w:p>
        </w:tc>
      </w:tr>
      <w:tr w:rsidR="00000000" w14:paraId="7C35A9D9" w14:textId="77777777">
        <w:trPr>
          <w:tblCellSpacing w:w="0" w:type="dxa"/>
        </w:trPr>
        <w:tc>
          <w:tcPr>
            <w:tcW w:w="3000" w:type="pct"/>
            <w:shd w:val="clear" w:color="auto" w:fill="FFFFFF"/>
            <w:vAlign w:val="bottom"/>
            <w:hideMark/>
          </w:tcPr>
          <w:p w14:paraId="5D4F8F44" w14:textId="77777777" w:rsidR="00000000" w:rsidRDefault="00847163">
            <w:pPr>
              <w:pStyle w:val="a3"/>
              <w:spacing w:before="0" w:beforeAutospacing="0" w:after="0" w:afterAutospacing="0"/>
              <w:ind w:left="180"/>
              <w:rPr>
                <w:sz w:val="20"/>
                <w:szCs w:val="20"/>
              </w:rPr>
            </w:pPr>
            <w:r>
              <w:rPr>
                <w:sz w:val="20"/>
                <w:szCs w:val="20"/>
              </w:rPr>
              <w:t>Accounts and notes receivable, net</w:t>
            </w:r>
          </w:p>
        </w:tc>
        <w:tc>
          <w:tcPr>
            <w:tcW w:w="50" w:type="pct"/>
            <w:shd w:val="clear" w:color="auto" w:fill="FFFFFF"/>
            <w:vAlign w:val="bottom"/>
            <w:hideMark/>
          </w:tcPr>
          <w:p w14:paraId="503811EC" w14:textId="77777777" w:rsidR="00000000" w:rsidRDefault="00847163">
            <w:pPr>
              <w:rPr>
                <w:rFonts w:eastAsia="Times New Roman"/>
                <w:sz w:val="20"/>
                <w:szCs w:val="20"/>
              </w:rPr>
            </w:pPr>
            <w:r>
              <w:rPr>
                <w:rFonts w:eastAsia="Times New Roman"/>
                <w:sz w:val="20"/>
                <w:szCs w:val="20"/>
              </w:rPr>
              <w:t> </w:t>
            </w:r>
          </w:p>
        </w:tc>
        <w:tc>
          <w:tcPr>
            <w:tcW w:w="100" w:type="pct"/>
            <w:shd w:val="clear" w:color="auto" w:fill="FFFFFF"/>
            <w:vAlign w:val="bottom"/>
            <w:hideMark/>
          </w:tcPr>
          <w:p w14:paraId="12146BFF" w14:textId="77777777" w:rsidR="00000000" w:rsidRDefault="00847163">
            <w:pPr>
              <w:rPr>
                <w:rFonts w:eastAsia="Times New Roman"/>
                <w:sz w:val="20"/>
                <w:szCs w:val="20"/>
              </w:rPr>
            </w:pPr>
            <w:r>
              <w:rPr>
                <w:rFonts w:eastAsia="Times New Roman"/>
                <w:sz w:val="20"/>
                <w:szCs w:val="20"/>
              </w:rPr>
              <w:t> </w:t>
            </w:r>
          </w:p>
        </w:tc>
        <w:tc>
          <w:tcPr>
            <w:tcW w:w="800" w:type="pct"/>
            <w:shd w:val="clear" w:color="auto" w:fill="FFFFFF"/>
            <w:vAlign w:val="bottom"/>
            <w:hideMark/>
          </w:tcPr>
          <w:p w14:paraId="347FC046" w14:textId="77777777" w:rsidR="00000000" w:rsidRDefault="00847163">
            <w:pPr>
              <w:jc w:val="right"/>
              <w:rPr>
                <w:rFonts w:eastAsia="Times New Roman"/>
                <w:sz w:val="20"/>
                <w:szCs w:val="20"/>
              </w:rPr>
            </w:pPr>
            <w:r>
              <w:rPr>
                <w:rFonts w:eastAsia="Times New Roman"/>
                <w:sz w:val="20"/>
                <w:szCs w:val="20"/>
              </w:rPr>
              <w:t>2.0</w:t>
            </w:r>
          </w:p>
        </w:tc>
        <w:tc>
          <w:tcPr>
            <w:tcW w:w="50" w:type="pct"/>
            <w:shd w:val="clear" w:color="auto" w:fill="FFFFFF"/>
            <w:vAlign w:val="bottom"/>
            <w:hideMark/>
          </w:tcPr>
          <w:p w14:paraId="23FFFE78"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ED20E8C" w14:textId="77777777" w:rsidR="00000000" w:rsidRDefault="00847163">
            <w:pPr>
              <w:rPr>
                <w:rFonts w:eastAsia="Times New Roman"/>
                <w:sz w:val="20"/>
                <w:szCs w:val="20"/>
              </w:rPr>
            </w:pPr>
            <w:r>
              <w:rPr>
                <w:rFonts w:eastAsia="Times New Roman"/>
                <w:sz w:val="20"/>
                <w:szCs w:val="20"/>
              </w:rPr>
              <w:t> </w:t>
            </w:r>
          </w:p>
        </w:tc>
        <w:tc>
          <w:tcPr>
            <w:tcW w:w="100" w:type="pct"/>
            <w:shd w:val="clear" w:color="auto" w:fill="FFFFFF"/>
            <w:vAlign w:val="bottom"/>
            <w:hideMark/>
          </w:tcPr>
          <w:p w14:paraId="4B84D93D" w14:textId="77777777" w:rsidR="00000000" w:rsidRDefault="00847163">
            <w:pPr>
              <w:rPr>
                <w:rFonts w:eastAsia="Times New Roman"/>
                <w:sz w:val="20"/>
                <w:szCs w:val="20"/>
              </w:rPr>
            </w:pPr>
            <w:r>
              <w:rPr>
                <w:rFonts w:eastAsia="Times New Roman"/>
                <w:sz w:val="20"/>
                <w:szCs w:val="20"/>
              </w:rPr>
              <w:t> </w:t>
            </w:r>
          </w:p>
        </w:tc>
        <w:tc>
          <w:tcPr>
            <w:tcW w:w="800" w:type="pct"/>
            <w:shd w:val="clear" w:color="auto" w:fill="FFFFFF"/>
            <w:vAlign w:val="bottom"/>
            <w:hideMark/>
          </w:tcPr>
          <w:p w14:paraId="428EE4D5" w14:textId="77777777" w:rsidR="00000000" w:rsidRDefault="00847163">
            <w:pPr>
              <w:jc w:val="right"/>
              <w:rPr>
                <w:rFonts w:eastAsia="Times New Roman"/>
                <w:sz w:val="20"/>
                <w:szCs w:val="20"/>
              </w:rPr>
            </w:pPr>
            <w:r>
              <w:rPr>
                <w:rFonts w:eastAsia="Times New Roman"/>
                <w:sz w:val="20"/>
                <w:szCs w:val="20"/>
              </w:rPr>
              <w:t>3.8</w:t>
            </w:r>
          </w:p>
        </w:tc>
        <w:tc>
          <w:tcPr>
            <w:tcW w:w="50" w:type="pct"/>
            <w:shd w:val="clear" w:color="auto" w:fill="FFFFFF"/>
            <w:vAlign w:val="bottom"/>
            <w:hideMark/>
          </w:tcPr>
          <w:p w14:paraId="7EED99E4" w14:textId="77777777" w:rsidR="00000000" w:rsidRDefault="00847163">
            <w:pPr>
              <w:rPr>
                <w:rFonts w:eastAsia="Times New Roman"/>
                <w:sz w:val="20"/>
                <w:szCs w:val="20"/>
              </w:rPr>
            </w:pPr>
            <w:r>
              <w:rPr>
                <w:rFonts w:eastAsia="Times New Roman"/>
                <w:sz w:val="20"/>
                <w:szCs w:val="20"/>
              </w:rPr>
              <w:t> </w:t>
            </w:r>
          </w:p>
        </w:tc>
      </w:tr>
      <w:tr w:rsidR="00000000" w14:paraId="6FBCCEC0" w14:textId="77777777">
        <w:trPr>
          <w:tblCellSpacing w:w="0" w:type="dxa"/>
        </w:trPr>
        <w:tc>
          <w:tcPr>
            <w:tcW w:w="3000" w:type="pct"/>
            <w:shd w:val="clear" w:color="auto" w:fill="CCEEFF"/>
            <w:vAlign w:val="bottom"/>
            <w:hideMark/>
          </w:tcPr>
          <w:p w14:paraId="31C1EAEF" w14:textId="77777777" w:rsidR="00000000" w:rsidRDefault="00847163">
            <w:pPr>
              <w:pStyle w:val="a3"/>
              <w:spacing w:before="0" w:beforeAutospacing="0" w:after="0" w:afterAutospacing="0"/>
              <w:ind w:left="180"/>
              <w:rPr>
                <w:sz w:val="20"/>
                <w:szCs w:val="20"/>
              </w:rPr>
            </w:pPr>
            <w:r>
              <w:rPr>
                <w:sz w:val="20"/>
                <w:szCs w:val="20"/>
              </w:rPr>
              <w:t>Other assets</w:t>
            </w:r>
          </w:p>
        </w:tc>
        <w:tc>
          <w:tcPr>
            <w:tcW w:w="50" w:type="pct"/>
            <w:shd w:val="clear" w:color="auto" w:fill="CCEEFF"/>
            <w:tcMar>
              <w:top w:w="0" w:type="dxa"/>
              <w:left w:w="0" w:type="dxa"/>
              <w:bottom w:w="15" w:type="dxa"/>
              <w:right w:w="0" w:type="dxa"/>
            </w:tcMar>
            <w:vAlign w:val="bottom"/>
            <w:hideMark/>
          </w:tcPr>
          <w:p w14:paraId="775EAB76" w14:textId="77777777" w:rsidR="00000000" w:rsidRDefault="00847163">
            <w:pPr>
              <w:rPr>
                <w:rFonts w:eastAsia="Times New Roman"/>
                <w:sz w:val="20"/>
                <w:szCs w:val="20"/>
              </w:rPr>
            </w:pPr>
            <w:r>
              <w:rPr>
                <w:rFonts w:eastAsia="Times New Roman"/>
                <w:sz w:val="20"/>
                <w:szCs w:val="20"/>
              </w:rPr>
              <w:t> </w:t>
            </w:r>
          </w:p>
        </w:tc>
        <w:tc>
          <w:tcPr>
            <w:tcW w:w="100" w:type="pct"/>
            <w:tcBorders>
              <w:bottom w:val="single" w:sz="6" w:space="0" w:color="000000"/>
            </w:tcBorders>
            <w:shd w:val="clear" w:color="auto" w:fill="CCEEFF"/>
            <w:vAlign w:val="bottom"/>
            <w:hideMark/>
          </w:tcPr>
          <w:p w14:paraId="05E4C981" w14:textId="77777777" w:rsidR="00000000" w:rsidRDefault="00847163">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14:paraId="35130240" w14:textId="77777777" w:rsidR="00000000" w:rsidRDefault="00847163">
            <w:pPr>
              <w:jc w:val="right"/>
              <w:rPr>
                <w:rFonts w:eastAsia="Times New Roman"/>
                <w:sz w:val="20"/>
                <w:szCs w:val="20"/>
              </w:rPr>
            </w:pPr>
            <w:r>
              <w:rPr>
                <w:rFonts w:eastAsia="Times New Roman"/>
                <w:sz w:val="20"/>
                <w:szCs w:val="20"/>
              </w:rPr>
              <w:t>1.5</w:t>
            </w:r>
          </w:p>
        </w:tc>
        <w:tc>
          <w:tcPr>
            <w:tcW w:w="50" w:type="pct"/>
            <w:shd w:val="clear" w:color="auto" w:fill="CCEEFF"/>
            <w:tcMar>
              <w:top w:w="0" w:type="dxa"/>
              <w:left w:w="0" w:type="dxa"/>
              <w:bottom w:w="15" w:type="dxa"/>
              <w:right w:w="0" w:type="dxa"/>
            </w:tcMar>
            <w:vAlign w:val="bottom"/>
            <w:hideMark/>
          </w:tcPr>
          <w:p w14:paraId="354A276B"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14:paraId="78D7095C" w14:textId="77777777" w:rsidR="00000000" w:rsidRDefault="00847163">
            <w:pPr>
              <w:rPr>
                <w:rFonts w:eastAsia="Times New Roman"/>
                <w:sz w:val="20"/>
                <w:szCs w:val="20"/>
              </w:rPr>
            </w:pPr>
            <w:r>
              <w:rPr>
                <w:rFonts w:eastAsia="Times New Roman"/>
                <w:sz w:val="20"/>
                <w:szCs w:val="20"/>
              </w:rPr>
              <w:t> </w:t>
            </w:r>
          </w:p>
        </w:tc>
        <w:tc>
          <w:tcPr>
            <w:tcW w:w="100" w:type="pct"/>
            <w:tcBorders>
              <w:bottom w:val="single" w:sz="6" w:space="0" w:color="000000"/>
            </w:tcBorders>
            <w:shd w:val="clear" w:color="auto" w:fill="CCEEFF"/>
            <w:vAlign w:val="bottom"/>
            <w:hideMark/>
          </w:tcPr>
          <w:p w14:paraId="6C8F184A" w14:textId="77777777" w:rsidR="00000000" w:rsidRDefault="00847163">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14:paraId="48A3B11D" w14:textId="77777777" w:rsidR="00000000" w:rsidRDefault="00847163">
            <w:pPr>
              <w:jc w:val="right"/>
              <w:rPr>
                <w:rFonts w:eastAsia="Times New Roman"/>
                <w:sz w:val="20"/>
                <w:szCs w:val="20"/>
              </w:rPr>
            </w:pPr>
            <w:r>
              <w:rPr>
                <w:rFonts w:eastAsia="Times New Roman"/>
                <w:sz w:val="20"/>
                <w:szCs w:val="20"/>
              </w:rPr>
              <w:t>3.6</w:t>
            </w:r>
          </w:p>
        </w:tc>
        <w:tc>
          <w:tcPr>
            <w:tcW w:w="50" w:type="pct"/>
            <w:shd w:val="clear" w:color="auto" w:fill="CCEEFF"/>
            <w:tcMar>
              <w:top w:w="0" w:type="dxa"/>
              <w:left w:w="0" w:type="dxa"/>
              <w:bottom w:w="15" w:type="dxa"/>
              <w:right w:w="0" w:type="dxa"/>
            </w:tcMar>
            <w:vAlign w:val="bottom"/>
            <w:hideMark/>
          </w:tcPr>
          <w:p w14:paraId="4ACE8478" w14:textId="77777777" w:rsidR="00000000" w:rsidRDefault="00847163">
            <w:pPr>
              <w:rPr>
                <w:rFonts w:eastAsia="Times New Roman"/>
                <w:sz w:val="20"/>
                <w:szCs w:val="20"/>
              </w:rPr>
            </w:pPr>
            <w:r>
              <w:rPr>
                <w:rFonts w:eastAsia="Times New Roman"/>
                <w:sz w:val="20"/>
                <w:szCs w:val="20"/>
              </w:rPr>
              <w:t> </w:t>
            </w:r>
          </w:p>
        </w:tc>
      </w:tr>
      <w:tr w:rsidR="00000000" w14:paraId="4EC8DB99" w14:textId="77777777">
        <w:trPr>
          <w:tblCellSpacing w:w="0" w:type="dxa"/>
        </w:trPr>
        <w:tc>
          <w:tcPr>
            <w:tcW w:w="3000" w:type="pct"/>
            <w:shd w:val="clear" w:color="auto" w:fill="FFFFFF"/>
            <w:vAlign w:val="bottom"/>
            <w:hideMark/>
          </w:tcPr>
          <w:p w14:paraId="39548FD1" w14:textId="77777777" w:rsidR="00000000" w:rsidRDefault="00847163">
            <w:pPr>
              <w:pStyle w:val="a3"/>
              <w:spacing w:before="0" w:beforeAutospacing="0" w:after="0" w:afterAutospacing="0"/>
              <w:rPr>
                <w:sz w:val="20"/>
                <w:szCs w:val="20"/>
              </w:rPr>
            </w:pPr>
            <w:r>
              <w:rPr>
                <w:sz w:val="20"/>
                <w:szCs w:val="20"/>
              </w:rPr>
              <w:t>Total Restricted Assets</w:t>
            </w:r>
          </w:p>
        </w:tc>
        <w:tc>
          <w:tcPr>
            <w:tcW w:w="50" w:type="pct"/>
            <w:shd w:val="clear" w:color="auto" w:fill="FFFFFF"/>
            <w:vAlign w:val="bottom"/>
            <w:hideMark/>
          </w:tcPr>
          <w:p w14:paraId="7C1E0656" w14:textId="77777777" w:rsidR="00000000" w:rsidRDefault="00847163">
            <w:pPr>
              <w:rPr>
                <w:rFonts w:eastAsia="Times New Roman"/>
                <w:sz w:val="20"/>
                <w:szCs w:val="20"/>
              </w:rPr>
            </w:pPr>
            <w:r>
              <w:rPr>
                <w:rFonts w:eastAsia="Times New Roman"/>
                <w:sz w:val="20"/>
                <w:szCs w:val="20"/>
              </w:rPr>
              <w:t> </w:t>
            </w:r>
          </w:p>
        </w:tc>
        <w:tc>
          <w:tcPr>
            <w:tcW w:w="100" w:type="pct"/>
            <w:tcBorders>
              <w:bottom w:val="double" w:sz="6" w:space="0" w:color="000000"/>
            </w:tcBorders>
            <w:shd w:val="clear" w:color="auto" w:fill="FFFFFF"/>
            <w:vAlign w:val="bottom"/>
            <w:hideMark/>
          </w:tcPr>
          <w:p w14:paraId="26E60109" w14:textId="77777777" w:rsidR="00000000" w:rsidRDefault="00847163">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FFFFFF"/>
            <w:vAlign w:val="bottom"/>
            <w:hideMark/>
          </w:tcPr>
          <w:p w14:paraId="60C29068" w14:textId="77777777" w:rsidR="00000000" w:rsidRDefault="00847163">
            <w:pPr>
              <w:jc w:val="right"/>
              <w:rPr>
                <w:rFonts w:eastAsia="Times New Roman"/>
                <w:sz w:val="20"/>
                <w:szCs w:val="20"/>
              </w:rPr>
            </w:pPr>
            <w:r>
              <w:rPr>
                <w:rFonts w:eastAsia="Times New Roman"/>
                <w:sz w:val="20"/>
                <w:szCs w:val="20"/>
              </w:rPr>
              <w:t>104.2</w:t>
            </w:r>
          </w:p>
        </w:tc>
        <w:tc>
          <w:tcPr>
            <w:tcW w:w="50" w:type="pct"/>
            <w:shd w:val="clear" w:color="auto" w:fill="FFFFFF"/>
            <w:tcMar>
              <w:top w:w="0" w:type="dxa"/>
              <w:left w:w="0" w:type="dxa"/>
              <w:bottom w:w="45" w:type="dxa"/>
              <w:right w:w="0" w:type="dxa"/>
            </w:tcMar>
            <w:vAlign w:val="bottom"/>
            <w:hideMark/>
          </w:tcPr>
          <w:p w14:paraId="232AD354"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CFA066C" w14:textId="77777777" w:rsidR="00000000" w:rsidRDefault="00847163">
            <w:pPr>
              <w:rPr>
                <w:rFonts w:eastAsia="Times New Roman"/>
                <w:sz w:val="20"/>
                <w:szCs w:val="20"/>
              </w:rPr>
            </w:pPr>
            <w:r>
              <w:rPr>
                <w:rFonts w:eastAsia="Times New Roman"/>
                <w:sz w:val="20"/>
                <w:szCs w:val="20"/>
              </w:rPr>
              <w:t> </w:t>
            </w:r>
          </w:p>
        </w:tc>
        <w:tc>
          <w:tcPr>
            <w:tcW w:w="100" w:type="pct"/>
            <w:tcBorders>
              <w:bottom w:val="double" w:sz="6" w:space="0" w:color="000000"/>
            </w:tcBorders>
            <w:shd w:val="clear" w:color="auto" w:fill="FFFFFF"/>
            <w:vAlign w:val="bottom"/>
            <w:hideMark/>
          </w:tcPr>
          <w:p w14:paraId="5ED52CF5" w14:textId="77777777" w:rsidR="00000000" w:rsidRDefault="00847163">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FFFFFF"/>
            <w:vAlign w:val="bottom"/>
            <w:hideMark/>
          </w:tcPr>
          <w:p w14:paraId="332A9709" w14:textId="77777777" w:rsidR="00000000" w:rsidRDefault="00847163">
            <w:pPr>
              <w:jc w:val="right"/>
              <w:rPr>
                <w:rFonts w:eastAsia="Times New Roman"/>
                <w:sz w:val="20"/>
                <w:szCs w:val="20"/>
              </w:rPr>
            </w:pPr>
            <w:r>
              <w:rPr>
                <w:rFonts w:eastAsia="Times New Roman"/>
                <w:sz w:val="20"/>
                <w:szCs w:val="20"/>
              </w:rPr>
              <w:t>245.5</w:t>
            </w:r>
          </w:p>
        </w:tc>
        <w:tc>
          <w:tcPr>
            <w:tcW w:w="50" w:type="pct"/>
            <w:shd w:val="clear" w:color="auto" w:fill="FFFFFF"/>
            <w:tcMar>
              <w:top w:w="0" w:type="dxa"/>
              <w:left w:w="0" w:type="dxa"/>
              <w:bottom w:w="45" w:type="dxa"/>
              <w:right w:w="0" w:type="dxa"/>
            </w:tcMar>
            <w:vAlign w:val="bottom"/>
            <w:hideMark/>
          </w:tcPr>
          <w:p w14:paraId="03F0FA8E" w14:textId="77777777" w:rsidR="00000000" w:rsidRDefault="00847163">
            <w:pPr>
              <w:rPr>
                <w:rFonts w:eastAsia="Times New Roman"/>
                <w:sz w:val="20"/>
                <w:szCs w:val="20"/>
              </w:rPr>
            </w:pPr>
            <w:r>
              <w:rPr>
                <w:rFonts w:eastAsia="Times New Roman"/>
                <w:sz w:val="20"/>
                <w:szCs w:val="20"/>
              </w:rPr>
              <w:t> </w:t>
            </w:r>
          </w:p>
        </w:tc>
      </w:tr>
      <w:tr w:rsidR="00000000" w14:paraId="2E0F0998" w14:textId="77777777">
        <w:trPr>
          <w:tblCellSpacing w:w="0" w:type="dxa"/>
        </w:trPr>
        <w:tc>
          <w:tcPr>
            <w:tcW w:w="3000" w:type="pct"/>
            <w:shd w:val="clear" w:color="auto" w:fill="CCEEFF"/>
            <w:vAlign w:val="bottom"/>
            <w:hideMark/>
          </w:tcPr>
          <w:p w14:paraId="0A9D5766"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12E9D39" w14:textId="77777777" w:rsidR="00000000" w:rsidRDefault="00847163">
            <w:pPr>
              <w:rPr>
                <w:rFonts w:eastAsia="Times New Roman"/>
                <w:sz w:val="20"/>
                <w:szCs w:val="20"/>
              </w:rPr>
            </w:pPr>
            <w:r>
              <w:rPr>
                <w:rFonts w:eastAsia="Times New Roman"/>
                <w:sz w:val="20"/>
                <w:szCs w:val="20"/>
              </w:rPr>
              <w:t> </w:t>
            </w:r>
          </w:p>
        </w:tc>
        <w:tc>
          <w:tcPr>
            <w:tcW w:w="100" w:type="pct"/>
            <w:shd w:val="clear" w:color="auto" w:fill="CCEEFF"/>
            <w:vAlign w:val="bottom"/>
            <w:hideMark/>
          </w:tcPr>
          <w:p w14:paraId="04528441" w14:textId="77777777" w:rsidR="00000000" w:rsidRDefault="00847163">
            <w:pPr>
              <w:rPr>
                <w:rFonts w:eastAsia="Times New Roman"/>
                <w:sz w:val="20"/>
                <w:szCs w:val="20"/>
              </w:rPr>
            </w:pPr>
            <w:r>
              <w:rPr>
                <w:rFonts w:eastAsia="Times New Roman"/>
                <w:sz w:val="20"/>
                <w:szCs w:val="20"/>
              </w:rPr>
              <w:t> </w:t>
            </w:r>
          </w:p>
        </w:tc>
        <w:tc>
          <w:tcPr>
            <w:tcW w:w="800" w:type="pct"/>
            <w:shd w:val="clear" w:color="auto" w:fill="CCEEFF"/>
            <w:vAlign w:val="bottom"/>
            <w:hideMark/>
          </w:tcPr>
          <w:p w14:paraId="6CA85E58"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23840AB"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315ACC7" w14:textId="77777777" w:rsidR="00000000" w:rsidRDefault="00847163">
            <w:pPr>
              <w:rPr>
                <w:rFonts w:eastAsia="Times New Roman"/>
                <w:sz w:val="20"/>
                <w:szCs w:val="20"/>
              </w:rPr>
            </w:pPr>
            <w:r>
              <w:rPr>
                <w:rFonts w:eastAsia="Times New Roman"/>
                <w:sz w:val="20"/>
                <w:szCs w:val="20"/>
              </w:rPr>
              <w:t> </w:t>
            </w:r>
          </w:p>
        </w:tc>
        <w:tc>
          <w:tcPr>
            <w:tcW w:w="100" w:type="pct"/>
            <w:shd w:val="clear" w:color="auto" w:fill="CCEEFF"/>
            <w:vAlign w:val="bottom"/>
            <w:hideMark/>
          </w:tcPr>
          <w:p w14:paraId="4191FACD" w14:textId="77777777" w:rsidR="00000000" w:rsidRDefault="00847163">
            <w:pPr>
              <w:rPr>
                <w:rFonts w:eastAsia="Times New Roman"/>
                <w:sz w:val="20"/>
                <w:szCs w:val="20"/>
              </w:rPr>
            </w:pPr>
            <w:r>
              <w:rPr>
                <w:rFonts w:eastAsia="Times New Roman"/>
                <w:sz w:val="20"/>
                <w:szCs w:val="20"/>
              </w:rPr>
              <w:t> </w:t>
            </w:r>
          </w:p>
        </w:tc>
        <w:tc>
          <w:tcPr>
            <w:tcW w:w="800" w:type="pct"/>
            <w:shd w:val="clear" w:color="auto" w:fill="CCEEFF"/>
            <w:vAlign w:val="bottom"/>
            <w:hideMark/>
          </w:tcPr>
          <w:p w14:paraId="184F6045"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82CE9B8" w14:textId="77777777" w:rsidR="00000000" w:rsidRDefault="00847163">
            <w:pPr>
              <w:rPr>
                <w:rFonts w:eastAsia="Times New Roman"/>
                <w:sz w:val="20"/>
                <w:szCs w:val="20"/>
              </w:rPr>
            </w:pPr>
            <w:r>
              <w:rPr>
                <w:rFonts w:eastAsia="Times New Roman"/>
                <w:sz w:val="20"/>
                <w:szCs w:val="20"/>
              </w:rPr>
              <w:t> </w:t>
            </w:r>
          </w:p>
        </w:tc>
      </w:tr>
      <w:tr w:rsidR="00000000" w14:paraId="2E6CDAA2" w14:textId="77777777">
        <w:trPr>
          <w:tblCellSpacing w:w="0" w:type="dxa"/>
        </w:trPr>
        <w:tc>
          <w:tcPr>
            <w:tcW w:w="3000" w:type="pct"/>
            <w:shd w:val="clear" w:color="auto" w:fill="FFFFFF"/>
            <w:vAlign w:val="bottom"/>
            <w:hideMark/>
          </w:tcPr>
          <w:p w14:paraId="11EFC637" w14:textId="77777777" w:rsidR="00000000" w:rsidRDefault="00847163">
            <w:pPr>
              <w:pStyle w:val="a3"/>
              <w:spacing w:before="0" w:beforeAutospacing="0" w:after="0" w:afterAutospacing="0"/>
              <w:rPr>
                <w:sz w:val="20"/>
                <w:szCs w:val="20"/>
              </w:rPr>
            </w:pPr>
            <w:r>
              <w:rPr>
                <w:sz w:val="20"/>
                <w:szCs w:val="20"/>
              </w:rPr>
              <w:t>VIE Liabilities:</w:t>
            </w:r>
          </w:p>
        </w:tc>
        <w:tc>
          <w:tcPr>
            <w:tcW w:w="50" w:type="pct"/>
            <w:shd w:val="clear" w:color="auto" w:fill="FFFFFF"/>
            <w:vAlign w:val="bottom"/>
            <w:hideMark/>
          </w:tcPr>
          <w:p w14:paraId="3693F616" w14:textId="77777777" w:rsidR="00000000" w:rsidRDefault="00847163">
            <w:pPr>
              <w:rPr>
                <w:rFonts w:eastAsia="Times New Roman"/>
                <w:sz w:val="20"/>
                <w:szCs w:val="20"/>
              </w:rPr>
            </w:pPr>
            <w:r>
              <w:rPr>
                <w:rFonts w:eastAsia="Times New Roman"/>
                <w:sz w:val="20"/>
                <w:szCs w:val="20"/>
              </w:rPr>
              <w:t> </w:t>
            </w:r>
          </w:p>
        </w:tc>
        <w:tc>
          <w:tcPr>
            <w:tcW w:w="100" w:type="pct"/>
            <w:shd w:val="clear" w:color="auto" w:fill="FFFFFF"/>
            <w:vAlign w:val="bottom"/>
            <w:hideMark/>
          </w:tcPr>
          <w:p w14:paraId="6554761E" w14:textId="77777777" w:rsidR="00000000" w:rsidRDefault="00847163">
            <w:pPr>
              <w:rPr>
                <w:rFonts w:eastAsia="Times New Roman"/>
                <w:sz w:val="20"/>
                <w:szCs w:val="20"/>
              </w:rPr>
            </w:pPr>
            <w:r>
              <w:rPr>
                <w:rFonts w:eastAsia="Times New Roman"/>
                <w:sz w:val="20"/>
                <w:szCs w:val="20"/>
              </w:rPr>
              <w:t> </w:t>
            </w:r>
          </w:p>
        </w:tc>
        <w:tc>
          <w:tcPr>
            <w:tcW w:w="800" w:type="pct"/>
            <w:shd w:val="clear" w:color="auto" w:fill="FFFFFF"/>
            <w:vAlign w:val="bottom"/>
            <w:hideMark/>
          </w:tcPr>
          <w:p w14:paraId="74444BB7"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B199E1E"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0D3E1CE" w14:textId="77777777" w:rsidR="00000000" w:rsidRDefault="00847163">
            <w:pPr>
              <w:rPr>
                <w:rFonts w:eastAsia="Times New Roman"/>
                <w:sz w:val="20"/>
                <w:szCs w:val="20"/>
              </w:rPr>
            </w:pPr>
            <w:r>
              <w:rPr>
                <w:rFonts w:eastAsia="Times New Roman"/>
                <w:sz w:val="20"/>
                <w:szCs w:val="20"/>
              </w:rPr>
              <w:t> </w:t>
            </w:r>
          </w:p>
        </w:tc>
        <w:tc>
          <w:tcPr>
            <w:tcW w:w="100" w:type="pct"/>
            <w:shd w:val="clear" w:color="auto" w:fill="FFFFFF"/>
            <w:vAlign w:val="bottom"/>
            <w:hideMark/>
          </w:tcPr>
          <w:p w14:paraId="7B8A6DE1" w14:textId="77777777" w:rsidR="00000000" w:rsidRDefault="00847163">
            <w:pPr>
              <w:rPr>
                <w:rFonts w:eastAsia="Times New Roman"/>
                <w:sz w:val="20"/>
                <w:szCs w:val="20"/>
              </w:rPr>
            </w:pPr>
            <w:r>
              <w:rPr>
                <w:rFonts w:eastAsia="Times New Roman"/>
                <w:sz w:val="20"/>
                <w:szCs w:val="20"/>
              </w:rPr>
              <w:t> </w:t>
            </w:r>
          </w:p>
        </w:tc>
        <w:tc>
          <w:tcPr>
            <w:tcW w:w="800" w:type="pct"/>
            <w:shd w:val="clear" w:color="auto" w:fill="FFFFFF"/>
            <w:vAlign w:val="bottom"/>
            <w:hideMark/>
          </w:tcPr>
          <w:p w14:paraId="08A64CF9"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EE3A639" w14:textId="77777777" w:rsidR="00000000" w:rsidRDefault="00847163">
            <w:pPr>
              <w:rPr>
                <w:rFonts w:eastAsia="Times New Roman"/>
                <w:sz w:val="20"/>
                <w:szCs w:val="20"/>
              </w:rPr>
            </w:pPr>
            <w:r>
              <w:rPr>
                <w:rFonts w:eastAsia="Times New Roman"/>
                <w:sz w:val="20"/>
                <w:szCs w:val="20"/>
              </w:rPr>
              <w:t> </w:t>
            </w:r>
          </w:p>
        </w:tc>
      </w:tr>
      <w:tr w:rsidR="00000000" w14:paraId="5E3B15DA" w14:textId="77777777">
        <w:trPr>
          <w:tblCellSpacing w:w="0" w:type="dxa"/>
        </w:trPr>
        <w:tc>
          <w:tcPr>
            <w:tcW w:w="3000" w:type="pct"/>
            <w:shd w:val="clear" w:color="auto" w:fill="CCEEFF"/>
            <w:vAlign w:val="bottom"/>
            <w:hideMark/>
          </w:tcPr>
          <w:p w14:paraId="210C517E" w14:textId="77777777" w:rsidR="00000000" w:rsidRDefault="00847163">
            <w:pPr>
              <w:pStyle w:val="a3"/>
              <w:spacing w:before="0" w:beforeAutospacing="0" w:after="0" w:afterAutospacing="0"/>
              <w:ind w:left="180"/>
              <w:rPr>
                <w:sz w:val="20"/>
                <w:szCs w:val="20"/>
              </w:rPr>
            </w:pPr>
            <w:r>
              <w:rPr>
                <w:sz w:val="20"/>
                <w:szCs w:val="20"/>
              </w:rPr>
              <w:t>Mortgages and construction loan payable, net</w:t>
            </w:r>
          </w:p>
        </w:tc>
        <w:tc>
          <w:tcPr>
            <w:tcW w:w="50" w:type="pct"/>
            <w:shd w:val="clear" w:color="auto" w:fill="CCEEFF"/>
            <w:vAlign w:val="bottom"/>
            <w:hideMark/>
          </w:tcPr>
          <w:p w14:paraId="709F240A" w14:textId="77777777" w:rsidR="00000000" w:rsidRDefault="00847163">
            <w:pPr>
              <w:rPr>
                <w:rFonts w:eastAsia="Times New Roman"/>
                <w:sz w:val="20"/>
                <w:szCs w:val="20"/>
              </w:rPr>
            </w:pPr>
            <w:r>
              <w:rPr>
                <w:rFonts w:eastAsia="Times New Roman"/>
                <w:sz w:val="20"/>
                <w:szCs w:val="20"/>
              </w:rPr>
              <w:t> </w:t>
            </w:r>
          </w:p>
        </w:tc>
        <w:tc>
          <w:tcPr>
            <w:tcW w:w="100" w:type="pct"/>
            <w:shd w:val="clear" w:color="auto" w:fill="CCEEFF"/>
            <w:vAlign w:val="bottom"/>
            <w:hideMark/>
          </w:tcPr>
          <w:p w14:paraId="24368899" w14:textId="77777777" w:rsidR="00000000" w:rsidRDefault="00847163">
            <w:pPr>
              <w:rPr>
                <w:rFonts w:eastAsia="Times New Roman"/>
                <w:sz w:val="20"/>
                <w:szCs w:val="20"/>
              </w:rPr>
            </w:pPr>
            <w:r>
              <w:rPr>
                <w:rFonts w:eastAsia="Times New Roman"/>
                <w:sz w:val="20"/>
                <w:szCs w:val="20"/>
              </w:rPr>
              <w:t>$</w:t>
            </w:r>
          </w:p>
        </w:tc>
        <w:tc>
          <w:tcPr>
            <w:tcW w:w="800" w:type="pct"/>
            <w:shd w:val="clear" w:color="auto" w:fill="CCEEFF"/>
            <w:vAlign w:val="bottom"/>
            <w:hideMark/>
          </w:tcPr>
          <w:p w14:paraId="5B231DE3" w14:textId="77777777" w:rsidR="00000000" w:rsidRDefault="00847163">
            <w:pPr>
              <w:jc w:val="right"/>
              <w:rPr>
                <w:rFonts w:eastAsia="Times New Roman"/>
                <w:sz w:val="20"/>
                <w:szCs w:val="20"/>
              </w:rPr>
            </w:pPr>
            <w:r>
              <w:rPr>
                <w:rFonts w:eastAsia="Times New Roman"/>
                <w:sz w:val="20"/>
                <w:szCs w:val="20"/>
              </w:rPr>
              <w:t>37.6</w:t>
            </w:r>
          </w:p>
        </w:tc>
        <w:tc>
          <w:tcPr>
            <w:tcW w:w="50" w:type="pct"/>
            <w:shd w:val="clear" w:color="auto" w:fill="CCEEFF"/>
            <w:vAlign w:val="bottom"/>
            <w:hideMark/>
          </w:tcPr>
          <w:p w14:paraId="6D3E722B"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FAEBA42" w14:textId="77777777" w:rsidR="00000000" w:rsidRDefault="00847163">
            <w:pPr>
              <w:rPr>
                <w:rFonts w:eastAsia="Times New Roman"/>
                <w:sz w:val="20"/>
                <w:szCs w:val="20"/>
              </w:rPr>
            </w:pPr>
            <w:r>
              <w:rPr>
                <w:rFonts w:eastAsia="Times New Roman"/>
                <w:sz w:val="20"/>
                <w:szCs w:val="20"/>
              </w:rPr>
              <w:t> </w:t>
            </w:r>
          </w:p>
        </w:tc>
        <w:tc>
          <w:tcPr>
            <w:tcW w:w="100" w:type="pct"/>
            <w:shd w:val="clear" w:color="auto" w:fill="CCEEFF"/>
            <w:vAlign w:val="bottom"/>
            <w:hideMark/>
          </w:tcPr>
          <w:p w14:paraId="3D2C3956" w14:textId="77777777" w:rsidR="00000000" w:rsidRDefault="00847163">
            <w:pPr>
              <w:rPr>
                <w:rFonts w:eastAsia="Times New Roman"/>
                <w:sz w:val="20"/>
                <w:szCs w:val="20"/>
              </w:rPr>
            </w:pPr>
            <w:r>
              <w:rPr>
                <w:rFonts w:eastAsia="Times New Roman"/>
                <w:sz w:val="20"/>
                <w:szCs w:val="20"/>
              </w:rPr>
              <w:t>$</w:t>
            </w:r>
          </w:p>
        </w:tc>
        <w:tc>
          <w:tcPr>
            <w:tcW w:w="800" w:type="pct"/>
            <w:shd w:val="clear" w:color="auto" w:fill="CCEEFF"/>
            <w:vAlign w:val="bottom"/>
            <w:hideMark/>
          </w:tcPr>
          <w:p w14:paraId="64A07D65" w14:textId="77777777" w:rsidR="00000000" w:rsidRDefault="00847163">
            <w:pPr>
              <w:jc w:val="right"/>
              <w:rPr>
                <w:rFonts w:eastAsia="Times New Roman"/>
                <w:sz w:val="20"/>
                <w:szCs w:val="20"/>
              </w:rPr>
            </w:pPr>
            <w:r>
              <w:rPr>
                <w:rFonts w:eastAsia="Times New Roman"/>
                <w:sz w:val="20"/>
                <w:szCs w:val="20"/>
              </w:rPr>
              <w:t>104.5</w:t>
            </w:r>
          </w:p>
        </w:tc>
        <w:tc>
          <w:tcPr>
            <w:tcW w:w="50" w:type="pct"/>
            <w:shd w:val="clear" w:color="auto" w:fill="CCEEFF"/>
            <w:vAlign w:val="bottom"/>
            <w:hideMark/>
          </w:tcPr>
          <w:p w14:paraId="7BF76DC5" w14:textId="77777777" w:rsidR="00000000" w:rsidRDefault="00847163">
            <w:pPr>
              <w:rPr>
                <w:rFonts w:eastAsia="Times New Roman"/>
                <w:sz w:val="20"/>
                <w:szCs w:val="20"/>
              </w:rPr>
            </w:pPr>
            <w:r>
              <w:rPr>
                <w:rFonts w:eastAsia="Times New Roman"/>
                <w:sz w:val="20"/>
                <w:szCs w:val="20"/>
              </w:rPr>
              <w:t> </w:t>
            </w:r>
          </w:p>
        </w:tc>
      </w:tr>
      <w:tr w:rsidR="00000000" w14:paraId="21DADF76" w14:textId="77777777">
        <w:trPr>
          <w:tblCellSpacing w:w="0" w:type="dxa"/>
        </w:trPr>
        <w:tc>
          <w:tcPr>
            <w:tcW w:w="3000" w:type="pct"/>
            <w:shd w:val="clear" w:color="auto" w:fill="FFFFFF"/>
            <w:vAlign w:val="bottom"/>
            <w:hideMark/>
          </w:tcPr>
          <w:p w14:paraId="1BC22CA1" w14:textId="77777777" w:rsidR="00000000" w:rsidRDefault="00847163">
            <w:pPr>
              <w:pStyle w:val="a3"/>
              <w:spacing w:before="0" w:beforeAutospacing="0" w:after="0" w:afterAutospacing="0"/>
              <w:ind w:left="180"/>
              <w:rPr>
                <w:sz w:val="20"/>
                <w:szCs w:val="20"/>
              </w:rPr>
            </w:pPr>
            <w:r>
              <w:rPr>
                <w:sz w:val="20"/>
                <w:szCs w:val="20"/>
              </w:rPr>
              <w:t>Other liabilities</w:t>
            </w:r>
          </w:p>
        </w:tc>
        <w:tc>
          <w:tcPr>
            <w:tcW w:w="50" w:type="pct"/>
            <w:shd w:val="clear" w:color="auto" w:fill="FFFFFF"/>
            <w:tcMar>
              <w:top w:w="0" w:type="dxa"/>
              <w:left w:w="0" w:type="dxa"/>
              <w:bottom w:w="15" w:type="dxa"/>
              <w:right w:w="0" w:type="dxa"/>
            </w:tcMar>
            <w:vAlign w:val="bottom"/>
            <w:hideMark/>
          </w:tcPr>
          <w:p w14:paraId="0336ED91" w14:textId="77777777" w:rsidR="00000000" w:rsidRDefault="00847163">
            <w:pPr>
              <w:rPr>
                <w:rFonts w:eastAsia="Times New Roman"/>
                <w:sz w:val="20"/>
                <w:szCs w:val="20"/>
              </w:rPr>
            </w:pPr>
            <w:r>
              <w:rPr>
                <w:rFonts w:eastAsia="Times New Roman"/>
                <w:sz w:val="20"/>
                <w:szCs w:val="20"/>
              </w:rPr>
              <w:t> </w:t>
            </w:r>
          </w:p>
        </w:tc>
        <w:tc>
          <w:tcPr>
            <w:tcW w:w="100" w:type="pct"/>
            <w:tcBorders>
              <w:bottom w:val="single" w:sz="6" w:space="0" w:color="000000"/>
            </w:tcBorders>
            <w:shd w:val="clear" w:color="auto" w:fill="FFFFFF"/>
            <w:vAlign w:val="bottom"/>
            <w:hideMark/>
          </w:tcPr>
          <w:p w14:paraId="6D447551" w14:textId="77777777" w:rsidR="00000000" w:rsidRDefault="00847163">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14:paraId="7655939E" w14:textId="77777777" w:rsidR="00000000" w:rsidRDefault="00847163">
            <w:pPr>
              <w:jc w:val="right"/>
              <w:rPr>
                <w:rFonts w:eastAsia="Times New Roman"/>
                <w:sz w:val="20"/>
                <w:szCs w:val="20"/>
              </w:rPr>
            </w:pPr>
            <w:r>
              <w:rPr>
                <w:rFonts w:eastAsia="Times New Roman"/>
                <w:sz w:val="20"/>
                <w:szCs w:val="20"/>
              </w:rPr>
              <w:t>27.9</w:t>
            </w:r>
          </w:p>
        </w:tc>
        <w:tc>
          <w:tcPr>
            <w:tcW w:w="50" w:type="pct"/>
            <w:shd w:val="clear" w:color="auto" w:fill="FFFFFF"/>
            <w:tcMar>
              <w:top w:w="0" w:type="dxa"/>
              <w:left w:w="0" w:type="dxa"/>
              <w:bottom w:w="15" w:type="dxa"/>
              <w:right w:w="0" w:type="dxa"/>
            </w:tcMar>
            <w:vAlign w:val="bottom"/>
            <w:hideMark/>
          </w:tcPr>
          <w:p w14:paraId="4C0D1A98"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14:paraId="2DC21F59" w14:textId="77777777" w:rsidR="00000000" w:rsidRDefault="00847163">
            <w:pPr>
              <w:rPr>
                <w:rFonts w:eastAsia="Times New Roman"/>
                <w:sz w:val="20"/>
                <w:szCs w:val="20"/>
              </w:rPr>
            </w:pPr>
            <w:r>
              <w:rPr>
                <w:rFonts w:eastAsia="Times New Roman"/>
                <w:sz w:val="20"/>
                <w:szCs w:val="20"/>
              </w:rPr>
              <w:t> </w:t>
            </w:r>
          </w:p>
        </w:tc>
        <w:tc>
          <w:tcPr>
            <w:tcW w:w="100" w:type="pct"/>
            <w:tcBorders>
              <w:bottom w:val="single" w:sz="6" w:space="0" w:color="000000"/>
            </w:tcBorders>
            <w:shd w:val="clear" w:color="auto" w:fill="FFFFFF"/>
            <w:vAlign w:val="bottom"/>
            <w:hideMark/>
          </w:tcPr>
          <w:p w14:paraId="0B3962EA" w14:textId="77777777" w:rsidR="00000000" w:rsidRDefault="00847163">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14:paraId="33946CB9" w14:textId="77777777" w:rsidR="00000000" w:rsidRDefault="00847163">
            <w:pPr>
              <w:jc w:val="right"/>
              <w:rPr>
                <w:rFonts w:eastAsia="Times New Roman"/>
                <w:sz w:val="20"/>
                <w:szCs w:val="20"/>
              </w:rPr>
            </w:pPr>
            <w:r>
              <w:rPr>
                <w:rFonts w:eastAsia="Times New Roman"/>
                <w:sz w:val="20"/>
                <w:szCs w:val="20"/>
              </w:rPr>
              <w:t>48.9</w:t>
            </w:r>
          </w:p>
        </w:tc>
        <w:tc>
          <w:tcPr>
            <w:tcW w:w="50" w:type="pct"/>
            <w:shd w:val="clear" w:color="auto" w:fill="FFFFFF"/>
            <w:tcMar>
              <w:top w:w="0" w:type="dxa"/>
              <w:left w:w="0" w:type="dxa"/>
              <w:bottom w:w="15" w:type="dxa"/>
              <w:right w:w="0" w:type="dxa"/>
            </w:tcMar>
            <w:vAlign w:val="bottom"/>
            <w:hideMark/>
          </w:tcPr>
          <w:p w14:paraId="601BB425" w14:textId="77777777" w:rsidR="00000000" w:rsidRDefault="00847163">
            <w:pPr>
              <w:rPr>
                <w:rFonts w:eastAsia="Times New Roman"/>
                <w:sz w:val="20"/>
                <w:szCs w:val="20"/>
              </w:rPr>
            </w:pPr>
            <w:r>
              <w:rPr>
                <w:rFonts w:eastAsia="Times New Roman"/>
                <w:sz w:val="20"/>
                <w:szCs w:val="20"/>
              </w:rPr>
              <w:t> </w:t>
            </w:r>
          </w:p>
        </w:tc>
      </w:tr>
      <w:tr w:rsidR="00000000" w14:paraId="468FEC23" w14:textId="77777777">
        <w:trPr>
          <w:tblCellSpacing w:w="0" w:type="dxa"/>
        </w:trPr>
        <w:tc>
          <w:tcPr>
            <w:tcW w:w="3000" w:type="pct"/>
            <w:shd w:val="clear" w:color="auto" w:fill="CCEEFF"/>
            <w:vAlign w:val="bottom"/>
            <w:hideMark/>
          </w:tcPr>
          <w:p w14:paraId="64BB7A8C" w14:textId="77777777" w:rsidR="00000000" w:rsidRDefault="00847163">
            <w:pPr>
              <w:pStyle w:val="a3"/>
              <w:spacing w:before="0" w:beforeAutospacing="0" w:after="0" w:afterAutospacing="0"/>
              <w:rPr>
                <w:sz w:val="20"/>
                <w:szCs w:val="20"/>
              </w:rPr>
            </w:pPr>
            <w:r>
              <w:rPr>
                <w:sz w:val="20"/>
                <w:szCs w:val="20"/>
              </w:rPr>
              <w:t>Total VIE Liabilities</w:t>
            </w:r>
          </w:p>
        </w:tc>
        <w:tc>
          <w:tcPr>
            <w:tcW w:w="50" w:type="pct"/>
            <w:shd w:val="clear" w:color="auto" w:fill="CCEEFF"/>
            <w:vAlign w:val="bottom"/>
            <w:hideMark/>
          </w:tcPr>
          <w:p w14:paraId="07592E0C" w14:textId="77777777" w:rsidR="00000000" w:rsidRDefault="00847163">
            <w:pPr>
              <w:rPr>
                <w:rFonts w:eastAsia="Times New Roman"/>
                <w:sz w:val="20"/>
                <w:szCs w:val="20"/>
              </w:rPr>
            </w:pPr>
            <w:r>
              <w:rPr>
                <w:rFonts w:eastAsia="Times New Roman"/>
                <w:sz w:val="20"/>
                <w:szCs w:val="20"/>
              </w:rPr>
              <w:t> </w:t>
            </w:r>
          </w:p>
        </w:tc>
        <w:tc>
          <w:tcPr>
            <w:tcW w:w="100" w:type="pct"/>
            <w:tcBorders>
              <w:bottom w:val="double" w:sz="6" w:space="0" w:color="000000"/>
            </w:tcBorders>
            <w:shd w:val="clear" w:color="auto" w:fill="CCEEFF"/>
            <w:vAlign w:val="bottom"/>
            <w:hideMark/>
          </w:tcPr>
          <w:p w14:paraId="03482607" w14:textId="77777777" w:rsidR="00000000" w:rsidRDefault="00847163">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CCEEFF"/>
            <w:vAlign w:val="bottom"/>
            <w:hideMark/>
          </w:tcPr>
          <w:p w14:paraId="01E79FB5" w14:textId="77777777" w:rsidR="00000000" w:rsidRDefault="00847163">
            <w:pPr>
              <w:jc w:val="right"/>
              <w:rPr>
                <w:rFonts w:eastAsia="Times New Roman"/>
                <w:sz w:val="20"/>
                <w:szCs w:val="20"/>
              </w:rPr>
            </w:pPr>
            <w:r>
              <w:rPr>
                <w:rFonts w:eastAsia="Times New Roman"/>
                <w:sz w:val="20"/>
                <w:szCs w:val="20"/>
              </w:rPr>
              <w:t>65.5</w:t>
            </w:r>
          </w:p>
        </w:tc>
        <w:tc>
          <w:tcPr>
            <w:tcW w:w="50" w:type="pct"/>
            <w:shd w:val="clear" w:color="auto" w:fill="CCEEFF"/>
            <w:tcMar>
              <w:top w:w="0" w:type="dxa"/>
              <w:left w:w="0" w:type="dxa"/>
              <w:bottom w:w="45" w:type="dxa"/>
              <w:right w:w="0" w:type="dxa"/>
            </w:tcMar>
            <w:vAlign w:val="bottom"/>
            <w:hideMark/>
          </w:tcPr>
          <w:p w14:paraId="2DE688F9"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0217500" w14:textId="77777777" w:rsidR="00000000" w:rsidRDefault="00847163">
            <w:pPr>
              <w:rPr>
                <w:rFonts w:eastAsia="Times New Roman"/>
                <w:sz w:val="20"/>
                <w:szCs w:val="20"/>
              </w:rPr>
            </w:pPr>
            <w:r>
              <w:rPr>
                <w:rFonts w:eastAsia="Times New Roman"/>
                <w:sz w:val="20"/>
                <w:szCs w:val="20"/>
              </w:rPr>
              <w:t> </w:t>
            </w:r>
          </w:p>
        </w:tc>
        <w:tc>
          <w:tcPr>
            <w:tcW w:w="100" w:type="pct"/>
            <w:tcBorders>
              <w:bottom w:val="double" w:sz="6" w:space="0" w:color="000000"/>
            </w:tcBorders>
            <w:shd w:val="clear" w:color="auto" w:fill="CCEEFF"/>
            <w:vAlign w:val="bottom"/>
            <w:hideMark/>
          </w:tcPr>
          <w:p w14:paraId="1E9223D8" w14:textId="77777777" w:rsidR="00000000" w:rsidRDefault="00847163">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CCEEFF"/>
            <w:vAlign w:val="bottom"/>
            <w:hideMark/>
          </w:tcPr>
          <w:p w14:paraId="6775DAB4" w14:textId="77777777" w:rsidR="00000000" w:rsidRDefault="00847163">
            <w:pPr>
              <w:jc w:val="right"/>
              <w:rPr>
                <w:rFonts w:eastAsia="Times New Roman"/>
                <w:sz w:val="20"/>
                <w:szCs w:val="20"/>
              </w:rPr>
            </w:pPr>
            <w:r>
              <w:rPr>
                <w:rFonts w:eastAsia="Times New Roman"/>
                <w:sz w:val="20"/>
                <w:szCs w:val="20"/>
              </w:rPr>
              <w:t>153.4</w:t>
            </w:r>
          </w:p>
        </w:tc>
        <w:tc>
          <w:tcPr>
            <w:tcW w:w="50" w:type="pct"/>
            <w:shd w:val="clear" w:color="auto" w:fill="CCEEFF"/>
            <w:tcMar>
              <w:top w:w="0" w:type="dxa"/>
              <w:left w:w="0" w:type="dxa"/>
              <w:bottom w:w="45" w:type="dxa"/>
              <w:right w:w="0" w:type="dxa"/>
            </w:tcMar>
            <w:vAlign w:val="bottom"/>
            <w:hideMark/>
          </w:tcPr>
          <w:p w14:paraId="2F540D53" w14:textId="77777777" w:rsidR="00000000" w:rsidRDefault="00847163">
            <w:pPr>
              <w:rPr>
                <w:rFonts w:eastAsia="Times New Roman"/>
                <w:sz w:val="20"/>
                <w:szCs w:val="20"/>
              </w:rPr>
            </w:pPr>
            <w:r>
              <w:rPr>
                <w:rFonts w:eastAsia="Times New Roman"/>
                <w:sz w:val="20"/>
                <w:szCs w:val="20"/>
              </w:rPr>
              <w:t> </w:t>
            </w:r>
          </w:p>
        </w:tc>
      </w:tr>
    </w:tbl>
    <w:p w14:paraId="1A62E364" w14:textId="77777777" w:rsidR="00000000" w:rsidRDefault="00847163">
      <w:pPr>
        <w:pStyle w:val="a3"/>
        <w:spacing w:before="0" w:beforeAutospacing="0" w:after="0" w:afterAutospacing="0"/>
        <w:rPr>
          <w:sz w:val="20"/>
          <w:szCs w:val="20"/>
        </w:rPr>
      </w:pPr>
      <w:r>
        <w:rPr>
          <w:sz w:val="20"/>
          <w:szCs w:val="20"/>
        </w:rPr>
        <w:t> </w:t>
      </w:r>
    </w:p>
    <w:p w14:paraId="5EBA43A6" w14:textId="77777777" w:rsidR="00000000" w:rsidRDefault="00847163">
      <w:pPr>
        <w:jc w:val="center"/>
        <w:divId w:val="1221093621"/>
        <w:rPr>
          <w:rFonts w:eastAsia="Times New Roman"/>
          <w:sz w:val="20"/>
          <w:szCs w:val="20"/>
        </w:rPr>
      </w:pPr>
      <w:r>
        <w:rPr>
          <w:rStyle w:val="a6"/>
          <w:rFonts w:eastAsia="Times New Roman"/>
          <w:sz w:val="20"/>
          <w:szCs w:val="20"/>
        </w:rPr>
        <w:t>14</w:t>
      </w:r>
      <w:r>
        <w:rPr>
          <w:rFonts w:eastAsia="Times New Roman"/>
          <w:sz w:val="20"/>
          <w:szCs w:val="20"/>
        </w:rPr>
        <w:t xml:space="preserve"> </w:t>
      </w:r>
    </w:p>
    <w:p w14:paraId="2AC22CB8" w14:textId="77777777" w:rsidR="00000000" w:rsidRDefault="00847163">
      <w:pPr>
        <w:divId w:val="77557571"/>
        <w:rPr>
          <w:rFonts w:eastAsia="Times New Roman"/>
          <w:sz w:val="20"/>
          <w:szCs w:val="20"/>
        </w:rPr>
      </w:pPr>
      <w:r>
        <w:rPr>
          <w:rFonts w:eastAsia="Times New Roman"/>
          <w:sz w:val="20"/>
          <w:szCs w:val="20"/>
        </w:rPr>
        <w:pict w14:anchorId="7E2D19BB">
          <v:rect id="_x0000_i1042" style="width:415.3pt;height:1.5pt" o:hralign="center" o:hrstd="t" o:hrnoshade="t" o:hr="t" fillcolor="black" stroked="f"/>
        </w:pict>
      </w:r>
    </w:p>
    <w:p w14:paraId="763A5A85" w14:textId="77777777" w:rsidR="00000000" w:rsidRDefault="00847163">
      <w:pPr>
        <w:divId w:val="862864886"/>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37AF8BB1" w14:textId="77777777" w:rsidR="00000000" w:rsidRDefault="00847163">
      <w:pPr>
        <w:pStyle w:val="a3"/>
        <w:spacing w:before="0" w:beforeAutospacing="0" w:after="0" w:afterAutospacing="0"/>
        <w:rPr>
          <w:sz w:val="20"/>
          <w:szCs w:val="20"/>
        </w:rPr>
      </w:pPr>
      <w:r>
        <w:rPr>
          <w:sz w:val="20"/>
          <w:szCs w:val="20"/>
        </w:rPr>
        <w:t> </w:t>
      </w:r>
    </w:p>
    <w:p w14:paraId="648EC404" w14:textId="77777777" w:rsidR="00000000" w:rsidRDefault="00847163">
      <w:pPr>
        <w:divId w:val="161966628"/>
        <w:rPr>
          <w:rFonts w:eastAsia="Times New Roman"/>
          <w:sz w:val="20"/>
          <w:szCs w:val="20"/>
        </w:rPr>
      </w:pPr>
      <w:r>
        <w:rPr>
          <w:rFonts w:eastAsia="Times New Roman"/>
          <w:sz w:val="20"/>
          <w:szCs w:val="20"/>
        </w:rPr>
        <w:t xml:space="preserve">  </w:t>
      </w:r>
    </w:p>
    <w:p w14:paraId="5402A891" w14:textId="77777777" w:rsidR="00000000" w:rsidRDefault="00847163">
      <w:pPr>
        <w:pStyle w:val="a3"/>
        <w:spacing w:before="0" w:beforeAutospacing="0" w:after="0" w:afterAutospacing="0"/>
        <w:rPr>
          <w:sz w:val="20"/>
          <w:szCs w:val="20"/>
        </w:rPr>
      </w:pPr>
      <w:r>
        <w:rPr>
          <w:rStyle w:val="a6"/>
          <w:sz w:val="20"/>
          <w:szCs w:val="20"/>
        </w:rPr>
        <w:t>11.</w:t>
      </w:r>
      <w:r>
        <w:rPr>
          <w:sz w:val="20"/>
          <w:szCs w:val="20"/>
        </w:rPr>
        <w:t xml:space="preserve"> </w:t>
      </w:r>
      <w:r>
        <w:rPr>
          <w:sz w:val="20"/>
          <w:szCs w:val="20"/>
          <w:u w:val="single"/>
        </w:rPr>
        <w:t>Fair Value Measurements</w:t>
      </w:r>
    </w:p>
    <w:p w14:paraId="050997B9" w14:textId="77777777" w:rsidR="00000000" w:rsidRDefault="00847163">
      <w:pPr>
        <w:pStyle w:val="a3"/>
        <w:spacing w:before="0" w:beforeAutospacing="0" w:after="0" w:afterAutospacing="0"/>
        <w:jc w:val="both"/>
        <w:rPr>
          <w:sz w:val="20"/>
          <w:szCs w:val="20"/>
        </w:rPr>
      </w:pPr>
      <w:r>
        <w:rPr>
          <w:sz w:val="20"/>
          <w:szCs w:val="20"/>
        </w:rPr>
        <w:t> </w:t>
      </w:r>
    </w:p>
    <w:p w14:paraId="5C0E4DE7" w14:textId="77777777" w:rsidR="00000000" w:rsidRDefault="00847163">
      <w:pPr>
        <w:pStyle w:val="a3"/>
        <w:spacing w:before="0" w:beforeAutospacing="0" w:after="0" w:afterAutospacing="0"/>
        <w:ind w:firstLine="360"/>
        <w:jc w:val="both"/>
        <w:rPr>
          <w:sz w:val="20"/>
          <w:szCs w:val="20"/>
        </w:rPr>
      </w:pPr>
      <w:r>
        <w:rPr>
          <w:sz w:val="20"/>
          <w:szCs w:val="20"/>
        </w:rPr>
        <w:t>All financial instruments of the Company are reflected in the accompanyi</w:t>
      </w:r>
      <w:r>
        <w:rPr>
          <w:sz w:val="20"/>
          <w:szCs w:val="20"/>
        </w:rPr>
        <w:t>ng Condensed Consolidated Balance Sheets at amounts which, in management’s estimation, based upon an interpretation of available market information and valuation methodologies, reasonably approximate their fair values except those listed below, for which f</w:t>
      </w:r>
      <w:r>
        <w:rPr>
          <w:sz w:val="20"/>
          <w:szCs w:val="20"/>
        </w:rPr>
        <w:t>air values are disclosed. The valuation method used to estimate fair value for fixed-rate and variable-rate debt is based on discounted cash flow analyses, with assumptions that include credit spreads, market yield curves, trading activity, loan amounts an</w:t>
      </w:r>
      <w:r>
        <w:rPr>
          <w:sz w:val="20"/>
          <w:szCs w:val="20"/>
        </w:rPr>
        <w:t xml:space="preserve">d debt maturities. The fair values for marketable securities are based on published values, securities dealers’ estimated market values or comparable market sales. Such fair value estimates are </w:t>
      </w:r>
      <w:r>
        <w:rPr>
          <w:rStyle w:val="a6"/>
          <w:sz w:val="20"/>
          <w:szCs w:val="20"/>
        </w:rPr>
        <w:t>not</w:t>
      </w:r>
      <w:r>
        <w:rPr>
          <w:sz w:val="20"/>
          <w:szCs w:val="20"/>
        </w:rPr>
        <w:t xml:space="preserve"> necessarily indicative of the amounts that would be realiz</w:t>
      </w:r>
      <w:r>
        <w:rPr>
          <w:sz w:val="20"/>
          <w:szCs w:val="20"/>
        </w:rPr>
        <w:t>ed upon disposition.</w:t>
      </w:r>
    </w:p>
    <w:p w14:paraId="2BCF6B83" w14:textId="77777777" w:rsidR="00000000" w:rsidRDefault="00847163">
      <w:pPr>
        <w:pStyle w:val="a3"/>
        <w:spacing w:before="0" w:beforeAutospacing="0" w:after="0" w:afterAutospacing="0"/>
        <w:ind w:left="360"/>
        <w:jc w:val="both"/>
        <w:rPr>
          <w:sz w:val="20"/>
          <w:szCs w:val="20"/>
        </w:rPr>
      </w:pPr>
      <w:r>
        <w:rPr>
          <w:sz w:val="20"/>
          <w:szCs w:val="20"/>
        </w:rPr>
        <w:t> </w:t>
      </w:r>
    </w:p>
    <w:p w14:paraId="4F5C5D33" w14:textId="77777777" w:rsidR="00000000" w:rsidRDefault="00847163">
      <w:pPr>
        <w:pStyle w:val="a3"/>
        <w:spacing w:before="0" w:beforeAutospacing="0" w:after="0" w:afterAutospacing="0"/>
        <w:ind w:firstLine="360"/>
        <w:jc w:val="both"/>
        <w:rPr>
          <w:sz w:val="20"/>
          <w:szCs w:val="20"/>
        </w:rPr>
      </w:pPr>
      <w:r>
        <w:rPr>
          <w:sz w:val="20"/>
          <w:szCs w:val="20"/>
        </w:rPr>
        <w:t>As a basis for considering market participant assumptions in fair value measurements, the FASB’s Fair Value Measurements and Disclosures guidance establishes a fair value hierarchy that distinguishes between market participant assump</w:t>
      </w:r>
      <w:r>
        <w:rPr>
          <w:sz w:val="20"/>
          <w:szCs w:val="20"/>
        </w:rPr>
        <w:t xml:space="preserve">tions based on market data obtained from sources independent of the reporting entity (observable inputs that are classified within Levels </w:t>
      </w:r>
      <w:r>
        <w:rPr>
          <w:rStyle w:val="a6"/>
          <w:sz w:val="20"/>
          <w:szCs w:val="20"/>
        </w:rPr>
        <w:t>1</w:t>
      </w:r>
      <w:r>
        <w:rPr>
          <w:sz w:val="20"/>
          <w:szCs w:val="20"/>
        </w:rPr>
        <w:t xml:space="preserve"> and </w:t>
      </w:r>
      <w:r>
        <w:rPr>
          <w:rStyle w:val="a6"/>
          <w:sz w:val="20"/>
          <w:szCs w:val="20"/>
        </w:rPr>
        <w:t>2</w:t>
      </w:r>
      <w:r>
        <w:rPr>
          <w:sz w:val="20"/>
          <w:szCs w:val="20"/>
        </w:rPr>
        <w:t xml:space="preserve"> of the hierarchy) and the reporting entity’s own assumptions about market participant assumptions (unobservabl</w:t>
      </w:r>
      <w:r>
        <w:rPr>
          <w:sz w:val="20"/>
          <w:szCs w:val="20"/>
        </w:rPr>
        <w:t xml:space="preserve">e inputs classified within Level </w:t>
      </w:r>
      <w:r>
        <w:rPr>
          <w:rStyle w:val="a6"/>
          <w:sz w:val="20"/>
          <w:szCs w:val="20"/>
        </w:rPr>
        <w:t>3</w:t>
      </w:r>
      <w:r>
        <w:rPr>
          <w:sz w:val="20"/>
          <w:szCs w:val="20"/>
        </w:rPr>
        <w:t xml:space="preserve"> of the hierarchy).</w:t>
      </w:r>
    </w:p>
    <w:p w14:paraId="25705ADA" w14:textId="77777777" w:rsidR="00000000" w:rsidRDefault="00847163">
      <w:pPr>
        <w:pStyle w:val="a3"/>
        <w:spacing w:before="0" w:beforeAutospacing="0" w:after="0" w:afterAutospacing="0"/>
        <w:ind w:left="360"/>
        <w:jc w:val="both"/>
        <w:rPr>
          <w:sz w:val="20"/>
          <w:szCs w:val="20"/>
        </w:rPr>
      </w:pPr>
      <w:r>
        <w:rPr>
          <w:sz w:val="20"/>
          <w:szCs w:val="20"/>
        </w:rPr>
        <w:t> </w:t>
      </w:r>
    </w:p>
    <w:p w14:paraId="625A1132" w14:textId="77777777" w:rsidR="00000000" w:rsidRDefault="00847163">
      <w:pPr>
        <w:pStyle w:val="a3"/>
        <w:spacing w:before="0" w:beforeAutospacing="0" w:after="0" w:afterAutospacing="0"/>
        <w:ind w:firstLine="360"/>
        <w:jc w:val="both"/>
        <w:rPr>
          <w:sz w:val="20"/>
          <w:szCs w:val="20"/>
        </w:rPr>
      </w:pPr>
      <w:r>
        <w:rPr>
          <w:sz w:val="20"/>
          <w:szCs w:val="20"/>
        </w:rPr>
        <w:t>The following are financial instruments for which the Company’</w:t>
      </w:r>
      <w:r>
        <w:rPr>
          <w:sz w:val="20"/>
          <w:szCs w:val="20"/>
        </w:rPr>
        <w:t>s estimated fair value differs from the carrying value (in thousands):</w:t>
      </w:r>
    </w:p>
    <w:p w14:paraId="34528741" w14:textId="77777777" w:rsidR="00000000" w:rsidRDefault="00847163">
      <w:pPr>
        <w:pStyle w:val="a3"/>
        <w:spacing w:before="0" w:beforeAutospacing="0" w:after="0" w:afterAutospacing="0"/>
        <w:ind w:firstLine="360"/>
        <w:jc w:val="both"/>
        <w:rPr>
          <w:sz w:val="20"/>
          <w:szCs w:val="20"/>
        </w:rPr>
      </w:pPr>
      <w:r>
        <w:rPr>
          <w:sz w:val="20"/>
          <w:szCs w:val="20"/>
        </w:rPr>
        <w:t> </w:t>
      </w:r>
    </w:p>
    <w:tbl>
      <w:tblPr>
        <w:tblW w:w="4750" w:type="pct"/>
        <w:tblCellSpacing w:w="0" w:type="dxa"/>
        <w:tblInd w:w="2" w:type="dxa"/>
        <w:tblCellMar>
          <w:left w:w="0" w:type="dxa"/>
          <w:right w:w="0" w:type="dxa"/>
        </w:tblCellMar>
        <w:tblLook w:val="04A0" w:firstRow="1" w:lastRow="0" w:firstColumn="1" w:lastColumn="0" w:noHBand="0" w:noVBand="1"/>
      </w:tblPr>
      <w:tblGrid>
        <w:gridCol w:w="3149"/>
        <w:gridCol w:w="72"/>
        <w:gridCol w:w="100"/>
        <w:gridCol w:w="940"/>
        <w:gridCol w:w="72"/>
        <w:gridCol w:w="72"/>
        <w:gridCol w:w="100"/>
        <w:gridCol w:w="940"/>
        <w:gridCol w:w="72"/>
        <w:gridCol w:w="73"/>
        <w:gridCol w:w="100"/>
        <w:gridCol w:w="941"/>
        <w:gridCol w:w="73"/>
        <w:gridCol w:w="73"/>
        <w:gridCol w:w="100"/>
        <w:gridCol w:w="941"/>
        <w:gridCol w:w="73"/>
      </w:tblGrid>
      <w:tr w:rsidR="00000000" w14:paraId="2D652FFD" w14:textId="77777777">
        <w:trPr>
          <w:tblCellSpacing w:w="0" w:type="dxa"/>
        </w:trPr>
        <w:tc>
          <w:tcPr>
            <w:tcW w:w="0" w:type="auto"/>
            <w:vAlign w:val="bottom"/>
            <w:hideMark/>
          </w:tcPr>
          <w:p w14:paraId="5D1B8527"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03D02062" w14:textId="77777777" w:rsidR="00000000" w:rsidRDefault="00847163">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14:paraId="627702B3" w14:textId="77777777" w:rsidR="00000000" w:rsidRDefault="00847163">
            <w:pPr>
              <w:pStyle w:val="a3"/>
              <w:spacing w:before="0" w:beforeAutospacing="0" w:after="0" w:afterAutospacing="0"/>
              <w:jc w:val="center"/>
              <w:rPr>
                <w:sz w:val="20"/>
                <w:szCs w:val="20"/>
              </w:rPr>
            </w:pPr>
            <w:r>
              <w:rPr>
                <w:b/>
                <w:bCs/>
                <w:sz w:val="20"/>
                <w:szCs w:val="20"/>
              </w:rPr>
              <w:t>March 31, 2020</w:t>
            </w:r>
          </w:p>
        </w:tc>
        <w:tc>
          <w:tcPr>
            <w:tcW w:w="0" w:type="auto"/>
            <w:tcMar>
              <w:top w:w="0" w:type="dxa"/>
              <w:left w:w="0" w:type="dxa"/>
              <w:bottom w:w="15" w:type="dxa"/>
              <w:right w:w="0" w:type="dxa"/>
            </w:tcMar>
            <w:vAlign w:val="bottom"/>
            <w:hideMark/>
          </w:tcPr>
          <w:p w14:paraId="0AAF8896"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0B17AA21" w14:textId="77777777" w:rsidR="00000000" w:rsidRDefault="00847163">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14:paraId="25E659FB" w14:textId="77777777" w:rsidR="00000000" w:rsidRDefault="00847163">
            <w:pPr>
              <w:pStyle w:val="a3"/>
              <w:spacing w:before="0" w:beforeAutospacing="0" w:after="0" w:afterAutospacing="0"/>
              <w:jc w:val="center"/>
              <w:rPr>
                <w:sz w:val="20"/>
                <w:szCs w:val="20"/>
              </w:rPr>
            </w:pPr>
            <w:r>
              <w:rPr>
                <w:b/>
                <w:bCs/>
                <w:sz w:val="20"/>
                <w:szCs w:val="20"/>
              </w:rPr>
              <w:t>December 31, 2019</w:t>
            </w:r>
          </w:p>
        </w:tc>
        <w:tc>
          <w:tcPr>
            <w:tcW w:w="0" w:type="auto"/>
            <w:tcMar>
              <w:top w:w="0" w:type="dxa"/>
              <w:left w:w="0" w:type="dxa"/>
              <w:bottom w:w="15" w:type="dxa"/>
              <w:right w:w="0" w:type="dxa"/>
            </w:tcMar>
            <w:vAlign w:val="bottom"/>
            <w:hideMark/>
          </w:tcPr>
          <w:p w14:paraId="1116A92F" w14:textId="77777777" w:rsidR="00000000" w:rsidRDefault="00847163">
            <w:pPr>
              <w:rPr>
                <w:rFonts w:eastAsia="Times New Roman"/>
                <w:sz w:val="20"/>
                <w:szCs w:val="20"/>
              </w:rPr>
            </w:pPr>
            <w:r>
              <w:rPr>
                <w:rFonts w:eastAsia="Times New Roman"/>
                <w:sz w:val="20"/>
                <w:szCs w:val="20"/>
              </w:rPr>
              <w:t> </w:t>
            </w:r>
          </w:p>
        </w:tc>
      </w:tr>
      <w:tr w:rsidR="00000000" w14:paraId="23C3E294" w14:textId="77777777">
        <w:trPr>
          <w:tblCellSpacing w:w="0" w:type="dxa"/>
        </w:trPr>
        <w:tc>
          <w:tcPr>
            <w:tcW w:w="0" w:type="auto"/>
            <w:vAlign w:val="bottom"/>
            <w:hideMark/>
          </w:tcPr>
          <w:p w14:paraId="1DEED46E"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6E58396E" w14:textId="77777777" w:rsidR="00000000" w:rsidRDefault="0084716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49A01703" w14:textId="77777777" w:rsidR="00000000" w:rsidRDefault="00847163">
            <w:pPr>
              <w:pStyle w:val="a3"/>
              <w:spacing w:before="0" w:beforeAutospacing="0" w:after="0" w:afterAutospacing="0"/>
              <w:jc w:val="center"/>
              <w:rPr>
                <w:sz w:val="20"/>
                <w:szCs w:val="20"/>
              </w:rPr>
            </w:pPr>
            <w:r>
              <w:rPr>
                <w:b/>
                <w:bCs/>
                <w:sz w:val="20"/>
                <w:szCs w:val="20"/>
              </w:rPr>
              <w:t>Carrying Value</w:t>
            </w:r>
          </w:p>
        </w:tc>
        <w:tc>
          <w:tcPr>
            <w:tcW w:w="0" w:type="auto"/>
            <w:tcMar>
              <w:top w:w="0" w:type="dxa"/>
              <w:left w:w="0" w:type="dxa"/>
              <w:bottom w:w="15" w:type="dxa"/>
              <w:right w:w="0" w:type="dxa"/>
            </w:tcMar>
            <w:vAlign w:val="bottom"/>
            <w:hideMark/>
          </w:tcPr>
          <w:p w14:paraId="1D9FB737"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13448CC1" w14:textId="77777777" w:rsidR="00000000" w:rsidRDefault="0084716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47D87E70" w14:textId="77777777" w:rsidR="00000000" w:rsidRDefault="00847163">
            <w:pPr>
              <w:pStyle w:val="a3"/>
              <w:spacing w:before="0" w:beforeAutospacing="0" w:after="0" w:afterAutospacing="0"/>
              <w:jc w:val="center"/>
              <w:rPr>
                <w:sz w:val="20"/>
                <w:szCs w:val="20"/>
              </w:rPr>
            </w:pPr>
            <w:r>
              <w:rPr>
                <w:b/>
                <w:bCs/>
                <w:sz w:val="20"/>
                <w:szCs w:val="20"/>
              </w:rPr>
              <w:t>Fair Value</w:t>
            </w:r>
          </w:p>
        </w:tc>
        <w:tc>
          <w:tcPr>
            <w:tcW w:w="0" w:type="auto"/>
            <w:tcMar>
              <w:top w:w="0" w:type="dxa"/>
              <w:left w:w="0" w:type="dxa"/>
              <w:bottom w:w="15" w:type="dxa"/>
              <w:right w:w="0" w:type="dxa"/>
            </w:tcMar>
            <w:vAlign w:val="bottom"/>
            <w:hideMark/>
          </w:tcPr>
          <w:p w14:paraId="57775C9D"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1928C948" w14:textId="77777777" w:rsidR="00000000" w:rsidRDefault="0084716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4CBE8541" w14:textId="77777777" w:rsidR="00000000" w:rsidRDefault="00847163">
            <w:pPr>
              <w:pStyle w:val="a3"/>
              <w:spacing w:before="0" w:beforeAutospacing="0" w:after="0" w:afterAutospacing="0"/>
              <w:jc w:val="center"/>
              <w:rPr>
                <w:sz w:val="20"/>
                <w:szCs w:val="20"/>
              </w:rPr>
            </w:pPr>
            <w:r>
              <w:rPr>
                <w:b/>
                <w:bCs/>
                <w:sz w:val="20"/>
                <w:szCs w:val="20"/>
              </w:rPr>
              <w:t>Carrying Value</w:t>
            </w:r>
          </w:p>
        </w:tc>
        <w:tc>
          <w:tcPr>
            <w:tcW w:w="0" w:type="auto"/>
            <w:tcMar>
              <w:top w:w="0" w:type="dxa"/>
              <w:left w:w="0" w:type="dxa"/>
              <w:bottom w:w="15" w:type="dxa"/>
              <w:right w:w="0" w:type="dxa"/>
            </w:tcMar>
            <w:vAlign w:val="bottom"/>
            <w:hideMark/>
          </w:tcPr>
          <w:p w14:paraId="440AEDFF"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7259323D" w14:textId="77777777" w:rsidR="00000000" w:rsidRDefault="0084716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62E94FDC" w14:textId="77777777" w:rsidR="00000000" w:rsidRDefault="00847163">
            <w:pPr>
              <w:pStyle w:val="a3"/>
              <w:spacing w:before="0" w:beforeAutospacing="0" w:after="0" w:afterAutospacing="0"/>
              <w:jc w:val="center"/>
              <w:rPr>
                <w:sz w:val="20"/>
                <w:szCs w:val="20"/>
              </w:rPr>
            </w:pPr>
            <w:r>
              <w:rPr>
                <w:b/>
                <w:bCs/>
                <w:sz w:val="20"/>
                <w:szCs w:val="20"/>
              </w:rPr>
              <w:t>Fair Value</w:t>
            </w:r>
          </w:p>
        </w:tc>
        <w:tc>
          <w:tcPr>
            <w:tcW w:w="0" w:type="auto"/>
            <w:tcMar>
              <w:top w:w="0" w:type="dxa"/>
              <w:left w:w="0" w:type="dxa"/>
              <w:bottom w:w="15" w:type="dxa"/>
              <w:right w:w="0" w:type="dxa"/>
            </w:tcMar>
            <w:vAlign w:val="bottom"/>
            <w:hideMark/>
          </w:tcPr>
          <w:p w14:paraId="2BA994F2" w14:textId="77777777" w:rsidR="00000000" w:rsidRDefault="00847163">
            <w:pPr>
              <w:rPr>
                <w:rFonts w:eastAsia="Times New Roman"/>
                <w:sz w:val="20"/>
                <w:szCs w:val="20"/>
              </w:rPr>
            </w:pPr>
            <w:r>
              <w:rPr>
                <w:rFonts w:eastAsia="Times New Roman"/>
                <w:sz w:val="20"/>
                <w:szCs w:val="20"/>
              </w:rPr>
              <w:t> </w:t>
            </w:r>
          </w:p>
        </w:tc>
      </w:tr>
      <w:tr w:rsidR="00000000" w14:paraId="2CD956CD" w14:textId="77777777">
        <w:trPr>
          <w:tblCellSpacing w:w="0" w:type="dxa"/>
        </w:trPr>
        <w:tc>
          <w:tcPr>
            <w:tcW w:w="2000" w:type="pct"/>
            <w:shd w:val="clear" w:color="auto" w:fill="CCEEFF"/>
            <w:vAlign w:val="bottom"/>
            <w:hideMark/>
          </w:tcPr>
          <w:p w14:paraId="2CD8195D" w14:textId="77777777" w:rsidR="00000000" w:rsidRDefault="00847163">
            <w:pPr>
              <w:pStyle w:val="a3"/>
              <w:spacing w:before="0" w:beforeAutospacing="0" w:after="0" w:afterAutospacing="0"/>
              <w:rPr>
                <w:sz w:val="20"/>
                <w:szCs w:val="20"/>
              </w:rPr>
            </w:pPr>
            <w:r>
              <w:rPr>
                <w:sz w:val="20"/>
                <w:szCs w:val="20"/>
              </w:rPr>
              <w:t>Notes payable, net (1)</w:t>
            </w:r>
          </w:p>
        </w:tc>
        <w:tc>
          <w:tcPr>
            <w:tcW w:w="50" w:type="pct"/>
            <w:shd w:val="clear" w:color="auto" w:fill="CCEEFF"/>
            <w:vAlign w:val="bottom"/>
            <w:hideMark/>
          </w:tcPr>
          <w:p w14:paraId="7951D734" w14:textId="77777777" w:rsidR="00000000" w:rsidRDefault="0084716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53B9DE99" w14:textId="77777777" w:rsidR="00000000" w:rsidRDefault="00847163">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14:paraId="1C9D8567" w14:textId="77777777" w:rsidR="00000000" w:rsidRDefault="00847163">
            <w:pPr>
              <w:jc w:val="right"/>
              <w:rPr>
                <w:rFonts w:eastAsia="Times New Roman"/>
                <w:sz w:val="20"/>
                <w:szCs w:val="20"/>
              </w:rPr>
            </w:pPr>
            <w:r>
              <w:rPr>
                <w:rFonts w:eastAsia="Times New Roman"/>
                <w:sz w:val="20"/>
                <w:szCs w:val="20"/>
              </w:rPr>
              <w:t>5,303,656</w:t>
            </w:r>
          </w:p>
        </w:tc>
        <w:tc>
          <w:tcPr>
            <w:tcW w:w="50" w:type="pct"/>
            <w:shd w:val="clear" w:color="auto" w:fill="CCEEFF"/>
            <w:tcMar>
              <w:top w:w="0" w:type="dxa"/>
              <w:left w:w="0" w:type="dxa"/>
              <w:bottom w:w="45" w:type="dxa"/>
              <w:right w:w="0" w:type="dxa"/>
            </w:tcMar>
            <w:vAlign w:val="bottom"/>
            <w:hideMark/>
          </w:tcPr>
          <w:p w14:paraId="62137085"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ED08FAF" w14:textId="77777777" w:rsidR="00000000" w:rsidRDefault="0084716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4224FF98" w14:textId="77777777" w:rsidR="00000000" w:rsidRDefault="00847163">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14:paraId="206E4DF3" w14:textId="77777777" w:rsidR="00000000" w:rsidRDefault="00847163">
            <w:pPr>
              <w:jc w:val="right"/>
              <w:rPr>
                <w:rFonts w:eastAsia="Times New Roman"/>
                <w:sz w:val="20"/>
                <w:szCs w:val="20"/>
              </w:rPr>
            </w:pPr>
            <w:r>
              <w:rPr>
                <w:rFonts w:eastAsia="Times New Roman"/>
                <w:sz w:val="20"/>
                <w:szCs w:val="20"/>
              </w:rPr>
              <w:t>5,041,889</w:t>
            </w:r>
          </w:p>
        </w:tc>
        <w:tc>
          <w:tcPr>
            <w:tcW w:w="50" w:type="pct"/>
            <w:shd w:val="clear" w:color="auto" w:fill="CCEEFF"/>
            <w:tcMar>
              <w:top w:w="0" w:type="dxa"/>
              <w:left w:w="0" w:type="dxa"/>
              <w:bottom w:w="45" w:type="dxa"/>
              <w:right w:w="0" w:type="dxa"/>
            </w:tcMar>
            <w:vAlign w:val="bottom"/>
            <w:hideMark/>
          </w:tcPr>
          <w:p w14:paraId="42B1340D"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326A939" w14:textId="77777777" w:rsidR="00000000" w:rsidRDefault="0084716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1D36A2A9" w14:textId="77777777" w:rsidR="00000000" w:rsidRDefault="00847163">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14:paraId="540AF4A7" w14:textId="77777777" w:rsidR="00000000" w:rsidRDefault="00847163">
            <w:pPr>
              <w:jc w:val="right"/>
              <w:rPr>
                <w:rFonts w:eastAsia="Times New Roman"/>
                <w:sz w:val="20"/>
                <w:szCs w:val="20"/>
              </w:rPr>
            </w:pPr>
            <w:r>
              <w:rPr>
                <w:rFonts w:eastAsia="Times New Roman"/>
                <w:sz w:val="20"/>
                <w:szCs w:val="20"/>
              </w:rPr>
              <w:t>4,831,759</w:t>
            </w:r>
          </w:p>
        </w:tc>
        <w:tc>
          <w:tcPr>
            <w:tcW w:w="50" w:type="pct"/>
            <w:shd w:val="clear" w:color="auto" w:fill="CCEEFF"/>
            <w:tcMar>
              <w:top w:w="0" w:type="dxa"/>
              <w:left w:w="0" w:type="dxa"/>
              <w:bottom w:w="45" w:type="dxa"/>
              <w:right w:w="0" w:type="dxa"/>
            </w:tcMar>
            <w:vAlign w:val="bottom"/>
            <w:hideMark/>
          </w:tcPr>
          <w:p w14:paraId="43587A8B"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461F21A" w14:textId="77777777" w:rsidR="00000000" w:rsidRDefault="0084716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2C918D7D" w14:textId="77777777" w:rsidR="00000000" w:rsidRDefault="00847163">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14:paraId="66EDB72B" w14:textId="77777777" w:rsidR="00000000" w:rsidRDefault="00847163">
            <w:pPr>
              <w:jc w:val="right"/>
              <w:rPr>
                <w:rFonts w:eastAsia="Times New Roman"/>
                <w:sz w:val="20"/>
                <w:szCs w:val="20"/>
              </w:rPr>
            </w:pPr>
            <w:r>
              <w:rPr>
                <w:rFonts w:eastAsia="Times New Roman"/>
                <w:sz w:val="20"/>
                <w:szCs w:val="20"/>
              </w:rPr>
              <w:t>4,983,763</w:t>
            </w:r>
          </w:p>
        </w:tc>
        <w:tc>
          <w:tcPr>
            <w:tcW w:w="50" w:type="pct"/>
            <w:shd w:val="clear" w:color="auto" w:fill="CCEEFF"/>
            <w:tcMar>
              <w:top w:w="0" w:type="dxa"/>
              <w:left w:w="0" w:type="dxa"/>
              <w:bottom w:w="45" w:type="dxa"/>
              <w:right w:w="0" w:type="dxa"/>
            </w:tcMar>
            <w:vAlign w:val="bottom"/>
            <w:hideMark/>
          </w:tcPr>
          <w:p w14:paraId="4898E6C1" w14:textId="77777777" w:rsidR="00000000" w:rsidRDefault="00847163">
            <w:pPr>
              <w:rPr>
                <w:rFonts w:eastAsia="Times New Roman"/>
                <w:sz w:val="20"/>
                <w:szCs w:val="20"/>
              </w:rPr>
            </w:pPr>
            <w:r>
              <w:rPr>
                <w:rFonts w:eastAsia="Times New Roman"/>
                <w:sz w:val="20"/>
                <w:szCs w:val="20"/>
              </w:rPr>
              <w:t> </w:t>
            </w:r>
          </w:p>
        </w:tc>
      </w:tr>
      <w:tr w:rsidR="00000000" w14:paraId="3831B9B4" w14:textId="77777777">
        <w:trPr>
          <w:tblCellSpacing w:w="0" w:type="dxa"/>
        </w:trPr>
        <w:tc>
          <w:tcPr>
            <w:tcW w:w="0" w:type="auto"/>
            <w:shd w:val="clear" w:color="auto" w:fill="FFFFFF"/>
            <w:vAlign w:val="bottom"/>
            <w:hideMark/>
          </w:tcPr>
          <w:p w14:paraId="28E3C466" w14:textId="77777777" w:rsidR="00000000" w:rsidRDefault="00847163">
            <w:pPr>
              <w:pStyle w:val="a3"/>
              <w:spacing w:before="0" w:beforeAutospacing="0" w:after="0" w:afterAutospacing="0"/>
              <w:rPr>
                <w:sz w:val="20"/>
                <w:szCs w:val="20"/>
              </w:rPr>
            </w:pPr>
            <w:r>
              <w:rPr>
                <w:sz w:val="20"/>
                <w:szCs w:val="20"/>
              </w:rPr>
              <w:t>Mortgages and construction loan payable, net (2)</w:t>
            </w:r>
          </w:p>
        </w:tc>
        <w:tc>
          <w:tcPr>
            <w:tcW w:w="50" w:type="pct"/>
            <w:shd w:val="clear" w:color="auto" w:fill="FFFFFF"/>
            <w:vAlign w:val="bottom"/>
            <w:hideMark/>
          </w:tcPr>
          <w:p w14:paraId="44F2534C" w14:textId="77777777" w:rsidR="00000000" w:rsidRDefault="0084716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1F726713" w14:textId="77777777" w:rsidR="00000000" w:rsidRDefault="00847163">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14:paraId="02E8FCED" w14:textId="77777777" w:rsidR="00000000" w:rsidRDefault="00847163">
            <w:pPr>
              <w:jc w:val="right"/>
              <w:rPr>
                <w:rFonts w:eastAsia="Times New Roman"/>
                <w:sz w:val="20"/>
                <w:szCs w:val="20"/>
              </w:rPr>
            </w:pPr>
            <w:r>
              <w:rPr>
                <w:rFonts w:eastAsia="Times New Roman"/>
                <w:sz w:val="20"/>
                <w:szCs w:val="20"/>
              </w:rPr>
              <w:t>404,879</w:t>
            </w:r>
          </w:p>
        </w:tc>
        <w:tc>
          <w:tcPr>
            <w:tcW w:w="50" w:type="pct"/>
            <w:shd w:val="clear" w:color="auto" w:fill="FFFFFF"/>
            <w:tcMar>
              <w:top w:w="0" w:type="dxa"/>
              <w:left w:w="0" w:type="dxa"/>
              <w:bottom w:w="45" w:type="dxa"/>
              <w:right w:w="0" w:type="dxa"/>
            </w:tcMar>
            <w:vAlign w:val="bottom"/>
            <w:hideMark/>
          </w:tcPr>
          <w:p w14:paraId="3F3BCC57"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41B00F1" w14:textId="77777777" w:rsidR="00000000" w:rsidRDefault="0084716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4B001E81" w14:textId="77777777" w:rsidR="00000000" w:rsidRDefault="00847163">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14:paraId="5E9F0591" w14:textId="77777777" w:rsidR="00000000" w:rsidRDefault="00847163">
            <w:pPr>
              <w:jc w:val="right"/>
              <w:rPr>
                <w:rFonts w:eastAsia="Times New Roman"/>
                <w:sz w:val="20"/>
                <w:szCs w:val="20"/>
              </w:rPr>
            </w:pPr>
            <w:r>
              <w:rPr>
                <w:rFonts w:eastAsia="Times New Roman"/>
                <w:sz w:val="20"/>
                <w:szCs w:val="20"/>
              </w:rPr>
              <w:t>405,562</w:t>
            </w:r>
          </w:p>
        </w:tc>
        <w:tc>
          <w:tcPr>
            <w:tcW w:w="50" w:type="pct"/>
            <w:shd w:val="clear" w:color="auto" w:fill="FFFFFF"/>
            <w:tcMar>
              <w:top w:w="0" w:type="dxa"/>
              <w:left w:w="0" w:type="dxa"/>
              <w:bottom w:w="45" w:type="dxa"/>
              <w:right w:w="0" w:type="dxa"/>
            </w:tcMar>
            <w:vAlign w:val="bottom"/>
            <w:hideMark/>
          </w:tcPr>
          <w:p w14:paraId="15A56930"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5C1244B" w14:textId="77777777" w:rsidR="00000000" w:rsidRDefault="0084716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5D99FA28" w14:textId="77777777" w:rsidR="00000000" w:rsidRDefault="00847163">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14:paraId="771EB11C" w14:textId="77777777" w:rsidR="00000000" w:rsidRDefault="00847163">
            <w:pPr>
              <w:jc w:val="right"/>
              <w:rPr>
                <w:rFonts w:eastAsia="Times New Roman"/>
                <w:sz w:val="20"/>
                <w:szCs w:val="20"/>
              </w:rPr>
            </w:pPr>
            <w:r>
              <w:rPr>
                <w:rFonts w:eastAsia="Times New Roman"/>
                <w:sz w:val="20"/>
                <w:szCs w:val="20"/>
              </w:rPr>
              <w:t>484,008</w:t>
            </w:r>
          </w:p>
        </w:tc>
        <w:tc>
          <w:tcPr>
            <w:tcW w:w="50" w:type="pct"/>
            <w:shd w:val="clear" w:color="auto" w:fill="FFFFFF"/>
            <w:tcMar>
              <w:top w:w="0" w:type="dxa"/>
              <w:left w:w="0" w:type="dxa"/>
              <w:bottom w:w="45" w:type="dxa"/>
              <w:right w:w="0" w:type="dxa"/>
            </w:tcMar>
            <w:vAlign w:val="bottom"/>
            <w:hideMark/>
          </w:tcPr>
          <w:p w14:paraId="6F7D848B"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D52AEA0" w14:textId="77777777" w:rsidR="00000000" w:rsidRDefault="0084716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2801F9C8" w14:textId="77777777" w:rsidR="00000000" w:rsidRDefault="00847163">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14:paraId="6ED83656" w14:textId="77777777" w:rsidR="00000000" w:rsidRDefault="00847163">
            <w:pPr>
              <w:jc w:val="right"/>
              <w:rPr>
                <w:rFonts w:eastAsia="Times New Roman"/>
                <w:sz w:val="20"/>
                <w:szCs w:val="20"/>
              </w:rPr>
            </w:pPr>
            <w:r>
              <w:rPr>
                <w:rFonts w:eastAsia="Times New Roman"/>
                <w:sz w:val="20"/>
                <w:szCs w:val="20"/>
              </w:rPr>
              <w:t>486,042</w:t>
            </w:r>
          </w:p>
        </w:tc>
        <w:tc>
          <w:tcPr>
            <w:tcW w:w="50" w:type="pct"/>
            <w:shd w:val="clear" w:color="auto" w:fill="FFFFFF"/>
            <w:tcMar>
              <w:top w:w="0" w:type="dxa"/>
              <w:left w:w="0" w:type="dxa"/>
              <w:bottom w:w="45" w:type="dxa"/>
              <w:right w:w="0" w:type="dxa"/>
            </w:tcMar>
            <w:vAlign w:val="bottom"/>
            <w:hideMark/>
          </w:tcPr>
          <w:p w14:paraId="77A9626C" w14:textId="77777777" w:rsidR="00000000" w:rsidRDefault="00847163">
            <w:pPr>
              <w:rPr>
                <w:rFonts w:eastAsia="Times New Roman"/>
                <w:sz w:val="20"/>
                <w:szCs w:val="20"/>
              </w:rPr>
            </w:pPr>
            <w:r>
              <w:rPr>
                <w:rFonts w:eastAsia="Times New Roman"/>
                <w:sz w:val="20"/>
                <w:szCs w:val="20"/>
              </w:rPr>
              <w:t> </w:t>
            </w:r>
          </w:p>
        </w:tc>
      </w:tr>
    </w:tbl>
    <w:p w14:paraId="66ADFA97" w14:textId="77777777" w:rsidR="00000000" w:rsidRDefault="00847163">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703FA6B5" w14:textId="77777777">
        <w:trPr>
          <w:tblCellSpacing w:w="0" w:type="dxa"/>
        </w:trPr>
        <w:tc>
          <w:tcPr>
            <w:tcW w:w="360" w:type="dxa"/>
            <w:hideMark/>
          </w:tcPr>
          <w:p w14:paraId="3B7368A5" w14:textId="77777777" w:rsidR="00000000" w:rsidRDefault="00847163">
            <w:pPr>
              <w:rPr>
                <w:rFonts w:eastAsia="Times New Roman"/>
              </w:rPr>
            </w:pPr>
            <w:r>
              <w:rPr>
                <w:rFonts w:eastAsia="Times New Roman"/>
              </w:rPr>
              <w:t> </w:t>
            </w:r>
          </w:p>
        </w:tc>
        <w:tc>
          <w:tcPr>
            <w:tcW w:w="360" w:type="dxa"/>
            <w:hideMark/>
          </w:tcPr>
          <w:p w14:paraId="55824A19" w14:textId="77777777" w:rsidR="00000000" w:rsidRDefault="00847163">
            <w:pPr>
              <w:pStyle w:val="a3"/>
              <w:spacing w:before="0" w:beforeAutospacing="0" w:after="0" w:afterAutospacing="0"/>
              <w:jc w:val="both"/>
              <w:rPr>
                <w:sz w:val="20"/>
                <w:szCs w:val="20"/>
              </w:rPr>
            </w:pPr>
            <w:r>
              <w:rPr>
                <w:sz w:val="20"/>
                <w:szCs w:val="20"/>
              </w:rPr>
              <w:t>(</w:t>
            </w:r>
            <w:r>
              <w:rPr>
                <w:rStyle w:val="a6"/>
                <w:sz w:val="20"/>
                <w:szCs w:val="20"/>
              </w:rPr>
              <w:t>1</w:t>
            </w:r>
            <w:r>
              <w:rPr>
                <w:sz w:val="20"/>
                <w:szCs w:val="20"/>
              </w:rPr>
              <w:t>)</w:t>
            </w:r>
          </w:p>
        </w:tc>
        <w:tc>
          <w:tcPr>
            <w:tcW w:w="0" w:type="auto"/>
            <w:hideMark/>
          </w:tcPr>
          <w:p w14:paraId="026177DA" w14:textId="77777777" w:rsidR="00000000" w:rsidRDefault="00847163">
            <w:pPr>
              <w:pStyle w:val="a3"/>
              <w:spacing w:before="0" w:beforeAutospacing="0" w:after="0" w:afterAutospacing="0"/>
              <w:jc w:val="both"/>
              <w:rPr>
                <w:sz w:val="20"/>
                <w:szCs w:val="20"/>
              </w:rPr>
            </w:pPr>
            <w:r>
              <w:rPr>
                <w:sz w:val="20"/>
                <w:szCs w:val="20"/>
              </w:rPr>
              <w:t xml:space="preserve">The Company determined that the valuation of its Senior Unsecured Notes were classified within Level </w:t>
            </w:r>
            <w:r>
              <w:rPr>
                <w:rStyle w:val="a6"/>
                <w:sz w:val="20"/>
                <w:szCs w:val="20"/>
              </w:rPr>
              <w:t>2</w:t>
            </w:r>
            <w:r>
              <w:rPr>
                <w:sz w:val="20"/>
                <w:szCs w:val="20"/>
              </w:rPr>
              <w:t xml:space="preserve"> of the fair value hierarchy and its unsecured revolving credit facility was classified within Level </w:t>
            </w:r>
            <w:r>
              <w:rPr>
                <w:rStyle w:val="a6"/>
                <w:sz w:val="20"/>
                <w:szCs w:val="20"/>
              </w:rPr>
              <w:t>3</w:t>
            </w:r>
            <w:r>
              <w:rPr>
                <w:sz w:val="20"/>
                <w:szCs w:val="20"/>
              </w:rPr>
              <w:t xml:space="preserve"> of the fair value hierarchy. The estimated fair val</w:t>
            </w:r>
            <w:r>
              <w:rPr>
                <w:sz w:val="20"/>
                <w:szCs w:val="20"/>
              </w:rPr>
              <w:t xml:space="preserve">ue amounts classified as Level </w:t>
            </w:r>
            <w:r>
              <w:rPr>
                <w:rStyle w:val="a6"/>
                <w:sz w:val="20"/>
                <w:szCs w:val="20"/>
              </w:rPr>
              <w:t>2,</w:t>
            </w:r>
            <w:r>
              <w:rPr>
                <w:sz w:val="20"/>
                <w:szCs w:val="20"/>
              </w:rPr>
              <w:t xml:space="preserve"> as of </w:t>
            </w:r>
            <w:r>
              <w:rPr>
                <w:rStyle w:val="a6"/>
                <w:sz w:val="20"/>
                <w:szCs w:val="20"/>
              </w:rPr>
              <w:t xml:space="preserve">March 31, 2020 </w:t>
            </w:r>
            <w:r>
              <w:rPr>
                <w:sz w:val="20"/>
                <w:szCs w:val="20"/>
              </w:rPr>
              <w:t xml:space="preserve">and </w:t>
            </w:r>
            <w:r>
              <w:rPr>
                <w:rStyle w:val="a6"/>
                <w:sz w:val="20"/>
                <w:szCs w:val="20"/>
              </w:rPr>
              <w:t xml:space="preserve">December 31, 2019, </w:t>
            </w:r>
            <w:r>
              <w:rPr>
                <w:sz w:val="20"/>
                <w:szCs w:val="20"/>
              </w:rPr>
              <w:t xml:space="preserve">were $4.4 billion and $4.8 billion, respectively. The estimated fair value amounts classified as Level </w:t>
            </w:r>
            <w:r>
              <w:rPr>
                <w:rStyle w:val="a6"/>
                <w:sz w:val="20"/>
                <w:szCs w:val="20"/>
              </w:rPr>
              <w:t>3,</w:t>
            </w:r>
            <w:r>
              <w:rPr>
                <w:sz w:val="20"/>
                <w:szCs w:val="20"/>
              </w:rPr>
              <w:t xml:space="preserve"> as of </w:t>
            </w:r>
            <w:r>
              <w:rPr>
                <w:rStyle w:val="a6"/>
                <w:sz w:val="20"/>
                <w:szCs w:val="20"/>
              </w:rPr>
              <w:t xml:space="preserve">March 31, 2020 </w:t>
            </w:r>
            <w:r>
              <w:rPr>
                <w:sz w:val="20"/>
                <w:szCs w:val="20"/>
              </w:rPr>
              <w:t xml:space="preserve">and </w:t>
            </w:r>
            <w:r>
              <w:rPr>
                <w:rStyle w:val="a6"/>
                <w:sz w:val="20"/>
                <w:szCs w:val="20"/>
              </w:rPr>
              <w:t xml:space="preserve">December 31, 2019, </w:t>
            </w:r>
            <w:r>
              <w:rPr>
                <w:sz w:val="20"/>
                <w:szCs w:val="20"/>
              </w:rPr>
              <w:t>were $625.4 million and $199</w:t>
            </w:r>
            <w:r>
              <w:rPr>
                <w:sz w:val="20"/>
                <w:szCs w:val="20"/>
              </w:rPr>
              <w:t>.9 million, respectively.</w:t>
            </w:r>
          </w:p>
        </w:tc>
      </w:tr>
    </w:tbl>
    <w:p w14:paraId="54EB56A8" w14:textId="77777777" w:rsidR="00000000" w:rsidRDefault="00847163">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49518169" w14:textId="77777777">
        <w:trPr>
          <w:tblCellSpacing w:w="0" w:type="dxa"/>
        </w:trPr>
        <w:tc>
          <w:tcPr>
            <w:tcW w:w="360" w:type="dxa"/>
            <w:hideMark/>
          </w:tcPr>
          <w:p w14:paraId="636840F9" w14:textId="77777777" w:rsidR="00000000" w:rsidRDefault="00847163">
            <w:pPr>
              <w:rPr>
                <w:rFonts w:eastAsia="Times New Roman"/>
              </w:rPr>
            </w:pPr>
            <w:r>
              <w:rPr>
                <w:rFonts w:eastAsia="Times New Roman"/>
              </w:rPr>
              <w:t> </w:t>
            </w:r>
          </w:p>
        </w:tc>
        <w:tc>
          <w:tcPr>
            <w:tcW w:w="360" w:type="dxa"/>
            <w:hideMark/>
          </w:tcPr>
          <w:p w14:paraId="31917769" w14:textId="77777777" w:rsidR="00000000" w:rsidRDefault="00847163">
            <w:pPr>
              <w:pStyle w:val="a3"/>
              <w:spacing w:before="0" w:beforeAutospacing="0" w:after="0" w:afterAutospacing="0"/>
              <w:jc w:val="both"/>
              <w:rPr>
                <w:sz w:val="20"/>
                <w:szCs w:val="20"/>
              </w:rPr>
            </w:pPr>
            <w:r>
              <w:rPr>
                <w:sz w:val="20"/>
                <w:szCs w:val="20"/>
              </w:rPr>
              <w:t>(</w:t>
            </w:r>
            <w:r>
              <w:rPr>
                <w:rStyle w:val="a6"/>
                <w:sz w:val="20"/>
                <w:szCs w:val="20"/>
              </w:rPr>
              <w:t>2</w:t>
            </w:r>
            <w:r>
              <w:rPr>
                <w:sz w:val="20"/>
                <w:szCs w:val="20"/>
              </w:rPr>
              <w:t>)</w:t>
            </w:r>
          </w:p>
        </w:tc>
        <w:tc>
          <w:tcPr>
            <w:tcW w:w="0" w:type="auto"/>
            <w:hideMark/>
          </w:tcPr>
          <w:p w14:paraId="349EC0A6" w14:textId="77777777" w:rsidR="00000000" w:rsidRDefault="00847163">
            <w:pPr>
              <w:pStyle w:val="a3"/>
              <w:spacing w:before="0" w:beforeAutospacing="0" w:after="0" w:afterAutospacing="0"/>
              <w:jc w:val="both"/>
              <w:rPr>
                <w:sz w:val="20"/>
                <w:szCs w:val="20"/>
              </w:rPr>
            </w:pPr>
            <w:r>
              <w:rPr>
                <w:sz w:val="20"/>
                <w:szCs w:val="20"/>
              </w:rPr>
              <w:t xml:space="preserve">The Company determined that its valuation of its mortgages and construction loan were classified within Level </w:t>
            </w:r>
            <w:r>
              <w:rPr>
                <w:rStyle w:val="a6"/>
                <w:sz w:val="20"/>
                <w:szCs w:val="20"/>
              </w:rPr>
              <w:t>3</w:t>
            </w:r>
            <w:r>
              <w:rPr>
                <w:sz w:val="20"/>
                <w:szCs w:val="20"/>
              </w:rPr>
              <w:t xml:space="preserve"> of the fair value hierarchy. </w:t>
            </w:r>
          </w:p>
        </w:tc>
      </w:tr>
    </w:tbl>
    <w:p w14:paraId="56DE8291" w14:textId="77777777" w:rsidR="00000000" w:rsidRDefault="00847163">
      <w:pPr>
        <w:pStyle w:val="a3"/>
        <w:spacing w:before="0" w:beforeAutospacing="0" w:after="0" w:afterAutospacing="0"/>
        <w:jc w:val="both"/>
        <w:rPr>
          <w:sz w:val="20"/>
          <w:szCs w:val="20"/>
        </w:rPr>
      </w:pPr>
      <w:r>
        <w:rPr>
          <w:sz w:val="20"/>
          <w:szCs w:val="20"/>
        </w:rPr>
        <w:t> </w:t>
      </w:r>
    </w:p>
    <w:p w14:paraId="3143E452" w14:textId="77777777" w:rsidR="00000000" w:rsidRDefault="00847163">
      <w:pPr>
        <w:pStyle w:val="a3"/>
        <w:spacing w:before="0" w:beforeAutospacing="0" w:after="0" w:afterAutospacing="0"/>
        <w:ind w:firstLine="360"/>
        <w:jc w:val="both"/>
        <w:rPr>
          <w:sz w:val="20"/>
          <w:szCs w:val="20"/>
        </w:rPr>
      </w:pPr>
      <w:r>
        <w:rPr>
          <w:sz w:val="20"/>
          <w:szCs w:val="20"/>
        </w:rPr>
        <w:t>The Company has certain financial instruments that must be measured under the</w:t>
      </w:r>
      <w:r>
        <w:rPr>
          <w:sz w:val="20"/>
          <w:szCs w:val="20"/>
        </w:rPr>
        <w:t xml:space="preserve"> FASB’s Fair Value Measurements and Disclosures guidance, including available for sale securities. The Company currently does </w:t>
      </w:r>
      <w:r>
        <w:rPr>
          <w:rStyle w:val="a6"/>
          <w:sz w:val="20"/>
          <w:szCs w:val="20"/>
        </w:rPr>
        <w:t>not</w:t>
      </w:r>
      <w:r>
        <w:rPr>
          <w:sz w:val="20"/>
          <w:szCs w:val="20"/>
        </w:rPr>
        <w:t xml:space="preserve"> have non-financial assets and non-financial liabilities that are required to be measured at fair value on a recurring basis.</w:t>
      </w:r>
    </w:p>
    <w:p w14:paraId="149AE9FE" w14:textId="77777777" w:rsidR="00000000" w:rsidRDefault="00847163">
      <w:pPr>
        <w:pStyle w:val="a3"/>
        <w:spacing w:before="0" w:beforeAutospacing="0" w:after="0" w:afterAutospacing="0"/>
        <w:ind w:firstLine="720"/>
        <w:jc w:val="both"/>
        <w:rPr>
          <w:sz w:val="20"/>
          <w:szCs w:val="20"/>
        </w:rPr>
      </w:pPr>
      <w:r>
        <w:rPr>
          <w:sz w:val="20"/>
          <w:szCs w:val="20"/>
        </w:rPr>
        <w:t> </w:t>
      </w:r>
    </w:p>
    <w:p w14:paraId="160F84B3" w14:textId="77777777" w:rsidR="00000000" w:rsidRDefault="00847163">
      <w:pPr>
        <w:pStyle w:val="a3"/>
        <w:spacing w:before="0" w:beforeAutospacing="0" w:after="0" w:afterAutospacing="0"/>
        <w:ind w:firstLine="360"/>
        <w:jc w:val="both"/>
        <w:rPr>
          <w:sz w:val="20"/>
          <w:szCs w:val="20"/>
        </w:rPr>
      </w:pPr>
      <w:r>
        <w:rPr>
          <w:sz w:val="20"/>
          <w:szCs w:val="20"/>
        </w:rPr>
        <w:t>The tables below present the Company’s financial assets measured at fair value on a recurring basis at </w:t>
      </w:r>
      <w:r>
        <w:rPr>
          <w:rStyle w:val="a6"/>
          <w:sz w:val="20"/>
          <w:szCs w:val="20"/>
        </w:rPr>
        <w:t xml:space="preserve"> March 31, 2020 </w:t>
      </w:r>
      <w:r>
        <w:rPr>
          <w:sz w:val="20"/>
          <w:szCs w:val="20"/>
        </w:rPr>
        <w:t xml:space="preserve">and </w:t>
      </w:r>
      <w:r>
        <w:rPr>
          <w:rStyle w:val="a6"/>
          <w:sz w:val="20"/>
          <w:szCs w:val="20"/>
        </w:rPr>
        <w:t xml:space="preserve">December 31, 2019, </w:t>
      </w:r>
      <w:r>
        <w:rPr>
          <w:sz w:val="20"/>
          <w:szCs w:val="20"/>
        </w:rPr>
        <w:t>aggregated by the level in the fair value hierarchy within which those measurements fall (in thousands):</w:t>
      </w:r>
    </w:p>
    <w:p w14:paraId="6C628F2E" w14:textId="77777777" w:rsidR="00000000" w:rsidRDefault="00847163">
      <w:pPr>
        <w:pStyle w:val="a3"/>
        <w:spacing w:before="0" w:beforeAutospacing="0" w:after="0" w:afterAutospacing="0"/>
        <w:ind w:firstLine="360"/>
        <w:jc w:val="both"/>
        <w:rPr>
          <w:sz w:val="20"/>
          <w:szCs w:val="20"/>
        </w:rPr>
      </w:pPr>
      <w:r>
        <w:rPr>
          <w:sz w:val="20"/>
          <w:szCs w:val="20"/>
        </w:rPr>
        <w:t> </w:t>
      </w:r>
    </w:p>
    <w:tbl>
      <w:tblPr>
        <w:tblW w:w="4500" w:type="pct"/>
        <w:tblCellSpacing w:w="0" w:type="dxa"/>
        <w:tblInd w:w="5" w:type="dxa"/>
        <w:tblCellMar>
          <w:left w:w="0" w:type="dxa"/>
          <w:right w:w="0" w:type="dxa"/>
        </w:tblCellMar>
        <w:tblLook w:val="04A0" w:firstRow="1" w:lastRow="0" w:firstColumn="1" w:lastColumn="0" w:noHBand="0" w:noVBand="1"/>
      </w:tblPr>
      <w:tblGrid>
        <w:gridCol w:w="2981"/>
        <w:gridCol w:w="66"/>
        <w:gridCol w:w="101"/>
        <w:gridCol w:w="889"/>
        <w:gridCol w:w="67"/>
        <w:gridCol w:w="67"/>
        <w:gridCol w:w="100"/>
        <w:gridCol w:w="889"/>
        <w:gridCol w:w="67"/>
        <w:gridCol w:w="67"/>
        <w:gridCol w:w="101"/>
        <w:gridCol w:w="889"/>
        <w:gridCol w:w="67"/>
        <w:gridCol w:w="67"/>
        <w:gridCol w:w="101"/>
        <w:gridCol w:w="889"/>
        <w:gridCol w:w="67"/>
      </w:tblGrid>
      <w:tr w:rsidR="00000000" w14:paraId="518389BB" w14:textId="77777777">
        <w:trPr>
          <w:tblCellSpacing w:w="0" w:type="dxa"/>
        </w:trPr>
        <w:tc>
          <w:tcPr>
            <w:tcW w:w="0" w:type="auto"/>
            <w:vAlign w:val="bottom"/>
            <w:hideMark/>
          </w:tcPr>
          <w:p w14:paraId="1C1BD4D8"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72C12321" w14:textId="77777777" w:rsidR="00000000" w:rsidRDefault="0084716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766D9FD2" w14:textId="77777777" w:rsidR="00000000" w:rsidRDefault="00847163">
            <w:pPr>
              <w:pStyle w:val="a3"/>
              <w:spacing w:before="0" w:beforeAutospacing="0" w:after="0" w:afterAutospacing="0"/>
              <w:jc w:val="center"/>
              <w:rPr>
                <w:sz w:val="20"/>
                <w:szCs w:val="20"/>
              </w:rPr>
            </w:pPr>
            <w:r>
              <w:rPr>
                <w:b/>
                <w:bCs/>
                <w:sz w:val="20"/>
                <w:szCs w:val="20"/>
              </w:rPr>
              <w:t>Ba</w:t>
            </w:r>
            <w:r>
              <w:rPr>
                <w:b/>
                <w:bCs/>
                <w:sz w:val="20"/>
                <w:szCs w:val="20"/>
              </w:rPr>
              <w:t>lance at</w:t>
            </w:r>
          </w:p>
          <w:p w14:paraId="66993EC9" w14:textId="77777777" w:rsidR="00000000" w:rsidRDefault="00847163">
            <w:pPr>
              <w:pStyle w:val="a3"/>
              <w:spacing w:before="0" w:beforeAutospacing="0" w:after="0" w:afterAutospacing="0"/>
              <w:jc w:val="center"/>
              <w:rPr>
                <w:sz w:val="20"/>
                <w:szCs w:val="20"/>
              </w:rPr>
            </w:pPr>
            <w:r>
              <w:rPr>
                <w:b/>
                <w:bCs/>
                <w:sz w:val="20"/>
                <w:szCs w:val="20"/>
              </w:rPr>
              <w:t>March 31, 2020</w:t>
            </w:r>
          </w:p>
        </w:tc>
        <w:tc>
          <w:tcPr>
            <w:tcW w:w="0" w:type="auto"/>
            <w:tcMar>
              <w:top w:w="0" w:type="dxa"/>
              <w:left w:w="0" w:type="dxa"/>
              <w:bottom w:w="15" w:type="dxa"/>
              <w:right w:w="0" w:type="dxa"/>
            </w:tcMar>
            <w:vAlign w:val="bottom"/>
            <w:hideMark/>
          </w:tcPr>
          <w:p w14:paraId="200A9CD5"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522F5BDD" w14:textId="77777777" w:rsidR="00000000" w:rsidRDefault="0084716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7DE407DF" w14:textId="77777777" w:rsidR="00000000" w:rsidRDefault="00847163">
            <w:pPr>
              <w:pStyle w:val="a3"/>
              <w:spacing w:before="0" w:beforeAutospacing="0" w:after="0" w:afterAutospacing="0"/>
              <w:jc w:val="center"/>
              <w:rPr>
                <w:sz w:val="20"/>
                <w:szCs w:val="20"/>
              </w:rPr>
            </w:pPr>
            <w:r>
              <w:rPr>
                <w:b/>
                <w:bCs/>
                <w:sz w:val="20"/>
                <w:szCs w:val="20"/>
              </w:rPr>
              <w:t>Level 1</w:t>
            </w:r>
          </w:p>
        </w:tc>
        <w:tc>
          <w:tcPr>
            <w:tcW w:w="0" w:type="auto"/>
            <w:tcMar>
              <w:top w:w="0" w:type="dxa"/>
              <w:left w:w="0" w:type="dxa"/>
              <w:bottom w:w="15" w:type="dxa"/>
              <w:right w:w="0" w:type="dxa"/>
            </w:tcMar>
            <w:vAlign w:val="bottom"/>
            <w:hideMark/>
          </w:tcPr>
          <w:p w14:paraId="300EE701"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46C0E7E8" w14:textId="77777777" w:rsidR="00000000" w:rsidRDefault="0084716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718D8140" w14:textId="77777777" w:rsidR="00000000" w:rsidRDefault="00847163">
            <w:pPr>
              <w:pStyle w:val="a3"/>
              <w:spacing w:before="0" w:beforeAutospacing="0" w:after="0" w:afterAutospacing="0"/>
              <w:jc w:val="center"/>
              <w:rPr>
                <w:sz w:val="20"/>
                <w:szCs w:val="20"/>
              </w:rPr>
            </w:pPr>
            <w:r>
              <w:rPr>
                <w:b/>
                <w:bCs/>
                <w:sz w:val="20"/>
                <w:szCs w:val="20"/>
              </w:rPr>
              <w:t>Level 2</w:t>
            </w:r>
          </w:p>
        </w:tc>
        <w:tc>
          <w:tcPr>
            <w:tcW w:w="0" w:type="auto"/>
            <w:tcMar>
              <w:top w:w="0" w:type="dxa"/>
              <w:left w:w="0" w:type="dxa"/>
              <w:bottom w:w="15" w:type="dxa"/>
              <w:right w:w="0" w:type="dxa"/>
            </w:tcMar>
            <w:vAlign w:val="bottom"/>
            <w:hideMark/>
          </w:tcPr>
          <w:p w14:paraId="5CA46983"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2A70AAC5" w14:textId="77777777" w:rsidR="00000000" w:rsidRDefault="0084716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3F541BC9" w14:textId="77777777" w:rsidR="00000000" w:rsidRDefault="00847163">
            <w:pPr>
              <w:pStyle w:val="a3"/>
              <w:spacing w:before="0" w:beforeAutospacing="0" w:after="0" w:afterAutospacing="0"/>
              <w:jc w:val="center"/>
              <w:rPr>
                <w:sz w:val="20"/>
                <w:szCs w:val="20"/>
              </w:rPr>
            </w:pPr>
            <w:r>
              <w:rPr>
                <w:b/>
                <w:bCs/>
                <w:sz w:val="20"/>
                <w:szCs w:val="20"/>
              </w:rPr>
              <w:t>Level 3</w:t>
            </w:r>
          </w:p>
        </w:tc>
        <w:tc>
          <w:tcPr>
            <w:tcW w:w="0" w:type="auto"/>
            <w:tcMar>
              <w:top w:w="0" w:type="dxa"/>
              <w:left w:w="0" w:type="dxa"/>
              <w:bottom w:w="15" w:type="dxa"/>
              <w:right w:w="0" w:type="dxa"/>
            </w:tcMar>
            <w:vAlign w:val="bottom"/>
            <w:hideMark/>
          </w:tcPr>
          <w:p w14:paraId="18BACE28" w14:textId="77777777" w:rsidR="00000000" w:rsidRDefault="00847163">
            <w:pPr>
              <w:rPr>
                <w:rFonts w:eastAsia="Times New Roman"/>
                <w:sz w:val="20"/>
                <w:szCs w:val="20"/>
              </w:rPr>
            </w:pPr>
            <w:r>
              <w:rPr>
                <w:rFonts w:eastAsia="Times New Roman"/>
                <w:sz w:val="20"/>
                <w:szCs w:val="20"/>
              </w:rPr>
              <w:t> </w:t>
            </w:r>
          </w:p>
        </w:tc>
      </w:tr>
      <w:tr w:rsidR="00000000" w14:paraId="5AF4111C" w14:textId="77777777">
        <w:trPr>
          <w:tblCellSpacing w:w="0" w:type="dxa"/>
        </w:trPr>
        <w:tc>
          <w:tcPr>
            <w:tcW w:w="0" w:type="auto"/>
            <w:vAlign w:val="bottom"/>
            <w:hideMark/>
          </w:tcPr>
          <w:p w14:paraId="3E47A36D"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5D5553EE"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2D81A84E"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62227FD1"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608E59B4"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501433FE"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321B7CCD"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638FA308"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186E4C97"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5A7CF8CC"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07618FF1"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44DBBE42"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3D1EBC2C"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5F25C7CA"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476E6820"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719D61FF"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3DC573B1" w14:textId="77777777" w:rsidR="00000000" w:rsidRDefault="00847163">
            <w:pPr>
              <w:rPr>
                <w:rFonts w:eastAsia="Times New Roman"/>
                <w:sz w:val="20"/>
                <w:szCs w:val="20"/>
              </w:rPr>
            </w:pPr>
            <w:r>
              <w:rPr>
                <w:rFonts w:eastAsia="Times New Roman"/>
                <w:sz w:val="20"/>
                <w:szCs w:val="20"/>
              </w:rPr>
              <w:t> </w:t>
            </w:r>
          </w:p>
        </w:tc>
      </w:tr>
      <w:tr w:rsidR="00000000" w14:paraId="415FCF3D" w14:textId="77777777">
        <w:trPr>
          <w:tblCellSpacing w:w="0" w:type="dxa"/>
        </w:trPr>
        <w:tc>
          <w:tcPr>
            <w:tcW w:w="2000" w:type="pct"/>
            <w:shd w:val="clear" w:color="auto" w:fill="CCEEFF"/>
            <w:vAlign w:val="bottom"/>
            <w:hideMark/>
          </w:tcPr>
          <w:p w14:paraId="604147C5" w14:textId="77777777" w:rsidR="00000000" w:rsidRDefault="00847163">
            <w:pPr>
              <w:pStyle w:val="a3"/>
              <w:spacing w:before="0" w:beforeAutospacing="0" w:after="0" w:afterAutospacing="0"/>
              <w:rPr>
                <w:sz w:val="20"/>
                <w:szCs w:val="20"/>
              </w:rPr>
            </w:pPr>
            <w:r>
              <w:rPr>
                <w:sz w:val="20"/>
                <w:szCs w:val="20"/>
              </w:rPr>
              <w:t>Marketable equity securities</w:t>
            </w:r>
          </w:p>
        </w:tc>
        <w:tc>
          <w:tcPr>
            <w:tcW w:w="50" w:type="pct"/>
            <w:shd w:val="clear" w:color="auto" w:fill="CCEEFF"/>
            <w:vAlign w:val="bottom"/>
            <w:hideMark/>
          </w:tcPr>
          <w:p w14:paraId="436B4049"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48E03B2" w14:textId="77777777" w:rsidR="00000000" w:rsidRDefault="00847163">
            <w:pPr>
              <w:rPr>
                <w:rFonts w:eastAsia="Times New Roman"/>
                <w:sz w:val="20"/>
                <w:szCs w:val="20"/>
              </w:rPr>
            </w:pPr>
            <w:r>
              <w:rPr>
                <w:rFonts w:eastAsia="Times New Roman"/>
                <w:sz w:val="20"/>
                <w:szCs w:val="20"/>
              </w:rPr>
              <w:t>$</w:t>
            </w:r>
          </w:p>
        </w:tc>
        <w:tc>
          <w:tcPr>
            <w:tcW w:w="600" w:type="pct"/>
            <w:shd w:val="clear" w:color="auto" w:fill="CCEEFF"/>
            <w:vAlign w:val="bottom"/>
            <w:hideMark/>
          </w:tcPr>
          <w:p w14:paraId="5730689A" w14:textId="77777777" w:rsidR="00000000" w:rsidRDefault="00847163">
            <w:pPr>
              <w:jc w:val="right"/>
              <w:rPr>
                <w:rFonts w:eastAsia="Times New Roman"/>
                <w:sz w:val="20"/>
                <w:szCs w:val="20"/>
              </w:rPr>
            </w:pPr>
            <w:r>
              <w:rPr>
                <w:rFonts w:eastAsia="Times New Roman"/>
                <w:sz w:val="20"/>
                <w:szCs w:val="20"/>
              </w:rPr>
              <w:t>4,524</w:t>
            </w:r>
          </w:p>
        </w:tc>
        <w:tc>
          <w:tcPr>
            <w:tcW w:w="50" w:type="pct"/>
            <w:shd w:val="clear" w:color="auto" w:fill="CCEEFF"/>
            <w:vAlign w:val="bottom"/>
            <w:hideMark/>
          </w:tcPr>
          <w:p w14:paraId="7729CAD6"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9576D5A"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A0AE80B" w14:textId="77777777" w:rsidR="00000000" w:rsidRDefault="00847163">
            <w:pPr>
              <w:rPr>
                <w:rFonts w:eastAsia="Times New Roman"/>
                <w:sz w:val="20"/>
                <w:szCs w:val="20"/>
              </w:rPr>
            </w:pPr>
            <w:r>
              <w:rPr>
                <w:rFonts w:eastAsia="Times New Roman"/>
                <w:sz w:val="20"/>
                <w:szCs w:val="20"/>
              </w:rPr>
              <w:t>$</w:t>
            </w:r>
          </w:p>
        </w:tc>
        <w:tc>
          <w:tcPr>
            <w:tcW w:w="600" w:type="pct"/>
            <w:shd w:val="clear" w:color="auto" w:fill="CCEEFF"/>
            <w:vAlign w:val="bottom"/>
            <w:hideMark/>
          </w:tcPr>
          <w:p w14:paraId="1F74B960" w14:textId="77777777" w:rsidR="00000000" w:rsidRDefault="00847163">
            <w:pPr>
              <w:jc w:val="right"/>
              <w:rPr>
                <w:rFonts w:eastAsia="Times New Roman"/>
                <w:sz w:val="20"/>
                <w:szCs w:val="20"/>
              </w:rPr>
            </w:pPr>
            <w:r>
              <w:rPr>
                <w:rFonts w:eastAsia="Times New Roman"/>
                <w:sz w:val="20"/>
                <w:szCs w:val="20"/>
              </w:rPr>
              <w:t>4,524</w:t>
            </w:r>
          </w:p>
        </w:tc>
        <w:tc>
          <w:tcPr>
            <w:tcW w:w="50" w:type="pct"/>
            <w:shd w:val="clear" w:color="auto" w:fill="CCEEFF"/>
            <w:vAlign w:val="bottom"/>
            <w:hideMark/>
          </w:tcPr>
          <w:p w14:paraId="5BF8675F"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3A29CFF"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06DDBA5" w14:textId="77777777" w:rsidR="00000000" w:rsidRDefault="00847163">
            <w:pPr>
              <w:rPr>
                <w:rFonts w:eastAsia="Times New Roman"/>
                <w:sz w:val="20"/>
                <w:szCs w:val="20"/>
              </w:rPr>
            </w:pPr>
            <w:r>
              <w:rPr>
                <w:rFonts w:eastAsia="Times New Roman"/>
                <w:sz w:val="20"/>
                <w:szCs w:val="20"/>
              </w:rPr>
              <w:t>$</w:t>
            </w:r>
          </w:p>
        </w:tc>
        <w:tc>
          <w:tcPr>
            <w:tcW w:w="600" w:type="pct"/>
            <w:shd w:val="clear" w:color="auto" w:fill="CCEEFF"/>
            <w:vAlign w:val="bottom"/>
            <w:hideMark/>
          </w:tcPr>
          <w:p w14:paraId="41903031" w14:textId="77777777" w:rsidR="00000000" w:rsidRDefault="0084716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5395AD54"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0274E14"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EEB1195" w14:textId="77777777" w:rsidR="00000000" w:rsidRDefault="00847163">
            <w:pPr>
              <w:rPr>
                <w:rFonts w:eastAsia="Times New Roman"/>
                <w:sz w:val="20"/>
                <w:szCs w:val="20"/>
              </w:rPr>
            </w:pPr>
            <w:r>
              <w:rPr>
                <w:rFonts w:eastAsia="Times New Roman"/>
                <w:sz w:val="20"/>
                <w:szCs w:val="20"/>
              </w:rPr>
              <w:t>$</w:t>
            </w:r>
          </w:p>
        </w:tc>
        <w:tc>
          <w:tcPr>
            <w:tcW w:w="600" w:type="pct"/>
            <w:shd w:val="clear" w:color="auto" w:fill="CCEEFF"/>
            <w:vAlign w:val="bottom"/>
            <w:hideMark/>
          </w:tcPr>
          <w:p w14:paraId="4B0E636F" w14:textId="77777777" w:rsidR="00000000" w:rsidRDefault="0084716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02097F28" w14:textId="77777777" w:rsidR="00000000" w:rsidRDefault="00847163">
            <w:pPr>
              <w:rPr>
                <w:rFonts w:eastAsia="Times New Roman"/>
                <w:sz w:val="20"/>
                <w:szCs w:val="20"/>
              </w:rPr>
            </w:pPr>
            <w:r>
              <w:rPr>
                <w:rFonts w:eastAsia="Times New Roman"/>
                <w:sz w:val="20"/>
                <w:szCs w:val="20"/>
              </w:rPr>
              <w:t> </w:t>
            </w:r>
          </w:p>
        </w:tc>
      </w:tr>
    </w:tbl>
    <w:p w14:paraId="139E295D" w14:textId="77777777" w:rsidR="00000000" w:rsidRDefault="00847163">
      <w:pPr>
        <w:pStyle w:val="a3"/>
        <w:spacing w:before="0" w:beforeAutospacing="0" w:after="0" w:afterAutospacing="0"/>
        <w:rPr>
          <w:sz w:val="20"/>
          <w:szCs w:val="20"/>
        </w:rPr>
      </w:pPr>
      <w:r>
        <w:rPr>
          <w:sz w:val="20"/>
          <w:szCs w:val="20"/>
        </w:rPr>
        <w:t> </w:t>
      </w:r>
    </w:p>
    <w:tbl>
      <w:tblPr>
        <w:tblW w:w="4500" w:type="pct"/>
        <w:tblCellSpacing w:w="0" w:type="dxa"/>
        <w:tblInd w:w="5" w:type="dxa"/>
        <w:tblCellMar>
          <w:left w:w="0" w:type="dxa"/>
          <w:right w:w="0" w:type="dxa"/>
        </w:tblCellMar>
        <w:tblLook w:val="04A0" w:firstRow="1" w:lastRow="0" w:firstColumn="1" w:lastColumn="0" w:noHBand="0" w:noVBand="1"/>
      </w:tblPr>
      <w:tblGrid>
        <w:gridCol w:w="2981"/>
        <w:gridCol w:w="66"/>
        <w:gridCol w:w="101"/>
        <w:gridCol w:w="889"/>
        <w:gridCol w:w="67"/>
        <w:gridCol w:w="67"/>
        <w:gridCol w:w="100"/>
        <w:gridCol w:w="889"/>
        <w:gridCol w:w="67"/>
        <w:gridCol w:w="67"/>
        <w:gridCol w:w="101"/>
        <w:gridCol w:w="889"/>
        <w:gridCol w:w="67"/>
        <w:gridCol w:w="67"/>
        <w:gridCol w:w="101"/>
        <w:gridCol w:w="889"/>
        <w:gridCol w:w="67"/>
      </w:tblGrid>
      <w:tr w:rsidR="00000000" w14:paraId="3F85BA04" w14:textId="77777777">
        <w:trPr>
          <w:tblCellSpacing w:w="0" w:type="dxa"/>
        </w:trPr>
        <w:tc>
          <w:tcPr>
            <w:tcW w:w="0" w:type="auto"/>
            <w:vAlign w:val="bottom"/>
            <w:hideMark/>
          </w:tcPr>
          <w:p w14:paraId="35A582DE"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299A4D53" w14:textId="77777777" w:rsidR="00000000" w:rsidRDefault="0084716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1F95385B" w14:textId="77777777" w:rsidR="00000000" w:rsidRDefault="00847163">
            <w:pPr>
              <w:pStyle w:val="a3"/>
              <w:spacing w:before="0" w:beforeAutospacing="0" w:after="0" w:afterAutospacing="0"/>
              <w:jc w:val="center"/>
              <w:rPr>
                <w:sz w:val="20"/>
                <w:szCs w:val="20"/>
              </w:rPr>
            </w:pPr>
            <w:r>
              <w:rPr>
                <w:b/>
                <w:bCs/>
                <w:sz w:val="20"/>
                <w:szCs w:val="20"/>
              </w:rPr>
              <w:t>Balance at</w:t>
            </w:r>
          </w:p>
          <w:p w14:paraId="3A9FAE4F" w14:textId="77777777" w:rsidR="00000000" w:rsidRDefault="00847163">
            <w:pPr>
              <w:pStyle w:val="a3"/>
              <w:spacing w:before="0" w:beforeAutospacing="0" w:after="0" w:afterAutospacing="0"/>
              <w:jc w:val="center"/>
              <w:rPr>
                <w:sz w:val="20"/>
                <w:szCs w:val="20"/>
              </w:rPr>
            </w:pPr>
            <w:r>
              <w:rPr>
                <w:b/>
                <w:bCs/>
                <w:sz w:val="20"/>
                <w:szCs w:val="20"/>
              </w:rPr>
              <w:t>December 31, 2019</w:t>
            </w:r>
          </w:p>
        </w:tc>
        <w:tc>
          <w:tcPr>
            <w:tcW w:w="0" w:type="auto"/>
            <w:tcMar>
              <w:top w:w="0" w:type="dxa"/>
              <w:left w:w="0" w:type="dxa"/>
              <w:bottom w:w="15" w:type="dxa"/>
              <w:right w:w="0" w:type="dxa"/>
            </w:tcMar>
            <w:vAlign w:val="bottom"/>
            <w:hideMark/>
          </w:tcPr>
          <w:p w14:paraId="1AEEEFD5"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5B737DC4" w14:textId="77777777" w:rsidR="00000000" w:rsidRDefault="0084716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78ACBBAA" w14:textId="77777777" w:rsidR="00000000" w:rsidRDefault="00847163">
            <w:pPr>
              <w:pStyle w:val="a3"/>
              <w:spacing w:before="0" w:beforeAutospacing="0" w:after="0" w:afterAutospacing="0"/>
              <w:jc w:val="center"/>
              <w:rPr>
                <w:sz w:val="20"/>
                <w:szCs w:val="20"/>
              </w:rPr>
            </w:pPr>
            <w:r>
              <w:rPr>
                <w:b/>
                <w:bCs/>
                <w:sz w:val="20"/>
                <w:szCs w:val="20"/>
              </w:rPr>
              <w:t>Level 1</w:t>
            </w:r>
          </w:p>
        </w:tc>
        <w:tc>
          <w:tcPr>
            <w:tcW w:w="0" w:type="auto"/>
            <w:tcMar>
              <w:top w:w="0" w:type="dxa"/>
              <w:left w:w="0" w:type="dxa"/>
              <w:bottom w:w="15" w:type="dxa"/>
              <w:right w:w="0" w:type="dxa"/>
            </w:tcMar>
            <w:vAlign w:val="bottom"/>
            <w:hideMark/>
          </w:tcPr>
          <w:p w14:paraId="15A86571"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78485D1D" w14:textId="77777777" w:rsidR="00000000" w:rsidRDefault="0084716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0B29232A" w14:textId="77777777" w:rsidR="00000000" w:rsidRDefault="00847163">
            <w:pPr>
              <w:pStyle w:val="a3"/>
              <w:spacing w:before="0" w:beforeAutospacing="0" w:after="0" w:afterAutospacing="0"/>
              <w:jc w:val="center"/>
              <w:rPr>
                <w:sz w:val="20"/>
                <w:szCs w:val="20"/>
              </w:rPr>
            </w:pPr>
            <w:r>
              <w:rPr>
                <w:b/>
                <w:bCs/>
                <w:sz w:val="20"/>
                <w:szCs w:val="20"/>
              </w:rPr>
              <w:t>Level 2</w:t>
            </w:r>
          </w:p>
        </w:tc>
        <w:tc>
          <w:tcPr>
            <w:tcW w:w="0" w:type="auto"/>
            <w:tcMar>
              <w:top w:w="0" w:type="dxa"/>
              <w:left w:w="0" w:type="dxa"/>
              <w:bottom w:w="15" w:type="dxa"/>
              <w:right w:w="0" w:type="dxa"/>
            </w:tcMar>
            <w:vAlign w:val="bottom"/>
            <w:hideMark/>
          </w:tcPr>
          <w:p w14:paraId="4436BF06"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034B2EF0" w14:textId="77777777" w:rsidR="00000000" w:rsidRDefault="0084716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765453EC" w14:textId="77777777" w:rsidR="00000000" w:rsidRDefault="00847163">
            <w:pPr>
              <w:pStyle w:val="a3"/>
              <w:spacing w:before="0" w:beforeAutospacing="0" w:after="0" w:afterAutospacing="0"/>
              <w:jc w:val="center"/>
              <w:rPr>
                <w:sz w:val="20"/>
                <w:szCs w:val="20"/>
              </w:rPr>
            </w:pPr>
            <w:r>
              <w:rPr>
                <w:b/>
                <w:bCs/>
                <w:sz w:val="20"/>
                <w:szCs w:val="20"/>
              </w:rPr>
              <w:t>Level 3</w:t>
            </w:r>
          </w:p>
        </w:tc>
        <w:tc>
          <w:tcPr>
            <w:tcW w:w="0" w:type="auto"/>
            <w:tcMar>
              <w:top w:w="0" w:type="dxa"/>
              <w:left w:w="0" w:type="dxa"/>
              <w:bottom w:w="15" w:type="dxa"/>
              <w:right w:w="0" w:type="dxa"/>
            </w:tcMar>
            <w:vAlign w:val="bottom"/>
            <w:hideMark/>
          </w:tcPr>
          <w:p w14:paraId="1C24816B" w14:textId="77777777" w:rsidR="00000000" w:rsidRDefault="00847163">
            <w:pPr>
              <w:rPr>
                <w:rFonts w:eastAsia="Times New Roman"/>
                <w:sz w:val="20"/>
                <w:szCs w:val="20"/>
              </w:rPr>
            </w:pPr>
            <w:r>
              <w:rPr>
                <w:rFonts w:eastAsia="Times New Roman"/>
                <w:sz w:val="20"/>
                <w:szCs w:val="20"/>
              </w:rPr>
              <w:t> </w:t>
            </w:r>
          </w:p>
        </w:tc>
      </w:tr>
      <w:tr w:rsidR="00000000" w14:paraId="0DD3E1E1" w14:textId="77777777">
        <w:trPr>
          <w:tblCellSpacing w:w="0" w:type="dxa"/>
        </w:trPr>
        <w:tc>
          <w:tcPr>
            <w:tcW w:w="0" w:type="auto"/>
            <w:vAlign w:val="bottom"/>
            <w:hideMark/>
          </w:tcPr>
          <w:p w14:paraId="083E049F"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4E440115"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21EA5ABF"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36A81C3E"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6A503B9B"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230B9548"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0E6ABB2F"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2F9BAD40"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02524C6A"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2A4A4205"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7DD3868B"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36DD7357"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689E995C"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276E4693"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4C963B4F"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3A6E3199"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307183A3" w14:textId="77777777" w:rsidR="00000000" w:rsidRDefault="00847163">
            <w:pPr>
              <w:rPr>
                <w:rFonts w:eastAsia="Times New Roman"/>
                <w:sz w:val="20"/>
                <w:szCs w:val="20"/>
              </w:rPr>
            </w:pPr>
            <w:r>
              <w:rPr>
                <w:rFonts w:eastAsia="Times New Roman"/>
                <w:sz w:val="20"/>
                <w:szCs w:val="20"/>
              </w:rPr>
              <w:t> </w:t>
            </w:r>
          </w:p>
        </w:tc>
      </w:tr>
      <w:tr w:rsidR="00000000" w14:paraId="7A21107A" w14:textId="77777777">
        <w:trPr>
          <w:tblCellSpacing w:w="0" w:type="dxa"/>
        </w:trPr>
        <w:tc>
          <w:tcPr>
            <w:tcW w:w="2000" w:type="pct"/>
            <w:shd w:val="clear" w:color="auto" w:fill="CCEEFF"/>
            <w:vAlign w:val="bottom"/>
            <w:hideMark/>
          </w:tcPr>
          <w:p w14:paraId="148D2A2A" w14:textId="77777777" w:rsidR="00000000" w:rsidRDefault="00847163">
            <w:pPr>
              <w:pStyle w:val="a3"/>
              <w:spacing w:before="0" w:beforeAutospacing="0" w:after="0" w:afterAutospacing="0"/>
              <w:rPr>
                <w:sz w:val="20"/>
                <w:szCs w:val="20"/>
              </w:rPr>
            </w:pPr>
            <w:r>
              <w:rPr>
                <w:sz w:val="20"/>
                <w:szCs w:val="20"/>
              </w:rPr>
              <w:t>Marketable equity securities</w:t>
            </w:r>
          </w:p>
        </w:tc>
        <w:tc>
          <w:tcPr>
            <w:tcW w:w="50" w:type="pct"/>
            <w:shd w:val="clear" w:color="auto" w:fill="CCEEFF"/>
            <w:vAlign w:val="bottom"/>
            <w:hideMark/>
          </w:tcPr>
          <w:p w14:paraId="0697544B"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6897C36" w14:textId="77777777" w:rsidR="00000000" w:rsidRDefault="00847163">
            <w:pPr>
              <w:rPr>
                <w:rFonts w:eastAsia="Times New Roman"/>
                <w:sz w:val="20"/>
                <w:szCs w:val="20"/>
              </w:rPr>
            </w:pPr>
            <w:r>
              <w:rPr>
                <w:rFonts w:eastAsia="Times New Roman"/>
                <w:sz w:val="20"/>
                <w:szCs w:val="20"/>
              </w:rPr>
              <w:t>$</w:t>
            </w:r>
          </w:p>
        </w:tc>
        <w:tc>
          <w:tcPr>
            <w:tcW w:w="600" w:type="pct"/>
            <w:shd w:val="clear" w:color="auto" w:fill="CCEEFF"/>
            <w:vAlign w:val="bottom"/>
            <w:hideMark/>
          </w:tcPr>
          <w:p w14:paraId="136F21F3" w14:textId="77777777" w:rsidR="00000000" w:rsidRDefault="00847163">
            <w:pPr>
              <w:jc w:val="right"/>
              <w:rPr>
                <w:rFonts w:eastAsia="Times New Roman"/>
                <w:sz w:val="20"/>
                <w:szCs w:val="20"/>
              </w:rPr>
            </w:pPr>
            <w:r>
              <w:rPr>
                <w:rFonts w:eastAsia="Times New Roman"/>
                <w:sz w:val="20"/>
                <w:szCs w:val="20"/>
              </w:rPr>
              <w:t>9,353</w:t>
            </w:r>
          </w:p>
        </w:tc>
        <w:tc>
          <w:tcPr>
            <w:tcW w:w="50" w:type="pct"/>
            <w:shd w:val="clear" w:color="auto" w:fill="CCEEFF"/>
            <w:vAlign w:val="bottom"/>
            <w:hideMark/>
          </w:tcPr>
          <w:p w14:paraId="29762458"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45D1F3C"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383FD69" w14:textId="77777777" w:rsidR="00000000" w:rsidRDefault="00847163">
            <w:pPr>
              <w:rPr>
                <w:rFonts w:eastAsia="Times New Roman"/>
                <w:sz w:val="20"/>
                <w:szCs w:val="20"/>
              </w:rPr>
            </w:pPr>
            <w:r>
              <w:rPr>
                <w:rFonts w:eastAsia="Times New Roman"/>
                <w:sz w:val="20"/>
                <w:szCs w:val="20"/>
              </w:rPr>
              <w:t>$</w:t>
            </w:r>
          </w:p>
        </w:tc>
        <w:tc>
          <w:tcPr>
            <w:tcW w:w="600" w:type="pct"/>
            <w:shd w:val="clear" w:color="auto" w:fill="CCEEFF"/>
            <w:vAlign w:val="bottom"/>
            <w:hideMark/>
          </w:tcPr>
          <w:p w14:paraId="299DA353" w14:textId="77777777" w:rsidR="00000000" w:rsidRDefault="00847163">
            <w:pPr>
              <w:jc w:val="right"/>
              <w:rPr>
                <w:rFonts w:eastAsia="Times New Roman"/>
                <w:sz w:val="20"/>
                <w:szCs w:val="20"/>
              </w:rPr>
            </w:pPr>
            <w:r>
              <w:rPr>
                <w:rFonts w:eastAsia="Times New Roman"/>
                <w:sz w:val="20"/>
                <w:szCs w:val="20"/>
              </w:rPr>
              <w:t>9,353</w:t>
            </w:r>
          </w:p>
        </w:tc>
        <w:tc>
          <w:tcPr>
            <w:tcW w:w="50" w:type="pct"/>
            <w:shd w:val="clear" w:color="auto" w:fill="CCEEFF"/>
            <w:vAlign w:val="bottom"/>
            <w:hideMark/>
          </w:tcPr>
          <w:p w14:paraId="1F8F7C7F"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EA7E9B4"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ABD88DD" w14:textId="77777777" w:rsidR="00000000" w:rsidRDefault="00847163">
            <w:pPr>
              <w:rPr>
                <w:rFonts w:eastAsia="Times New Roman"/>
                <w:sz w:val="20"/>
                <w:szCs w:val="20"/>
              </w:rPr>
            </w:pPr>
            <w:r>
              <w:rPr>
                <w:rFonts w:eastAsia="Times New Roman"/>
                <w:sz w:val="20"/>
                <w:szCs w:val="20"/>
              </w:rPr>
              <w:t>$</w:t>
            </w:r>
          </w:p>
        </w:tc>
        <w:tc>
          <w:tcPr>
            <w:tcW w:w="600" w:type="pct"/>
            <w:shd w:val="clear" w:color="auto" w:fill="CCEEFF"/>
            <w:vAlign w:val="bottom"/>
            <w:hideMark/>
          </w:tcPr>
          <w:p w14:paraId="04386466" w14:textId="77777777" w:rsidR="00000000" w:rsidRDefault="0084716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027055EE"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A9D39C5"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CBDF7C8" w14:textId="77777777" w:rsidR="00000000" w:rsidRDefault="00847163">
            <w:pPr>
              <w:rPr>
                <w:rFonts w:eastAsia="Times New Roman"/>
                <w:sz w:val="20"/>
                <w:szCs w:val="20"/>
              </w:rPr>
            </w:pPr>
            <w:r>
              <w:rPr>
                <w:rFonts w:eastAsia="Times New Roman"/>
                <w:sz w:val="20"/>
                <w:szCs w:val="20"/>
              </w:rPr>
              <w:t>$</w:t>
            </w:r>
          </w:p>
        </w:tc>
        <w:tc>
          <w:tcPr>
            <w:tcW w:w="600" w:type="pct"/>
            <w:shd w:val="clear" w:color="auto" w:fill="CCEEFF"/>
            <w:vAlign w:val="bottom"/>
            <w:hideMark/>
          </w:tcPr>
          <w:p w14:paraId="4ED7B3DC" w14:textId="77777777" w:rsidR="00000000" w:rsidRDefault="0084716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441BD0AB" w14:textId="77777777" w:rsidR="00000000" w:rsidRDefault="00847163">
            <w:pPr>
              <w:rPr>
                <w:rFonts w:eastAsia="Times New Roman"/>
                <w:sz w:val="20"/>
                <w:szCs w:val="20"/>
              </w:rPr>
            </w:pPr>
            <w:r>
              <w:rPr>
                <w:rFonts w:eastAsia="Times New Roman"/>
                <w:sz w:val="20"/>
                <w:szCs w:val="20"/>
              </w:rPr>
              <w:t> </w:t>
            </w:r>
          </w:p>
        </w:tc>
      </w:tr>
    </w:tbl>
    <w:p w14:paraId="618208C9" w14:textId="77777777" w:rsidR="00000000" w:rsidRDefault="00847163">
      <w:pPr>
        <w:pStyle w:val="a3"/>
        <w:spacing w:before="0" w:beforeAutospacing="0" w:after="0" w:afterAutospacing="0"/>
        <w:jc w:val="both"/>
        <w:rPr>
          <w:sz w:val="20"/>
          <w:szCs w:val="20"/>
        </w:rPr>
      </w:pPr>
      <w:r>
        <w:rPr>
          <w:sz w:val="20"/>
          <w:szCs w:val="20"/>
        </w:rPr>
        <w:t> </w:t>
      </w:r>
    </w:p>
    <w:p w14:paraId="5497F995" w14:textId="77777777" w:rsidR="00000000" w:rsidRDefault="00847163">
      <w:pPr>
        <w:pStyle w:val="a3"/>
        <w:spacing w:before="0" w:beforeAutospacing="0" w:after="0" w:afterAutospacing="0"/>
        <w:ind w:firstLine="360"/>
        <w:jc w:val="both"/>
        <w:rPr>
          <w:sz w:val="20"/>
          <w:szCs w:val="20"/>
        </w:rPr>
      </w:pPr>
      <w:r>
        <w:rPr>
          <w:sz w:val="20"/>
          <w:szCs w:val="20"/>
        </w:rPr>
        <w:t xml:space="preserve">Assets measured at fair value on a non-recurring basis at </w:t>
      </w:r>
      <w:r>
        <w:rPr>
          <w:rStyle w:val="a6"/>
          <w:sz w:val="20"/>
          <w:szCs w:val="20"/>
        </w:rPr>
        <w:t xml:space="preserve">March 31, 2020 </w:t>
      </w:r>
      <w:r>
        <w:rPr>
          <w:sz w:val="20"/>
          <w:szCs w:val="20"/>
        </w:rPr>
        <w:t xml:space="preserve">and </w:t>
      </w:r>
      <w:r>
        <w:rPr>
          <w:rStyle w:val="a6"/>
          <w:sz w:val="20"/>
          <w:szCs w:val="20"/>
        </w:rPr>
        <w:t xml:space="preserve">December 31, 2019, </w:t>
      </w:r>
      <w:r>
        <w:rPr>
          <w:sz w:val="20"/>
          <w:szCs w:val="20"/>
        </w:rPr>
        <w:t>are as follows (in thousands):</w:t>
      </w:r>
    </w:p>
    <w:p w14:paraId="654EBEEA" w14:textId="77777777" w:rsidR="00000000" w:rsidRDefault="00847163">
      <w:pPr>
        <w:pStyle w:val="a3"/>
        <w:spacing w:before="0" w:beforeAutospacing="0" w:after="0" w:afterAutospacing="0"/>
        <w:ind w:firstLine="360"/>
        <w:jc w:val="both"/>
        <w:rPr>
          <w:sz w:val="20"/>
          <w:szCs w:val="20"/>
        </w:rPr>
      </w:pPr>
      <w:r>
        <w:rPr>
          <w:sz w:val="20"/>
          <w:szCs w:val="20"/>
        </w:rPr>
        <w:t> </w:t>
      </w:r>
    </w:p>
    <w:tbl>
      <w:tblPr>
        <w:tblW w:w="4500" w:type="pct"/>
        <w:tblCellSpacing w:w="0" w:type="dxa"/>
        <w:tblInd w:w="5" w:type="dxa"/>
        <w:tblCellMar>
          <w:left w:w="0" w:type="dxa"/>
          <w:right w:w="0" w:type="dxa"/>
        </w:tblCellMar>
        <w:tblLook w:val="04A0" w:firstRow="1" w:lastRow="0" w:firstColumn="1" w:lastColumn="0" w:noHBand="0" w:noVBand="1"/>
      </w:tblPr>
      <w:tblGrid>
        <w:gridCol w:w="2981"/>
        <w:gridCol w:w="66"/>
        <w:gridCol w:w="101"/>
        <w:gridCol w:w="889"/>
        <w:gridCol w:w="67"/>
        <w:gridCol w:w="67"/>
        <w:gridCol w:w="101"/>
        <w:gridCol w:w="889"/>
        <w:gridCol w:w="67"/>
        <w:gridCol w:w="67"/>
        <w:gridCol w:w="101"/>
        <w:gridCol w:w="889"/>
        <w:gridCol w:w="67"/>
        <w:gridCol w:w="67"/>
        <w:gridCol w:w="100"/>
        <w:gridCol w:w="889"/>
        <w:gridCol w:w="67"/>
      </w:tblGrid>
      <w:tr w:rsidR="00000000" w14:paraId="08BB0B96" w14:textId="77777777">
        <w:trPr>
          <w:tblCellSpacing w:w="0" w:type="dxa"/>
        </w:trPr>
        <w:tc>
          <w:tcPr>
            <w:tcW w:w="0" w:type="auto"/>
            <w:vAlign w:val="bottom"/>
            <w:hideMark/>
          </w:tcPr>
          <w:p w14:paraId="18FF0588"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0A83E2D0" w14:textId="77777777" w:rsidR="00000000" w:rsidRDefault="0084716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00A10614" w14:textId="77777777" w:rsidR="00000000" w:rsidRDefault="00847163">
            <w:pPr>
              <w:pStyle w:val="a3"/>
              <w:spacing w:before="0" w:beforeAutospacing="0" w:after="0" w:afterAutospacing="0"/>
              <w:jc w:val="center"/>
              <w:rPr>
                <w:sz w:val="20"/>
                <w:szCs w:val="20"/>
              </w:rPr>
            </w:pPr>
            <w:r>
              <w:rPr>
                <w:b/>
                <w:bCs/>
                <w:sz w:val="20"/>
                <w:szCs w:val="20"/>
              </w:rPr>
              <w:t>Balance at</w:t>
            </w:r>
          </w:p>
          <w:p w14:paraId="3C72EFCD" w14:textId="77777777" w:rsidR="00000000" w:rsidRDefault="00847163">
            <w:pPr>
              <w:pStyle w:val="a3"/>
              <w:spacing w:before="0" w:beforeAutospacing="0" w:after="0" w:afterAutospacing="0"/>
              <w:jc w:val="center"/>
              <w:rPr>
                <w:sz w:val="20"/>
                <w:szCs w:val="20"/>
              </w:rPr>
            </w:pPr>
            <w:r>
              <w:rPr>
                <w:b/>
                <w:bCs/>
                <w:sz w:val="20"/>
                <w:szCs w:val="20"/>
              </w:rPr>
              <w:t>March 31, 2020</w:t>
            </w:r>
          </w:p>
        </w:tc>
        <w:tc>
          <w:tcPr>
            <w:tcW w:w="0" w:type="auto"/>
            <w:tcMar>
              <w:top w:w="0" w:type="dxa"/>
              <w:left w:w="0" w:type="dxa"/>
              <w:bottom w:w="15" w:type="dxa"/>
              <w:right w:w="0" w:type="dxa"/>
            </w:tcMar>
            <w:vAlign w:val="bottom"/>
            <w:hideMark/>
          </w:tcPr>
          <w:p w14:paraId="206670B4"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14FE778B" w14:textId="77777777" w:rsidR="00000000" w:rsidRDefault="0084716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013CD449" w14:textId="77777777" w:rsidR="00000000" w:rsidRDefault="00847163">
            <w:pPr>
              <w:pStyle w:val="a3"/>
              <w:spacing w:before="0" w:beforeAutospacing="0" w:after="0" w:afterAutospacing="0"/>
              <w:jc w:val="center"/>
              <w:rPr>
                <w:sz w:val="20"/>
                <w:szCs w:val="20"/>
              </w:rPr>
            </w:pPr>
            <w:r>
              <w:rPr>
                <w:b/>
                <w:bCs/>
                <w:sz w:val="20"/>
                <w:szCs w:val="20"/>
              </w:rPr>
              <w:t>Level 1</w:t>
            </w:r>
          </w:p>
        </w:tc>
        <w:tc>
          <w:tcPr>
            <w:tcW w:w="0" w:type="auto"/>
            <w:tcMar>
              <w:top w:w="0" w:type="dxa"/>
              <w:left w:w="0" w:type="dxa"/>
              <w:bottom w:w="15" w:type="dxa"/>
              <w:right w:w="0" w:type="dxa"/>
            </w:tcMar>
            <w:vAlign w:val="bottom"/>
            <w:hideMark/>
          </w:tcPr>
          <w:p w14:paraId="15A89E42"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00CC0420" w14:textId="77777777" w:rsidR="00000000" w:rsidRDefault="0084716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2DC6FCCE" w14:textId="77777777" w:rsidR="00000000" w:rsidRDefault="00847163">
            <w:pPr>
              <w:pStyle w:val="a3"/>
              <w:spacing w:before="0" w:beforeAutospacing="0" w:after="0" w:afterAutospacing="0"/>
              <w:jc w:val="center"/>
              <w:rPr>
                <w:sz w:val="20"/>
                <w:szCs w:val="20"/>
              </w:rPr>
            </w:pPr>
            <w:r>
              <w:rPr>
                <w:b/>
                <w:bCs/>
                <w:sz w:val="20"/>
                <w:szCs w:val="20"/>
              </w:rPr>
              <w:t>Level 2</w:t>
            </w:r>
          </w:p>
        </w:tc>
        <w:tc>
          <w:tcPr>
            <w:tcW w:w="0" w:type="auto"/>
            <w:tcMar>
              <w:top w:w="0" w:type="dxa"/>
              <w:left w:w="0" w:type="dxa"/>
              <w:bottom w:w="15" w:type="dxa"/>
              <w:right w:w="0" w:type="dxa"/>
            </w:tcMar>
            <w:vAlign w:val="bottom"/>
            <w:hideMark/>
          </w:tcPr>
          <w:p w14:paraId="45DD3D5F"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53883AA1" w14:textId="77777777" w:rsidR="00000000" w:rsidRDefault="0084716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2C3E1984" w14:textId="77777777" w:rsidR="00000000" w:rsidRDefault="00847163">
            <w:pPr>
              <w:pStyle w:val="a3"/>
              <w:spacing w:before="0" w:beforeAutospacing="0" w:after="0" w:afterAutospacing="0"/>
              <w:jc w:val="center"/>
              <w:rPr>
                <w:sz w:val="20"/>
                <w:szCs w:val="20"/>
              </w:rPr>
            </w:pPr>
            <w:r>
              <w:rPr>
                <w:b/>
                <w:bCs/>
                <w:sz w:val="20"/>
                <w:szCs w:val="20"/>
              </w:rPr>
              <w:t>Level 3</w:t>
            </w:r>
          </w:p>
        </w:tc>
        <w:tc>
          <w:tcPr>
            <w:tcW w:w="0" w:type="auto"/>
            <w:tcMar>
              <w:top w:w="0" w:type="dxa"/>
              <w:left w:w="0" w:type="dxa"/>
              <w:bottom w:w="15" w:type="dxa"/>
              <w:right w:w="0" w:type="dxa"/>
            </w:tcMar>
            <w:vAlign w:val="bottom"/>
            <w:hideMark/>
          </w:tcPr>
          <w:p w14:paraId="6565AD6D" w14:textId="77777777" w:rsidR="00000000" w:rsidRDefault="00847163">
            <w:pPr>
              <w:rPr>
                <w:rFonts w:eastAsia="Times New Roman"/>
                <w:sz w:val="20"/>
                <w:szCs w:val="20"/>
              </w:rPr>
            </w:pPr>
            <w:r>
              <w:rPr>
                <w:rFonts w:eastAsia="Times New Roman"/>
                <w:sz w:val="20"/>
                <w:szCs w:val="20"/>
              </w:rPr>
              <w:t> </w:t>
            </w:r>
          </w:p>
        </w:tc>
      </w:tr>
      <w:tr w:rsidR="00000000" w14:paraId="0FCE788F" w14:textId="77777777">
        <w:trPr>
          <w:tblCellSpacing w:w="0" w:type="dxa"/>
        </w:trPr>
        <w:tc>
          <w:tcPr>
            <w:tcW w:w="0" w:type="auto"/>
            <w:vAlign w:val="bottom"/>
            <w:hideMark/>
          </w:tcPr>
          <w:p w14:paraId="0AB83CEE"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59063C38"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5F410E4D"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5DCE97A2"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599BFEC3"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508961AB"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4174CD5D"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38F7465F"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01537F56"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7B48AB07"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2DD632DE"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0D6A2F51"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3DA5E089"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1FA3C4C2"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68C009E9"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2A491BC5"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51BB0C2A" w14:textId="77777777" w:rsidR="00000000" w:rsidRDefault="00847163">
            <w:pPr>
              <w:rPr>
                <w:rFonts w:eastAsia="Times New Roman"/>
                <w:sz w:val="20"/>
                <w:szCs w:val="20"/>
              </w:rPr>
            </w:pPr>
            <w:r>
              <w:rPr>
                <w:rFonts w:eastAsia="Times New Roman"/>
                <w:sz w:val="20"/>
                <w:szCs w:val="20"/>
              </w:rPr>
              <w:t> </w:t>
            </w:r>
          </w:p>
        </w:tc>
      </w:tr>
      <w:tr w:rsidR="00000000" w14:paraId="3042D72E" w14:textId="77777777">
        <w:trPr>
          <w:tblCellSpacing w:w="0" w:type="dxa"/>
        </w:trPr>
        <w:tc>
          <w:tcPr>
            <w:tcW w:w="2000" w:type="pct"/>
            <w:shd w:val="clear" w:color="auto" w:fill="CCEEFF"/>
            <w:vAlign w:val="bottom"/>
            <w:hideMark/>
          </w:tcPr>
          <w:p w14:paraId="7EF3BC7E" w14:textId="77777777" w:rsidR="00000000" w:rsidRDefault="00847163">
            <w:pPr>
              <w:pStyle w:val="a3"/>
              <w:spacing w:before="0" w:beforeAutospacing="0" w:after="0" w:afterAutospacing="0"/>
              <w:rPr>
                <w:sz w:val="20"/>
                <w:szCs w:val="20"/>
              </w:rPr>
            </w:pPr>
            <w:r>
              <w:rPr>
                <w:sz w:val="20"/>
                <w:szCs w:val="20"/>
              </w:rPr>
              <w:t>Real estate</w:t>
            </w:r>
          </w:p>
        </w:tc>
        <w:tc>
          <w:tcPr>
            <w:tcW w:w="50" w:type="pct"/>
            <w:shd w:val="clear" w:color="auto" w:fill="CCEEFF"/>
            <w:vAlign w:val="bottom"/>
            <w:hideMark/>
          </w:tcPr>
          <w:p w14:paraId="679336F7"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5B0920D" w14:textId="77777777" w:rsidR="00000000" w:rsidRDefault="00847163">
            <w:pPr>
              <w:rPr>
                <w:rFonts w:eastAsia="Times New Roman"/>
                <w:sz w:val="20"/>
                <w:szCs w:val="20"/>
              </w:rPr>
            </w:pPr>
            <w:r>
              <w:rPr>
                <w:rFonts w:eastAsia="Times New Roman"/>
                <w:sz w:val="20"/>
                <w:szCs w:val="20"/>
              </w:rPr>
              <w:t>$</w:t>
            </w:r>
          </w:p>
        </w:tc>
        <w:tc>
          <w:tcPr>
            <w:tcW w:w="600" w:type="pct"/>
            <w:shd w:val="clear" w:color="auto" w:fill="CCEEFF"/>
            <w:vAlign w:val="bottom"/>
            <w:hideMark/>
          </w:tcPr>
          <w:p w14:paraId="31DFBAEA" w14:textId="77777777" w:rsidR="00000000" w:rsidRDefault="00847163">
            <w:pPr>
              <w:jc w:val="right"/>
              <w:rPr>
                <w:rFonts w:eastAsia="Times New Roman"/>
                <w:sz w:val="20"/>
                <w:szCs w:val="20"/>
              </w:rPr>
            </w:pPr>
            <w:r>
              <w:rPr>
                <w:rFonts w:eastAsia="Times New Roman"/>
                <w:sz w:val="20"/>
                <w:szCs w:val="20"/>
              </w:rPr>
              <w:t>5,300</w:t>
            </w:r>
          </w:p>
        </w:tc>
        <w:tc>
          <w:tcPr>
            <w:tcW w:w="50" w:type="pct"/>
            <w:shd w:val="clear" w:color="auto" w:fill="CCEEFF"/>
            <w:vAlign w:val="bottom"/>
            <w:hideMark/>
          </w:tcPr>
          <w:p w14:paraId="6F1273B4"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1EDB248"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6DD5198" w14:textId="77777777" w:rsidR="00000000" w:rsidRDefault="00847163">
            <w:pPr>
              <w:rPr>
                <w:rFonts w:eastAsia="Times New Roman"/>
                <w:sz w:val="20"/>
                <w:szCs w:val="20"/>
              </w:rPr>
            </w:pPr>
            <w:r>
              <w:rPr>
                <w:rFonts w:eastAsia="Times New Roman"/>
                <w:sz w:val="20"/>
                <w:szCs w:val="20"/>
              </w:rPr>
              <w:t>$</w:t>
            </w:r>
          </w:p>
        </w:tc>
        <w:tc>
          <w:tcPr>
            <w:tcW w:w="600" w:type="pct"/>
            <w:shd w:val="clear" w:color="auto" w:fill="CCEEFF"/>
            <w:vAlign w:val="bottom"/>
            <w:hideMark/>
          </w:tcPr>
          <w:p w14:paraId="738FFB19" w14:textId="77777777" w:rsidR="00000000" w:rsidRDefault="0084716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75A0E7D6"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8EB0364"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AEDD68A" w14:textId="77777777" w:rsidR="00000000" w:rsidRDefault="00847163">
            <w:pPr>
              <w:rPr>
                <w:rFonts w:eastAsia="Times New Roman"/>
                <w:sz w:val="20"/>
                <w:szCs w:val="20"/>
              </w:rPr>
            </w:pPr>
            <w:r>
              <w:rPr>
                <w:rFonts w:eastAsia="Times New Roman"/>
                <w:sz w:val="20"/>
                <w:szCs w:val="20"/>
              </w:rPr>
              <w:t>$</w:t>
            </w:r>
          </w:p>
        </w:tc>
        <w:tc>
          <w:tcPr>
            <w:tcW w:w="600" w:type="pct"/>
            <w:shd w:val="clear" w:color="auto" w:fill="CCEEFF"/>
            <w:vAlign w:val="bottom"/>
            <w:hideMark/>
          </w:tcPr>
          <w:p w14:paraId="014C435A" w14:textId="77777777" w:rsidR="00000000" w:rsidRDefault="0084716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65C097A7"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886D835"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82135D4" w14:textId="77777777" w:rsidR="00000000" w:rsidRDefault="00847163">
            <w:pPr>
              <w:rPr>
                <w:rFonts w:eastAsia="Times New Roman"/>
                <w:sz w:val="20"/>
                <w:szCs w:val="20"/>
              </w:rPr>
            </w:pPr>
            <w:r>
              <w:rPr>
                <w:rFonts w:eastAsia="Times New Roman"/>
                <w:sz w:val="20"/>
                <w:szCs w:val="20"/>
              </w:rPr>
              <w:t>$</w:t>
            </w:r>
          </w:p>
        </w:tc>
        <w:tc>
          <w:tcPr>
            <w:tcW w:w="600" w:type="pct"/>
            <w:shd w:val="clear" w:color="auto" w:fill="CCEEFF"/>
            <w:vAlign w:val="bottom"/>
            <w:hideMark/>
          </w:tcPr>
          <w:p w14:paraId="0D1AF849" w14:textId="77777777" w:rsidR="00000000" w:rsidRDefault="00847163">
            <w:pPr>
              <w:jc w:val="right"/>
              <w:rPr>
                <w:rFonts w:eastAsia="Times New Roman"/>
                <w:sz w:val="20"/>
                <w:szCs w:val="20"/>
              </w:rPr>
            </w:pPr>
            <w:r>
              <w:rPr>
                <w:rFonts w:eastAsia="Times New Roman"/>
                <w:sz w:val="20"/>
                <w:szCs w:val="20"/>
              </w:rPr>
              <w:t>5,300</w:t>
            </w:r>
          </w:p>
        </w:tc>
        <w:tc>
          <w:tcPr>
            <w:tcW w:w="50" w:type="pct"/>
            <w:shd w:val="clear" w:color="auto" w:fill="CCEEFF"/>
            <w:vAlign w:val="bottom"/>
            <w:hideMark/>
          </w:tcPr>
          <w:p w14:paraId="5EB3BC12" w14:textId="77777777" w:rsidR="00000000" w:rsidRDefault="00847163">
            <w:pPr>
              <w:rPr>
                <w:rFonts w:eastAsia="Times New Roman"/>
                <w:sz w:val="20"/>
                <w:szCs w:val="20"/>
              </w:rPr>
            </w:pPr>
            <w:r>
              <w:rPr>
                <w:rFonts w:eastAsia="Times New Roman"/>
                <w:sz w:val="20"/>
                <w:szCs w:val="20"/>
              </w:rPr>
              <w:t> </w:t>
            </w:r>
          </w:p>
        </w:tc>
      </w:tr>
    </w:tbl>
    <w:p w14:paraId="0F45D4FC" w14:textId="77777777" w:rsidR="00000000" w:rsidRDefault="00847163">
      <w:pPr>
        <w:pStyle w:val="a3"/>
        <w:spacing w:before="0" w:beforeAutospacing="0" w:after="0" w:afterAutospacing="0"/>
        <w:jc w:val="both"/>
        <w:rPr>
          <w:sz w:val="20"/>
          <w:szCs w:val="20"/>
        </w:rPr>
      </w:pPr>
      <w:r>
        <w:rPr>
          <w:sz w:val="20"/>
          <w:szCs w:val="20"/>
        </w:rPr>
        <w:t> </w:t>
      </w:r>
    </w:p>
    <w:tbl>
      <w:tblPr>
        <w:tblW w:w="4500" w:type="pct"/>
        <w:tblCellSpacing w:w="0" w:type="dxa"/>
        <w:tblInd w:w="5" w:type="dxa"/>
        <w:tblCellMar>
          <w:left w:w="0" w:type="dxa"/>
          <w:right w:w="0" w:type="dxa"/>
        </w:tblCellMar>
        <w:tblLook w:val="04A0" w:firstRow="1" w:lastRow="0" w:firstColumn="1" w:lastColumn="0" w:noHBand="0" w:noVBand="1"/>
      </w:tblPr>
      <w:tblGrid>
        <w:gridCol w:w="2981"/>
        <w:gridCol w:w="66"/>
        <w:gridCol w:w="101"/>
        <w:gridCol w:w="889"/>
        <w:gridCol w:w="67"/>
        <w:gridCol w:w="67"/>
        <w:gridCol w:w="101"/>
        <w:gridCol w:w="889"/>
        <w:gridCol w:w="67"/>
        <w:gridCol w:w="67"/>
        <w:gridCol w:w="101"/>
        <w:gridCol w:w="889"/>
        <w:gridCol w:w="67"/>
        <w:gridCol w:w="67"/>
        <w:gridCol w:w="100"/>
        <w:gridCol w:w="889"/>
        <w:gridCol w:w="67"/>
      </w:tblGrid>
      <w:tr w:rsidR="00000000" w14:paraId="498442E9" w14:textId="77777777">
        <w:trPr>
          <w:tblCellSpacing w:w="0" w:type="dxa"/>
        </w:trPr>
        <w:tc>
          <w:tcPr>
            <w:tcW w:w="0" w:type="auto"/>
            <w:vAlign w:val="bottom"/>
            <w:hideMark/>
          </w:tcPr>
          <w:p w14:paraId="05086FCA"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2FB53A40" w14:textId="77777777" w:rsidR="00000000" w:rsidRDefault="0084716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568886FC" w14:textId="77777777" w:rsidR="00000000" w:rsidRDefault="00847163">
            <w:pPr>
              <w:pStyle w:val="a3"/>
              <w:spacing w:before="0" w:beforeAutospacing="0" w:after="0" w:afterAutospacing="0"/>
              <w:jc w:val="center"/>
              <w:rPr>
                <w:sz w:val="20"/>
                <w:szCs w:val="20"/>
              </w:rPr>
            </w:pPr>
            <w:r>
              <w:rPr>
                <w:b/>
                <w:bCs/>
                <w:sz w:val="20"/>
                <w:szCs w:val="20"/>
              </w:rPr>
              <w:t>Balance at</w:t>
            </w:r>
          </w:p>
          <w:p w14:paraId="4EAF544D" w14:textId="77777777" w:rsidR="00000000" w:rsidRDefault="00847163">
            <w:pPr>
              <w:pStyle w:val="a3"/>
              <w:spacing w:before="0" w:beforeAutospacing="0" w:after="0" w:afterAutospacing="0"/>
              <w:jc w:val="center"/>
              <w:rPr>
                <w:sz w:val="20"/>
                <w:szCs w:val="20"/>
              </w:rPr>
            </w:pPr>
            <w:r>
              <w:rPr>
                <w:b/>
                <w:bCs/>
                <w:sz w:val="20"/>
                <w:szCs w:val="20"/>
              </w:rPr>
              <w:t>December 31, 2019</w:t>
            </w:r>
          </w:p>
        </w:tc>
        <w:tc>
          <w:tcPr>
            <w:tcW w:w="0" w:type="auto"/>
            <w:tcMar>
              <w:top w:w="0" w:type="dxa"/>
              <w:left w:w="0" w:type="dxa"/>
              <w:bottom w:w="15" w:type="dxa"/>
              <w:right w:w="0" w:type="dxa"/>
            </w:tcMar>
            <w:vAlign w:val="bottom"/>
            <w:hideMark/>
          </w:tcPr>
          <w:p w14:paraId="3741F73F"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78B70D97" w14:textId="77777777" w:rsidR="00000000" w:rsidRDefault="0084716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219154AA" w14:textId="77777777" w:rsidR="00000000" w:rsidRDefault="00847163">
            <w:pPr>
              <w:pStyle w:val="a3"/>
              <w:spacing w:before="0" w:beforeAutospacing="0" w:after="0" w:afterAutospacing="0"/>
              <w:jc w:val="center"/>
              <w:rPr>
                <w:sz w:val="20"/>
                <w:szCs w:val="20"/>
              </w:rPr>
            </w:pPr>
            <w:r>
              <w:rPr>
                <w:b/>
                <w:bCs/>
                <w:sz w:val="20"/>
                <w:szCs w:val="20"/>
              </w:rPr>
              <w:t>Level 1</w:t>
            </w:r>
          </w:p>
        </w:tc>
        <w:tc>
          <w:tcPr>
            <w:tcW w:w="0" w:type="auto"/>
            <w:tcMar>
              <w:top w:w="0" w:type="dxa"/>
              <w:left w:w="0" w:type="dxa"/>
              <w:bottom w:w="15" w:type="dxa"/>
              <w:right w:w="0" w:type="dxa"/>
            </w:tcMar>
            <w:vAlign w:val="bottom"/>
            <w:hideMark/>
          </w:tcPr>
          <w:p w14:paraId="5F69CC81"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78D76D64" w14:textId="77777777" w:rsidR="00000000" w:rsidRDefault="0084716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7B8C912E" w14:textId="77777777" w:rsidR="00000000" w:rsidRDefault="00847163">
            <w:pPr>
              <w:pStyle w:val="a3"/>
              <w:spacing w:before="0" w:beforeAutospacing="0" w:after="0" w:afterAutospacing="0"/>
              <w:jc w:val="center"/>
              <w:rPr>
                <w:sz w:val="20"/>
                <w:szCs w:val="20"/>
              </w:rPr>
            </w:pPr>
            <w:r>
              <w:rPr>
                <w:b/>
                <w:bCs/>
                <w:sz w:val="20"/>
                <w:szCs w:val="20"/>
              </w:rPr>
              <w:t>Level 2</w:t>
            </w:r>
          </w:p>
        </w:tc>
        <w:tc>
          <w:tcPr>
            <w:tcW w:w="0" w:type="auto"/>
            <w:tcMar>
              <w:top w:w="0" w:type="dxa"/>
              <w:left w:w="0" w:type="dxa"/>
              <w:bottom w:w="15" w:type="dxa"/>
              <w:right w:w="0" w:type="dxa"/>
            </w:tcMar>
            <w:vAlign w:val="bottom"/>
            <w:hideMark/>
          </w:tcPr>
          <w:p w14:paraId="5AAA9BA7"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5E223EF1" w14:textId="77777777" w:rsidR="00000000" w:rsidRDefault="0084716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62D58541" w14:textId="77777777" w:rsidR="00000000" w:rsidRDefault="00847163">
            <w:pPr>
              <w:pStyle w:val="a3"/>
              <w:spacing w:before="0" w:beforeAutospacing="0" w:after="0" w:afterAutospacing="0"/>
              <w:jc w:val="center"/>
              <w:rPr>
                <w:sz w:val="20"/>
                <w:szCs w:val="20"/>
              </w:rPr>
            </w:pPr>
            <w:r>
              <w:rPr>
                <w:b/>
                <w:bCs/>
                <w:sz w:val="20"/>
                <w:szCs w:val="20"/>
              </w:rPr>
              <w:t>Level 3</w:t>
            </w:r>
          </w:p>
        </w:tc>
        <w:tc>
          <w:tcPr>
            <w:tcW w:w="0" w:type="auto"/>
            <w:tcMar>
              <w:top w:w="0" w:type="dxa"/>
              <w:left w:w="0" w:type="dxa"/>
              <w:bottom w:w="15" w:type="dxa"/>
              <w:right w:w="0" w:type="dxa"/>
            </w:tcMar>
            <w:vAlign w:val="bottom"/>
            <w:hideMark/>
          </w:tcPr>
          <w:p w14:paraId="3466096C" w14:textId="77777777" w:rsidR="00000000" w:rsidRDefault="00847163">
            <w:pPr>
              <w:rPr>
                <w:rFonts w:eastAsia="Times New Roman"/>
                <w:sz w:val="20"/>
                <w:szCs w:val="20"/>
              </w:rPr>
            </w:pPr>
            <w:r>
              <w:rPr>
                <w:rFonts w:eastAsia="Times New Roman"/>
                <w:sz w:val="20"/>
                <w:szCs w:val="20"/>
              </w:rPr>
              <w:t> </w:t>
            </w:r>
          </w:p>
        </w:tc>
      </w:tr>
      <w:tr w:rsidR="00000000" w14:paraId="624D1C86" w14:textId="77777777">
        <w:trPr>
          <w:tblCellSpacing w:w="0" w:type="dxa"/>
        </w:trPr>
        <w:tc>
          <w:tcPr>
            <w:tcW w:w="0" w:type="auto"/>
            <w:vAlign w:val="bottom"/>
            <w:hideMark/>
          </w:tcPr>
          <w:p w14:paraId="7207B3D7"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2C8B3F16"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74FFEBC2"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1904573B"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56933FAF"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69FF00D3"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76CFA033"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1641C6E8"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747867DA"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4A351187"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70EE4148"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7F4B4DCE"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06F4D259"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79365335"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3422FEE8"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3D99DE6D"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52F6D4C3" w14:textId="77777777" w:rsidR="00000000" w:rsidRDefault="00847163">
            <w:pPr>
              <w:rPr>
                <w:rFonts w:eastAsia="Times New Roman"/>
                <w:sz w:val="20"/>
                <w:szCs w:val="20"/>
              </w:rPr>
            </w:pPr>
            <w:r>
              <w:rPr>
                <w:rFonts w:eastAsia="Times New Roman"/>
                <w:sz w:val="20"/>
                <w:szCs w:val="20"/>
              </w:rPr>
              <w:t> </w:t>
            </w:r>
          </w:p>
        </w:tc>
      </w:tr>
      <w:tr w:rsidR="00000000" w14:paraId="26814155" w14:textId="77777777">
        <w:trPr>
          <w:tblCellSpacing w:w="0" w:type="dxa"/>
        </w:trPr>
        <w:tc>
          <w:tcPr>
            <w:tcW w:w="2000" w:type="pct"/>
            <w:shd w:val="clear" w:color="auto" w:fill="CCEEFF"/>
            <w:vAlign w:val="bottom"/>
            <w:hideMark/>
          </w:tcPr>
          <w:p w14:paraId="434C18CC" w14:textId="77777777" w:rsidR="00000000" w:rsidRDefault="00847163">
            <w:pPr>
              <w:pStyle w:val="a3"/>
              <w:spacing w:before="0" w:beforeAutospacing="0" w:after="0" w:afterAutospacing="0"/>
              <w:rPr>
                <w:sz w:val="20"/>
                <w:szCs w:val="20"/>
              </w:rPr>
            </w:pPr>
            <w:r>
              <w:rPr>
                <w:sz w:val="20"/>
                <w:szCs w:val="20"/>
              </w:rPr>
              <w:t>Real estate</w:t>
            </w:r>
          </w:p>
        </w:tc>
        <w:tc>
          <w:tcPr>
            <w:tcW w:w="50" w:type="pct"/>
            <w:shd w:val="clear" w:color="auto" w:fill="CCEEFF"/>
            <w:vAlign w:val="bottom"/>
            <w:hideMark/>
          </w:tcPr>
          <w:p w14:paraId="596014F6"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6110CD0" w14:textId="77777777" w:rsidR="00000000" w:rsidRDefault="00847163">
            <w:pPr>
              <w:rPr>
                <w:rFonts w:eastAsia="Times New Roman"/>
                <w:sz w:val="20"/>
                <w:szCs w:val="20"/>
              </w:rPr>
            </w:pPr>
            <w:r>
              <w:rPr>
                <w:rFonts w:eastAsia="Times New Roman"/>
                <w:sz w:val="20"/>
                <w:szCs w:val="20"/>
              </w:rPr>
              <w:t>$</w:t>
            </w:r>
          </w:p>
        </w:tc>
        <w:tc>
          <w:tcPr>
            <w:tcW w:w="600" w:type="pct"/>
            <w:shd w:val="clear" w:color="auto" w:fill="CCEEFF"/>
            <w:vAlign w:val="bottom"/>
            <w:hideMark/>
          </w:tcPr>
          <w:p w14:paraId="67257388" w14:textId="77777777" w:rsidR="00000000" w:rsidRDefault="00847163">
            <w:pPr>
              <w:jc w:val="right"/>
              <w:rPr>
                <w:rFonts w:eastAsia="Times New Roman"/>
                <w:sz w:val="20"/>
                <w:szCs w:val="20"/>
              </w:rPr>
            </w:pPr>
            <w:r>
              <w:rPr>
                <w:rFonts w:eastAsia="Times New Roman"/>
                <w:sz w:val="20"/>
                <w:szCs w:val="20"/>
              </w:rPr>
              <w:t>39,510</w:t>
            </w:r>
          </w:p>
        </w:tc>
        <w:tc>
          <w:tcPr>
            <w:tcW w:w="50" w:type="pct"/>
            <w:shd w:val="clear" w:color="auto" w:fill="CCEEFF"/>
            <w:vAlign w:val="bottom"/>
            <w:hideMark/>
          </w:tcPr>
          <w:p w14:paraId="22CE1ECC"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8802B49"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8096BAE" w14:textId="77777777" w:rsidR="00000000" w:rsidRDefault="00847163">
            <w:pPr>
              <w:rPr>
                <w:rFonts w:eastAsia="Times New Roman"/>
                <w:sz w:val="20"/>
                <w:szCs w:val="20"/>
              </w:rPr>
            </w:pPr>
            <w:r>
              <w:rPr>
                <w:rFonts w:eastAsia="Times New Roman"/>
                <w:sz w:val="20"/>
                <w:szCs w:val="20"/>
              </w:rPr>
              <w:t>$</w:t>
            </w:r>
          </w:p>
        </w:tc>
        <w:tc>
          <w:tcPr>
            <w:tcW w:w="600" w:type="pct"/>
            <w:shd w:val="clear" w:color="auto" w:fill="CCEEFF"/>
            <w:vAlign w:val="bottom"/>
            <w:hideMark/>
          </w:tcPr>
          <w:p w14:paraId="2C74DC16" w14:textId="77777777" w:rsidR="00000000" w:rsidRDefault="0084716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1A2C04B9"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5BDE0AF"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0616B40" w14:textId="77777777" w:rsidR="00000000" w:rsidRDefault="00847163">
            <w:pPr>
              <w:rPr>
                <w:rFonts w:eastAsia="Times New Roman"/>
                <w:sz w:val="20"/>
                <w:szCs w:val="20"/>
              </w:rPr>
            </w:pPr>
            <w:r>
              <w:rPr>
                <w:rFonts w:eastAsia="Times New Roman"/>
                <w:sz w:val="20"/>
                <w:szCs w:val="20"/>
              </w:rPr>
              <w:t>$</w:t>
            </w:r>
          </w:p>
        </w:tc>
        <w:tc>
          <w:tcPr>
            <w:tcW w:w="600" w:type="pct"/>
            <w:shd w:val="clear" w:color="auto" w:fill="CCEEFF"/>
            <w:vAlign w:val="bottom"/>
            <w:hideMark/>
          </w:tcPr>
          <w:p w14:paraId="345C2947" w14:textId="77777777" w:rsidR="00000000" w:rsidRDefault="0084716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4EA85705"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B1F34F5"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73F622F" w14:textId="77777777" w:rsidR="00000000" w:rsidRDefault="00847163">
            <w:pPr>
              <w:rPr>
                <w:rFonts w:eastAsia="Times New Roman"/>
                <w:sz w:val="20"/>
                <w:szCs w:val="20"/>
              </w:rPr>
            </w:pPr>
            <w:r>
              <w:rPr>
                <w:rFonts w:eastAsia="Times New Roman"/>
                <w:sz w:val="20"/>
                <w:szCs w:val="20"/>
              </w:rPr>
              <w:t>$</w:t>
            </w:r>
          </w:p>
        </w:tc>
        <w:tc>
          <w:tcPr>
            <w:tcW w:w="600" w:type="pct"/>
            <w:shd w:val="clear" w:color="auto" w:fill="CCEEFF"/>
            <w:vAlign w:val="bottom"/>
            <w:hideMark/>
          </w:tcPr>
          <w:p w14:paraId="05A69459" w14:textId="77777777" w:rsidR="00000000" w:rsidRDefault="00847163">
            <w:pPr>
              <w:jc w:val="right"/>
              <w:rPr>
                <w:rFonts w:eastAsia="Times New Roman"/>
                <w:sz w:val="20"/>
                <w:szCs w:val="20"/>
              </w:rPr>
            </w:pPr>
            <w:r>
              <w:rPr>
                <w:rFonts w:eastAsia="Times New Roman"/>
                <w:sz w:val="20"/>
                <w:szCs w:val="20"/>
              </w:rPr>
              <w:t>39,510</w:t>
            </w:r>
          </w:p>
        </w:tc>
        <w:tc>
          <w:tcPr>
            <w:tcW w:w="50" w:type="pct"/>
            <w:shd w:val="clear" w:color="auto" w:fill="CCEEFF"/>
            <w:vAlign w:val="bottom"/>
            <w:hideMark/>
          </w:tcPr>
          <w:p w14:paraId="6295C3B1" w14:textId="77777777" w:rsidR="00000000" w:rsidRDefault="00847163">
            <w:pPr>
              <w:rPr>
                <w:rFonts w:eastAsia="Times New Roman"/>
                <w:sz w:val="20"/>
                <w:szCs w:val="20"/>
              </w:rPr>
            </w:pPr>
            <w:r>
              <w:rPr>
                <w:rFonts w:eastAsia="Times New Roman"/>
                <w:sz w:val="20"/>
                <w:szCs w:val="20"/>
              </w:rPr>
              <w:t> </w:t>
            </w:r>
          </w:p>
        </w:tc>
      </w:tr>
      <w:tr w:rsidR="00000000" w14:paraId="6F2FA567" w14:textId="77777777">
        <w:trPr>
          <w:tblCellSpacing w:w="0" w:type="dxa"/>
        </w:trPr>
        <w:tc>
          <w:tcPr>
            <w:tcW w:w="0" w:type="auto"/>
            <w:shd w:val="clear" w:color="auto" w:fill="FFFFFF"/>
            <w:vAlign w:val="bottom"/>
            <w:hideMark/>
          </w:tcPr>
          <w:p w14:paraId="47B42029" w14:textId="77777777" w:rsidR="00000000" w:rsidRDefault="00847163">
            <w:pPr>
              <w:pStyle w:val="a3"/>
              <w:spacing w:before="0" w:beforeAutospacing="0" w:after="0" w:afterAutospacing="0"/>
              <w:rPr>
                <w:sz w:val="20"/>
                <w:szCs w:val="20"/>
              </w:rPr>
            </w:pPr>
            <w:r>
              <w:rPr>
                <w:sz w:val="20"/>
                <w:szCs w:val="20"/>
              </w:rPr>
              <w:t>Other real estate investments</w:t>
            </w:r>
          </w:p>
        </w:tc>
        <w:tc>
          <w:tcPr>
            <w:tcW w:w="50" w:type="pct"/>
            <w:shd w:val="clear" w:color="auto" w:fill="FFFFFF"/>
            <w:vAlign w:val="bottom"/>
            <w:hideMark/>
          </w:tcPr>
          <w:p w14:paraId="6442AD45"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CFE0AE1" w14:textId="77777777" w:rsidR="00000000" w:rsidRDefault="00847163">
            <w:pPr>
              <w:rPr>
                <w:rFonts w:eastAsia="Times New Roman"/>
                <w:sz w:val="20"/>
                <w:szCs w:val="20"/>
              </w:rPr>
            </w:pPr>
            <w:r>
              <w:rPr>
                <w:rFonts w:eastAsia="Times New Roman"/>
                <w:sz w:val="20"/>
                <w:szCs w:val="20"/>
              </w:rPr>
              <w:t>$</w:t>
            </w:r>
          </w:p>
        </w:tc>
        <w:tc>
          <w:tcPr>
            <w:tcW w:w="600" w:type="pct"/>
            <w:shd w:val="clear" w:color="auto" w:fill="FFFFFF"/>
            <w:vAlign w:val="bottom"/>
            <w:hideMark/>
          </w:tcPr>
          <w:p w14:paraId="68F43945" w14:textId="77777777" w:rsidR="00000000" w:rsidRDefault="00847163">
            <w:pPr>
              <w:jc w:val="right"/>
              <w:rPr>
                <w:rFonts w:eastAsia="Times New Roman"/>
                <w:sz w:val="20"/>
                <w:szCs w:val="20"/>
              </w:rPr>
            </w:pPr>
            <w:r>
              <w:rPr>
                <w:rFonts w:eastAsia="Times New Roman"/>
                <w:sz w:val="20"/>
                <w:szCs w:val="20"/>
              </w:rPr>
              <w:t>32,974</w:t>
            </w:r>
          </w:p>
        </w:tc>
        <w:tc>
          <w:tcPr>
            <w:tcW w:w="50" w:type="pct"/>
            <w:shd w:val="clear" w:color="auto" w:fill="FFFFFF"/>
            <w:vAlign w:val="bottom"/>
            <w:hideMark/>
          </w:tcPr>
          <w:p w14:paraId="7C45FCAE"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3FB9FA4"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72816F2" w14:textId="77777777" w:rsidR="00000000" w:rsidRDefault="00847163">
            <w:pPr>
              <w:rPr>
                <w:rFonts w:eastAsia="Times New Roman"/>
                <w:sz w:val="20"/>
                <w:szCs w:val="20"/>
              </w:rPr>
            </w:pPr>
            <w:r>
              <w:rPr>
                <w:rFonts w:eastAsia="Times New Roman"/>
                <w:sz w:val="20"/>
                <w:szCs w:val="20"/>
              </w:rPr>
              <w:t>$</w:t>
            </w:r>
          </w:p>
        </w:tc>
        <w:tc>
          <w:tcPr>
            <w:tcW w:w="600" w:type="pct"/>
            <w:shd w:val="clear" w:color="auto" w:fill="FFFFFF"/>
            <w:vAlign w:val="bottom"/>
            <w:hideMark/>
          </w:tcPr>
          <w:p w14:paraId="2804F684" w14:textId="77777777" w:rsidR="00000000" w:rsidRDefault="00847163">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6171ED0F"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AA040BF"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0E0D999" w14:textId="77777777" w:rsidR="00000000" w:rsidRDefault="00847163">
            <w:pPr>
              <w:rPr>
                <w:rFonts w:eastAsia="Times New Roman"/>
                <w:sz w:val="20"/>
                <w:szCs w:val="20"/>
              </w:rPr>
            </w:pPr>
            <w:r>
              <w:rPr>
                <w:rFonts w:eastAsia="Times New Roman"/>
                <w:sz w:val="20"/>
                <w:szCs w:val="20"/>
              </w:rPr>
              <w:t>$</w:t>
            </w:r>
          </w:p>
        </w:tc>
        <w:tc>
          <w:tcPr>
            <w:tcW w:w="600" w:type="pct"/>
            <w:shd w:val="clear" w:color="auto" w:fill="FFFFFF"/>
            <w:vAlign w:val="bottom"/>
            <w:hideMark/>
          </w:tcPr>
          <w:p w14:paraId="6D087FDF" w14:textId="77777777" w:rsidR="00000000" w:rsidRDefault="00847163">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7A1E7E2D"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EDB8166"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6002C67" w14:textId="77777777" w:rsidR="00000000" w:rsidRDefault="00847163">
            <w:pPr>
              <w:rPr>
                <w:rFonts w:eastAsia="Times New Roman"/>
                <w:sz w:val="20"/>
                <w:szCs w:val="20"/>
              </w:rPr>
            </w:pPr>
            <w:r>
              <w:rPr>
                <w:rFonts w:eastAsia="Times New Roman"/>
                <w:sz w:val="20"/>
                <w:szCs w:val="20"/>
              </w:rPr>
              <w:t>$</w:t>
            </w:r>
          </w:p>
        </w:tc>
        <w:tc>
          <w:tcPr>
            <w:tcW w:w="600" w:type="pct"/>
            <w:shd w:val="clear" w:color="auto" w:fill="FFFFFF"/>
            <w:vAlign w:val="bottom"/>
            <w:hideMark/>
          </w:tcPr>
          <w:p w14:paraId="0FB4391F" w14:textId="77777777" w:rsidR="00000000" w:rsidRDefault="00847163">
            <w:pPr>
              <w:jc w:val="right"/>
              <w:rPr>
                <w:rFonts w:eastAsia="Times New Roman"/>
                <w:sz w:val="20"/>
                <w:szCs w:val="20"/>
              </w:rPr>
            </w:pPr>
            <w:r>
              <w:rPr>
                <w:rFonts w:eastAsia="Times New Roman"/>
                <w:sz w:val="20"/>
                <w:szCs w:val="20"/>
              </w:rPr>
              <w:t>62,429</w:t>
            </w:r>
          </w:p>
        </w:tc>
        <w:tc>
          <w:tcPr>
            <w:tcW w:w="50" w:type="pct"/>
            <w:shd w:val="clear" w:color="auto" w:fill="FFFFFF"/>
            <w:vAlign w:val="bottom"/>
            <w:hideMark/>
          </w:tcPr>
          <w:p w14:paraId="10001B9A" w14:textId="77777777" w:rsidR="00000000" w:rsidRDefault="00847163">
            <w:pPr>
              <w:rPr>
                <w:rFonts w:eastAsia="Times New Roman"/>
                <w:sz w:val="20"/>
                <w:szCs w:val="20"/>
              </w:rPr>
            </w:pPr>
            <w:r>
              <w:rPr>
                <w:rFonts w:eastAsia="Times New Roman"/>
                <w:sz w:val="20"/>
                <w:szCs w:val="20"/>
              </w:rPr>
              <w:t> </w:t>
            </w:r>
          </w:p>
        </w:tc>
      </w:tr>
    </w:tbl>
    <w:p w14:paraId="11E9650B" w14:textId="77777777" w:rsidR="00000000" w:rsidRDefault="00847163">
      <w:pPr>
        <w:pStyle w:val="a3"/>
        <w:spacing w:before="0" w:beforeAutospacing="0" w:after="0" w:afterAutospacing="0"/>
        <w:jc w:val="both"/>
        <w:rPr>
          <w:sz w:val="20"/>
          <w:szCs w:val="20"/>
        </w:rPr>
      </w:pPr>
      <w:r>
        <w:rPr>
          <w:sz w:val="20"/>
          <w:szCs w:val="20"/>
        </w:rPr>
        <w:t> </w:t>
      </w:r>
    </w:p>
    <w:p w14:paraId="41D61DF4" w14:textId="77777777" w:rsidR="00000000" w:rsidRDefault="00847163">
      <w:pPr>
        <w:pStyle w:val="a3"/>
        <w:spacing w:before="0" w:beforeAutospacing="0" w:after="0" w:afterAutospacing="0"/>
        <w:ind w:firstLine="360"/>
        <w:jc w:val="both"/>
        <w:rPr>
          <w:sz w:val="20"/>
          <w:szCs w:val="20"/>
        </w:rPr>
      </w:pPr>
      <w:r>
        <w:rPr>
          <w:sz w:val="20"/>
          <w:szCs w:val="20"/>
        </w:rPr>
        <w:t xml:space="preserve">During the </w:t>
      </w:r>
      <w:r>
        <w:rPr>
          <w:rStyle w:val="a6"/>
          <w:sz w:val="20"/>
          <w:szCs w:val="20"/>
        </w:rPr>
        <w:t>three</w:t>
      </w:r>
      <w:r>
        <w:rPr>
          <w:sz w:val="20"/>
          <w:szCs w:val="20"/>
        </w:rPr>
        <w:t xml:space="preserve"> months ended </w:t>
      </w:r>
      <w:r>
        <w:rPr>
          <w:rStyle w:val="a6"/>
          <w:sz w:val="20"/>
          <w:szCs w:val="20"/>
        </w:rPr>
        <w:t xml:space="preserve">March 31, 2020 </w:t>
      </w:r>
      <w:r>
        <w:rPr>
          <w:sz w:val="20"/>
          <w:szCs w:val="20"/>
        </w:rPr>
        <w:t xml:space="preserve">and </w:t>
      </w:r>
      <w:r>
        <w:rPr>
          <w:rStyle w:val="a6"/>
          <w:sz w:val="20"/>
          <w:szCs w:val="20"/>
        </w:rPr>
        <w:t>2019,</w:t>
      </w:r>
      <w:r>
        <w:rPr>
          <w:sz w:val="20"/>
          <w:szCs w:val="20"/>
        </w:rPr>
        <w:t xml:space="preserve"> </w:t>
      </w:r>
      <w:r>
        <w:rPr>
          <w:sz w:val="20"/>
          <w:szCs w:val="20"/>
        </w:rPr>
        <w:t>the Company recognized impairment charges related to adjustments to property carrying values of $3.0 million and $4.2 million, respectively. The Company’s estimated fair values of these properties were primarily based upon estimated sales prices from signe</w:t>
      </w:r>
      <w:r>
        <w:rPr>
          <w:sz w:val="20"/>
          <w:szCs w:val="20"/>
        </w:rPr>
        <w:t xml:space="preserve">d contracts or letters of intent from </w:t>
      </w:r>
      <w:r>
        <w:rPr>
          <w:rStyle w:val="a6"/>
          <w:sz w:val="20"/>
          <w:szCs w:val="20"/>
        </w:rPr>
        <w:t>third</w:t>
      </w:r>
      <w:r>
        <w:rPr>
          <w:sz w:val="20"/>
          <w:szCs w:val="20"/>
        </w:rPr>
        <w:t xml:space="preserve"> party offers. The Company does </w:t>
      </w:r>
      <w:r>
        <w:rPr>
          <w:rStyle w:val="a6"/>
          <w:sz w:val="20"/>
          <w:szCs w:val="20"/>
        </w:rPr>
        <w:t>not</w:t>
      </w:r>
      <w:r>
        <w:rPr>
          <w:sz w:val="20"/>
          <w:szCs w:val="20"/>
        </w:rPr>
        <w:t xml:space="preserve"> have access to the unobservable inputs used to determine the estimated fair values of </w:t>
      </w:r>
      <w:r>
        <w:rPr>
          <w:rStyle w:val="a6"/>
          <w:sz w:val="20"/>
          <w:szCs w:val="20"/>
        </w:rPr>
        <w:t>third</w:t>
      </w:r>
      <w:r>
        <w:rPr>
          <w:sz w:val="20"/>
          <w:szCs w:val="20"/>
        </w:rPr>
        <w:t xml:space="preserve"> party offers. Based on these inputs, the Company determined that its valuation of the</w:t>
      </w:r>
      <w:r>
        <w:rPr>
          <w:sz w:val="20"/>
          <w:szCs w:val="20"/>
        </w:rPr>
        <w:t xml:space="preserve">se investments was classified within Level </w:t>
      </w:r>
      <w:r>
        <w:rPr>
          <w:rStyle w:val="a6"/>
          <w:sz w:val="20"/>
          <w:szCs w:val="20"/>
        </w:rPr>
        <w:t>3</w:t>
      </w:r>
      <w:r>
        <w:rPr>
          <w:sz w:val="20"/>
          <w:szCs w:val="20"/>
        </w:rPr>
        <w:t xml:space="preserve"> of the fair value hierarchy. (See Footnote </w:t>
      </w:r>
      <w:r>
        <w:rPr>
          <w:rStyle w:val="a6"/>
          <w:sz w:val="20"/>
          <w:szCs w:val="20"/>
        </w:rPr>
        <w:t>3</w:t>
      </w:r>
      <w:r>
        <w:rPr>
          <w:sz w:val="20"/>
          <w:szCs w:val="20"/>
        </w:rPr>
        <w:t xml:space="preserve"> to the Notes to the Company’s Condensed Consolidated Financial Statements for additional discussion regarding impairment charges).</w:t>
      </w:r>
    </w:p>
    <w:p w14:paraId="4E47F401" w14:textId="77777777" w:rsidR="00000000" w:rsidRDefault="00847163">
      <w:pPr>
        <w:pStyle w:val="a3"/>
        <w:spacing w:before="0" w:beforeAutospacing="0" w:after="0" w:afterAutospacing="0"/>
        <w:ind w:firstLine="360"/>
        <w:jc w:val="both"/>
        <w:rPr>
          <w:sz w:val="20"/>
          <w:szCs w:val="20"/>
        </w:rPr>
      </w:pPr>
      <w:r>
        <w:rPr>
          <w:sz w:val="20"/>
          <w:szCs w:val="20"/>
        </w:rPr>
        <w:t> </w:t>
      </w:r>
    </w:p>
    <w:p w14:paraId="3968A673" w14:textId="77777777" w:rsidR="00000000" w:rsidRDefault="00847163">
      <w:pPr>
        <w:jc w:val="center"/>
        <w:divId w:val="1472820557"/>
        <w:rPr>
          <w:rFonts w:eastAsia="Times New Roman"/>
          <w:sz w:val="20"/>
          <w:szCs w:val="20"/>
        </w:rPr>
      </w:pPr>
      <w:r>
        <w:rPr>
          <w:rStyle w:val="a6"/>
          <w:rFonts w:eastAsia="Times New Roman"/>
          <w:sz w:val="20"/>
          <w:szCs w:val="20"/>
        </w:rPr>
        <w:t>15</w:t>
      </w:r>
      <w:r>
        <w:rPr>
          <w:rFonts w:eastAsia="Times New Roman"/>
          <w:sz w:val="20"/>
          <w:szCs w:val="20"/>
        </w:rPr>
        <w:t xml:space="preserve"> </w:t>
      </w:r>
    </w:p>
    <w:p w14:paraId="7EC66CAE" w14:textId="77777777" w:rsidR="00000000" w:rsidRDefault="00847163">
      <w:pPr>
        <w:divId w:val="1632437480"/>
        <w:rPr>
          <w:rFonts w:eastAsia="Times New Roman"/>
          <w:sz w:val="20"/>
          <w:szCs w:val="20"/>
        </w:rPr>
      </w:pPr>
      <w:r>
        <w:rPr>
          <w:rFonts w:eastAsia="Times New Roman"/>
          <w:sz w:val="20"/>
          <w:szCs w:val="20"/>
        </w:rPr>
        <w:pict w14:anchorId="23411AD7">
          <v:rect id="_x0000_i1043" style="width:415.3pt;height:1.5pt" o:hralign="center" o:hrstd="t" o:hrnoshade="t" o:hr="t" fillcolor="black" stroked="f"/>
        </w:pict>
      </w:r>
    </w:p>
    <w:p w14:paraId="1D44466D" w14:textId="77777777" w:rsidR="00000000" w:rsidRDefault="00847163">
      <w:pPr>
        <w:divId w:val="1158771422"/>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5F4E76C6" w14:textId="77777777" w:rsidR="00000000" w:rsidRDefault="00847163">
      <w:pPr>
        <w:pStyle w:val="a3"/>
        <w:spacing w:before="0" w:beforeAutospacing="0" w:after="0" w:afterAutospacing="0"/>
        <w:ind w:firstLine="360"/>
        <w:jc w:val="both"/>
        <w:rPr>
          <w:sz w:val="20"/>
          <w:szCs w:val="20"/>
        </w:rPr>
      </w:pPr>
      <w:r>
        <w:rPr>
          <w:sz w:val="20"/>
          <w:szCs w:val="20"/>
        </w:rPr>
        <w:t> </w:t>
      </w:r>
    </w:p>
    <w:p w14:paraId="602F6617" w14:textId="77777777" w:rsidR="00000000" w:rsidRDefault="00847163">
      <w:pPr>
        <w:divId w:val="886650757"/>
        <w:rPr>
          <w:rFonts w:eastAsia="Times New Roman"/>
          <w:sz w:val="20"/>
          <w:szCs w:val="20"/>
        </w:rPr>
      </w:pPr>
      <w:r>
        <w:rPr>
          <w:rFonts w:eastAsia="Times New Roman"/>
          <w:sz w:val="20"/>
          <w:szCs w:val="20"/>
        </w:rPr>
        <w:t xml:space="preserve">  </w:t>
      </w:r>
    </w:p>
    <w:p w14:paraId="156C6A3B" w14:textId="77777777" w:rsidR="00000000" w:rsidRDefault="00847163">
      <w:pPr>
        <w:pStyle w:val="a3"/>
        <w:spacing w:before="0" w:beforeAutospacing="0" w:after="0" w:afterAutospacing="0"/>
        <w:rPr>
          <w:sz w:val="20"/>
          <w:szCs w:val="20"/>
        </w:rPr>
      </w:pPr>
      <w:r>
        <w:rPr>
          <w:rStyle w:val="a6"/>
          <w:sz w:val="20"/>
          <w:szCs w:val="20"/>
        </w:rPr>
        <w:t>12.</w:t>
      </w:r>
      <w:r>
        <w:rPr>
          <w:sz w:val="20"/>
          <w:szCs w:val="20"/>
        </w:rPr>
        <w:t xml:space="preserve"> </w:t>
      </w:r>
      <w:r>
        <w:rPr>
          <w:sz w:val="20"/>
          <w:szCs w:val="20"/>
          <w:u w:val="single"/>
        </w:rPr>
        <w:t>Incentive Plans</w:t>
      </w:r>
    </w:p>
    <w:p w14:paraId="7B342628" w14:textId="77777777" w:rsidR="00000000" w:rsidRDefault="00847163">
      <w:pPr>
        <w:pStyle w:val="a3"/>
        <w:spacing w:before="0" w:beforeAutospacing="0" w:after="0" w:afterAutospacing="0"/>
        <w:jc w:val="both"/>
        <w:rPr>
          <w:sz w:val="20"/>
          <w:szCs w:val="20"/>
        </w:rPr>
      </w:pPr>
      <w:r>
        <w:rPr>
          <w:sz w:val="20"/>
          <w:szCs w:val="20"/>
        </w:rPr>
        <w:t> </w:t>
      </w:r>
    </w:p>
    <w:p w14:paraId="1AA8CCBC" w14:textId="77777777" w:rsidR="00000000" w:rsidRDefault="00847163">
      <w:pPr>
        <w:pStyle w:val="a3"/>
        <w:spacing w:before="0" w:beforeAutospacing="0" w:after="0" w:afterAutospacing="0"/>
        <w:ind w:firstLine="360"/>
        <w:jc w:val="both"/>
        <w:rPr>
          <w:sz w:val="20"/>
          <w:szCs w:val="20"/>
        </w:rPr>
      </w:pPr>
      <w:r>
        <w:rPr>
          <w:sz w:val="20"/>
          <w:szCs w:val="20"/>
        </w:rPr>
        <w:t>The Company accounts for equity awards in accordance with FASB’s Compensation – Stock Compensation guidance which re</w:t>
      </w:r>
      <w:r>
        <w:rPr>
          <w:sz w:val="20"/>
          <w:szCs w:val="20"/>
        </w:rPr>
        <w:t>quires that all share-based payments to employees, including grants of employee stock options, restricted stock and performance shares, be recognized in the Condensed Consolidated Statements of Income over the service period based on their fair values. Fai</w:t>
      </w:r>
      <w:r>
        <w:rPr>
          <w:sz w:val="20"/>
          <w:szCs w:val="20"/>
        </w:rPr>
        <w:t>r value is determined, depending on the type of award, using either the Black-Scholes option pricing formula or the Monte Carlo method for performance shares, both of which are intended to estimate the fair value of the awards at the grant date. Fair value</w:t>
      </w:r>
      <w:r>
        <w:rPr>
          <w:sz w:val="20"/>
          <w:szCs w:val="20"/>
        </w:rPr>
        <w:t xml:space="preserve"> of restricted shares is calculated based on the price on the date of grant.</w:t>
      </w:r>
    </w:p>
    <w:p w14:paraId="58C31A0B" w14:textId="77777777" w:rsidR="00000000" w:rsidRDefault="00847163">
      <w:pPr>
        <w:pStyle w:val="a3"/>
        <w:spacing w:before="0" w:beforeAutospacing="0" w:after="0" w:afterAutospacing="0"/>
        <w:ind w:left="360"/>
        <w:jc w:val="both"/>
        <w:rPr>
          <w:sz w:val="20"/>
          <w:szCs w:val="20"/>
        </w:rPr>
      </w:pPr>
      <w:r>
        <w:rPr>
          <w:sz w:val="20"/>
          <w:szCs w:val="20"/>
        </w:rPr>
        <w:t> </w:t>
      </w:r>
    </w:p>
    <w:p w14:paraId="4FCAF85A" w14:textId="77777777" w:rsidR="00000000" w:rsidRDefault="00847163">
      <w:pPr>
        <w:pStyle w:val="a3"/>
        <w:spacing w:before="0" w:beforeAutospacing="0" w:after="0" w:afterAutospacing="0"/>
        <w:ind w:firstLine="360"/>
        <w:jc w:val="both"/>
        <w:rPr>
          <w:sz w:val="20"/>
          <w:szCs w:val="20"/>
        </w:rPr>
      </w:pPr>
      <w:r>
        <w:rPr>
          <w:sz w:val="20"/>
          <w:szCs w:val="20"/>
        </w:rPr>
        <w:t xml:space="preserve">The Company recognized expenses associated with its equity awards of $5.9 million and $5.5 million for the </w:t>
      </w:r>
      <w:r>
        <w:rPr>
          <w:rStyle w:val="a6"/>
          <w:sz w:val="20"/>
          <w:szCs w:val="20"/>
        </w:rPr>
        <w:t>three</w:t>
      </w:r>
      <w:r>
        <w:rPr>
          <w:sz w:val="20"/>
          <w:szCs w:val="20"/>
        </w:rPr>
        <w:t xml:space="preserve"> months ended </w:t>
      </w:r>
      <w:r>
        <w:rPr>
          <w:rStyle w:val="a6"/>
          <w:sz w:val="20"/>
          <w:szCs w:val="20"/>
        </w:rPr>
        <w:t xml:space="preserve">March 31, 2020 </w:t>
      </w:r>
      <w:r>
        <w:rPr>
          <w:sz w:val="20"/>
          <w:szCs w:val="20"/>
        </w:rPr>
        <w:t xml:space="preserve">and </w:t>
      </w:r>
      <w:r>
        <w:rPr>
          <w:rStyle w:val="a6"/>
          <w:sz w:val="20"/>
          <w:szCs w:val="20"/>
        </w:rPr>
        <w:t>2019,</w:t>
      </w:r>
      <w:r>
        <w:rPr>
          <w:sz w:val="20"/>
          <w:szCs w:val="20"/>
        </w:rPr>
        <w:t xml:space="preserve"> respectively.  As of </w:t>
      </w:r>
      <w:r>
        <w:rPr>
          <w:rStyle w:val="a6"/>
          <w:sz w:val="20"/>
          <w:szCs w:val="20"/>
        </w:rPr>
        <w:t>March</w:t>
      </w:r>
      <w:r>
        <w:rPr>
          <w:rStyle w:val="a6"/>
          <w:sz w:val="20"/>
          <w:szCs w:val="20"/>
        </w:rPr>
        <w:t xml:space="preserve"> 31, 2020, </w:t>
      </w:r>
      <w:r>
        <w:rPr>
          <w:sz w:val="20"/>
          <w:szCs w:val="20"/>
        </w:rPr>
        <w:t>the Company had $52.0 million of total unrecognized compensation cost related to unvested stock compensation granted under the Plans.  That cost is expected to be recognized over a weighted average period of approximately 3.3 years.</w:t>
      </w:r>
    </w:p>
    <w:p w14:paraId="38A6852A" w14:textId="77777777" w:rsidR="00000000" w:rsidRDefault="00847163">
      <w:pPr>
        <w:pStyle w:val="a3"/>
        <w:spacing w:before="0" w:beforeAutospacing="0" w:after="0" w:afterAutospacing="0"/>
        <w:rPr>
          <w:sz w:val="20"/>
          <w:szCs w:val="20"/>
        </w:rPr>
      </w:pPr>
      <w:r>
        <w:rPr>
          <w:sz w:val="20"/>
          <w:szCs w:val="20"/>
        </w:rPr>
        <w:t> </w:t>
      </w:r>
    </w:p>
    <w:p w14:paraId="674F6862" w14:textId="77777777" w:rsidR="00000000" w:rsidRDefault="00847163">
      <w:pPr>
        <w:divId w:val="126094406"/>
        <w:rPr>
          <w:rFonts w:eastAsia="Times New Roman"/>
          <w:sz w:val="20"/>
          <w:szCs w:val="20"/>
        </w:rPr>
      </w:pPr>
      <w:r>
        <w:rPr>
          <w:rFonts w:eastAsia="Times New Roman"/>
          <w:sz w:val="20"/>
          <w:szCs w:val="20"/>
        </w:rPr>
        <w:t xml:space="preserve">  </w:t>
      </w:r>
    </w:p>
    <w:p w14:paraId="6C64666B" w14:textId="77777777" w:rsidR="00000000" w:rsidRDefault="00847163">
      <w:pPr>
        <w:pStyle w:val="a3"/>
        <w:spacing w:before="0" w:beforeAutospacing="0" w:after="0" w:afterAutospacing="0"/>
        <w:jc w:val="both"/>
        <w:rPr>
          <w:sz w:val="20"/>
          <w:szCs w:val="20"/>
        </w:rPr>
      </w:pPr>
      <w:r>
        <w:rPr>
          <w:rStyle w:val="a6"/>
          <w:sz w:val="20"/>
          <w:szCs w:val="20"/>
        </w:rPr>
        <w:t>13.</w:t>
      </w:r>
      <w:r>
        <w:rPr>
          <w:sz w:val="20"/>
          <w:szCs w:val="20"/>
        </w:rPr>
        <w:t xml:space="preserve"> </w:t>
      </w:r>
      <w:r>
        <w:rPr>
          <w:sz w:val="20"/>
          <w:szCs w:val="20"/>
          <w:u w:val="single"/>
        </w:rPr>
        <w:t>Ear</w:t>
      </w:r>
      <w:r>
        <w:rPr>
          <w:sz w:val="20"/>
          <w:szCs w:val="20"/>
          <w:u w:val="single"/>
        </w:rPr>
        <w:t>nings Per Share</w:t>
      </w:r>
    </w:p>
    <w:p w14:paraId="62BA0982" w14:textId="77777777" w:rsidR="00000000" w:rsidRDefault="00847163">
      <w:pPr>
        <w:pStyle w:val="a3"/>
        <w:spacing w:before="0" w:beforeAutospacing="0" w:after="0" w:afterAutospacing="0"/>
        <w:jc w:val="both"/>
        <w:rPr>
          <w:sz w:val="20"/>
          <w:szCs w:val="20"/>
        </w:rPr>
      </w:pPr>
      <w:r>
        <w:rPr>
          <w:sz w:val="20"/>
          <w:szCs w:val="20"/>
        </w:rPr>
        <w:t> </w:t>
      </w:r>
    </w:p>
    <w:p w14:paraId="160BBD23" w14:textId="77777777" w:rsidR="00000000" w:rsidRDefault="00847163">
      <w:pPr>
        <w:pStyle w:val="a3"/>
        <w:spacing w:before="0" w:beforeAutospacing="0" w:after="0" w:afterAutospacing="0"/>
        <w:ind w:firstLine="360"/>
        <w:jc w:val="both"/>
        <w:rPr>
          <w:sz w:val="20"/>
          <w:szCs w:val="20"/>
        </w:rPr>
      </w:pPr>
      <w:r>
        <w:rPr>
          <w:sz w:val="20"/>
          <w:szCs w:val="20"/>
        </w:rPr>
        <w:t>The following table sets forth the reconciliation of earnings and the weighted average number of shares used in the calculation of basic and diluted earnings per share (amounts presented in thousands except per share data):</w:t>
      </w:r>
    </w:p>
    <w:p w14:paraId="5B639352" w14:textId="77777777" w:rsidR="00000000" w:rsidRDefault="00847163">
      <w:pPr>
        <w:pStyle w:val="a3"/>
        <w:spacing w:before="0" w:beforeAutospacing="0" w:after="0" w:afterAutospacing="0"/>
        <w:ind w:firstLine="360"/>
        <w:jc w:val="both"/>
        <w:rPr>
          <w:sz w:val="20"/>
          <w:szCs w:val="20"/>
        </w:rPr>
      </w:pPr>
      <w:r>
        <w:rPr>
          <w:sz w:val="20"/>
          <w:szCs w:val="20"/>
        </w:rPr>
        <w:t> </w:t>
      </w:r>
    </w:p>
    <w:tbl>
      <w:tblPr>
        <w:tblW w:w="4500" w:type="pct"/>
        <w:tblCellSpacing w:w="0" w:type="dxa"/>
        <w:tblInd w:w="5" w:type="dxa"/>
        <w:tblCellMar>
          <w:left w:w="0" w:type="dxa"/>
          <w:right w:w="0" w:type="dxa"/>
        </w:tblCellMar>
        <w:tblLook w:val="04A0" w:firstRow="1" w:lastRow="0" w:firstColumn="1" w:lastColumn="0" w:noHBand="0" w:noVBand="1"/>
      </w:tblPr>
      <w:tblGrid>
        <w:gridCol w:w="5225"/>
        <w:gridCol w:w="67"/>
        <w:gridCol w:w="100"/>
        <w:gridCol w:w="889"/>
        <w:gridCol w:w="68"/>
        <w:gridCol w:w="68"/>
        <w:gridCol w:w="100"/>
        <w:gridCol w:w="890"/>
        <w:gridCol w:w="68"/>
      </w:tblGrid>
      <w:tr w:rsidR="00000000" w14:paraId="58E72C31" w14:textId="77777777">
        <w:trPr>
          <w:tblCellSpacing w:w="0" w:type="dxa"/>
        </w:trPr>
        <w:tc>
          <w:tcPr>
            <w:tcW w:w="0" w:type="auto"/>
            <w:vAlign w:val="bottom"/>
            <w:hideMark/>
          </w:tcPr>
          <w:p w14:paraId="1617A60E"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244A24D4" w14:textId="77777777" w:rsidR="00000000" w:rsidRDefault="00847163">
            <w:pPr>
              <w:rPr>
                <w:rFonts w:eastAsia="Times New Roman"/>
                <w:sz w:val="20"/>
                <w:szCs w:val="20"/>
              </w:rPr>
            </w:pPr>
            <w:r>
              <w:rPr>
                <w:rFonts w:eastAsia="Times New Roman"/>
                <w:sz w:val="20"/>
                <w:szCs w:val="20"/>
              </w:rPr>
              <w:t> </w:t>
            </w:r>
          </w:p>
        </w:tc>
        <w:tc>
          <w:tcPr>
            <w:tcW w:w="0" w:type="auto"/>
            <w:gridSpan w:val="6"/>
            <w:vAlign w:val="bottom"/>
            <w:hideMark/>
          </w:tcPr>
          <w:p w14:paraId="4B73A644" w14:textId="77777777" w:rsidR="00000000" w:rsidRDefault="00847163">
            <w:pPr>
              <w:pStyle w:val="a3"/>
              <w:spacing w:before="0" w:beforeAutospacing="0" w:after="0" w:afterAutospacing="0"/>
              <w:jc w:val="center"/>
              <w:rPr>
                <w:sz w:val="20"/>
                <w:szCs w:val="20"/>
              </w:rPr>
            </w:pPr>
            <w:r>
              <w:rPr>
                <w:b/>
                <w:bCs/>
                <w:sz w:val="20"/>
                <w:szCs w:val="20"/>
              </w:rPr>
              <w:t>Three Months Ended</w:t>
            </w:r>
          </w:p>
        </w:tc>
        <w:tc>
          <w:tcPr>
            <w:tcW w:w="0" w:type="auto"/>
            <w:vAlign w:val="bottom"/>
            <w:hideMark/>
          </w:tcPr>
          <w:p w14:paraId="2EBE62F5" w14:textId="77777777" w:rsidR="00000000" w:rsidRDefault="00847163">
            <w:pPr>
              <w:rPr>
                <w:rFonts w:eastAsia="Times New Roman"/>
                <w:sz w:val="20"/>
                <w:szCs w:val="20"/>
              </w:rPr>
            </w:pPr>
            <w:r>
              <w:rPr>
                <w:rFonts w:eastAsia="Times New Roman"/>
                <w:sz w:val="20"/>
                <w:szCs w:val="20"/>
              </w:rPr>
              <w:t> </w:t>
            </w:r>
          </w:p>
        </w:tc>
      </w:tr>
      <w:tr w:rsidR="00000000" w14:paraId="7CD5F349" w14:textId="77777777">
        <w:trPr>
          <w:tblCellSpacing w:w="0" w:type="dxa"/>
        </w:trPr>
        <w:tc>
          <w:tcPr>
            <w:tcW w:w="0" w:type="auto"/>
            <w:vAlign w:val="bottom"/>
            <w:hideMark/>
          </w:tcPr>
          <w:p w14:paraId="37972FD0"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3E121A80" w14:textId="77777777" w:rsidR="00000000" w:rsidRDefault="00847163">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14:paraId="578F7578" w14:textId="77777777" w:rsidR="00000000" w:rsidRDefault="00847163">
            <w:pPr>
              <w:pStyle w:val="a3"/>
              <w:spacing w:before="0" w:beforeAutospacing="0" w:after="0" w:afterAutospacing="0"/>
              <w:jc w:val="center"/>
              <w:rPr>
                <w:sz w:val="20"/>
                <w:szCs w:val="20"/>
              </w:rPr>
            </w:pPr>
            <w:r>
              <w:rPr>
                <w:b/>
                <w:bCs/>
                <w:sz w:val="20"/>
                <w:szCs w:val="20"/>
              </w:rPr>
              <w:t>March 31,</w:t>
            </w:r>
          </w:p>
        </w:tc>
        <w:tc>
          <w:tcPr>
            <w:tcW w:w="0" w:type="auto"/>
            <w:tcMar>
              <w:top w:w="0" w:type="dxa"/>
              <w:left w:w="0" w:type="dxa"/>
              <w:bottom w:w="15" w:type="dxa"/>
              <w:right w:w="0" w:type="dxa"/>
            </w:tcMar>
            <w:vAlign w:val="bottom"/>
            <w:hideMark/>
          </w:tcPr>
          <w:p w14:paraId="359A55AF" w14:textId="77777777" w:rsidR="00000000" w:rsidRDefault="00847163">
            <w:pPr>
              <w:rPr>
                <w:rFonts w:eastAsia="Times New Roman"/>
                <w:sz w:val="20"/>
                <w:szCs w:val="20"/>
              </w:rPr>
            </w:pPr>
            <w:r>
              <w:rPr>
                <w:rFonts w:eastAsia="Times New Roman"/>
                <w:sz w:val="20"/>
                <w:szCs w:val="20"/>
              </w:rPr>
              <w:t> </w:t>
            </w:r>
          </w:p>
        </w:tc>
      </w:tr>
      <w:tr w:rsidR="00000000" w14:paraId="5350346D" w14:textId="77777777">
        <w:trPr>
          <w:tblCellSpacing w:w="0" w:type="dxa"/>
        </w:trPr>
        <w:tc>
          <w:tcPr>
            <w:tcW w:w="0" w:type="auto"/>
            <w:vAlign w:val="bottom"/>
            <w:hideMark/>
          </w:tcPr>
          <w:p w14:paraId="36E33A1F"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463981D1" w14:textId="77777777" w:rsidR="00000000" w:rsidRDefault="0084716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2735FE80" w14:textId="77777777" w:rsidR="00000000" w:rsidRDefault="00847163">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14:paraId="5D714A97"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5E4777BE" w14:textId="77777777" w:rsidR="00000000" w:rsidRDefault="0084716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76C99BA5" w14:textId="77777777" w:rsidR="00000000" w:rsidRDefault="00847163">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2F65112A" w14:textId="77777777" w:rsidR="00000000" w:rsidRDefault="00847163">
            <w:pPr>
              <w:rPr>
                <w:rFonts w:eastAsia="Times New Roman"/>
                <w:sz w:val="20"/>
                <w:szCs w:val="20"/>
              </w:rPr>
            </w:pPr>
            <w:r>
              <w:rPr>
                <w:rFonts w:eastAsia="Times New Roman"/>
                <w:sz w:val="20"/>
                <w:szCs w:val="20"/>
              </w:rPr>
              <w:t> </w:t>
            </w:r>
          </w:p>
        </w:tc>
      </w:tr>
      <w:tr w:rsidR="00000000" w14:paraId="095346A5" w14:textId="77777777">
        <w:trPr>
          <w:tblCellSpacing w:w="0" w:type="dxa"/>
        </w:trPr>
        <w:tc>
          <w:tcPr>
            <w:tcW w:w="3500" w:type="pct"/>
            <w:shd w:val="clear" w:color="auto" w:fill="CCEEFF"/>
            <w:vAlign w:val="bottom"/>
            <w:hideMark/>
          </w:tcPr>
          <w:p w14:paraId="46F80DF8" w14:textId="77777777" w:rsidR="00000000" w:rsidRDefault="00847163">
            <w:pPr>
              <w:pStyle w:val="a3"/>
              <w:spacing w:before="0" w:beforeAutospacing="0" w:after="0" w:afterAutospacing="0"/>
              <w:rPr>
                <w:sz w:val="20"/>
                <w:szCs w:val="20"/>
              </w:rPr>
            </w:pPr>
            <w:r>
              <w:rPr>
                <w:i/>
                <w:iCs/>
                <w:sz w:val="20"/>
                <w:szCs w:val="20"/>
              </w:rPr>
              <w:t>Computation of Basic and Diluted Earnings Per Share:</w:t>
            </w:r>
          </w:p>
        </w:tc>
        <w:tc>
          <w:tcPr>
            <w:tcW w:w="0" w:type="auto"/>
            <w:shd w:val="clear" w:color="auto" w:fill="CCEEFF"/>
            <w:vAlign w:val="bottom"/>
            <w:hideMark/>
          </w:tcPr>
          <w:p w14:paraId="353CAACD"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3714DCA" w14:textId="77777777" w:rsidR="00000000" w:rsidRDefault="00847163">
            <w:pPr>
              <w:rPr>
                <w:rFonts w:eastAsia="Times New Roman"/>
                <w:sz w:val="20"/>
                <w:szCs w:val="20"/>
              </w:rPr>
            </w:pPr>
            <w:r>
              <w:rPr>
                <w:rFonts w:eastAsia="Times New Roman"/>
                <w:i/>
                <w:iCs/>
                <w:sz w:val="20"/>
                <w:szCs w:val="20"/>
              </w:rPr>
              <w:t> </w:t>
            </w:r>
          </w:p>
        </w:tc>
        <w:tc>
          <w:tcPr>
            <w:tcW w:w="0" w:type="auto"/>
            <w:shd w:val="clear" w:color="auto" w:fill="CCEEFF"/>
            <w:vAlign w:val="bottom"/>
            <w:hideMark/>
          </w:tcPr>
          <w:p w14:paraId="5CC23DFC" w14:textId="77777777" w:rsidR="00000000" w:rsidRDefault="00847163">
            <w:pPr>
              <w:rPr>
                <w:rFonts w:eastAsia="Times New Roman"/>
                <w:sz w:val="20"/>
                <w:szCs w:val="20"/>
              </w:rPr>
            </w:pPr>
            <w:r>
              <w:rPr>
                <w:rFonts w:eastAsia="Times New Roman"/>
                <w:i/>
                <w:iCs/>
                <w:sz w:val="20"/>
                <w:szCs w:val="20"/>
              </w:rPr>
              <w:t> </w:t>
            </w:r>
          </w:p>
        </w:tc>
        <w:tc>
          <w:tcPr>
            <w:tcW w:w="0" w:type="auto"/>
            <w:shd w:val="clear" w:color="auto" w:fill="CCEEFF"/>
            <w:vAlign w:val="bottom"/>
            <w:hideMark/>
          </w:tcPr>
          <w:p w14:paraId="22D0D347" w14:textId="77777777" w:rsidR="00000000" w:rsidRDefault="00847163">
            <w:pPr>
              <w:rPr>
                <w:rFonts w:eastAsia="Times New Roman"/>
                <w:sz w:val="20"/>
                <w:szCs w:val="20"/>
              </w:rPr>
            </w:pPr>
            <w:r>
              <w:rPr>
                <w:rFonts w:eastAsia="Times New Roman"/>
                <w:i/>
                <w:iCs/>
                <w:sz w:val="20"/>
                <w:szCs w:val="20"/>
              </w:rPr>
              <w:t> </w:t>
            </w:r>
          </w:p>
        </w:tc>
        <w:tc>
          <w:tcPr>
            <w:tcW w:w="0" w:type="auto"/>
            <w:shd w:val="clear" w:color="auto" w:fill="CCEEFF"/>
            <w:vAlign w:val="bottom"/>
            <w:hideMark/>
          </w:tcPr>
          <w:p w14:paraId="4045FF65"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638CCC" w14:textId="77777777" w:rsidR="00000000" w:rsidRDefault="00847163">
            <w:pPr>
              <w:rPr>
                <w:rFonts w:eastAsia="Times New Roman"/>
                <w:sz w:val="20"/>
                <w:szCs w:val="20"/>
              </w:rPr>
            </w:pPr>
            <w:r>
              <w:rPr>
                <w:rFonts w:eastAsia="Times New Roman"/>
                <w:i/>
                <w:iCs/>
                <w:sz w:val="20"/>
                <w:szCs w:val="20"/>
              </w:rPr>
              <w:t> </w:t>
            </w:r>
          </w:p>
        </w:tc>
        <w:tc>
          <w:tcPr>
            <w:tcW w:w="0" w:type="auto"/>
            <w:shd w:val="clear" w:color="auto" w:fill="CCEEFF"/>
            <w:vAlign w:val="bottom"/>
            <w:hideMark/>
          </w:tcPr>
          <w:p w14:paraId="7E1D5668" w14:textId="77777777" w:rsidR="00000000" w:rsidRDefault="00847163">
            <w:pPr>
              <w:rPr>
                <w:rFonts w:eastAsia="Times New Roman"/>
                <w:sz w:val="20"/>
                <w:szCs w:val="20"/>
              </w:rPr>
            </w:pPr>
            <w:r>
              <w:rPr>
                <w:rFonts w:eastAsia="Times New Roman"/>
                <w:i/>
                <w:iCs/>
                <w:sz w:val="20"/>
                <w:szCs w:val="20"/>
              </w:rPr>
              <w:t> </w:t>
            </w:r>
          </w:p>
        </w:tc>
        <w:tc>
          <w:tcPr>
            <w:tcW w:w="0" w:type="auto"/>
            <w:shd w:val="clear" w:color="auto" w:fill="CCEEFF"/>
            <w:vAlign w:val="bottom"/>
            <w:hideMark/>
          </w:tcPr>
          <w:p w14:paraId="4688CDFD" w14:textId="77777777" w:rsidR="00000000" w:rsidRDefault="00847163">
            <w:pPr>
              <w:rPr>
                <w:rFonts w:eastAsia="Times New Roman"/>
                <w:sz w:val="20"/>
                <w:szCs w:val="20"/>
              </w:rPr>
            </w:pPr>
            <w:r>
              <w:rPr>
                <w:rFonts w:eastAsia="Times New Roman"/>
                <w:i/>
                <w:iCs/>
                <w:sz w:val="20"/>
                <w:szCs w:val="20"/>
              </w:rPr>
              <w:t> </w:t>
            </w:r>
          </w:p>
        </w:tc>
      </w:tr>
      <w:tr w:rsidR="00000000" w14:paraId="3E37AAAD" w14:textId="77777777">
        <w:trPr>
          <w:tblCellSpacing w:w="0" w:type="dxa"/>
        </w:trPr>
        <w:tc>
          <w:tcPr>
            <w:tcW w:w="0" w:type="auto"/>
            <w:shd w:val="clear" w:color="auto" w:fill="FFFFFF"/>
            <w:vAlign w:val="bottom"/>
            <w:hideMark/>
          </w:tcPr>
          <w:p w14:paraId="5AC9D259" w14:textId="77777777" w:rsidR="00000000" w:rsidRDefault="00847163">
            <w:pPr>
              <w:pStyle w:val="a3"/>
              <w:spacing w:before="0" w:beforeAutospacing="0" w:after="0" w:afterAutospacing="0"/>
              <w:rPr>
                <w:sz w:val="20"/>
                <w:szCs w:val="20"/>
              </w:rPr>
            </w:pPr>
            <w:r>
              <w:rPr>
                <w:sz w:val="20"/>
                <w:szCs w:val="20"/>
              </w:rPr>
              <w:t>Net income available to the Company's common shareholders</w:t>
            </w:r>
          </w:p>
        </w:tc>
        <w:tc>
          <w:tcPr>
            <w:tcW w:w="50" w:type="pct"/>
            <w:shd w:val="clear" w:color="auto" w:fill="FFFFFF"/>
            <w:vAlign w:val="bottom"/>
            <w:hideMark/>
          </w:tcPr>
          <w:p w14:paraId="0B979932"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1DCC61D" w14:textId="77777777" w:rsidR="00000000" w:rsidRDefault="00847163">
            <w:pPr>
              <w:rPr>
                <w:rFonts w:eastAsia="Times New Roman"/>
                <w:sz w:val="20"/>
                <w:szCs w:val="20"/>
              </w:rPr>
            </w:pPr>
            <w:r>
              <w:rPr>
                <w:rFonts w:eastAsia="Times New Roman"/>
                <w:sz w:val="20"/>
                <w:szCs w:val="20"/>
              </w:rPr>
              <w:t>$</w:t>
            </w:r>
          </w:p>
        </w:tc>
        <w:tc>
          <w:tcPr>
            <w:tcW w:w="600" w:type="pct"/>
            <w:shd w:val="clear" w:color="auto" w:fill="FFFFFF"/>
            <w:vAlign w:val="bottom"/>
            <w:hideMark/>
          </w:tcPr>
          <w:p w14:paraId="1DA93428" w14:textId="77777777" w:rsidR="00000000" w:rsidRDefault="00847163">
            <w:pPr>
              <w:jc w:val="right"/>
              <w:rPr>
                <w:rFonts w:eastAsia="Times New Roman"/>
                <w:sz w:val="20"/>
                <w:szCs w:val="20"/>
              </w:rPr>
            </w:pPr>
            <w:r>
              <w:rPr>
                <w:rFonts w:eastAsia="Times New Roman"/>
                <w:sz w:val="20"/>
                <w:szCs w:val="20"/>
              </w:rPr>
              <w:t>83,746</w:t>
            </w:r>
          </w:p>
        </w:tc>
        <w:tc>
          <w:tcPr>
            <w:tcW w:w="50" w:type="pct"/>
            <w:shd w:val="clear" w:color="auto" w:fill="FFFFFF"/>
            <w:vAlign w:val="bottom"/>
            <w:hideMark/>
          </w:tcPr>
          <w:p w14:paraId="7F42B267"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CC30B62"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1989315" w14:textId="77777777" w:rsidR="00000000" w:rsidRDefault="00847163">
            <w:pPr>
              <w:rPr>
                <w:rFonts w:eastAsia="Times New Roman"/>
                <w:sz w:val="20"/>
                <w:szCs w:val="20"/>
              </w:rPr>
            </w:pPr>
            <w:r>
              <w:rPr>
                <w:rFonts w:eastAsia="Times New Roman"/>
                <w:sz w:val="20"/>
                <w:szCs w:val="20"/>
              </w:rPr>
              <w:t>$</w:t>
            </w:r>
          </w:p>
        </w:tc>
        <w:tc>
          <w:tcPr>
            <w:tcW w:w="600" w:type="pct"/>
            <w:shd w:val="clear" w:color="auto" w:fill="FFFFFF"/>
            <w:vAlign w:val="bottom"/>
            <w:hideMark/>
          </w:tcPr>
          <w:p w14:paraId="754F565B" w14:textId="77777777" w:rsidR="00000000" w:rsidRDefault="00847163">
            <w:pPr>
              <w:jc w:val="right"/>
              <w:rPr>
                <w:rFonts w:eastAsia="Times New Roman"/>
                <w:sz w:val="20"/>
                <w:szCs w:val="20"/>
              </w:rPr>
            </w:pPr>
            <w:r>
              <w:rPr>
                <w:rFonts w:eastAsia="Times New Roman"/>
                <w:sz w:val="20"/>
                <w:szCs w:val="20"/>
              </w:rPr>
              <w:t>101,635</w:t>
            </w:r>
          </w:p>
        </w:tc>
        <w:tc>
          <w:tcPr>
            <w:tcW w:w="50" w:type="pct"/>
            <w:shd w:val="clear" w:color="auto" w:fill="FFFFFF"/>
            <w:vAlign w:val="bottom"/>
            <w:hideMark/>
          </w:tcPr>
          <w:p w14:paraId="7FB0D711" w14:textId="77777777" w:rsidR="00000000" w:rsidRDefault="00847163">
            <w:pPr>
              <w:rPr>
                <w:rFonts w:eastAsia="Times New Roman"/>
                <w:sz w:val="20"/>
                <w:szCs w:val="20"/>
              </w:rPr>
            </w:pPr>
            <w:r>
              <w:rPr>
                <w:rFonts w:eastAsia="Times New Roman"/>
                <w:sz w:val="20"/>
                <w:szCs w:val="20"/>
              </w:rPr>
              <w:t> </w:t>
            </w:r>
          </w:p>
        </w:tc>
      </w:tr>
      <w:tr w:rsidR="00000000" w14:paraId="4E0E256B" w14:textId="77777777">
        <w:trPr>
          <w:tblCellSpacing w:w="0" w:type="dxa"/>
        </w:trPr>
        <w:tc>
          <w:tcPr>
            <w:tcW w:w="0" w:type="auto"/>
            <w:shd w:val="clear" w:color="auto" w:fill="CCEEFF"/>
            <w:vAlign w:val="bottom"/>
            <w:hideMark/>
          </w:tcPr>
          <w:p w14:paraId="789B804B" w14:textId="77777777" w:rsidR="00000000" w:rsidRDefault="00847163">
            <w:pPr>
              <w:pStyle w:val="a3"/>
              <w:spacing w:before="0" w:beforeAutospacing="0" w:after="0" w:afterAutospacing="0"/>
              <w:rPr>
                <w:sz w:val="20"/>
                <w:szCs w:val="20"/>
              </w:rPr>
            </w:pPr>
            <w:r>
              <w:rPr>
                <w:sz w:val="20"/>
                <w:szCs w:val="20"/>
              </w:rPr>
              <w:t>Earnings attributable to participating securities</w:t>
            </w:r>
          </w:p>
        </w:tc>
        <w:tc>
          <w:tcPr>
            <w:tcW w:w="50" w:type="pct"/>
            <w:shd w:val="clear" w:color="auto" w:fill="CCEEFF"/>
            <w:vAlign w:val="bottom"/>
            <w:hideMark/>
          </w:tcPr>
          <w:p w14:paraId="0095A819" w14:textId="77777777" w:rsidR="00000000" w:rsidRDefault="0084716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085E7B76" w14:textId="77777777" w:rsidR="00000000" w:rsidRDefault="00847163">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2BB31012" w14:textId="77777777" w:rsidR="00000000" w:rsidRDefault="00847163">
            <w:pPr>
              <w:jc w:val="right"/>
              <w:rPr>
                <w:rFonts w:eastAsia="Times New Roman"/>
                <w:sz w:val="20"/>
                <w:szCs w:val="20"/>
              </w:rPr>
            </w:pPr>
            <w:r>
              <w:rPr>
                <w:rFonts w:eastAsia="Times New Roman"/>
                <w:sz w:val="20"/>
                <w:szCs w:val="20"/>
              </w:rPr>
              <w:t>(686</w:t>
            </w:r>
          </w:p>
        </w:tc>
        <w:tc>
          <w:tcPr>
            <w:tcW w:w="50" w:type="pct"/>
            <w:shd w:val="clear" w:color="auto" w:fill="CCEEFF"/>
            <w:tcMar>
              <w:top w:w="0" w:type="dxa"/>
              <w:left w:w="0" w:type="dxa"/>
              <w:bottom w:w="15" w:type="dxa"/>
              <w:right w:w="0" w:type="dxa"/>
            </w:tcMar>
            <w:vAlign w:val="bottom"/>
            <w:hideMark/>
          </w:tcPr>
          <w:p w14:paraId="0F7C5C58" w14:textId="77777777" w:rsidR="00000000" w:rsidRDefault="00847163">
            <w:pPr>
              <w:rPr>
                <w:rFonts w:eastAsia="Times New Roman"/>
                <w:sz w:val="20"/>
                <w:szCs w:val="20"/>
              </w:rPr>
            </w:pPr>
            <w:r>
              <w:rPr>
                <w:rFonts w:eastAsia="Times New Roman"/>
                <w:sz w:val="20"/>
                <w:szCs w:val="20"/>
              </w:rPr>
              <w:t>)</w:t>
            </w:r>
          </w:p>
        </w:tc>
        <w:tc>
          <w:tcPr>
            <w:tcW w:w="50" w:type="pct"/>
            <w:shd w:val="clear" w:color="auto" w:fill="CCEEFF"/>
            <w:vAlign w:val="bottom"/>
            <w:hideMark/>
          </w:tcPr>
          <w:p w14:paraId="30EF56FA" w14:textId="77777777" w:rsidR="00000000" w:rsidRDefault="0084716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68E87D16" w14:textId="77777777" w:rsidR="00000000" w:rsidRDefault="00847163">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3A13A965" w14:textId="77777777" w:rsidR="00000000" w:rsidRDefault="00847163">
            <w:pPr>
              <w:jc w:val="right"/>
              <w:rPr>
                <w:rFonts w:eastAsia="Times New Roman"/>
                <w:sz w:val="20"/>
                <w:szCs w:val="20"/>
              </w:rPr>
            </w:pPr>
            <w:r>
              <w:rPr>
                <w:rFonts w:eastAsia="Times New Roman"/>
                <w:sz w:val="20"/>
                <w:szCs w:val="20"/>
              </w:rPr>
              <w:t>(625</w:t>
            </w:r>
          </w:p>
        </w:tc>
        <w:tc>
          <w:tcPr>
            <w:tcW w:w="50" w:type="pct"/>
            <w:shd w:val="clear" w:color="auto" w:fill="CCEEFF"/>
            <w:tcMar>
              <w:top w:w="0" w:type="dxa"/>
              <w:left w:w="0" w:type="dxa"/>
              <w:bottom w:w="15" w:type="dxa"/>
              <w:right w:w="0" w:type="dxa"/>
            </w:tcMar>
            <w:vAlign w:val="bottom"/>
            <w:hideMark/>
          </w:tcPr>
          <w:p w14:paraId="1F56552B" w14:textId="77777777" w:rsidR="00000000" w:rsidRDefault="00847163">
            <w:pPr>
              <w:rPr>
                <w:rFonts w:eastAsia="Times New Roman"/>
                <w:sz w:val="20"/>
                <w:szCs w:val="20"/>
              </w:rPr>
            </w:pPr>
            <w:r>
              <w:rPr>
                <w:rFonts w:eastAsia="Times New Roman"/>
                <w:sz w:val="20"/>
                <w:szCs w:val="20"/>
              </w:rPr>
              <w:t>)</w:t>
            </w:r>
          </w:p>
        </w:tc>
      </w:tr>
      <w:tr w:rsidR="00000000" w14:paraId="2FDCDAA9" w14:textId="77777777">
        <w:trPr>
          <w:tblCellSpacing w:w="0" w:type="dxa"/>
        </w:trPr>
        <w:tc>
          <w:tcPr>
            <w:tcW w:w="0" w:type="auto"/>
            <w:shd w:val="clear" w:color="auto" w:fill="FFFFFF"/>
            <w:vAlign w:val="bottom"/>
            <w:hideMark/>
          </w:tcPr>
          <w:p w14:paraId="0FBE48B3" w14:textId="77777777" w:rsidR="00000000" w:rsidRDefault="00847163">
            <w:pPr>
              <w:pStyle w:val="a3"/>
              <w:spacing w:before="0" w:beforeAutospacing="0" w:after="0" w:afterAutospacing="0"/>
              <w:rPr>
                <w:sz w:val="20"/>
                <w:szCs w:val="20"/>
              </w:rPr>
            </w:pPr>
            <w:r>
              <w:rPr>
                <w:sz w:val="20"/>
                <w:szCs w:val="20"/>
              </w:rPr>
              <w:t>Net income available to the Company’s common shareholders for basic earnings per share</w:t>
            </w:r>
          </w:p>
        </w:tc>
        <w:tc>
          <w:tcPr>
            <w:tcW w:w="50" w:type="pct"/>
            <w:shd w:val="clear" w:color="auto" w:fill="FFFFFF"/>
            <w:vAlign w:val="bottom"/>
            <w:hideMark/>
          </w:tcPr>
          <w:p w14:paraId="11F7B1CE"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66CD6D8" w14:textId="77777777" w:rsidR="00000000" w:rsidRDefault="00847163">
            <w:pPr>
              <w:rPr>
                <w:rFonts w:eastAsia="Times New Roman"/>
                <w:sz w:val="20"/>
                <w:szCs w:val="20"/>
              </w:rPr>
            </w:pPr>
            <w:r>
              <w:rPr>
                <w:rFonts w:eastAsia="Times New Roman"/>
                <w:sz w:val="20"/>
                <w:szCs w:val="20"/>
              </w:rPr>
              <w:t> </w:t>
            </w:r>
          </w:p>
        </w:tc>
        <w:tc>
          <w:tcPr>
            <w:tcW w:w="600" w:type="pct"/>
            <w:shd w:val="clear" w:color="auto" w:fill="FFFFFF"/>
            <w:vAlign w:val="bottom"/>
            <w:hideMark/>
          </w:tcPr>
          <w:p w14:paraId="787B0058" w14:textId="77777777" w:rsidR="00000000" w:rsidRDefault="00847163">
            <w:pPr>
              <w:jc w:val="right"/>
              <w:rPr>
                <w:rFonts w:eastAsia="Times New Roman"/>
                <w:sz w:val="20"/>
                <w:szCs w:val="20"/>
              </w:rPr>
            </w:pPr>
            <w:r>
              <w:rPr>
                <w:rFonts w:eastAsia="Times New Roman"/>
                <w:sz w:val="20"/>
                <w:szCs w:val="20"/>
              </w:rPr>
              <w:t>83,060</w:t>
            </w:r>
          </w:p>
        </w:tc>
        <w:tc>
          <w:tcPr>
            <w:tcW w:w="50" w:type="pct"/>
            <w:shd w:val="clear" w:color="auto" w:fill="FFFFFF"/>
            <w:vAlign w:val="bottom"/>
            <w:hideMark/>
          </w:tcPr>
          <w:p w14:paraId="21C9350B"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F04B140"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210BE51" w14:textId="77777777" w:rsidR="00000000" w:rsidRDefault="00847163">
            <w:pPr>
              <w:rPr>
                <w:rFonts w:eastAsia="Times New Roman"/>
                <w:sz w:val="20"/>
                <w:szCs w:val="20"/>
              </w:rPr>
            </w:pPr>
            <w:r>
              <w:rPr>
                <w:rFonts w:eastAsia="Times New Roman"/>
                <w:sz w:val="20"/>
                <w:szCs w:val="20"/>
              </w:rPr>
              <w:t> </w:t>
            </w:r>
          </w:p>
        </w:tc>
        <w:tc>
          <w:tcPr>
            <w:tcW w:w="600" w:type="pct"/>
            <w:shd w:val="clear" w:color="auto" w:fill="FFFFFF"/>
            <w:vAlign w:val="bottom"/>
            <w:hideMark/>
          </w:tcPr>
          <w:p w14:paraId="4761E9A4" w14:textId="77777777" w:rsidR="00000000" w:rsidRDefault="00847163">
            <w:pPr>
              <w:jc w:val="right"/>
              <w:rPr>
                <w:rFonts w:eastAsia="Times New Roman"/>
                <w:sz w:val="20"/>
                <w:szCs w:val="20"/>
              </w:rPr>
            </w:pPr>
            <w:r>
              <w:rPr>
                <w:rFonts w:eastAsia="Times New Roman"/>
                <w:sz w:val="20"/>
                <w:szCs w:val="20"/>
              </w:rPr>
              <w:t>101,010</w:t>
            </w:r>
          </w:p>
        </w:tc>
        <w:tc>
          <w:tcPr>
            <w:tcW w:w="50" w:type="pct"/>
            <w:shd w:val="clear" w:color="auto" w:fill="FFFFFF"/>
            <w:vAlign w:val="bottom"/>
            <w:hideMark/>
          </w:tcPr>
          <w:p w14:paraId="124D059C" w14:textId="77777777" w:rsidR="00000000" w:rsidRDefault="00847163">
            <w:pPr>
              <w:rPr>
                <w:rFonts w:eastAsia="Times New Roman"/>
                <w:sz w:val="20"/>
                <w:szCs w:val="20"/>
              </w:rPr>
            </w:pPr>
            <w:r>
              <w:rPr>
                <w:rFonts w:eastAsia="Times New Roman"/>
                <w:sz w:val="20"/>
                <w:szCs w:val="20"/>
              </w:rPr>
              <w:t> </w:t>
            </w:r>
          </w:p>
        </w:tc>
      </w:tr>
      <w:tr w:rsidR="00000000" w14:paraId="743BAC8F" w14:textId="77777777">
        <w:trPr>
          <w:tblCellSpacing w:w="0" w:type="dxa"/>
        </w:trPr>
        <w:tc>
          <w:tcPr>
            <w:tcW w:w="0" w:type="auto"/>
            <w:shd w:val="clear" w:color="auto" w:fill="CCEEFF"/>
            <w:vAlign w:val="bottom"/>
            <w:hideMark/>
          </w:tcPr>
          <w:p w14:paraId="46BD4695" w14:textId="77777777" w:rsidR="00000000" w:rsidRDefault="00847163">
            <w:pPr>
              <w:pStyle w:val="a3"/>
              <w:spacing w:before="0" w:beforeAutospacing="0" w:after="0" w:afterAutospacing="0"/>
              <w:rPr>
                <w:sz w:val="20"/>
                <w:szCs w:val="20"/>
              </w:rPr>
            </w:pPr>
            <w:r>
              <w:rPr>
                <w:sz w:val="20"/>
                <w:szCs w:val="20"/>
              </w:rPr>
              <w:t>Distributions on convertible units</w:t>
            </w:r>
          </w:p>
        </w:tc>
        <w:tc>
          <w:tcPr>
            <w:tcW w:w="50" w:type="pct"/>
            <w:shd w:val="clear" w:color="auto" w:fill="CCEEFF"/>
            <w:vAlign w:val="bottom"/>
            <w:hideMark/>
          </w:tcPr>
          <w:p w14:paraId="66499D04" w14:textId="77777777" w:rsidR="00000000" w:rsidRDefault="0084716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311988F5" w14:textId="77777777" w:rsidR="00000000" w:rsidRDefault="00847163">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3BA7E510" w14:textId="77777777" w:rsidR="00000000" w:rsidRDefault="00847163">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330B6A49"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7F93355" w14:textId="77777777" w:rsidR="00000000" w:rsidRDefault="0084716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0E33224B" w14:textId="77777777" w:rsidR="00000000" w:rsidRDefault="00847163">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5AB745A0" w14:textId="77777777" w:rsidR="00000000" w:rsidRDefault="00847163">
            <w:pPr>
              <w:jc w:val="right"/>
              <w:rPr>
                <w:rFonts w:eastAsia="Times New Roman"/>
                <w:sz w:val="20"/>
                <w:szCs w:val="20"/>
              </w:rPr>
            </w:pPr>
            <w:r>
              <w:rPr>
                <w:rFonts w:eastAsia="Times New Roman"/>
                <w:sz w:val="20"/>
                <w:szCs w:val="20"/>
              </w:rPr>
              <w:t>25</w:t>
            </w:r>
          </w:p>
        </w:tc>
        <w:tc>
          <w:tcPr>
            <w:tcW w:w="50" w:type="pct"/>
            <w:shd w:val="clear" w:color="auto" w:fill="CCEEFF"/>
            <w:tcMar>
              <w:top w:w="0" w:type="dxa"/>
              <w:left w:w="0" w:type="dxa"/>
              <w:bottom w:w="15" w:type="dxa"/>
              <w:right w:w="0" w:type="dxa"/>
            </w:tcMar>
            <w:vAlign w:val="bottom"/>
            <w:hideMark/>
          </w:tcPr>
          <w:p w14:paraId="43F6F5AC" w14:textId="77777777" w:rsidR="00000000" w:rsidRDefault="00847163">
            <w:pPr>
              <w:rPr>
                <w:rFonts w:eastAsia="Times New Roman"/>
                <w:sz w:val="20"/>
                <w:szCs w:val="20"/>
              </w:rPr>
            </w:pPr>
            <w:r>
              <w:rPr>
                <w:rFonts w:eastAsia="Times New Roman"/>
                <w:sz w:val="20"/>
                <w:szCs w:val="20"/>
              </w:rPr>
              <w:t> </w:t>
            </w:r>
          </w:p>
        </w:tc>
      </w:tr>
      <w:tr w:rsidR="00000000" w14:paraId="7A9A97BA" w14:textId="77777777">
        <w:trPr>
          <w:tblCellSpacing w:w="0" w:type="dxa"/>
        </w:trPr>
        <w:tc>
          <w:tcPr>
            <w:tcW w:w="0" w:type="auto"/>
            <w:shd w:val="clear" w:color="auto" w:fill="FFFFFF"/>
            <w:vAlign w:val="bottom"/>
            <w:hideMark/>
          </w:tcPr>
          <w:p w14:paraId="3057EB6D" w14:textId="77777777" w:rsidR="00000000" w:rsidRDefault="00847163">
            <w:pPr>
              <w:pStyle w:val="a3"/>
              <w:spacing w:before="0" w:beforeAutospacing="0" w:after="0" w:afterAutospacing="0"/>
              <w:rPr>
                <w:sz w:val="20"/>
                <w:szCs w:val="20"/>
              </w:rPr>
            </w:pPr>
            <w:r>
              <w:rPr>
                <w:sz w:val="20"/>
                <w:szCs w:val="20"/>
              </w:rPr>
              <w:t>Net income available to the Company’s common shareholders for diluted earnings per share</w:t>
            </w:r>
          </w:p>
        </w:tc>
        <w:tc>
          <w:tcPr>
            <w:tcW w:w="50" w:type="pct"/>
            <w:shd w:val="clear" w:color="auto" w:fill="FFFFFF"/>
            <w:vAlign w:val="bottom"/>
            <w:hideMark/>
          </w:tcPr>
          <w:p w14:paraId="37EF89A4" w14:textId="77777777" w:rsidR="00000000" w:rsidRDefault="0084716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7B8038A2" w14:textId="77777777" w:rsidR="00000000" w:rsidRDefault="00847163">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14:paraId="010999D0" w14:textId="77777777" w:rsidR="00000000" w:rsidRDefault="00847163">
            <w:pPr>
              <w:jc w:val="right"/>
              <w:rPr>
                <w:rFonts w:eastAsia="Times New Roman"/>
                <w:sz w:val="20"/>
                <w:szCs w:val="20"/>
              </w:rPr>
            </w:pPr>
            <w:r>
              <w:rPr>
                <w:rFonts w:eastAsia="Times New Roman"/>
                <w:sz w:val="20"/>
                <w:szCs w:val="20"/>
              </w:rPr>
              <w:t>83,060</w:t>
            </w:r>
          </w:p>
        </w:tc>
        <w:tc>
          <w:tcPr>
            <w:tcW w:w="50" w:type="pct"/>
            <w:shd w:val="clear" w:color="auto" w:fill="FFFFFF"/>
            <w:tcMar>
              <w:top w:w="0" w:type="dxa"/>
              <w:left w:w="0" w:type="dxa"/>
              <w:bottom w:w="45" w:type="dxa"/>
              <w:right w:w="0" w:type="dxa"/>
            </w:tcMar>
            <w:vAlign w:val="bottom"/>
            <w:hideMark/>
          </w:tcPr>
          <w:p w14:paraId="685E76E2"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B03B065" w14:textId="77777777" w:rsidR="00000000" w:rsidRDefault="0084716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2792CE09" w14:textId="77777777" w:rsidR="00000000" w:rsidRDefault="00847163">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14:paraId="45F703B7" w14:textId="77777777" w:rsidR="00000000" w:rsidRDefault="00847163">
            <w:pPr>
              <w:jc w:val="right"/>
              <w:rPr>
                <w:rFonts w:eastAsia="Times New Roman"/>
                <w:sz w:val="20"/>
                <w:szCs w:val="20"/>
              </w:rPr>
            </w:pPr>
            <w:r>
              <w:rPr>
                <w:rFonts w:eastAsia="Times New Roman"/>
                <w:sz w:val="20"/>
                <w:szCs w:val="20"/>
              </w:rPr>
              <w:t>101,035</w:t>
            </w:r>
          </w:p>
        </w:tc>
        <w:tc>
          <w:tcPr>
            <w:tcW w:w="50" w:type="pct"/>
            <w:shd w:val="clear" w:color="auto" w:fill="FFFFFF"/>
            <w:tcMar>
              <w:top w:w="0" w:type="dxa"/>
              <w:left w:w="0" w:type="dxa"/>
              <w:bottom w:w="45" w:type="dxa"/>
              <w:right w:w="0" w:type="dxa"/>
            </w:tcMar>
            <w:vAlign w:val="bottom"/>
            <w:hideMark/>
          </w:tcPr>
          <w:p w14:paraId="30565228" w14:textId="77777777" w:rsidR="00000000" w:rsidRDefault="00847163">
            <w:pPr>
              <w:rPr>
                <w:rFonts w:eastAsia="Times New Roman"/>
                <w:sz w:val="20"/>
                <w:szCs w:val="20"/>
              </w:rPr>
            </w:pPr>
            <w:r>
              <w:rPr>
                <w:rFonts w:eastAsia="Times New Roman"/>
                <w:sz w:val="20"/>
                <w:szCs w:val="20"/>
              </w:rPr>
              <w:t> </w:t>
            </w:r>
          </w:p>
        </w:tc>
      </w:tr>
      <w:tr w:rsidR="00000000" w14:paraId="4982F4E9" w14:textId="77777777">
        <w:trPr>
          <w:tblCellSpacing w:w="0" w:type="dxa"/>
        </w:trPr>
        <w:tc>
          <w:tcPr>
            <w:tcW w:w="0" w:type="auto"/>
            <w:shd w:val="clear" w:color="auto" w:fill="CCEEFF"/>
            <w:vAlign w:val="bottom"/>
            <w:hideMark/>
          </w:tcPr>
          <w:p w14:paraId="17BBBA8D"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F06FFE"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E0522A9"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60FA0DC"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09AEE51"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2B55D77"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2CF4F02"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616E314"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1270EC" w14:textId="77777777" w:rsidR="00000000" w:rsidRDefault="00847163">
            <w:pPr>
              <w:rPr>
                <w:rFonts w:eastAsia="Times New Roman"/>
                <w:sz w:val="20"/>
                <w:szCs w:val="20"/>
              </w:rPr>
            </w:pPr>
            <w:r>
              <w:rPr>
                <w:rFonts w:eastAsia="Times New Roman"/>
                <w:sz w:val="20"/>
                <w:szCs w:val="20"/>
              </w:rPr>
              <w:t> </w:t>
            </w:r>
          </w:p>
        </w:tc>
      </w:tr>
      <w:tr w:rsidR="00000000" w14:paraId="1B20B23A" w14:textId="77777777">
        <w:trPr>
          <w:tblCellSpacing w:w="0" w:type="dxa"/>
        </w:trPr>
        <w:tc>
          <w:tcPr>
            <w:tcW w:w="0" w:type="auto"/>
            <w:shd w:val="clear" w:color="auto" w:fill="FFFFFF"/>
            <w:vAlign w:val="bottom"/>
            <w:hideMark/>
          </w:tcPr>
          <w:p w14:paraId="3FFA6D0E" w14:textId="77777777" w:rsidR="00000000" w:rsidRDefault="00847163">
            <w:pPr>
              <w:pStyle w:val="a3"/>
              <w:spacing w:before="0" w:beforeAutospacing="0" w:after="0" w:afterAutospacing="0"/>
              <w:rPr>
                <w:sz w:val="20"/>
                <w:szCs w:val="20"/>
              </w:rPr>
            </w:pPr>
            <w:r>
              <w:rPr>
                <w:sz w:val="20"/>
                <w:szCs w:val="20"/>
              </w:rPr>
              <w:t>Weighted average common shares outstanding – basic</w:t>
            </w:r>
          </w:p>
        </w:tc>
        <w:tc>
          <w:tcPr>
            <w:tcW w:w="50" w:type="pct"/>
            <w:shd w:val="clear" w:color="auto" w:fill="FFFFFF"/>
            <w:vAlign w:val="bottom"/>
            <w:hideMark/>
          </w:tcPr>
          <w:p w14:paraId="053686D5"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7DF5D91" w14:textId="77777777" w:rsidR="00000000" w:rsidRDefault="00847163">
            <w:pPr>
              <w:rPr>
                <w:rFonts w:eastAsia="Times New Roman"/>
                <w:sz w:val="20"/>
                <w:szCs w:val="20"/>
              </w:rPr>
            </w:pPr>
            <w:r>
              <w:rPr>
                <w:rFonts w:eastAsia="Times New Roman"/>
                <w:sz w:val="20"/>
                <w:szCs w:val="20"/>
              </w:rPr>
              <w:t> </w:t>
            </w:r>
          </w:p>
        </w:tc>
        <w:tc>
          <w:tcPr>
            <w:tcW w:w="600" w:type="pct"/>
            <w:shd w:val="clear" w:color="auto" w:fill="FFFFFF"/>
            <w:vAlign w:val="bottom"/>
            <w:hideMark/>
          </w:tcPr>
          <w:p w14:paraId="6F154263" w14:textId="77777777" w:rsidR="00000000" w:rsidRDefault="00847163">
            <w:pPr>
              <w:jc w:val="right"/>
              <w:rPr>
                <w:rFonts w:eastAsia="Times New Roman"/>
                <w:sz w:val="20"/>
                <w:szCs w:val="20"/>
              </w:rPr>
            </w:pPr>
            <w:r>
              <w:rPr>
                <w:rFonts w:eastAsia="Times New Roman"/>
                <w:sz w:val="20"/>
                <w:szCs w:val="20"/>
              </w:rPr>
              <w:t>429,735</w:t>
            </w:r>
          </w:p>
        </w:tc>
        <w:tc>
          <w:tcPr>
            <w:tcW w:w="50" w:type="pct"/>
            <w:shd w:val="clear" w:color="auto" w:fill="FFFFFF"/>
            <w:vAlign w:val="bottom"/>
            <w:hideMark/>
          </w:tcPr>
          <w:p w14:paraId="1DA0D171"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D8FB118"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C89C5C7" w14:textId="77777777" w:rsidR="00000000" w:rsidRDefault="00847163">
            <w:pPr>
              <w:rPr>
                <w:rFonts w:eastAsia="Times New Roman"/>
                <w:sz w:val="20"/>
                <w:szCs w:val="20"/>
              </w:rPr>
            </w:pPr>
            <w:r>
              <w:rPr>
                <w:rFonts w:eastAsia="Times New Roman"/>
                <w:sz w:val="20"/>
                <w:szCs w:val="20"/>
              </w:rPr>
              <w:t> </w:t>
            </w:r>
          </w:p>
        </w:tc>
        <w:tc>
          <w:tcPr>
            <w:tcW w:w="600" w:type="pct"/>
            <w:shd w:val="clear" w:color="auto" w:fill="FFFFFF"/>
            <w:vAlign w:val="bottom"/>
            <w:hideMark/>
          </w:tcPr>
          <w:p w14:paraId="5C7537E3" w14:textId="77777777" w:rsidR="00000000" w:rsidRDefault="00847163">
            <w:pPr>
              <w:jc w:val="right"/>
              <w:rPr>
                <w:rFonts w:eastAsia="Times New Roman"/>
                <w:sz w:val="20"/>
                <w:szCs w:val="20"/>
              </w:rPr>
            </w:pPr>
            <w:r>
              <w:rPr>
                <w:rFonts w:eastAsia="Times New Roman"/>
                <w:sz w:val="20"/>
                <w:szCs w:val="20"/>
              </w:rPr>
              <w:t>419,464</w:t>
            </w:r>
          </w:p>
        </w:tc>
        <w:tc>
          <w:tcPr>
            <w:tcW w:w="50" w:type="pct"/>
            <w:shd w:val="clear" w:color="auto" w:fill="FFFFFF"/>
            <w:vAlign w:val="bottom"/>
            <w:hideMark/>
          </w:tcPr>
          <w:p w14:paraId="17EDDC14" w14:textId="77777777" w:rsidR="00000000" w:rsidRDefault="00847163">
            <w:pPr>
              <w:rPr>
                <w:rFonts w:eastAsia="Times New Roman"/>
                <w:sz w:val="20"/>
                <w:szCs w:val="20"/>
              </w:rPr>
            </w:pPr>
            <w:r>
              <w:rPr>
                <w:rFonts w:eastAsia="Times New Roman"/>
                <w:sz w:val="20"/>
                <w:szCs w:val="20"/>
              </w:rPr>
              <w:t> </w:t>
            </w:r>
          </w:p>
        </w:tc>
      </w:tr>
      <w:tr w:rsidR="00000000" w14:paraId="1F0F6959" w14:textId="77777777">
        <w:trPr>
          <w:tblCellSpacing w:w="0" w:type="dxa"/>
        </w:trPr>
        <w:tc>
          <w:tcPr>
            <w:tcW w:w="0" w:type="auto"/>
            <w:shd w:val="clear" w:color="auto" w:fill="CCEEFF"/>
            <w:vAlign w:val="bottom"/>
            <w:hideMark/>
          </w:tcPr>
          <w:p w14:paraId="50620F12" w14:textId="77777777" w:rsidR="00000000" w:rsidRDefault="00847163">
            <w:pPr>
              <w:pStyle w:val="a3"/>
              <w:spacing w:before="0" w:beforeAutospacing="0" w:after="0" w:afterAutospacing="0"/>
              <w:rPr>
                <w:sz w:val="20"/>
                <w:szCs w:val="20"/>
              </w:rPr>
            </w:pPr>
            <w:r>
              <w:rPr>
                <w:sz w:val="20"/>
                <w:szCs w:val="20"/>
              </w:rPr>
              <w:t>Effect of dilutive securities (1):</w:t>
            </w:r>
          </w:p>
        </w:tc>
        <w:tc>
          <w:tcPr>
            <w:tcW w:w="0" w:type="auto"/>
            <w:shd w:val="clear" w:color="auto" w:fill="CCEEFF"/>
            <w:vAlign w:val="bottom"/>
            <w:hideMark/>
          </w:tcPr>
          <w:p w14:paraId="5CE901A0"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1F03A07"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7EF15C1"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A2266A8"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C8F0D5"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BCBDEE4"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329D8D"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D32A6C" w14:textId="77777777" w:rsidR="00000000" w:rsidRDefault="00847163">
            <w:pPr>
              <w:rPr>
                <w:rFonts w:eastAsia="Times New Roman"/>
                <w:sz w:val="20"/>
                <w:szCs w:val="20"/>
              </w:rPr>
            </w:pPr>
            <w:r>
              <w:rPr>
                <w:rFonts w:eastAsia="Times New Roman"/>
                <w:sz w:val="20"/>
                <w:szCs w:val="20"/>
              </w:rPr>
              <w:t> </w:t>
            </w:r>
          </w:p>
        </w:tc>
      </w:tr>
      <w:tr w:rsidR="00000000" w14:paraId="45B971F1" w14:textId="77777777">
        <w:trPr>
          <w:tblCellSpacing w:w="0" w:type="dxa"/>
        </w:trPr>
        <w:tc>
          <w:tcPr>
            <w:tcW w:w="0" w:type="auto"/>
            <w:shd w:val="clear" w:color="auto" w:fill="FFFFFF"/>
            <w:vAlign w:val="bottom"/>
            <w:hideMark/>
          </w:tcPr>
          <w:p w14:paraId="2D493567" w14:textId="77777777" w:rsidR="00000000" w:rsidRDefault="00847163">
            <w:pPr>
              <w:pStyle w:val="a3"/>
              <w:spacing w:before="0" w:beforeAutospacing="0" w:after="0" w:afterAutospacing="0"/>
              <w:ind w:left="180"/>
              <w:rPr>
                <w:sz w:val="20"/>
                <w:szCs w:val="20"/>
              </w:rPr>
            </w:pPr>
            <w:r>
              <w:rPr>
                <w:sz w:val="20"/>
                <w:szCs w:val="20"/>
              </w:rPr>
              <w:t>Equity awards</w:t>
            </w:r>
          </w:p>
        </w:tc>
        <w:tc>
          <w:tcPr>
            <w:tcW w:w="50" w:type="pct"/>
            <w:shd w:val="clear" w:color="auto" w:fill="FFFFFF"/>
            <w:vAlign w:val="bottom"/>
            <w:hideMark/>
          </w:tcPr>
          <w:p w14:paraId="6C92817D"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B7E86C7" w14:textId="77777777" w:rsidR="00000000" w:rsidRDefault="00847163">
            <w:pPr>
              <w:rPr>
                <w:rFonts w:eastAsia="Times New Roman"/>
                <w:sz w:val="20"/>
                <w:szCs w:val="20"/>
              </w:rPr>
            </w:pPr>
            <w:r>
              <w:rPr>
                <w:rFonts w:eastAsia="Times New Roman"/>
                <w:sz w:val="20"/>
                <w:szCs w:val="20"/>
              </w:rPr>
              <w:t> </w:t>
            </w:r>
          </w:p>
        </w:tc>
        <w:tc>
          <w:tcPr>
            <w:tcW w:w="600" w:type="pct"/>
            <w:shd w:val="clear" w:color="auto" w:fill="FFFFFF"/>
            <w:vAlign w:val="bottom"/>
            <w:hideMark/>
          </w:tcPr>
          <w:p w14:paraId="50056F90" w14:textId="77777777" w:rsidR="00000000" w:rsidRDefault="00847163">
            <w:pPr>
              <w:jc w:val="right"/>
              <w:rPr>
                <w:rFonts w:eastAsia="Times New Roman"/>
                <w:sz w:val="20"/>
                <w:szCs w:val="20"/>
              </w:rPr>
            </w:pPr>
            <w:r>
              <w:rPr>
                <w:rFonts w:eastAsia="Times New Roman"/>
                <w:sz w:val="20"/>
                <w:szCs w:val="20"/>
              </w:rPr>
              <w:t>717</w:t>
            </w:r>
          </w:p>
        </w:tc>
        <w:tc>
          <w:tcPr>
            <w:tcW w:w="50" w:type="pct"/>
            <w:shd w:val="clear" w:color="auto" w:fill="FFFFFF"/>
            <w:vAlign w:val="bottom"/>
            <w:hideMark/>
          </w:tcPr>
          <w:p w14:paraId="7B95B708"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99BB84D"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5FA2855" w14:textId="77777777" w:rsidR="00000000" w:rsidRDefault="00847163">
            <w:pPr>
              <w:rPr>
                <w:rFonts w:eastAsia="Times New Roman"/>
                <w:sz w:val="20"/>
                <w:szCs w:val="20"/>
              </w:rPr>
            </w:pPr>
            <w:r>
              <w:rPr>
                <w:rFonts w:eastAsia="Times New Roman"/>
                <w:sz w:val="20"/>
                <w:szCs w:val="20"/>
              </w:rPr>
              <w:t> </w:t>
            </w:r>
          </w:p>
        </w:tc>
        <w:tc>
          <w:tcPr>
            <w:tcW w:w="600" w:type="pct"/>
            <w:shd w:val="clear" w:color="auto" w:fill="FFFFFF"/>
            <w:vAlign w:val="bottom"/>
            <w:hideMark/>
          </w:tcPr>
          <w:p w14:paraId="08EA0DDD" w14:textId="77777777" w:rsidR="00000000" w:rsidRDefault="00847163">
            <w:pPr>
              <w:jc w:val="right"/>
              <w:rPr>
                <w:rFonts w:eastAsia="Times New Roman"/>
                <w:sz w:val="20"/>
                <w:szCs w:val="20"/>
              </w:rPr>
            </w:pPr>
            <w:r>
              <w:rPr>
                <w:rFonts w:eastAsia="Times New Roman"/>
                <w:sz w:val="20"/>
                <w:szCs w:val="20"/>
              </w:rPr>
              <w:t>1,182</w:t>
            </w:r>
          </w:p>
        </w:tc>
        <w:tc>
          <w:tcPr>
            <w:tcW w:w="50" w:type="pct"/>
            <w:shd w:val="clear" w:color="auto" w:fill="FFFFFF"/>
            <w:vAlign w:val="bottom"/>
            <w:hideMark/>
          </w:tcPr>
          <w:p w14:paraId="1622879E" w14:textId="77777777" w:rsidR="00000000" w:rsidRDefault="00847163">
            <w:pPr>
              <w:rPr>
                <w:rFonts w:eastAsia="Times New Roman"/>
                <w:sz w:val="20"/>
                <w:szCs w:val="20"/>
              </w:rPr>
            </w:pPr>
            <w:r>
              <w:rPr>
                <w:rFonts w:eastAsia="Times New Roman"/>
                <w:sz w:val="20"/>
                <w:szCs w:val="20"/>
              </w:rPr>
              <w:t> </w:t>
            </w:r>
          </w:p>
        </w:tc>
      </w:tr>
      <w:tr w:rsidR="00000000" w14:paraId="2174AD0F" w14:textId="77777777">
        <w:trPr>
          <w:tblCellSpacing w:w="0" w:type="dxa"/>
        </w:trPr>
        <w:tc>
          <w:tcPr>
            <w:tcW w:w="0" w:type="auto"/>
            <w:shd w:val="clear" w:color="auto" w:fill="CCEEFF"/>
            <w:vAlign w:val="bottom"/>
            <w:hideMark/>
          </w:tcPr>
          <w:p w14:paraId="76551792" w14:textId="77777777" w:rsidR="00000000" w:rsidRDefault="00847163">
            <w:pPr>
              <w:pStyle w:val="a3"/>
              <w:spacing w:before="0" w:beforeAutospacing="0" w:after="0" w:afterAutospacing="0"/>
              <w:ind w:left="180"/>
              <w:rPr>
                <w:sz w:val="20"/>
                <w:szCs w:val="20"/>
              </w:rPr>
            </w:pPr>
            <w:r>
              <w:rPr>
                <w:sz w:val="20"/>
                <w:szCs w:val="20"/>
              </w:rPr>
              <w:t>Assumed conversion of convertible units</w:t>
            </w:r>
          </w:p>
        </w:tc>
        <w:tc>
          <w:tcPr>
            <w:tcW w:w="50" w:type="pct"/>
            <w:shd w:val="clear" w:color="auto" w:fill="CCEEFF"/>
            <w:vAlign w:val="bottom"/>
            <w:hideMark/>
          </w:tcPr>
          <w:p w14:paraId="397620E5" w14:textId="77777777" w:rsidR="00000000" w:rsidRDefault="0084716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03D8B78E" w14:textId="77777777" w:rsidR="00000000" w:rsidRDefault="00847163">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2C066534" w14:textId="77777777" w:rsidR="00000000" w:rsidRDefault="00847163">
            <w:pPr>
              <w:jc w:val="right"/>
              <w:rPr>
                <w:rFonts w:eastAsia="Times New Roman"/>
                <w:sz w:val="20"/>
                <w:szCs w:val="20"/>
              </w:rPr>
            </w:pPr>
            <w:r>
              <w:rPr>
                <w:rFonts w:eastAsia="Times New Roman"/>
                <w:sz w:val="20"/>
                <w:szCs w:val="20"/>
              </w:rPr>
              <w:t>53</w:t>
            </w:r>
          </w:p>
        </w:tc>
        <w:tc>
          <w:tcPr>
            <w:tcW w:w="50" w:type="pct"/>
            <w:shd w:val="clear" w:color="auto" w:fill="CCEEFF"/>
            <w:tcMar>
              <w:top w:w="0" w:type="dxa"/>
              <w:left w:w="0" w:type="dxa"/>
              <w:bottom w:w="15" w:type="dxa"/>
              <w:right w:w="0" w:type="dxa"/>
            </w:tcMar>
            <w:vAlign w:val="bottom"/>
            <w:hideMark/>
          </w:tcPr>
          <w:p w14:paraId="0C655296"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61DFE0A" w14:textId="77777777" w:rsidR="00000000" w:rsidRDefault="0084716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67A78C4A" w14:textId="77777777" w:rsidR="00000000" w:rsidRDefault="00847163">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21BDD7BD" w14:textId="77777777" w:rsidR="00000000" w:rsidRDefault="00847163">
            <w:pPr>
              <w:jc w:val="right"/>
              <w:rPr>
                <w:rFonts w:eastAsia="Times New Roman"/>
                <w:sz w:val="20"/>
                <w:szCs w:val="20"/>
              </w:rPr>
            </w:pPr>
            <w:r>
              <w:rPr>
                <w:rFonts w:eastAsia="Times New Roman"/>
                <w:sz w:val="20"/>
                <w:szCs w:val="20"/>
              </w:rPr>
              <w:t>117</w:t>
            </w:r>
          </w:p>
        </w:tc>
        <w:tc>
          <w:tcPr>
            <w:tcW w:w="50" w:type="pct"/>
            <w:shd w:val="clear" w:color="auto" w:fill="CCEEFF"/>
            <w:tcMar>
              <w:top w:w="0" w:type="dxa"/>
              <w:left w:w="0" w:type="dxa"/>
              <w:bottom w:w="15" w:type="dxa"/>
              <w:right w:w="0" w:type="dxa"/>
            </w:tcMar>
            <w:vAlign w:val="bottom"/>
            <w:hideMark/>
          </w:tcPr>
          <w:p w14:paraId="0B0A33DF" w14:textId="77777777" w:rsidR="00000000" w:rsidRDefault="00847163">
            <w:pPr>
              <w:rPr>
                <w:rFonts w:eastAsia="Times New Roman"/>
                <w:sz w:val="20"/>
                <w:szCs w:val="20"/>
              </w:rPr>
            </w:pPr>
            <w:r>
              <w:rPr>
                <w:rFonts w:eastAsia="Times New Roman"/>
                <w:sz w:val="20"/>
                <w:szCs w:val="20"/>
              </w:rPr>
              <w:t> </w:t>
            </w:r>
          </w:p>
        </w:tc>
      </w:tr>
      <w:tr w:rsidR="00000000" w14:paraId="630AEFB9" w14:textId="77777777">
        <w:trPr>
          <w:tblCellSpacing w:w="0" w:type="dxa"/>
        </w:trPr>
        <w:tc>
          <w:tcPr>
            <w:tcW w:w="0" w:type="auto"/>
            <w:shd w:val="clear" w:color="auto" w:fill="FFFFFF"/>
            <w:vAlign w:val="bottom"/>
            <w:hideMark/>
          </w:tcPr>
          <w:p w14:paraId="141FD106" w14:textId="77777777" w:rsidR="00000000" w:rsidRDefault="00847163">
            <w:pPr>
              <w:pStyle w:val="a3"/>
              <w:spacing w:before="0" w:beforeAutospacing="0" w:after="0" w:afterAutospacing="0"/>
              <w:rPr>
                <w:sz w:val="20"/>
                <w:szCs w:val="20"/>
              </w:rPr>
            </w:pPr>
            <w:r>
              <w:rPr>
                <w:sz w:val="20"/>
                <w:szCs w:val="20"/>
              </w:rPr>
              <w:t>Weighted average common shares outstanding – diluted</w:t>
            </w:r>
          </w:p>
        </w:tc>
        <w:tc>
          <w:tcPr>
            <w:tcW w:w="50" w:type="pct"/>
            <w:shd w:val="clear" w:color="auto" w:fill="FFFFFF"/>
            <w:vAlign w:val="bottom"/>
            <w:hideMark/>
          </w:tcPr>
          <w:p w14:paraId="23A28BFA" w14:textId="77777777" w:rsidR="00000000" w:rsidRDefault="0084716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2DE0C386" w14:textId="77777777" w:rsidR="00000000" w:rsidRDefault="00847163">
            <w:pPr>
              <w:rPr>
                <w:rFonts w:eastAsia="Times New Roman"/>
                <w:sz w:val="20"/>
                <w:szCs w:val="20"/>
              </w:rPr>
            </w:pPr>
            <w:r>
              <w:rPr>
                <w:rFonts w:eastAsia="Times New Roman"/>
                <w:sz w:val="20"/>
                <w:szCs w:val="20"/>
              </w:rPr>
              <w:t> </w:t>
            </w:r>
          </w:p>
        </w:tc>
        <w:tc>
          <w:tcPr>
            <w:tcW w:w="600" w:type="pct"/>
            <w:tcBorders>
              <w:bottom w:val="double" w:sz="6" w:space="0" w:color="000000"/>
            </w:tcBorders>
            <w:shd w:val="clear" w:color="auto" w:fill="FFFFFF"/>
            <w:vAlign w:val="bottom"/>
            <w:hideMark/>
          </w:tcPr>
          <w:p w14:paraId="22B9AD05" w14:textId="77777777" w:rsidR="00000000" w:rsidRDefault="00847163">
            <w:pPr>
              <w:jc w:val="right"/>
              <w:rPr>
                <w:rFonts w:eastAsia="Times New Roman"/>
                <w:sz w:val="20"/>
                <w:szCs w:val="20"/>
              </w:rPr>
            </w:pPr>
            <w:r>
              <w:rPr>
                <w:rFonts w:eastAsia="Times New Roman"/>
                <w:sz w:val="20"/>
                <w:szCs w:val="20"/>
              </w:rPr>
              <w:t>430,505</w:t>
            </w:r>
          </w:p>
        </w:tc>
        <w:tc>
          <w:tcPr>
            <w:tcW w:w="50" w:type="pct"/>
            <w:shd w:val="clear" w:color="auto" w:fill="FFFFFF"/>
            <w:tcMar>
              <w:top w:w="0" w:type="dxa"/>
              <w:left w:w="0" w:type="dxa"/>
              <w:bottom w:w="45" w:type="dxa"/>
              <w:right w:w="0" w:type="dxa"/>
            </w:tcMar>
            <w:vAlign w:val="bottom"/>
            <w:hideMark/>
          </w:tcPr>
          <w:p w14:paraId="482F5B47"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BCD910D" w14:textId="77777777" w:rsidR="00000000" w:rsidRDefault="0084716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78428CE4" w14:textId="77777777" w:rsidR="00000000" w:rsidRDefault="00847163">
            <w:pPr>
              <w:rPr>
                <w:rFonts w:eastAsia="Times New Roman"/>
                <w:sz w:val="20"/>
                <w:szCs w:val="20"/>
              </w:rPr>
            </w:pPr>
            <w:r>
              <w:rPr>
                <w:rFonts w:eastAsia="Times New Roman"/>
                <w:sz w:val="20"/>
                <w:szCs w:val="20"/>
              </w:rPr>
              <w:t> </w:t>
            </w:r>
          </w:p>
        </w:tc>
        <w:tc>
          <w:tcPr>
            <w:tcW w:w="600" w:type="pct"/>
            <w:tcBorders>
              <w:bottom w:val="double" w:sz="6" w:space="0" w:color="000000"/>
            </w:tcBorders>
            <w:shd w:val="clear" w:color="auto" w:fill="FFFFFF"/>
            <w:vAlign w:val="bottom"/>
            <w:hideMark/>
          </w:tcPr>
          <w:p w14:paraId="2C23F99F" w14:textId="77777777" w:rsidR="00000000" w:rsidRDefault="00847163">
            <w:pPr>
              <w:jc w:val="right"/>
              <w:rPr>
                <w:rFonts w:eastAsia="Times New Roman"/>
                <w:sz w:val="20"/>
                <w:szCs w:val="20"/>
              </w:rPr>
            </w:pPr>
            <w:r>
              <w:rPr>
                <w:rFonts w:eastAsia="Times New Roman"/>
                <w:sz w:val="20"/>
                <w:szCs w:val="20"/>
              </w:rPr>
              <w:t>420,763</w:t>
            </w:r>
          </w:p>
        </w:tc>
        <w:tc>
          <w:tcPr>
            <w:tcW w:w="50" w:type="pct"/>
            <w:shd w:val="clear" w:color="auto" w:fill="FFFFFF"/>
            <w:tcMar>
              <w:top w:w="0" w:type="dxa"/>
              <w:left w:w="0" w:type="dxa"/>
              <w:bottom w:w="45" w:type="dxa"/>
              <w:right w:w="0" w:type="dxa"/>
            </w:tcMar>
            <w:vAlign w:val="bottom"/>
            <w:hideMark/>
          </w:tcPr>
          <w:p w14:paraId="7B2C06B9" w14:textId="77777777" w:rsidR="00000000" w:rsidRDefault="00847163">
            <w:pPr>
              <w:rPr>
                <w:rFonts w:eastAsia="Times New Roman"/>
                <w:sz w:val="20"/>
                <w:szCs w:val="20"/>
              </w:rPr>
            </w:pPr>
            <w:r>
              <w:rPr>
                <w:rFonts w:eastAsia="Times New Roman"/>
                <w:sz w:val="20"/>
                <w:szCs w:val="20"/>
              </w:rPr>
              <w:t> </w:t>
            </w:r>
          </w:p>
        </w:tc>
      </w:tr>
      <w:tr w:rsidR="00000000" w14:paraId="18B0B0F2" w14:textId="77777777">
        <w:trPr>
          <w:tblCellSpacing w:w="0" w:type="dxa"/>
        </w:trPr>
        <w:tc>
          <w:tcPr>
            <w:tcW w:w="0" w:type="auto"/>
            <w:shd w:val="clear" w:color="auto" w:fill="CCEEFF"/>
            <w:vAlign w:val="bottom"/>
            <w:hideMark/>
          </w:tcPr>
          <w:p w14:paraId="359B8A9D"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B216CEC"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C5C62F1"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F4C7CC9"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5BFE90"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841C876"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EB40AF1"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C14A29B"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EAEF317" w14:textId="77777777" w:rsidR="00000000" w:rsidRDefault="00847163">
            <w:pPr>
              <w:rPr>
                <w:rFonts w:eastAsia="Times New Roman"/>
                <w:sz w:val="20"/>
                <w:szCs w:val="20"/>
              </w:rPr>
            </w:pPr>
            <w:r>
              <w:rPr>
                <w:rFonts w:eastAsia="Times New Roman"/>
                <w:sz w:val="20"/>
                <w:szCs w:val="20"/>
              </w:rPr>
              <w:t> </w:t>
            </w:r>
          </w:p>
        </w:tc>
      </w:tr>
      <w:tr w:rsidR="00000000" w14:paraId="071927DC" w14:textId="77777777">
        <w:trPr>
          <w:tblCellSpacing w:w="0" w:type="dxa"/>
        </w:trPr>
        <w:tc>
          <w:tcPr>
            <w:tcW w:w="0" w:type="auto"/>
            <w:shd w:val="clear" w:color="auto" w:fill="FFFFFF"/>
            <w:vAlign w:val="bottom"/>
            <w:hideMark/>
          </w:tcPr>
          <w:p w14:paraId="4D80E37E" w14:textId="77777777" w:rsidR="00000000" w:rsidRDefault="00847163">
            <w:pPr>
              <w:pStyle w:val="a3"/>
              <w:spacing w:before="0" w:beforeAutospacing="0" w:after="0" w:afterAutospacing="0"/>
              <w:rPr>
                <w:sz w:val="20"/>
                <w:szCs w:val="20"/>
              </w:rPr>
            </w:pPr>
            <w:r>
              <w:rPr>
                <w:sz w:val="20"/>
                <w:szCs w:val="20"/>
              </w:rPr>
              <w:t>Net income available to the Company's common shareholders:</w:t>
            </w:r>
          </w:p>
        </w:tc>
        <w:tc>
          <w:tcPr>
            <w:tcW w:w="0" w:type="auto"/>
            <w:shd w:val="clear" w:color="auto" w:fill="FFFFFF"/>
            <w:vAlign w:val="bottom"/>
            <w:hideMark/>
          </w:tcPr>
          <w:p w14:paraId="64A43FB9"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C2D8C14"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A639602"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97EB426"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CD20573"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027D8FA"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3BBE49B"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A3DFCD5" w14:textId="77777777" w:rsidR="00000000" w:rsidRDefault="00847163">
            <w:pPr>
              <w:rPr>
                <w:rFonts w:eastAsia="Times New Roman"/>
                <w:sz w:val="20"/>
                <w:szCs w:val="20"/>
              </w:rPr>
            </w:pPr>
            <w:r>
              <w:rPr>
                <w:rFonts w:eastAsia="Times New Roman"/>
                <w:sz w:val="20"/>
                <w:szCs w:val="20"/>
              </w:rPr>
              <w:t> </w:t>
            </w:r>
          </w:p>
        </w:tc>
      </w:tr>
      <w:tr w:rsidR="00000000" w14:paraId="2657C0C4" w14:textId="77777777">
        <w:trPr>
          <w:tblCellSpacing w:w="0" w:type="dxa"/>
        </w:trPr>
        <w:tc>
          <w:tcPr>
            <w:tcW w:w="0" w:type="auto"/>
            <w:shd w:val="clear" w:color="auto" w:fill="CCEEFF"/>
            <w:vAlign w:val="bottom"/>
            <w:hideMark/>
          </w:tcPr>
          <w:p w14:paraId="6B1AEA67" w14:textId="77777777" w:rsidR="00000000" w:rsidRDefault="00847163">
            <w:pPr>
              <w:pStyle w:val="a3"/>
              <w:spacing w:before="0" w:beforeAutospacing="0" w:after="0" w:afterAutospacing="0"/>
              <w:ind w:left="180"/>
              <w:rPr>
                <w:sz w:val="20"/>
                <w:szCs w:val="20"/>
              </w:rPr>
            </w:pPr>
            <w:r>
              <w:rPr>
                <w:sz w:val="20"/>
                <w:szCs w:val="20"/>
              </w:rPr>
              <w:t>Basic earnings per share</w:t>
            </w:r>
          </w:p>
        </w:tc>
        <w:tc>
          <w:tcPr>
            <w:tcW w:w="50" w:type="pct"/>
            <w:shd w:val="clear" w:color="auto" w:fill="CCEEFF"/>
            <w:vAlign w:val="bottom"/>
            <w:hideMark/>
          </w:tcPr>
          <w:p w14:paraId="029F5633" w14:textId="77777777" w:rsidR="00000000" w:rsidRDefault="0084716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35BAA1D8" w14:textId="77777777" w:rsidR="00000000" w:rsidRDefault="00847163">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14:paraId="53DFA19A" w14:textId="77777777" w:rsidR="00000000" w:rsidRDefault="00847163">
            <w:pPr>
              <w:jc w:val="right"/>
              <w:rPr>
                <w:rFonts w:eastAsia="Times New Roman"/>
                <w:sz w:val="20"/>
                <w:szCs w:val="20"/>
              </w:rPr>
            </w:pPr>
            <w:r>
              <w:rPr>
                <w:rFonts w:eastAsia="Times New Roman"/>
                <w:sz w:val="20"/>
                <w:szCs w:val="20"/>
              </w:rPr>
              <w:t>0.19</w:t>
            </w:r>
          </w:p>
        </w:tc>
        <w:tc>
          <w:tcPr>
            <w:tcW w:w="50" w:type="pct"/>
            <w:shd w:val="clear" w:color="auto" w:fill="CCEEFF"/>
            <w:tcMar>
              <w:top w:w="0" w:type="dxa"/>
              <w:left w:w="0" w:type="dxa"/>
              <w:bottom w:w="45" w:type="dxa"/>
              <w:right w:w="0" w:type="dxa"/>
            </w:tcMar>
            <w:vAlign w:val="bottom"/>
            <w:hideMark/>
          </w:tcPr>
          <w:p w14:paraId="45478263"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361E9F4" w14:textId="77777777" w:rsidR="00000000" w:rsidRDefault="0084716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3E591540" w14:textId="77777777" w:rsidR="00000000" w:rsidRDefault="00847163">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14:paraId="7A910965" w14:textId="77777777" w:rsidR="00000000" w:rsidRDefault="00847163">
            <w:pPr>
              <w:jc w:val="right"/>
              <w:rPr>
                <w:rFonts w:eastAsia="Times New Roman"/>
                <w:sz w:val="20"/>
                <w:szCs w:val="20"/>
              </w:rPr>
            </w:pPr>
            <w:r>
              <w:rPr>
                <w:rFonts w:eastAsia="Times New Roman"/>
                <w:sz w:val="20"/>
                <w:szCs w:val="20"/>
              </w:rPr>
              <w:t>0.24</w:t>
            </w:r>
          </w:p>
        </w:tc>
        <w:tc>
          <w:tcPr>
            <w:tcW w:w="50" w:type="pct"/>
            <w:shd w:val="clear" w:color="auto" w:fill="CCEEFF"/>
            <w:tcMar>
              <w:top w:w="0" w:type="dxa"/>
              <w:left w:w="0" w:type="dxa"/>
              <w:bottom w:w="45" w:type="dxa"/>
              <w:right w:w="0" w:type="dxa"/>
            </w:tcMar>
            <w:vAlign w:val="bottom"/>
            <w:hideMark/>
          </w:tcPr>
          <w:p w14:paraId="29225D08" w14:textId="77777777" w:rsidR="00000000" w:rsidRDefault="00847163">
            <w:pPr>
              <w:rPr>
                <w:rFonts w:eastAsia="Times New Roman"/>
                <w:sz w:val="20"/>
                <w:szCs w:val="20"/>
              </w:rPr>
            </w:pPr>
            <w:r>
              <w:rPr>
                <w:rFonts w:eastAsia="Times New Roman"/>
                <w:sz w:val="20"/>
                <w:szCs w:val="20"/>
              </w:rPr>
              <w:t> </w:t>
            </w:r>
          </w:p>
        </w:tc>
      </w:tr>
      <w:tr w:rsidR="00000000" w14:paraId="0C1939BD" w14:textId="77777777">
        <w:trPr>
          <w:tblCellSpacing w:w="0" w:type="dxa"/>
        </w:trPr>
        <w:tc>
          <w:tcPr>
            <w:tcW w:w="0" w:type="auto"/>
            <w:shd w:val="clear" w:color="auto" w:fill="FFFFFF"/>
            <w:vAlign w:val="bottom"/>
            <w:hideMark/>
          </w:tcPr>
          <w:p w14:paraId="0F8AF646" w14:textId="77777777" w:rsidR="00000000" w:rsidRDefault="00847163">
            <w:pPr>
              <w:pStyle w:val="a3"/>
              <w:spacing w:before="0" w:beforeAutospacing="0" w:after="0" w:afterAutospacing="0"/>
              <w:ind w:left="180"/>
              <w:rPr>
                <w:sz w:val="20"/>
                <w:szCs w:val="20"/>
              </w:rPr>
            </w:pPr>
            <w:r>
              <w:rPr>
                <w:sz w:val="20"/>
                <w:szCs w:val="20"/>
              </w:rPr>
              <w:t>Diluted earnings per share</w:t>
            </w:r>
          </w:p>
        </w:tc>
        <w:tc>
          <w:tcPr>
            <w:tcW w:w="50" w:type="pct"/>
            <w:shd w:val="clear" w:color="auto" w:fill="FFFFFF"/>
            <w:vAlign w:val="bottom"/>
            <w:hideMark/>
          </w:tcPr>
          <w:p w14:paraId="61169174" w14:textId="77777777" w:rsidR="00000000" w:rsidRDefault="0084716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39D6E78F" w14:textId="77777777" w:rsidR="00000000" w:rsidRDefault="00847163">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14:paraId="047E1951" w14:textId="77777777" w:rsidR="00000000" w:rsidRDefault="00847163">
            <w:pPr>
              <w:jc w:val="right"/>
              <w:rPr>
                <w:rFonts w:eastAsia="Times New Roman"/>
                <w:sz w:val="20"/>
                <w:szCs w:val="20"/>
              </w:rPr>
            </w:pPr>
            <w:r>
              <w:rPr>
                <w:rFonts w:eastAsia="Times New Roman"/>
                <w:sz w:val="20"/>
                <w:szCs w:val="20"/>
              </w:rPr>
              <w:t>0.19</w:t>
            </w:r>
          </w:p>
        </w:tc>
        <w:tc>
          <w:tcPr>
            <w:tcW w:w="50" w:type="pct"/>
            <w:shd w:val="clear" w:color="auto" w:fill="FFFFFF"/>
            <w:tcMar>
              <w:top w:w="0" w:type="dxa"/>
              <w:left w:w="0" w:type="dxa"/>
              <w:bottom w:w="45" w:type="dxa"/>
              <w:right w:w="0" w:type="dxa"/>
            </w:tcMar>
            <w:vAlign w:val="bottom"/>
            <w:hideMark/>
          </w:tcPr>
          <w:p w14:paraId="749DED06"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99AECA6" w14:textId="77777777" w:rsidR="00000000" w:rsidRDefault="0084716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777584AD" w14:textId="77777777" w:rsidR="00000000" w:rsidRDefault="00847163">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14:paraId="726FE205" w14:textId="77777777" w:rsidR="00000000" w:rsidRDefault="00847163">
            <w:pPr>
              <w:jc w:val="right"/>
              <w:rPr>
                <w:rFonts w:eastAsia="Times New Roman"/>
                <w:sz w:val="20"/>
                <w:szCs w:val="20"/>
              </w:rPr>
            </w:pPr>
            <w:r>
              <w:rPr>
                <w:rFonts w:eastAsia="Times New Roman"/>
                <w:sz w:val="20"/>
                <w:szCs w:val="20"/>
              </w:rPr>
              <w:t>0.24</w:t>
            </w:r>
          </w:p>
        </w:tc>
        <w:tc>
          <w:tcPr>
            <w:tcW w:w="50" w:type="pct"/>
            <w:shd w:val="clear" w:color="auto" w:fill="FFFFFF"/>
            <w:tcMar>
              <w:top w:w="0" w:type="dxa"/>
              <w:left w:w="0" w:type="dxa"/>
              <w:bottom w:w="45" w:type="dxa"/>
              <w:right w:w="0" w:type="dxa"/>
            </w:tcMar>
            <w:vAlign w:val="bottom"/>
            <w:hideMark/>
          </w:tcPr>
          <w:p w14:paraId="493EDFB7" w14:textId="77777777" w:rsidR="00000000" w:rsidRDefault="00847163">
            <w:pPr>
              <w:rPr>
                <w:rFonts w:eastAsia="Times New Roman"/>
                <w:sz w:val="20"/>
                <w:szCs w:val="20"/>
              </w:rPr>
            </w:pPr>
            <w:r>
              <w:rPr>
                <w:rFonts w:eastAsia="Times New Roman"/>
                <w:sz w:val="20"/>
                <w:szCs w:val="20"/>
              </w:rPr>
              <w:t> </w:t>
            </w:r>
          </w:p>
        </w:tc>
      </w:tr>
    </w:tbl>
    <w:p w14:paraId="3EC8BB5C" w14:textId="77777777" w:rsidR="00000000" w:rsidRDefault="00847163">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4E0A2BE4" w14:textId="77777777">
        <w:trPr>
          <w:tblCellSpacing w:w="0" w:type="dxa"/>
        </w:trPr>
        <w:tc>
          <w:tcPr>
            <w:tcW w:w="360" w:type="dxa"/>
            <w:hideMark/>
          </w:tcPr>
          <w:p w14:paraId="35C89F00" w14:textId="77777777" w:rsidR="00000000" w:rsidRDefault="00847163">
            <w:pPr>
              <w:pStyle w:val="a3"/>
              <w:spacing w:before="0" w:beforeAutospacing="0" w:after="0" w:afterAutospacing="0"/>
            </w:pPr>
            <w:r>
              <w:t>(</w:t>
            </w:r>
            <w:r>
              <w:rPr>
                <w:rStyle w:val="a6"/>
              </w:rPr>
              <w:t>1</w:t>
            </w:r>
            <w:r>
              <w:t>)</w:t>
            </w:r>
          </w:p>
        </w:tc>
        <w:tc>
          <w:tcPr>
            <w:tcW w:w="0" w:type="auto"/>
            <w:hideMark/>
          </w:tcPr>
          <w:p w14:paraId="6C889006" w14:textId="77777777" w:rsidR="00000000" w:rsidRDefault="00847163">
            <w:pPr>
              <w:pStyle w:val="a3"/>
              <w:spacing w:before="0" w:beforeAutospacing="0" w:after="0" w:afterAutospacing="0"/>
              <w:jc w:val="both"/>
              <w:rPr>
                <w:sz w:val="20"/>
                <w:szCs w:val="20"/>
              </w:rPr>
            </w:pPr>
            <w:r>
              <w:rPr>
                <w:sz w:val="20"/>
                <w:szCs w:val="20"/>
              </w:rPr>
              <w:t xml:space="preserve">The effect of the assumed conversion of certain convertible units had an anti-dilutive effect upon the calculation of Net income available to the Company’s common shareholders per share. Accordingly, the impact of such conversions has </w:t>
            </w:r>
            <w:r>
              <w:rPr>
                <w:rStyle w:val="a6"/>
                <w:sz w:val="20"/>
                <w:szCs w:val="20"/>
              </w:rPr>
              <w:t>not</w:t>
            </w:r>
            <w:r>
              <w:rPr>
                <w:sz w:val="20"/>
                <w:szCs w:val="20"/>
              </w:rPr>
              <w:t xml:space="preserve"> been included in </w:t>
            </w:r>
            <w:r>
              <w:rPr>
                <w:sz w:val="20"/>
                <w:szCs w:val="20"/>
              </w:rPr>
              <w:t xml:space="preserve">the determination of diluted earnings per share calculations. Additionally, there were 1.2 million and 1.3 million stock options that were </w:t>
            </w:r>
            <w:r>
              <w:rPr>
                <w:rStyle w:val="a6"/>
                <w:sz w:val="20"/>
                <w:szCs w:val="20"/>
              </w:rPr>
              <w:t>not</w:t>
            </w:r>
            <w:r>
              <w:rPr>
                <w:sz w:val="20"/>
                <w:szCs w:val="20"/>
              </w:rPr>
              <w:t xml:space="preserve"> dilutive as of </w:t>
            </w:r>
            <w:r>
              <w:rPr>
                <w:rStyle w:val="a6"/>
                <w:sz w:val="20"/>
                <w:szCs w:val="20"/>
              </w:rPr>
              <w:t xml:space="preserve">March 31, 2020 </w:t>
            </w:r>
            <w:r>
              <w:rPr>
                <w:sz w:val="20"/>
                <w:szCs w:val="20"/>
              </w:rPr>
              <w:t xml:space="preserve">and </w:t>
            </w:r>
            <w:r>
              <w:rPr>
                <w:rStyle w:val="a6"/>
                <w:sz w:val="20"/>
                <w:szCs w:val="20"/>
              </w:rPr>
              <w:t>2019,</w:t>
            </w:r>
            <w:r>
              <w:rPr>
                <w:sz w:val="20"/>
                <w:szCs w:val="20"/>
              </w:rPr>
              <w:t xml:space="preserve"> respectively.</w:t>
            </w:r>
          </w:p>
        </w:tc>
      </w:tr>
    </w:tbl>
    <w:p w14:paraId="7742B173" w14:textId="77777777" w:rsidR="00000000" w:rsidRDefault="00847163">
      <w:pPr>
        <w:pStyle w:val="a3"/>
        <w:spacing w:before="0" w:beforeAutospacing="0" w:after="0" w:afterAutospacing="0"/>
        <w:ind w:firstLine="360"/>
        <w:jc w:val="both"/>
        <w:rPr>
          <w:sz w:val="20"/>
          <w:szCs w:val="20"/>
        </w:rPr>
      </w:pPr>
      <w:r>
        <w:rPr>
          <w:sz w:val="20"/>
          <w:szCs w:val="20"/>
        </w:rPr>
        <w:t> </w:t>
      </w:r>
    </w:p>
    <w:p w14:paraId="549E90FF" w14:textId="77777777" w:rsidR="00000000" w:rsidRDefault="00847163">
      <w:pPr>
        <w:pStyle w:val="a3"/>
        <w:spacing w:before="0" w:beforeAutospacing="0" w:after="0" w:afterAutospacing="0"/>
        <w:ind w:firstLine="360"/>
        <w:jc w:val="both"/>
        <w:rPr>
          <w:sz w:val="20"/>
          <w:szCs w:val="20"/>
        </w:rPr>
      </w:pPr>
      <w:r>
        <w:rPr>
          <w:sz w:val="20"/>
          <w:szCs w:val="20"/>
        </w:rPr>
        <w:t>The Company's unvested restricted share awards contain n</w:t>
      </w:r>
      <w:r>
        <w:rPr>
          <w:sz w:val="20"/>
          <w:szCs w:val="20"/>
        </w:rPr>
        <w:t xml:space="preserve">on-forfeitable rights to distributions or distribution equivalents. The impact of the unvested restricted share awards on earnings per share has been calculated using the </w:t>
      </w:r>
      <w:r>
        <w:rPr>
          <w:rStyle w:val="a6"/>
          <w:sz w:val="20"/>
          <w:szCs w:val="20"/>
        </w:rPr>
        <w:t>two</w:t>
      </w:r>
      <w:r>
        <w:rPr>
          <w:sz w:val="20"/>
          <w:szCs w:val="20"/>
        </w:rPr>
        <w:t>-class method whereby earnings are allocated to the unvested restricted share awar</w:t>
      </w:r>
      <w:r>
        <w:rPr>
          <w:sz w:val="20"/>
          <w:szCs w:val="20"/>
        </w:rPr>
        <w:t>ds based on dividends declared and the unvested restricted shares' participation rights in undistributed earnings.</w:t>
      </w:r>
    </w:p>
    <w:p w14:paraId="622D692A" w14:textId="77777777" w:rsidR="00000000" w:rsidRDefault="00847163">
      <w:pPr>
        <w:pStyle w:val="a3"/>
        <w:spacing w:before="0" w:beforeAutospacing="0" w:after="0" w:afterAutospacing="0"/>
        <w:ind w:firstLine="360"/>
        <w:jc w:val="both"/>
        <w:rPr>
          <w:sz w:val="20"/>
          <w:szCs w:val="20"/>
        </w:rPr>
      </w:pPr>
      <w:r>
        <w:rPr>
          <w:sz w:val="20"/>
          <w:szCs w:val="20"/>
        </w:rPr>
        <w:t> </w:t>
      </w:r>
    </w:p>
    <w:p w14:paraId="03286AFF" w14:textId="77777777" w:rsidR="00000000" w:rsidRDefault="00847163">
      <w:pPr>
        <w:jc w:val="center"/>
        <w:divId w:val="2100174566"/>
        <w:rPr>
          <w:rFonts w:eastAsia="Times New Roman"/>
          <w:sz w:val="20"/>
          <w:szCs w:val="20"/>
        </w:rPr>
      </w:pPr>
      <w:r>
        <w:rPr>
          <w:rStyle w:val="a6"/>
          <w:rFonts w:eastAsia="Times New Roman"/>
          <w:sz w:val="20"/>
          <w:szCs w:val="20"/>
        </w:rPr>
        <w:t>16</w:t>
      </w:r>
      <w:r>
        <w:rPr>
          <w:rFonts w:eastAsia="Times New Roman"/>
          <w:sz w:val="20"/>
          <w:szCs w:val="20"/>
        </w:rPr>
        <w:t xml:space="preserve"> </w:t>
      </w:r>
    </w:p>
    <w:p w14:paraId="409D59FB" w14:textId="77777777" w:rsidR="00000000" w:rsidRDefault="00847163">
      <w:pPr>
        <w:divId w:val="1794013161"/>
        <w:rPr>
          <w:rFonts w:eastAsia="Times New Roman"/>
          <w:sz w:val="20"/>
          <w:szCs w:val="20"/>
        </w:rPr>
      </w:pPr>
      <w:r>
        <w:rPr>
          <w:rFonts w:eastAsia="Times New Roman"/>
          <w:sz w:val="20"/>
          <w:szCs w:val="20"/>
        </w:rPr>
        <w:pict w14:anchorId="13AF5FFB">
          <v:rect id="_x0000_i1044" style="width:415.3pt;height:1.5pt" o:hralign="center" o:hrstd="t" o:hrnoshade="t" o:hr="t" fillcolor="black" stroked="f"/>
        </w:pict>
      </w:r>
    </w:p>
    <w:p w14:paraId="6F91C581" w14:textId="77777777" w:rsidR="00000000" w:rsidRDefault="00847163">
      <w:pPr>
        <w:divId w:val="1719009923"/>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4652D61B" w14:textId="77777777" w:rsidR="00000000" w:rsidRDefault="00847163">
      <w:pPr>
        <w:pStyle w:val="a3"/>
        <w:spacing w:before="0" w:beforeAutospacing="0" w:after="0" w:afterAutospacing="0"/>
        <w:ind w:firstLine="360"/>
        <w:jc w:val="both"/>
        <w:rPr>
          <w:sz w:val="20"/>
          <w:szCs w:val="20"/>
        </w:rPr>
      </w:pPr>
      <w:r>
        <w:rPr>
          <w:sz w:val="20"/>
          <w:szCs w:val="20"/>
        </w:rPr>
        <w:t> </w:t>
      </w:r>
    </w:p>
    <w:p w14:paraId="72ECA78B" w14:textId="77777777" w:rsidR="00000000" w:rsidRDefault="00847163">
      <w:pPr>
        <w:divId w:val="1387410848"/>
        <w:rPr>
          <w:rFonts w:eastAsia="Times New Roman"/>
          <w:sz w:val="20"/>
          <w:szCs w:val="20"/>
        </w:rPr>
      </w:pPr>
      <w:r>
        <w:rPr>
          <w:rFonts w:eastAsia="Times New Roman"/>
          <w:sz w:val="20"/>
          <w:szCs w:val="20"/>
        </w:rPr>
        <w:t xml:space="preserve">  </w:t>
      </w:r>
    </w:p>
    <w:p w14:paraId="7BE46240" w14:textId="77777777" w:rsidR="00000000" w:rsidRDefault="00847163">
      <w:pPr>
        <w:pStyle w:val="a3"/>
        <w:spacing w:before="0" w:beforeAutospacing="0" w:after="0" w:afterAutospacing="0"/>
        <w:rPr>
          <w:sz w:val="20"/>
          <w:szCs w:val="20"/>
        </w:rPr>
      </w:pPr>
      <w:r>
        <w:rPr>
          <w:rStyle w:val="a6"/>
          <w:sz w:val="20"/>
          <w:szCs w:val="20"/>
        </w:rPr>
        <w:t>14.</w:t>
      </w:r>
      <w:r>
        <w:rPr>
          <w:sz w:val="20"/>
          <w:szCs w:val="20"/>
        </w:rPr>
        <w:t xml:space="preserve"> </w:t>
      </w:r>
      <w:r>
        <w:rPr>
          <w:sz w:val="20"/>
          <w:szCs w:val="20"/>
          <w:u w:val="single"/>
        </w:rPr>
        <w:t>Stockholders’ Equity</w:t>
      </w:r>
    </w:p>
    <w:p w14:paraId="039A1AAE" w14:textId="77777777" w:rsidR="00000000" w:rsidRDefault="00847163">
      <w:pPr>
        <w:pStyle w:val="a3"/>
        <w:spacing w:before="0" w:beforeAutospacing="0" w:after="0" w:afterAutospacing="0"/>
        <w:rPr>
          <w:sz w:val="20"/>
          <w:szCs w:val="20"/>
        </w:rPr>
      </w:pPr>
      <w:r>
        <w:rPr>
          <w:sz w:val="20"/>
          <w:szCs w:val="20"/>
        </w:rPr>
        <w:t> </w:t>
      </w:r>
    </w:p>
    <w:p w14:paraId="49FE2834" w14:textId="77777777" w:rsidR="00000000" w:rsidRDefault="00847163">
      <w:pPr>
        <w:pStyle w:val="a3"/>
        <w:spacing w:before="0" w:beforeAutospacing="0" w:after="0" w:afterAutospacing="0"/>
        <w:jc w:val="both"/>
        <w:rPr>
          <w:sz w:val="20"/>
          <w:szCs w:val="20"/>
        </w:rPr>
      </w:pPr>
      <w:r>
        <w:rPr>
          <w:i/>
          <w:iCs/>
          <w:sz w:val="20"/>
          <w:szCs w:val="20"/>
        </w:rPr>
        <w:t>Preferred Stock -</w:t>
      </w:r>
    </w:p>
    <w:p w14:paraId="36592610" w14:textId="77777777" w:rsidR="00000000" w:rsidRDefault="00847163">
      <w:pPr>
        <w:pStyle w:val="a3"/>
        <w:spacing w:before="0" w:beforeAutospacing="0" w:after="0" w:afterAutospacing="0"/>
        <w:ind w:left="360"/>
        <w:jc w:val="both"/>
        <w:rPr>
          <w:sz w:val="20"/>
          <w:szCs w:val="20"/>
        </w:rPr>
      </w:pPr>
      <w:r>
        <w:rPr>
          <w:sz w:val="20"/>
          <w:szCs w:val="20"/>
        </w:rPr>
        <w:t> </w:t>
      </w:r>
    </w:p>
    <w:p w14:paraId="1515FF1E" w14:textId="77777777" w:rsidR="00000000" w:rsidRDefault="00847163">
      <w:pPr>
        <w:pStyle w:val="a3"/>
        <w:spacing w:before="0" w:beforeAutospacing="0" w:after="0" w:afterAutospacing="0"/>
        <w:ind w:left="360"/>
        <w:jc w:val="both"/>
        <w:rPr>
          <w:sz w:val="20"/>
          <w:szCs w:val="20"/>
        </w:rPr>
      </w:pPr>
      <w:r>
        <w:rPr>
          <w:sz w:val="20"/>
          <w:szCs w:val="20"/>
        </w:rPr>
        <w:t>The Company’s outstanding Preferred Stock is detailed below:</w:t>
      </w:r>
    </w:p>
    <w:p w14:paraId="07E8EA6F" w14:textId="77777777" w:rsidR="00000000" w:rsidRDefault="00847163">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3"/>
        <w:gridCol w:w="50"/>
        <w:gridCol w:w="88"/>
        <w:gridCol w:w="879"/>
        <w:gridCol w:w="50"/>
        <w:gridCol w:w="50"/>
        <w:gridCol w:w="89"/>
        <w:gridCol w:w="979"/>
        <w:gridCol w:w="50"/>
        <w:gridCol w:w="50"/>
        <w:gridCol w:w="460"/>
        <w:gridCol w:w="1010"/>
        <w:gridCol w:w="50"/>
        <w:gridCol w:w="50"/>
        <w:gridCol w:w="71"/>
        <w:gridCol w:w="708"/>
        <w:gridCol w:w="167"/>
        <w:gridCol w:w="50"/>
        <w:gridCol w:w="101"/>
        <w:gridCol w:w="849"/>
        <w:gridCol w:w="50"/>
        <w:gridCol w:w="50"/>
        <w:gridCol w:w="121"/>
        <w:gridCol w:w="454"/>
        <w:gridCol w:w="50"/>
        <w:gridCol w:w="1045"/>
      </w:tblGrid>
      <w:tr w:rsidR="00000000" w14:paraId="0F163087" w14:textId="77777777">
        <w:trPr>
          <w:tblCellSpacing w:w="0" w:type="dxa"/>
        </w:trPr>
        <w:tc>
          <w:tcPr>
            <w:tcW w:w="4500" w:type="pct"/>
            <w:gridSpan w:val="26"/>
            <w:tcBorders>
              <w:bottom w:val="single" w:sz="6" w:space="0" w:color="000000"/>
            </w:tcBorders>
            <w:vAlign w:val="bottom"/>
            <w:hideMark/>
          </w:tcPr>
          <w:p w14:paraId="0D765136" w14:textId="77777777" w:rsidR="00000000" w:rsidRDefault="00847163">
            <w:pPr>
              <w:pStyle w:val="a3"/>
              <w:spacing w:before="0" w:beforeAutospacing="0" w:after="0" w:afterAutospacing="0"/>
              <w:jc w:val="center"/>
              <w:rPr>
                <w:sz w:val="20"/>
                <w:szCs w:val="20"/>
              </w:rPr>
            </w:pPr>
            <w:r>
              <w:rPr>
                <w:b/>
                <w:bCs/>
                <w:sz w:val="20"/>
                <w:szCs w:val="20"/>
              </w:rPr>
              <w:t>As of March 31, 2020 and December 31, 2019</w:t>
            </w:r>
          </w:p>
        </w:tc>
      </w:tr>
      <w:tr w:rsidR="00000000" w14:paraId="3750C554" w14:textId="77777777">
        <w:trPr>
          <w:tblCellSpacing w:w="0" w:type="dxa"/>
        </w:trPr>
        <w:tc>
          <w:tcPr>
            <w:tcW w:w="500" w:type="pct"/>
            <w:tcBorders>
              <w:bottom w:val="single" w:sz="6" w:space="0" w:color="000000"/>
            </w:tcBorders>
            <w:vAlign w:val="bottom"/>
            <w:hideMark/>
          </w:tcPr>
          <w:p w14:paraId="61506F73" w14:textId="77777777" w:rsidR="00000000" w:rsidRDefault="00847163">
            <w:pPr>
              <w:pStyle w:val="a3"/>
              <w:spacing w:before="0" w:beforeAutospacing="0" w:after="0" w:afterAutospacing="0"/>
              <w:jc w:val="center"/>
              <w:rPr>
                <w:sz w:val="20"/>
                <w:szCs w:val="20"/>
              </w:rPr>
            </w:pPr>
            <w:r>
              <w:rPr>
                <w:b/>
                <w:bCs/>
                <w:sz w:val="20"/>
                <w:szCs w:val="20"/>
              </w:rPr>
              <w:t>Class of</w:t>
            </w:r>
          </w:p>
          <w:p w14:paraId="65D088C2" w14:textId="77777777" w:rsidR="00000000" w:rsidRDefault="00847163">
            <w:pPr>
              <w:pStyle w:val="a3"/>
              <w:spacing w:before="0" w:beforeAutospacing="0" w:after="0" w:afterAutospacing="0"/>
              <w:jc w:val="center"/>
              <w:rPr>
                <w:sz w:val="20"/>
                <w:szCs w:val="20"/>
              </w:rPr>
            </w:pPr>
            <w:r>
              <w:rPr>
                <w:b/>
                <w:bCs/>
                <w:sz w:val="20"/>
                <w:szCs w:val="20"/>
              </w:rPr>
              <w:t xml:space="preserve">Preferred </w:t>
            </w:r>
          </w:p>
          <w:p w14:paraId="0C1B6F98" w14:textId="77777777" w:rsidR="00000000" w:rsidRDefault="00847163">
            <w:pPr>
              <w:pStyle w:val="a3"/>
              <w:spacing w:before="0" w:beforeAutospacing="0" w:after="0" w:afterAutospacing="0"/>
              <w:jc w:val="center"/>
              <w:rPr>
                <w:sz w:val="20"/>
                <w:szCs w:val="20"/>
              </w:rPr>
            </w:pPr>
            <w:r>
              <w:rPr>
                <w:b/>
                <w:bCs/>
                <w:sz w:val="20"/>
                <w:szCs w:val="20"/>
              </w:rPr>
              <w:t>Stock</w:t>
            </w:r>
          </w:p>
        </w:tc>
        <w:tc>
          <w:tcPr>
            <w:tcW w:w="50" w:type="pct"/>
            <w:vAlign w:val="bottom"/>
            <w:hideMark/>
          </w:tcPr>
          <w:p w14:paraId="1394CA07" w14:textId="77777777" w:rsidR="00000000" w:rsidRDefault="00847163">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4E171DAC" w14:textId="77777777" w:rsidR="00000000" w:rsidRDefault="00847163">
            <w:pPr>
              <w:pStyle w:val="a3"/>
              <w:spacing w:before="0" w:beforeAutospacing="0" w:after="0" w:afterAutospacing="0"/>
              <w:jc w:val="center"/>
              <w:rPr>
                <w:sz w:val="20"/>
                <w:szCs w:val="20"/>
              </w:rPr>
            </w:pPr>
            <w:r>
              <w:rPr>
                <w:b/>
                <w:bCs/>
                <w:sz w:val="20"/>
                <w:szCs w:val="20"/>
              </w:rPr>
              <w:t xml:space="preserve">Shares </w:t>
            </w:r>
          </w:p>
          <w:p w14:paraId="67DA32FD" w14:textId="77777777" w:rsidR="00000000" w:rsidRDefault="00847163">
            <w:pPr>
              <w:pStyle w:val="a3"/>
              <w:spacing w:before="0" w:beforeAutospacing="0" w:after="0" w:afterAutospacing="0"/>
              <w:jc w:val="center"/>
              <w:rPr>
                <w:sz w:val="20"/>
                <w:szCs w:val="20"/>
              </w:rPr>
            </w:pPr>
            <w:r>
              <w:rPr>
                <w:b/>
                <w:bCs/>
                <w:sz w:val="20"/>
                <w:szCs w:val="20"/>
              </w:rPr>
              <w:t>Authorized</w:t>
            </w:r>
          </w:p>
        </w:tc>
        <w:tc>
          <w:tcPr>
            <w:tcW w:w="50" w:type="pct"/>
            <w:tcMar>
              <w:top w:w="0" w:type="dxa"/>
              <w:left w:w="0" w:type="dxa"/>
              <w:bottom w:w="15" w:type="dxa"/>
              <w:right w:w="0" w:type="dxa"/>
            </w:tcMar>
            <w:vAlign w:val="bottom"/>
            <w:hideMark/>
          </w:tcPr>
          <w:p w14:paraId="38E2F624" w14:textId="77777777" w:rsidR="00000000" w:rsidRDefault="00847163">
            <w:pPr>
              <w:rPr>
                <w:rFonts w:eastAsia="Times New Roman"/>
                <w:sz w:val="20"/>
                <w:szCs w:val="20"/>
              </w:rPr>
            </w:pPr>
            <w:r>
              <w:rPr>
                <w:rFonts w:eastAsia="Times New Roman"/>
                <w:sz w:val="20"/>
                <w:szCs w:val="20"/>
              </w:rPr>
              <w:t> </w:t>
            </w:r>
          </w:p>
        </w:tc>
        <w:tc>
          <w:tcPr>
            <w:tcW w:w="50" w:type="pct"/>
            <w:vAlign w:val="bottom"/>
            <w:hideMark/>
          </w:tcPr>
          <w:p w14:paraId="7609A1EF" w14:textId="77777777" w:rsidR="00000000" w:rsidRDefault="00847163">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6A964C60" w14:textId="77777777" w:rsidR="00000000" w:rsidRDefault="00847163">
            <w:pPr>
              <w:pStyle w:val="a3"/>
              <w:spacing w:before="0" w:beforeAutospacing="0" w:after="0" w:afterAutospacing="0"/>
              <w:jc w:val="center"/>
              <w:rPr>
                <w:sz w:val="20"/>
                <w:szCs w:val="20"/>
              </w:rPr>
            </w:pPr>
            <w:r>
              <w:rPr>
                <w:b/>
                <w:bCs/>
                <w:sz w:val="20"/>
                <w:szCs w:val="20"/>
              </w:rPr>
              <w:t xml:space="preserve">Shares </w:t>
            </w:r>
          </w:p>
          <w:p w14:paraId="22FCF723" w14:textId="77777777" w:rsidR="00000000" w:rsidRDefault="00847163">
            <w:pPr>
              <w:pStyle w:val="a3"/>
              <w:spacing w:before="0" w:beforeAutospacing="0" w:after="0" w:afterAutospacing="0"/>
              <w:jc w:val="center"/>
              <w:rPr>
                <w:sz w:val="20"/>
                <w:szCs w:val="20"/>
              </w:rPr>
            </w:pPr>
            <w:r>
              <w:rPr>
                <w:b/>
                <w:bCs/>
                <w:sz w:val="20"/>
                <w:szCs w:val="20"/>
              </w:rPr>
              <w:t>Issued and Outstanding</w:t>
            </w:r>
          </w:p>
        </w:tc>
        <w:tc>
          <w:tcPr>
            <w:tcW w:w="50" w:type="pct"/>
            <w:tcMar>
              <w:top w:w="0" w:type="dxa"/>
              <w:left w:w="0" w:type="dxa"/>
              <w:bottom w:w="15" w:type="dxa"/>
              <w:right w:w="0" w:type="dxa"/>
            </w:tcMar>
            <w:vAlign w:val="bottom"/>
            <w:hideMark/>
          </w:tcPr>
          <w:p w14:paraId="5DA1C1A5" w14:textId="77777777" w:rsidR="00000000" w:rsidRDefault="00847163">
            <w:pPr>
              <w:rPr>
                <w:rFonts w:eastAsia="Times New Roman"/>
                <w:sz w:val="20"/>
                <w:szCs w:val="20"/>
              </w:rPr>
            </w:pPr>
            <w:r>
              <w:rPr>
                <w:rFonts w:eastAsia="Times New Roman"/>
                <w:sz w:val="20"/>
                <w:szCs w:val="20"/>
              </w:rPr>
              <w:t> </w:t>
            </w:r>
          </w:p>
        </w:tc>
        <w:tc>
          <w:tcPr>
            <w:tcW w:w="50" w:type="pct"/>
            <w:vAlign w:val="bottom"/>
            <w:hideMark/>
          </w:tcPr>
          <w:p w14:paraId="218EBF2B" w14:textId="77777777" w:rsidR="00000000" w:rsidRDefault="00847163">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7C48A17F" w14:textId="77777777" w:rsidR="00000000" w:rsidRDefault="00847163">
            <w:pPr>
              <w:pStyle w:val="a3"/>
              <w:spacing w:before="0" w:beforeAutospacing="0" w:after="0" w:afterAutospacing="0"/>
              <w:jc w:val="center"/>
              <w:rPr>
                <w:sz w:val="20"/>
                <w:szCs w:val="20"/>
              </w:rPr>
            </w:pPr>
            <w:r>
              <w:rPr>
                <w:b/>
                <w:bCs/>
                <w:sz w:val="20"/>
                <w:szCs w:val="20"/>
              </w:rPr>
              <w:t>Liquidation Preference</w:t>
            </w:r>
          </w:p>
          <w:p w14:paraId="09686CEB" w14:textId="77777777" w:rsidR="00000000" w:rsidRDefault="00847163">
            <w:pPr>
              <w:pStyle w:val="a3"/>
              <w:spacing w:before="0" w:beforeAutospacing="0" w:after="0" w:afterAutospacing="0"/>
              <w:jc w:val="center"/>
              <w:rPr>
                <w:sz w:val="20"/>
                <w:szCs w:val="20"/>
              </w:rPr>
            </w:pPr>
            <w:r>
              <w:rPr>
                <w:b/>
                <w:bCs/>
                <w:sz w:val="20"/>
                <w:szCs w:val="20"/>
              </w:rPr>
              <w:t>(in thousands)</w:t>
            </w:r>
          </w:p>
        </w:tc>
        <w:tc>
          <w:tcPr>
            <w:tcW w:w="50" w:type="pct"/>
            <w:tcMar>
              <w:top w:w="0" w:type="dxa"/>
              <w:left w:w="0" w:type="dxa"/>
              <w:bottom w:w="15" w:type="dxa"/>
              <w:right w:w="0" w:type="dxa"/>
            </w:tcMar>
            <w:vAlign w:val="bottom"/>
            <w:hideMark/>
          </w:tcPr>
          <w:p w14:paraId="06271684" w14:textId="77777777" w:rsidR="00000000" w:rsidRDefault="00847163">
            <w:pPr>
              <w:rPr>
                <w:rFonts w:eastAsia="Times New Roman"/>
                <w:sz w:val="20"/>
                <w:szCs w:val="20"/>
              </w:rPr>
            </w:pPr>
            <w:r>
              <w:rPr>
                <w:rFonts w:eastAsia="Times New Roman"/>
                <w:sz w:val="20"/>
                <w:szCs w:val="20"/>
              </w:rPr>
              <w:t> </w:t>
            </w:r>
          </w:p>
        </w:tc>
        <w:tc>
          <w:tcPr>
            <w:tcW w:w="50" w:type="pct"/>
            <w:vAlign w:val="bottom"/>
            <w:hideMark/>
          </w:tcPr>
          <w:p w14:paraId="249780B3" w14:textId="77777777" w:rsidR="00000000" w:rsidRDefault="00847163">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63311616" w14:textId="77777777" w:rsidR="00000000" w:rsidRDefault="00847163">
            <w:pPr>
              <w:pStyle w:val="a3"/>
              <w:spacing w:before="0" w:beforeAutospacing="0" w:after="0" w:afterAutospacing="0"/>
              <w:jc w:val="center"/>
              <w:rPr>
                <w:sz w:val="20"/>
                <w:szCs w:val="20"/>
              </w:rPr>
            </w:pPr>
            <w:r>
              <w:rPr>
                <w:b/>
                <w:bCs/>
                <w:sz w:val="20"/>
                <w:szCs w:val="20"/>
              </w:rPr>
              <w:t xml:space="preserve">Dividend </w:t>
            </w:r>
          </w:p>
          <w:p w14:paraId="6D2939A2" w14:textId="77777777" w:rsidR="00000000" w:rsidRDefault="00847163">
            <w:pPr>
              <w:pStyle w:val="a3"/>
              <w:spacing w:before="0" w:beforeAutospacing="0" w:after="0" w:afterAutospacing="0"/>
              <w:jc w:val="center"/>
              <w:rPr>
                <w:sz w:val="20"/>
                <w:szCs w:val="20"/>
              </w:rPr>
            </w:pPr>
            <w:r>
              <w:rPr>
                <w:b/>
                <w:bCs/>
                <w:sz w:val="20"/>
                <w:szCs w:val="20"/>
              </w:rPr>
              <w:t>Rate</w:t>
            </w:r>
          </w:p>
        </w:tc>
        <w:tc>
          <w:tcPr>
            <w:tcW w:w="50" w:type="pct"/>
            <w:tcMar>
              <w:top w:w="0" w:type="dxa"/>
              <w:left w:w="0" w:type="dxa"/>
              <w:bottom w:w="15" w:type="dxa"/>
              <w:right w:w="0" w:type="dxa"/>
            </w:tcMar>
            <w:vAlign w:val="bottom"/>
            <w:hideMark/>
          </w:tcPr>
          <w:p w14:paraId="6194EE6A" w14:textId="77777777" w:rsidR="00000000" w:rsidRDefault="00847163">
            <w:pPr>
              <w:rPr>
                <w:rFonts w:eastAsia="Times New Roman"/>
                <w:sz w:val="20"/>
                <w:szCs w:val="20"/>
              </w:rPr>
            </w:pPr>
            <w:r>
              <w:rPr>
                <w:rFonts w:eastAsia="Times New Roman"/>
                <w:sz w:val="20"/>
                <w:szCs w:val="20"/>
              </w:rPr>
              <w:t> </w:t>
            </w:r>
          </w:p>
        </w:tc>
        <w:tc>
          <w:tcPr>
            <w:tcW w:w="50" w:type="pct"/>
            <w:vAlign w:val="bottom"/>
            <w:hideMark/>
          </w:tcPr>
          <w:p w14:paraId="298B4E5F" w14:textId="77777777" w:rsidR="00000000" w:rsidRDefault="00847163">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604A61A2" w14:textId="77777777" w:rsidR="00000000" w:rsidRDefault="00847163">
            <w:pPr>
              <w:pStyle w:val="a3"/>
              <w:spacing w:before="0" w:beforeAutospacing="0" w:after="0" w:afterAutospacing="0"/>
              <w:jc w:val="center"/>
              <w:rPr>
                <w:sz w:val="20"/>
                <w:szCs w:val="20"/>
              </w:rPr>
            </w:pPr>
            <w:r>
              <w:rPr>
                <w:b/>
                <w:bCs/>
                <w:sz w:val="20"/>
                <w:szCs w:val="20"/>
              </w:rPr>
              <w:t xml:space="preserve">Annual </w:t>
            </w:r>
          </w:p>
          <w:p w14:paraId="20907CDD" w14:textId="77777777" w:rsidR="00000000" w:rsidRDefault="00847163">
            <w:pPr>
              <w:pStyle w:val="a3"/>
              <w:spacing w:before="0" w:beforeAutospacing="0" w:after="0" w:afterAutospacing="0"/>
              <w:jc w:val="center"/>
              <w:rPr>
                <w:sz w:val="20"/>
                <w:szCs w:val="20"/>
              </w:rPr>
            </w:pPr>
            <w:r>
              <w:rPr>
                <w:b/>
                <w:bCs/>
                <w:sz w:val="20"/>
                <w:szCs w:val="20"/>
              </w:rPr>
              <w:t xml:space="preserve">Dividend per </w:t>
            </w:r>
          </w:p>
          <w:p w14:paraId="6212EB2C" w14:textId="77777777" w:rsidR="00000000" w:rsidRDefault="00847163">
            <w:pPr>
              <w:pStyle w:val="a3"/>
              <w:spacing w:before="0" w:beforeAutospacing="0" w:after="0" w:afterAutospacing="0"/>
              <w:jc w:val="center"/>
              <w:rPr>
                <w:sz w:val="20"/>
                <w:szCs w:val="20"/>
              </w:rPr>
            </w:pPr>
            <w:r>
              <w:rPr>
                <w:b/>
                <w:bCs/>
                <w:sz w:val="20"/>
                <w:szCs w:val="20"/>
              </w:rPr>
              <w:t xml:space="preserve">Depositary </w:t>
            </w:r>
          </w:p>
          <w:p w14:paraId="0AD4DC5E" w14:textId="77777777" w:rsidR="00000000" w:rsidRDefault="00847163">
            <w:pPr>
              <w:pStyle w:val="a3"/>
              <w:spacing w:before="0" w:beforeAutospacing="0" w:after="0" w:afterAutospacing="0"/>
              <w:jc w:val="center"/>
              <w:rPr>
                <w:sz w:val="20"/>
                <w:szCs w:val="20"/>
              </w:rPr>
            </w:pPr>
            <w:r>
              <w:rPr>
                <w:b/>
                <w:bCs/>
                <w:sz w:val="20"/>
                <w:szCs w:val="20"/>
              </w:rPr>
              <w:t>Share</w:t>
            </w:r>
          </w:p>
        </w:tc>
        <w:tc>
          <w:tcPr>
            <w:tcW w:w="50" w:type="pct"/>
            <w:tcMar>
              <w:top w:w="0" w:type="dxa"/>
              <w:left w:w="0" w:type="dxa"/>
              <w:bottom w:w="15" w:type="dxa"/>
              <w:right w:w="0" w:type="dxa"/>
            </w:tcMar>
            <w:vAlign w:val="bottom"/>
            <w:hideMark/>
          </w:tcPr>
          <w:p w14:paraId="2316AC69" w14:textId="77777777" w:rsidR="00000000" w:rsidRDefault="00847163">
            <w:pPr>
              <w:rPr>
                <w:rFonts w:eastAsia="Times New Roman"/>
                <w:sz w:val="20"/>
                <w:szCs w:val="20"/>
              </w:rPr>
            </w:pPr>
            <w:r>
              <w:rPr>
                <w:rFonts w:eastAsia="Times New Roman"/>
                <w:sz w:val="20"/>
                <w:szCs w:val="20"/>
              </w:rPr>
              <w:t> </w:t>
            </w:r>
          </w:p>
        </w:tc>
        <w:tc>
          <w:tcPr>
            <w:tcW w:w="50" w:type="pct"/>
            <w:vAlign w:val="bottom"/>
            <w:hideMark/>
          </w:tcPr>
          <w:p w14:paraId="37E0FCB4" w14:textId="77777777" w:rsidR="00000000" w:rsidRDefault="00847163">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4D4B66F2" w14:textId="77777777" w:rsidR="00000000" w:rsidRDefault="00847163">
            <w:pPr>
              <w:pStyle w:val="a3"/>
              <w:spacing w:before="0" w:beforeAutospacing="0" w:after="0" w:afterAutospacing="0"/>
              <w:jc w:val="center"/>
              <w:rPr>
                <w:sz w:val="20"/>
                <w:szCs w:val="20"/>
              </w:rPr>
            </w:pPr>
            <w:r>
              <w:rPr>
                <w:sz w:val="20"/>
                <w:szCs w:val="20"/>
              </w:rPr>
              <w:t> </w:t>
            </w:r>
          </w:p>
          <w:p w14:paraId="60B93EC8" w14:textId="77777777" w:rsidR="00000000" w:rsidRDefault="00847163">
            <w:pPr>
              <w:pStyle w:val="a3"/>
              <w:spacing w:before="0" w:beforeAutospacing="0" w:after="0" w:afterAutospacing="0"/>
              <w:jc w:val="center"/>
              <w:rPr>
                <w:sz w:val="20"/>
                <w:szCs w:val="20"/>
              </w:rPr>
            </w:pPr>
            <w:r>
              <w:rPr>
                <w:b/>
                <w:bCs/>
                <w:sz w:val="20"/>
                <w:szCs w:val="20"/>
              </w:rPr>
              <w:t xml:space="preserve">Par </w:t>
            </w:r>
          </w:p>
          <w:p w14:paraId="3DAA7BF0" w14:textId="77777777" w:rsidR="00000000" w:rsidRDefault="00847163">
            <w:pPr>
              <w:pStyle w:val="a3"/>
              <w:spacing w:before="0" w:beforeAutospacing="0" w:after="0" w:afterAutospacing="0"/>
              <w:jc w:val="center"/>
              <w:rPr>
                <w:sz w:val="20"/>
                <w:szCs w:val="20"/>
              </w:rPr>
            </w:pPr>
            <w:r>
              <w:rPr>
                <w:b/>
                <w:bCs/>
                <w:sz w:val="20"/>
                <w:szCs w:val="20"/>
              </w:rPr>
              <w:t>Value</w:t>
            </w:r>
          </w:p>
        </w:tc>
        <w:tc>
          <w:tcPr>
            <w:tcW w:w="50" w:type="pct"/>
            <w:tcMar>
              <w:top w:w="0" w:type="dxa"/>
              <w:left w:w="0" w:type="dxa"/>
              <w:bottom w:w="15" w:type="dxa"/>
              <w:right w:w="0" w:type="dxa"/>
            </w:tcMar>
            <w:vAlign w:val="bottom"/>
            <w:hideMark/>
          </w:tcPr>
          <w:p w14:paraId="506174A3" w14:textId="77777777" w:rsidR="00000000" w:rsidRDefault="00847163">
            <w:pPr>
              <w:rPr>
                <w:rFonts w:eastAsia="Times New Roman"/>
                <w:sz w:val="20"/>
                <w:szCs w:val="20"/>
              </w:rPr>
            </w:pPr>
            <w:r>
              <w:rPr>
                <w:rFonts w:eastAsia="Times New Roman"/>
                <w:sz w:val="20"/>
                <w:szCs w:val="20"/>
              </w:rPr>
              <w:t> </w:t>
            </w:r>
          </w:p>
        </w:tc>
        <w:tc>
          <w:tcPr>
            <w:tcW w:w="500" w:type="pct"/>
            <w:tcBorders>
              <w:bottom w:val="single" w:sz="6" w:space="0" w:color="000000"/>
            </w:tcBorders>
            <w:vAlign w:val="bottom"/>
            <w:hideMark/>
          </w:tcPr>
          <w:p w14:paraId="45C471DF" w14:textId="77777777" w:rsidR="00000000" w:rsidRDefault="00847163">
            <w:pPr>
              <w:pStyle w:val="a3"/>
              <w:spacing w:before="0" w:beforeAutospacing="0" w:after="0" w:afterAutospacing="0"/>
              <w:jc w:val="center"/>
              <w:rPr>
                <w:sz w:val="20"/>
                <w:szCs w:val="20"/>
              </w:rPr>
            </w:pPr>
            <w:r>
              <w:rPr>
                <w:b/>
                <w:bCs/>
                <w:sz w:val="20"/>
                <w:szCs w:val="20"/>
              </w:rPr>
              <w:t xml:space="preserve">Optional </w:t>
            </w:r>
          </w:p>
          <w:p w14:paraId="1C515DFE" w14:textId="77777777" w:rsidR="00000000" w:rsidRDefault="00847163">
            <w:pPr>
              <w:pStyle w:val="a3"/>
              <w:spacing w:before="0" w:beforeAutospacing="0" w:after="0" w:afterAutospacing="0"/>
              <w:jc w:val="center"/>
              <w:rPr>
                <w:sz w:val="20"/>
                <w:szCs w:val="20"/>
              </w:rPr>
            </w:pPr>
            <w:r>
              <w:rPr>
                <w:b/>
                <w:bCs/>
                <w:sz w:val="20"/>
                <w:szCs w:val="20"/>
              </w:rPr>
              <w:t xml:space="preserve">Redemption </w:t>
            </w:r>
          </w:p>
          <w:p w14:paraId="788F94EA" w14:textId="77777777" w:rsidR="00000000" w:rsidRDefault="00847163">
            <w:pPr>
              <w:pStyle w:val="a3"/>
              <w:spacing w:before="0" w:beforeAutospacing="0" w:after="0" w:afterAutospacing="0"/>
              <w:jc w:val="center"/>
              <w:rPr>
                <w:sz w:val="20"/>
                <w:szCs w:val="20"/>
              </w:rPr>
            </w:pPr>
            <w:r>
              <w:rPr>
                <w:b/>
                <w:bCs/>
                <w:sz w:val="20"/>
                <w:szCs w:val="20"/>
              </w:rPr>
              <w:t>Date</w:t>
            </w:r>
          </w:p>
        </w:tc>
      </w:tr>
      <w:tr w:rsidR="00000000" w14:paraId="15D710AD" w14:textId="77777777">
        <w:trPr>
          <w:tblCellSpacing w:w="0" w:type="dxa"/>
        </w:trPr>
        <w:tc>
          <w:tcPr>
            <w:tcW w:w="500" w:type="pct"/>
            <w:shd w:val="clear" w:color="auto" w:fill="CCEEFF"/>
            <w:vAlign w:val="bottom"/>
            <w:hideMark/>
          </w:tcPr>
          <w:p w14:paraId="30AEE5C8" w14:textId="77777777" w:rsidR="00000000" w:rsidRDefault="00847163">
            <w:pPr>
              <w:pStyle w:val="a3"/>
              <w:spacing w:before="0" w:beforeAutospacing="0" w:after="0" w:afterAutospacing="0"/>
              <w:rPr>
                <w:sz w:val="20"/>
                <w:szCs w:val="20"/>
              </w:rPr>
            </w:pPr>
            <w:r>
              <w:rPr>
                <w:sz w:val="20"/>
                <w:szCs w:val="20"/>
              </w:rPr>
              <w:t>Class L</w:t>
            </w:r>
          </w:p>
        </w:tc>
        <w:tc>
          <w:tcPr>
            <w:tcW w:w="50" w:type="pct"/>
            <w:shd w:val="clear" w:color="auto" w:fill="CCEEFF"/>
            <w:vAlign w:val="bottom"/>
            <w:hideMark/>
          </w:tcPr>
          <w:p w14:paraId="40B20153"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7E99490" w14:textId="77777777" w:rsidR="00000000" w:rsidRDefault="00847163">
            <w:pPr>
              <w:rPr>
                <w:rFonts w:eastAsia="Times New Roman"/>
                <w:sz w:val="20"/>
                <w:szCs w:val="20"/>
              </w:rPr>
            </w:pPr>
            <w:r>
              <w:rPr>
                <w:rFonts w:eastAsia="Times New Roman"/>
                <w:sz w:val="20"/>
                <w:szCs w:val="20"/>
              </w:rPr>
              <w:t> </w:t>
            </w:r>
          </w:p>
        </w:tc>
        <w:tc>
          <w:tcPr>
            <w:tcW w:w="500" w:type="pct"/>
            <w:shd w:val="clear" w:color="auto" w:fill="CCEEFF"/>
            <w:vAlign w:val="bottom"/>
            <w:hideMark/>
          </w:tcPr>
          <w:p w14:paraId="26F50FC3" w14:textId="77777777" w:rsidR="00000000" w:rsidRDefault="00847163">
            <w:pPr>
              <w:jc w:val="right"/>
              <w:rPr>
                <w:rFonts w:eastAsia="Times New Roman"/>
                <w:sz w:val="20"/>
                <w:szCs w:val="20"/>
              </w:rPr>
            </w:pPr>
            <w:r>
              <w:rPr>
                <w:rFonts w:eastAsia="Times New Roman"/>
                <w:sz w:val="20"/>
                <w:szCs w:val="20"/>
              </w:rPr>
              <w:t>10,350</w:t>
            </w:r>
          </w:p>
        </w:tc>
        <w:tc>
          <w:tcPr>
            <w:tcW w:w="50" w:type="pct"/>
            <w:shd w:val="clear" w:color="auto" w:fill="CCEEFF"/>
            <w:vAlign w:val="bottom"/>
            <w:hideMark/>
          </w:tcPr>
          <w:p w14:paraId="226A6F34"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838DCAE"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876E14A" w14:textId="77777777" w:rsidR="00000000" w:rsidRDefault="00847163">
            <w:pPr>
              <w:rPr>
                <w:rFonts w:eastAsia="Times New Roman"/>
                <w:sz w:val="20"/>
                <w:szCs w:val="20"/>
              </w:rPr>
            </w:pPr>
            <w:r>
              <w:rPr>
                <w:rFonts w:eastAsia="Times New Roman"/>
                <w:sz w:val="20"/>
                <w:szCs w:val="20"/>
              </w:rPr>
              <w:t> </w:t>
            </w:r>
          </w:p>
        </w:tc>
        <w:tc>
          <w:tcPr>
            <w:tcW w:w="550" w:type="pct"/>
            <w:shd w:val="clear" w:color="auto" w:fill="CCEEFF"/>
            <w:vAlign w:val="bottom"/>
            <w:hideMark/>
          </w:tcPr>
          <w:p w14:paraId="33ADCB2B" w14:textId="77777777" w:rsidR="00000000" w:rsidRDefault="00847163">
            <w:pPr>
              <w:jc w:val="right"/>
              <w:rPr>
                <w:rFonts w:eastAsia="Times New Roman"/>
                <w:sz w:val="20"/>
                <w:szCs w:val="20"/>
              </w:rPr>
            </w:pPr>
            <w:r>
              <w:rPr>
                <w:rFonts w:eastAsia="Times New Roman"/>
                <w:sz w:val="20"/>
                <w:szCs w:val="20"/>
              </w:rPr>
              <w:t>9,000</w:t>
            </w:r>
          </w:p>
        </w:tc>
        <w:tc>
          <w:tcPr>
            <w:tcW w:w="50" w:type="pct"/>
            <w:shd w:val="clear" w:color="auto" w:fill="CCEEFF"/>
            <w:vAlign w:val="bottom"/>
            <w:hideMark/>
          </w:tcPr>
          <w:p w14:paraId="2D58110E"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6931729"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3EC47E6" w14:textId="77777777" w:rsidR="00000000" w:rsidRDefault="00847163">
            <w:pPr>
              <w:rPr>
                <w:rFonts w:eastAsia="Times New Roman"/>
                <w:sz w:val="20"/>
                <w:szCs w:val="20"/>
              </w:rPr>
            </w:pPr>
            <w:r>
              <w:rPr>
                <w:rFonts w:eastAsia="Times New Roman"/>
                <w:sz w:val="20"/>
                <w:szCs w:val="20"/>
              </w:rPr>
              <w:t>$</w:t>
            </w:r>
          </w:p>
        </w:tc>
        <w:tc>
          <w:tcPr>
            <w:tcW w:w="550" w:type="pct"/>
            <w:shd w:val="clear" w:color="auto" w:fill="CCEEFF"/>
            <w:vAlign w:val="bottom"/>
            <w:hideMark/>
          </w:tcPr>
          <w:p w14:paraId="4A8F31BF" w14:textId="77777777" w:rsidR="00000000" w:rsidRDefault="00847163">
            <w:pPr>
              <w:jc w:val="right"/>
              <w:rPr>
                <w:rFonts w:eastAsia="Times New Roman"/>
                <w:sz w:val="20"/>
                <w:szCs w:val="20"/>
              </w:rPr>
            </w:pPr>
            <w:r>
              <w:rPr>
                <w:rFonts w:eastAsia="Times New Roman"/>
                <w:sz w:val="20"/>
                <w:szCs w:val="20"/>
              </w:rPr>
              <w:t>225,000</w:t>
            </w:r>
          </w:p>
        </w:tc>
        <w:tc>
          <w:tcPr>
            <w:tcW w:w="50" w:type="pct"/>
            <w:shd w:val="clear" w:color="auto" w:fill="CCEEFF"/>
            <w:vAlign w:val="bottom"/>
            <w:hideMark/>
          </w:tcPr>
          <w:p w14:paraId="72745B81"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4E74C03"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85BFB82" w14:textId="77777777" w:rsidR="00000000" w:rsidRDefault="00847163">
            <w:pPr>
              <w:rPr>
                <w:rFonts w:eastAsia="Times New Roman"/>
                <w:sz w:val="20"/>
                <w:szCs w:val="20"/>
              </w:rPr>
            </w:pPr>
            <w:r>
              <w:rPr>
                <w:rFonts w:eastAsia="Times New Roman"/>
                <w:sz w:val="20"/>
                <w:szCs w:val="20"/>
              </w:rPr>
              <w:t> </w:t>
            </w:r>
          </w:p>
        </w:tc>
        <w:tc>
          <w:tcPr>
            <w:tcW w:w="500" w:type="pct"/>
            <w:shd w:val="clear" w:color="auto" w:fill="CCEEFF"/>
            <w:vAlign w:val="bottom"/>
            <w:hideMark/>
          </w:tcPr>
          <w:p w14:paraId="2BCCA423" w14:textId="77777777" w:rsidR="00000000" w:rsidRDefault="00847163">
            <w:pPr>
              <w:jc w:val="right"/>
              <w:rPr>
                <w:rFonts w:eastAsia="Times New Roman"/>
                <w:sz w:val="20"/>
                <w:szCs w:val="20"/>
              </w:rPr>
            </w:pPr>
            <w:r>
              <w:rPr>
                <w:rFonts w:eastAsia="Times New Roman"/>
                <w:sz w:val="20"/>
                <w:szCs w:val="20"/>
              </w:rPr>
              <w:t>5.125</w:t>
            </w:r>
          </w:p>
        </w:tc>
        <w:tc>
          <w:tcPr>
            <w:tcW w:w="50" w:type="pct"/>
            <w:shd w:val="clear" w:color="auto" w:fill="CCEEFF"/>
            <w:vAlign w:val="bottom"/>
            <w:hideMark/>
          </w:tcPr>
          <w:p w14:paraId="64C19A7F" w14:textId="77777777" w:rsidR="00000000" w:rsidRDefault="00847163">
            <w:pPr>
              <w:rPr>
                <w:rFonts w:eastAsia="Times New Roman"/>
                <w:sz w:val="20"/>
                <w:szCs w:val="20"/>
              </w:rPr>
            </w:pPr>
            <w:r>
              <w:rPr>
                <w:rFonts w:eastAsia="Times New Roman"/>
                <w:sz w:val="20"/>
                <w:szCs w:val="20"/>
              </w:rPr>
              <w:t>%</w:t>
            </w:r>
          </w:p>
        </w:tc>
        <w:tc>
          <w:tcPr>
            <w:tcW w:w="50" w:type="pct"/>
            <w:shd w:val="clear" w:color="auto" w:fill="CCEEFF"/>
            <w:vAlign w:val="bottom"/>
            <w:hideMark/>
          </w:tcPr>
          <w:p w14:paraId="7250D46C"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1F22EB8" w14:textId="77777777" w:rsidR="00000000" w:rsidRDefault="00847163">
            <w:pPr>
              <w:rPr>
                <w:rFonts w:eastAsia="Times New Roman"/>
                <w:sz w:val="20"/>
                <w:szCs w:val="20"/>
              </w:rPr>
            </w:pPr>
            <w:r>
              <w:rPr>
                <w:rFonts w:eastAsia="Times New Roman"/>
                <w:sz w:val="20"/>
                <w:szCs w:val="20"/>
              </w:rPr>
              <w:t>$</w:t>
            </w:r>
          </w:p>
        </w:tc>
        <w:tc>
          <w:tcPr>
            <w:tcW w:w="500" w:type="pct"/>
            <w:shd w:val="clear" w:color="auto" w:fill="CCEEFF"/>
            <w:vAlign w:val="bottom"/>
            <w:hideMark/>
          </w:tcPr>
          <w:p w14:paraId="62F70981" w14:textId="77777777" w:rsidR="00000000" w:rsidRDefault="00847163">
            <w:pPr>
              <w:jc w:val="right"/>
              <w:rPr>
                <w:rFonts w:eastAsia="Times New Roman"/>
                <w:sz w:val="20"/>
                <w:szCs w:val="20"/>
              </w:rPr>
            </w:pPr>
            <w:r>
              <w:rPr>
                <w:rFonts w:eastAsia="Times New Roman"/>
                <w:sz w:val="20"/>
                <w:szCs w:val="20"/>
              </w:rPr>
              <w:t>1.28125</w:t>
            </w:r>
          </w:p>
        </w:tc>
        <w:tc>
          <w:tcPr>
            <w:tcW w:w="50" w:type="pct"/>
            <w:shd w:val="clear" w:color="auto" w:fill="CCEEFF"/>
            <w:vAlign w:val="bottom"/>
            <w:hideMark/>
          </w:tcPr>
          <w:p w14:paraId="3A3490B3"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DA00004"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E2D5CE3" w14:textId="77777777" w:rsidR="00000000" w:rsidRDefault="00847163">
            <w:pPr>
              <w:ind w:left="20"/>
              <w:rPr>
                <w:rFonts w:eastAsia="Times New Roman"/>
                <w:sz w:val="20"/>
                <w:szCs w:val="20"/>
              </w:rPr>
            </w:pPr>
            <w:r>
              <w:rPr>
                <w:rFonts w:eastAsia="Times New Roman"/>
                <w:sz w:val="20"/>
                <w:szCs w:val="20"/>
              </w:rPr>
              <w:t>$</w:t>
            </w:r>
          </w:p>
        </w:tc>
        <w:tc>
          <w:tcPr>
            <w:tcW w:w="500" w:type="pct"/>
            <w:shd w:val="clear" w:color="auto" w:fill="CCEEFF"/>
            <w:vAlign w:val="bottom"/>
            <w:hideMark/>
          </w:tcPr>
          <w:p w14:paraId="3D515C96" w14:textId="77777777" w:rsidR="00000000" w:rsidRDefault="00847163">
            <w:pPr>
              <w:ind w:left="20"/>
              <w:jc w:val="right"/>
              <w:rPr>
                <w:rFonts w:eastAsia="Times New Roman"/>
                <w:sz w:val="20"/>
                <w:szCs w:val="20"/>
              </w:rPr>
            </w:pPr>
            <w:r>
              <w:rPr>
                <w:rFonts w:eastAsia="Times New Roman"/>
                <w:sz w:val="20"/>
                <w:szCs w:val="20"/>
              </w:rPr>
              <w:t>1.00</w:t>
            </w:r>
          </w:p>
        </w:tc>
        <w:tc>
          <w:tcPr>
            <w:tcW w:w="50" w:type="pct"/>
            <w:shd w:val="clear" w:color="auto" w:fill="CCEEFF"/>
            <w:vAlign w:val="bottom"/>
            <w:hideMark/>
          </w:tcPr>
          <w:p w14:paraId="7559C473" w14:textId="77777777" w:rsidR="00000000" w:rsidRDefault="00847163">
            <w:pPr>
              <w:rPr>
                <w:rFonts w:eastAsia="Times New Roman"/>
                <w:sz w:val="20"/>
                <w:szCs w:val="20"/>
              </w:rPr>
            </w:pPr>
            <w:r>
              <w:rPr>
                <w:rFonts w:eastAsia="Times New Roman"/>
                <w:sz w:val="20"/>
                <w:szCs w:val="20"/>
              </w:rPr>
              <w:t> </w:t>
            </w:r>
          </w:p>
        </w:tc>
        <w:tc>
          <w:tcPr>
            <w:tcW w:w="500" w:type="pct"/>
            <w:shd w:val="clear" w:color="auto" w:fill="CCEEFF"/>
            <w:vAlign w:val="bottom"/>
            <w:hideMark/>
          </w:tcPr>
          <w:p w14:paraId="0FD26771" w14:textId="77777777" w:rsidR="00000000" w:rsidRDefault="00847163">
            <w:pPr>
              <w:pStyle w:val="a3"/>
              <w:spacing w:before="0" w:beforeAutospacing="0" w:after="0" w:afterAutospacing="0"/>
              <w:ind w:left="40"/>
              <w:jc w:val="center"/>
              <w:rPr>
                <w:sz w:val="20"/>
                <w:szCs w:val="20"/>
              </w:rPr>
            </w:pPr>
            <w:r>
              <w:rPr>
                <w:rStyle w:val="a6"/>
                <w:sz w:val="20"/>
                <w:szCs w:val="20"/>
              </w:rPr>
              <w:t>8/16/2022</w:t>
            </w:r>
          </w:p>
        </w:tc>
      </w:tr>
      <w:tr w:rsidR="00000000" w14:paraId="0A7D05DA" w14:textId="77777777">
        <w:trPr>
          <w:tblCellSpacing w:w="0" w:type="dxa"/>
        </w:trPr>
        <w:tc>
          <w:tcPr>
            <w:tcW w:w="500" w:type="pct"/>
            <w:shd w:val="clear" w:color="auto" w:fill="FFFFFF"/>
            <w:vAlign w:val="bottom"/>
            <w:hideMark/>
          </w:tcPr>
          <w:p w14:paraId="76A78048" w14:textId="77777777" w:rsidR="00000000" w:rsidRDefault="00847163">
            <w:pPr>
              <w:pStyle w:val="a3"/>
              <w:spacing w:before="0" w:beforeAutospacing="0" w:after="0" w:afterAutospacing="0"/>
              <w:rPr>
                <w:sz w:val="20"/>
                <w:szCs w:val="20"/>
              </w:rPr>
            </w:pPr>
            <w:r>
              <w:rPr>
                <w:sz w:val="20"/>
                <w:szCs w:val="20"/>
              </w:rPr>
              <w:t>Class M</w:t>
            </w:r>
          </w:p>
        </w:tc>
        <w:tc>
          <w:tcPr>
            <w:tcW w:w="50" w:type="pct"/>
            <w:shd w:val="clear" w:color="auto" w:fill="FFFFFF"/>
            <w:vAlign w:val="bottom"/>
            <w:hideMark/>
          </w:tcPr>
          <w:p w14:paraId="12F13648"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ABC1FD4" w14:textId="77777777" w:rsidR="00000000" w:rsidRDefault="00847163">
            <w:pPr>
              <w:rPr>
                <w:rFonts w:eastAsia="Times New Roman"/>
                <w:sz w:val="20"/>
                <w:szCs w:val="20"/>
              </w:rPr>
            </w:pPr>
            <w:r>
              <w:rPr>
                <w:rFonts w:eastAsia="Times New Roman"/>
                <w:sz w:val="20"/>
                <w:szCs w:val="20"/>
              </w:rPr>
              <w:t> </w:t>
            </w:r>
          </w:p>
        </w:tc>
        <w:tc>
          <w:tcPr>
            <w:tcW w:w="500" w:type="pct"/>
            <w:shd w:val="clear" w:color="auto" w:fill="FFFFFF"/>
            <w:vAlign w:val="bottom"/>
            <w:hideMark/>
          </w:tcPr>
          <w:p w14:paraId="2E1DE048" w14:textId="77777777" w:rsidR="00000000" w:rsidRDefault="00847163">
            <w:pPr>
              <w:jc w:val="right"/>
              <w:rPr>
                <w:rFonts w:eastAsia="Times New Roman"/>
                <w:sz w:val="20"/>
                <w:szCs w:val="20"/>
              </w:rPr>
            </w:pPr>
            <w:r>
              <w:rPr>
                <w:rFonts w:eastAsia="Times New Roman"/>
                <w:sz w:val="20"/>
                <w:szCs w:val="20"/>
              </w:rPr>
              <w:t>10,580</w:t>
            </w:r>
          </w:p>
        </w:tc>
        <w:tc>
          <w:tcPr>
            <w:tcW w:w="50" w:type="pct"/>
            <w:shd w:val="clear" w:color="auto" w:fill="FFFFFF"/>
            <w:vAlign w:val="bottom"/>
            <w:hideMark/>
          </w:tcPr>
          <w:p w14:paraId="4B3202F2"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14:paraId="58A7E11E" w14:textId="77777777" w:rsidR="00000000" w:rsidRDefault="0084716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3B74289F" w14:textId="77777777" w:rsidR="00000000" w:rsidRDefault="00847163">
            <w:pPr>
              <w:rPr>
                <w:rFonts w:eastAsia="Times New Roman"/>
                <w:sz w:val="20"/>
                <w:szCs w:val="20"/>
              </w:rPr>
            </w:pPr>
            <w:r>
              <w:rPr>
                <w:rFonts w:eastAsia="Times New Roman"/>
                <w:sz w:val="20"/>
                <w:szCs w:val="20"/>
              </w:rPr>
              <w:t> </w:t>
            </w:r>
          </w:p>
        </w:tc>
        <w:tc>
          <w:tcPr>
            <w:tcW w:w="550" w:type="pct"/>
            <w:tcBorders>
              <w:bottom w:val="single" w:sz="6" w:space="0" w:color="000000"/>
            </w:tcBorders>
            <w:shd w:val="clear" w:color="auto" w:fill="FFFFFF"/>
            <w:vAlign w:val="bottom"/>
            <w:hideMark/>
          </w:tcPr>
          <w:p w14:paraId="724724BD" w14:textId="77777777" w:rsidR="00000000" w:rsidRDefault="00847163">
            <w:pPr>
              <w:jc w:val="right"/>
              <w:rPr>
                <w:rFonts w:eastAsia="Times New Roman"/>
                <w:sz w:val="20"/>
                <w:szCs w:val="20"/>
              </w:rPr>
            </w:pPr>
            <w:r>
              <w:rPr>
                <w:rFonts w:eastAsia="Times New Roman"/>
                <w:sz w:val="20"/>
                <w:szCs w:val="20"/>
              </w:rPr>
              <w:t>10,580</w:t>
            </w:r>
          </w:p>
        </w:tc>
        <w:tc>
          <w:tcPr>
            <w:tcW w:w="50" w:type="pct"/>
            <w:shd w:val="clear" w:color="auto" w:fill="FFFFFF"/>
            <w:tcMar>
              <w:top w:w="0" w:type="dxa"/>
              <w:left w:w="0" w:type="dxa"/>
              <w:bottom w:w="15" w:type="dxa"/>
              <w:right w:w="0" w:type="dxa"/>
            </w:tcMar>
            <w:vAlign w:val="bottom"/>
            <w:hideMark/>
          </w:tcPr>
          <w:p w14:paraId="2E5963B8"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14:paraId="36534377" w14:textId="77777777" w:rsidR="00000000" w:rsidRDefault="0084716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334FF9DB" w14:textId="77777777" w:rsidR="00000000" w:rsidRDefault="00847163">
            <w:pPr>
              <w:rPr>
                <w:rFonts w:eastAsia="Times New Roman"/>
                <w:sz w:val="20"/>
                <w:szCs w:val="20"/>
              </w:rPr>
            </w:pPr>
            <w:r>
              <w:rPr>
                <w:rFonts w:eastAsia="Times New Roman"/>
                <w:sz w:val="20"/>
                <w:szCs w:val="20"/>
              </w:rPr>
              <w:t> </w:t>
            </w:r>
          </w:p>
        </w:tc>
        <w:tc>
          <w:tcPr>
            <w:tcW w:w="550" w:type="pct"/>
            <w:tcBorders>
              <w:bottom w:val="single" w:sz="6" w:space="0" w:color="000000"/>
            </w:tcBorders>
            <w:shd w:val="clear" w:color="auto" w:fill="FFFFFF"/>
            <w:vAlign w:val="bottom"/>
            <w:hideMark/>
          </w:tcPr>
          <w:p w14:paraId="1E31274B" w14:textId="77777777" w:rsidR="00000000" w:rsidRDefault="00847163">
            <w:pPr>
              <w:jc w:val="right"/>
              <w:rPr>
                <w:rFonts w:eastAsia="Times New Roman"/>
                <w:sz w:val="20"/>
                <w:szCs w:val="20"/>
              </w:rPr>
            </w:pPr>
            <w:r>
              <w:rPr>
                <w:rFonts w:eastAsia="Times New Roman"/>
                <w:sz w:val="20"/>
                <w:szCs w:val="20"/>
              </w:rPr>
              <w:t>264,500</w:t>
            </w:r>
          </w:p>
        </w:tc>
        <w:tc>
          <w:tcPr>
            <w:tcW w:w="50" w:type="pct"/>
            <w:shd w:val="clear" w:color="auto" w:fill="FFFFFF"/>
            <w:tcMar>
              <w:top w:w="0" w:type="dxa"/>
              <w:left w:w="0" w:type="dxa"/>
              <w:bottom w:w="15" w:type="dxa"/>
              <w:right w:w="0" w:type="dxa"/>
            </w:tcMar>
            <w:vAlign w:val="bottom"/>
            <w:hideMark/>
          </w:tcPr>
          <w:p w14:paraId="5EBD2ED4"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ABA58E7"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9F1603E" w14:textId="77777777" w:rsidR="00000000" w:rsidRDefault="00847163">
            <w:pPr>
              <w:rPr>
                <w:rFonts w:eastAsia="Times New Roman"/>
                <w:sz w:val="20"/>
                <w:szCs w:val="20"/>
              </w:rPr>
            </w:pPr>
            <w:r>
              <w:rPr>
                <w:rFonts w:eastAsia="Times New Roman"/>
                <w:sz w:val="20"/>
                <w:szCs w:val="20"/>
              </w:rPr>
              <w:t> </w:t>
            </w:r>
          </w:p>
        </w:tc>
        <w:tc>
          <w:tcPr>
            <w:tcW w:w="500" w:type="pct"/>
            <w:shd w:val="clear" w:color="auto" w:fill="FFFFFF"/>
            <w:vAlign w:val="bottom"/>
            <w:hideMark/>
          </w:tcPr>
          <w:p w14:paraId="3C0631EB" w14:textId="77777777" w:rsidR="00000000" w:rsidRDefault="00847163">
            <w:pPr>
              <w:jc w:val="right"/>
              <w:rPr>
                <w:rFonts w:eastAsia="Times New Roman"/>
                <w:sz w:val="20"/>
                <w:szCs w:val="20"/>
              </w:rPr>
            </w:pPr>
            <w:r>
              <w:rPr>
                <w:rFonts w:eastAsia="Times New Roman"/>
                <w:sz w:val="20"/>
                <w:szCs w:val="20"/>
              </w:rPr>
              <w:t>5.250</w:t>
            </w:r>
          </w:p>
        </w:tc>
        <w:tc>
          <w:tcPr>
            <w:tcW w:w="50" w:type="pct"/>
            <w:shd w:val="clear" w:color="auto" w:fill="FFFFFF"/>
            <w:vAlign w:val="bottom"/>
            <w:hideMark/>
          </w:tcPr>
          <w:p w14:paraId="54B5E6E7" w14:textId="77777777" w:rsidR="00000000" w:rsidRDefault="00847163">
            <w:pPr>
              <w:rPr>
                <w:rFonts w:eastAsia="Times New Roman"/>
                <w:sz w:val="20"/>
                <w:szCs w:val="20"/>
              </w:rPr>
            </w:pPr>
            <w:r>
              <w:rPr>
                <w:rFonts w:eastAsia="Times New Roman"/>
                <w:sz w:val="20"/>
                <w:szCs w:val="20"/>
              </w:rPr>
              <w:t>%</w:t>
            </w:r>
          </w:p>
        </w:tc>
        <w:tc>
          <w:tcPr>
            <w:tcW w:w="50" w:type="pct"/>
            <w:shd w:val="clear" w:color="auto" w:fill="FFFFFF"/>
            <w:vAlign w:val="bottom"/>
            <w:hideMark/>
          </w:tcPr>
          <w:p w14:paraId="61680049"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DDFDE96" w14:textId="77777777" w:rsidR="00000000" w:rsidRDefault="00847163">
            <w:pPr>
              <w:rPr>
                <w:rFonts w:eastAsia="Times New Roman"/>
                <w:sz w:val="20"/>
                <w:szCs w:val="20"/>
              </w:rPr>
            </w:pPr>
            <w:r>
              <w:rPr>
                <w:rFonts w:eastAsia="Times New Roman"/>
                <w:sz w:val="20"/>
                <w:szCs w:val="20"/>
              </w:rPr>
              <w:t>$</w:t>
            </w:r>
          </w:p>
        </w:tc>
        <w:tc>
          <w:tcPr>
            <w:tcW w:w="500" w:type="pct"/>
            <w:shd w:val="clear" w:color="auto" w:fill="FFFFFF"/>
            <w:vAlign w:val="bottom"/>
            <w:hideMark/>
          </w:tcPr>
          <w:p w14:paraId="406B1A2D" w14:textId="77777777" w:rsidR="00000000" w:rsidRDefault="00847163">
            <w:pPr>
              <w:jc w:val="right"/>
              <w:rPr>
                <w:rFonts w:eastAsia="Times New Roman"/>
                <w:sz w:val="20"/>
                <w:szCs w:val="20"/>
              </w:rPr>
            </w:pPr>
            <w:r>
              <w:rPr>
                <w:rFonts w:eastAsia="Times New Roman"/>
                <w:sz w:val="20"/>
                <w:szCs w:val="20"/>
              </w:rPr>
              <w:t>1.31250</w:t>
            </w:r>
          </w:p>
        </w:tc>
        <w:tc>
          <w:tcPr>
            <w:tcW w:w="50" w:type="pct"/>
            <w:shd w:val="clear" w:color="auto" w:fill="FFFFFF"/>
            <w:vAlign w:val="bottom"/>
            <w:hideMark/>
          </w:tcPr>
          <w:p w14:paraId="67D80996"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5F4A624"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596AD6F" w14:textId="77777777" w:rsidR="00000000" w:rsidRDefault="00847163">
            <w:pPr>
              <w:ind w:left="20"/>
              <w:rPr>
                <w:rFonts w:eastAsia="Times New Roman"/>
                <w:sz w:val="20"/>
                <w:szCs w:val="20"/>
              </w:rPr>
            </w:pPr>
            <w:r>
              <w:rPr>
                <w:rFonts w:eastAsia="Times New Roman"/>
                <w:sz w:val="20"/>
                <w:szCs w:val="20"/>
              </w:rPr>
              <w:t>$</w:t>
            </w:r>
          </w:p>
        </w:tc>
        <w:tc>
          <w:tcPr>
            <w:tcW w:w="500" w:type="pct"/>
            <w:shd w:val="clear" w:color="auto" w:fill="FFFFFF"/>
            <w:vAlign w:val="bottom"/>
            <w:hideMark/>
          </w:tcPr>
          <w:p w14:paraId="30886CEB" w14:textId="77777777" w:rsidR="00000000" w:rsidRDefault="00847163">
            <w:pPr>
              <w:ind w:left="20"/>
              <w:jc w:val="right"/>
              <w:rPr>
                <w:rFonts w:eastAsia="Times New Roman"/>
                <w:sz w:val="20"/>
                <w:szCs w:val="20"/>
              </w:rPr>
            </w:pPr>
            <w:r>
              <w:rPr>
                <w:rFonts w:eastAsia="Times New Roman"/>
                <w:sz w:val="20"/>
                <w:szCs w:val="20"/>
              </w:rPr>
              <w:t>1.00</w:t>
            </w:r>
          </w:p>
        </w:tc>
        <w:tc>
          <w:tcPr>
            <w:tcW w:w="50" w:type="pct"/>
            <w:shd w:val="clear" w:color="auto" w:fill="FFFFFF"/>
            <w:vAlign w:val="bottom"/>
            <w:hideMark/>
          </w:tcPr>
          <w:p w14:paraId="7CC734EE" w14:textId="77777777" w:rsidR="00000000" w:rsidRDefault="00847163">
            <w:pPr>
              <w:rPr>
                <w:rFonts w:eastAsia="Times New Roman"/>
                <w:sz w:val="20"/>
                <w:szCs w:val="20"/>
              </w:rPr>
            </w:pPr>
            <w:r>
              <w:rPr>
                <w:rFonts w:eastAsia="Times New Roman"/>
                <w:sz w:val="20"/>
                <w:szCs w:val="20"/>
              </w:rPr>
              <w:t> </w:t>
            </w:r>
          </w:p>
        </w:tc>
        <w:tc>
          <w:tcPr>
            <w:tcW w:w="500" w:type="pct"/>
            <w:shd w:val="clear" w:color="auto" w:fill="FFFFFF"/>
            <w:vAlign w:val="bottom"/>
            <w:hideMark/>
          </w:tcPr>
          <w:p w14:paraId="01468C32" w14:textId="77777777" w:rsidR="00000000" w:rsidRDefault="00847163">
            <w:pPr>
              <w:pStyle w:val="a3"/>
              <w:spacing w:before="0" w:beforeAutospacing="0" w:after="0" w:afterAutospacing="0"/>
              <w:ind w:left="40"/>
              <w:jc w:val="center"/>
              <w:rPr>
                <w:sz w:val="20"/>
                <w:szCs w:val="20"/>
              </w:rPr>
            </w:pPr>
            <w:r>
              <w:rPr>
                <w:rStyle w:val="a6"/>
                <w:sz w:val="20"/>
                <w:szCs w:val="20"/>
              </w:rPr>
              <w:t>12/20/2022</w:t>
            </w:r>
          </w:p>
        </w:tc>
      </w:tr>
      <w:tr w:rsidR="00000000" w14:paraId="07C6EE98" w14:textId="77777777">
        <w:trPr>
          <w:tblCellSpacing w:w="0" w:type="dxa"/>
        </w:trPr>
        <w:tc>
          <w:tcPr>
            <w:tcW w:w="500" w:type="pct"/>
            <w:shd w:val="clear" w:color="auto" w:fill="CCEEFF"/>
            <w:vAlign w:val="bottom"/>
            <w:hideMark/>
          </w:tcPr>
          <w:p w14:paraId="79562BB3"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9D75D82"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62B46FA" w14:textId="77777777" w:rsidR="00000000" w:rsidRDefault="00847163">
            <w:pPr>
              <w:rPr>
                <w:rFonts w:eastAsia="Times New Roman"/>
                <w:sz w:val="20"/>
                <w:szCs w:val="20"/>
              </w:rPr>
            </w:pPr>
            <w:r>
              <w:rPr>
                <w:rFonts w:eastAsia="Times New Roman"/>
                <w:sz w:val="20"/>
                <w:szCs w:val="20"/>
              </w:rPr>
              <w:t> </w:t>
            </w:r>
          </w:p>
        </w:tc>
        <w:tc>
          <w:tcPr>
            <w:tcW w:w="500" w:type="pct"/>
            <w:shd w:val="clear" w:color="auto" w:fill="CCEEFF"/>
            <w:vAlign w:val="bottom"/>
            <w:hideMark/>
          </w:tcPr>
          <w:p w14:paraId="554EBD4F" w14:textId="77777777" w:rsidR="00000000" w:rsidRDefault="00847163">
            <w:pPr>
              <w:jc w:val="right"/>
              <w:rPr>
                <w:rFonts w:eastAsia="Times New Roman"/>
                <w:sz w:val="20"/>
                <w:szCs w:val="20"/>
              </w:rPr>
            </w:pPr>
            <w:r>
              <w:rPr>
                <w:rStyle w:val="a6"/>
                <w:rFonts w:eastAsia="Times New Roman"/>
                <w:sz w:val="20"/>
                <w:szCs w:val="20"/>
              </w:rPr>
              <w:t> </w:t>
            </w:r>
          </w:p>
        </w:tc>
        <w:tc>
          <w:tcPr>
            <w:tcW w:w="50" w:type="pct"/>
            <w:shd w:val="clear" w:color="auto" w:fill="CCEEFF"/>
            <w:vAlign w:val="bottom"/>
            <w:hideMark/>
          </w:tcPr>
          <w:p w14:paraId="48C16D65"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45" w:type="dxa"/>
              <w:right w:w="0" w:type="dxa"/>
            </w:tcMar>
            <w:vAlign w:val="bottom"/>
            <w:hideMark/>
          </w:tcPr>
          <w:p w14:paraId="3F8E9289" w14:textId="77777777" w:rsidR="00000000" w:rsidRDefault="0084716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5B985940" w14:textId="77777777" w:rsidR="00000000" w:rsidRDefault="00847163">
            <w:pPr>
              <w:rPr>
                <w:rFonts w:eastAsia="Times New Roman"/>
                <w:sz w:val="20"/>
                <w:szCs w:val="20"/>
              </w:rPr>
            </w:pPr>
            <w:r>
              <w:rPr>
                <w:rFonts w:eastAsia="Times New Roman"/>
                <w:sz w:val="20"/>
                <w:szCs w:val="20"/>
              </w:rPr>
              <w:t> </w:t>
            </w:r>
          </w:p>
        </w:tc>
        <w:tc>
          <w:tcPr>
            <w:tcW w:w="550" w:type="pct"/>
            <w:tcBorders>
              <w:bottom w:val="double" w:sz="6" w:space="0" w:color="000000"/>
            </w:tcBorders>
            <w:shd w:val="clear" w:color="auto" w:fill="CCEEFF"/>
            <w:vAlign w:val="bottom"/>
            <w:hideMark/>
          </w:tcPr>
          <w:p w14:paraId="7EA4D106" w14:textId="77777777" w:rsidR="00000000" w:rsidRDefault="00847163">
            <w:pPr>
              <w:jc w:val="right"/>
              <w:rPr>
                <w:rFonts w:eastAsia="Times New Roman"/>
                <w:sz w:val="20"/>
                <w:szCs w:val="20"/>
              </w:rPr>
            </w:pPr>
            <w:r>
              <w:rPr>
                <w:rFonts w:eastAsia="Times New Roman"/>
                <w:sz w:val="20"/>
                <w:szCs w:val="20"/>
              </w:rPr>
              <w:t>19,580</w:t>
            </w:r>
          </w:p>
        </w:tc>
        <w:tc>
          <w:tcPr>
            <w:tcW w:w="50" w:type="pct"/>
            <w:shd w:val="clear" w:color="auto" w:fill="CCEEFF"/>
            <w:tcMar>
              <w:top w:w="0" w:type="dxa"/>
              <w:left w:w="0" w:type="dxa"/>
              <w:bottom w:w="45" w:type="dxa"/>
              <w:right w:w="0" w:type="dxa"/>
            </w:tcMar>
            <w:vAlign w:val="bottom"/>
            <w:hideMark/>
          </w:tcPr>
          <w:p w14:paraId="13F3DF26"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45" w:type="dxa"/>
              <w:right w:w="0" w:type="dxa"/>
            </w:tcMar>
            <w:vAlign w:val="bottom"/>
            <w:hideMark/>
          </w:tcPr>
          <w:p w14:paraId="0DC473F9" w14:textId="77777777" w:rsidR="00000000" w:rsidRDefault="0084716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44A1CFA7" w14:textId="77777777" w:rsidR="00000000" w:rsidRDefault="00847163">
            <w:pPr>
              <w:ind w:left="360"/>
              <w:rPr>
                <w:rFonts w:eastAsia="Times New Roman"/>
                <w:sz w:val="20"/>
                <w:szCs w:val="20"/>
              </w:rPr>
            </w:pPr>
            <w:r>
              <w:rPr>
                <w:rFonts w:eastAsia="Times New Roman"/>
                <w:sz w:val="20"/>
                <w:szCs w:val="20"/>
              </w:rPr>
              <w:t>$</w:t>
            </w:r>
          </w:p>
        </w:tc>
        <w:tc>
          <w:tcPr>
            <w:tcW w:w="550" w:type="pct"/>
            <w:tcBorders>
              <w:bottom w:val="double" w:sz="6" w:space="0" w:color="000000"/>
            </w:tcBorders>
            <w:shd w:val="clear" w:color="auto" w:fill="CCEEFF"/>
            <w:vAlign w:val="bottom"/>
            <w:hideMark/>
          </w:tcPr>
          <w:p w14:paraId="0EA81C5A" w14:textId="77777777" w:rsidR="00000000" w:rsidRDefault="00847163">
            <w:pPr>
              <w:ind w:left="360"/>
              <w:jc w:val="right"/>
              <w:rPr>
                <w:rFonts w:eastAsia="Times New Roman"/>
                <w:sz w:val="20"/>
                <w:szCs w:val="20"/>
              </w:rPr>
            </w:pPr>
            <w:r>
              <w:rPr>
                <w:rFonts w:eastAsia="Times New Roman"/>
                <w:sz w:val="20"/>
                <w:szCs w:val="20"/>
              </w:rPr>
              <w:t>489,500</w:t>
            </w:r>
          </w:p>
        </w:tc>
        <w:tc>
          <w:tcPr>
            <w:tcW w:w="50" w:type="pct"/>
            <w:shd w:val="clear" w:color="auto" w:fill="CCEEFF"/>
            <w:tcMar>
              <w:top w:w="0" w:type="dxa"/>
              <w:left w:w="0" w:type="dxa"/>
              <w:bottom w:w="45" w:type="dxa"/>
              <w:right w:w="0" w:type="dxa"/>
            </w:tcMar>
            <w:vAlign w:val="bottom"/>
            <w:hideMark/>
          </w:tcPr>
          <w:p w14:paraId="625464A3"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AA5A70B"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0062511" w14:textId="77777777" w:rsidR="00000000" w:rsidRDefault="00847163">
            <w:pPr>
              <w:rPr>
                <w:rFonts w:eastAsia="Times New Roman"/>
                <w:sz w:val="20"/>
                <w:szCs w:val="20"/>
              </w:rPr>
            </w:pPr>
            <w:r>
              <w:rPr>
                <w:rFonts w:eastAsia="Times New Roman"/>
                <w:sz w:val="20"/>
                <w:szCs w:val="20"/>
              </w:rPr>
              <w:t> </w:t>
            </w:r>
          </w:p>
        </w:tc>
        <w:tc>
          <w:tcPr>
            <w:tcW w:w="500" w:type="pct"/>
            <w:shd w:val="clear" w:color="auto" w:fill="CCEEFF"/>
            <w:vAlign w:val="bottom"/>
            <w:hideMark/>
          </w:tcPr>
          <w:p w14:paraId="26C8CF60" w14:textId="77777777" w:rsidR="00000000" w:rsidRDefault="00847163">
            <w:pPr>
              <w:jc w:val="right"/>
              <w:rPr>
                <w:rFonts w:eastAsia="Times New Roman"/>
                <w:sz w:val="20"/>
                <w:szCs w:val="20"/>
              </w:rPr>
            </w:pPr>
            <w:r>
              <w:rPr>
                <w:rStyle w:val="a6"/>
                <w:rFonts w:eastAsia="Times New Roman"/>
                <w:sz w:val="20"/>
                <w:szCs w:val="20"/>
              </w:rPr>
              <w:t> </w:t>
            </w:r>
          </w:p>
        </w:tc>
        <w:tc>
          <w:tcPr>
            <w:tcW w:w="50" w:type="pct"/>
            <w:shd w:val="clear" w:color="auto" w:fill="CCEEFF"/>
            <w:vAlign w:val="bottom"/>
            <w:hideMark/>
          </w:tcPr>
          <w:p w14:paraId="00C85352"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031222B"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7F89A00" w14:textId="77777777" w:rsidR="00000000" w:rsidRDefault="00847163">
            <w:pPr>
              <w:rPr>
                <w:rFonts w:eastAsia="Times New Roman"/>
                <w:sz w:val="20"/>
                <w:szCs w:val="20"/>
              </w:rPr>
            </w:pPr>
            <w:r>
              <w:rPr>
                <w:rFonts w:eastAsia="Times New Roman"/>
                <w:sz w:val="20"/>
                <w:szCs w:val="20"/>
              </w:rPr>
              <w:t> </w:t>
            </w:r>
          </w:p>
        </w:tc>
        <w:tc>
          <w:tcPr>
            <w:tcW w:w="500" w:type="pct"/>
            <w:shd w:val="clear" w:color="auto" w:fill="CCEEFF"/>
            <w:vAlign w:val="bottom"/>
            <w:hideMark/>
          </w:tcPr>
          <w:p w14:paraId="3738B0D4" w14:textId="77777777" w:rsidR="00000000" w:rsidRDefault="00847163">
            <w:pPr>
              <w:jc w:val="right"/>
              <w:rPr>
                <w:rFonts w:eastAsia="Times New Roman"/>
                <w:sz w:val="20"/>
                <w:szCs w:val="20"/>
              </w:rPr>
            </w:pPr>
            <w:r>
              <w:rPr>
                <w:rStyle w:val="a6"/>
                <w:rFonts w:eastAsia="Times New Roman"/>
                <w:sz w:val="20"/>
                <w:szCs w:val="20"/>
              </w:rPr>
              <w:t> </w:t>
            </w:r>
          </w:p>
        </w:tc>
        <w:tc>
          <w:tcPr>
            <w:tcW w:w="50" w:type="pct"/>
            <w:shd w:val="clear" w:color="auto" w:fill="CCEEFF"/>
            <w:vAlign w:val="bottom"/>
            <w:hideMark/>
          </w:tcPr>
          <w:p w14:paraId="14E48767"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E2B3610"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AC5CDC3" w14:textId="77777777" w:rsidR="00000000" w:rsidRDefault="00847163">
            <w:pPr>
              <w:rPr>
                <w:rFonts w:eastAsia="Times New Roman"/>
                <w:sz w:val="20"/>
                <w:szCs w:val="20"/>
              </w:rPr>
            </w:pPr>
            <w:r>
              <w:rPr>
                <w:rFonts w:eastAsia="Times New Roman"/>
                <w:sz w:val="20"/>
                <w:szCs w:val="20"/>
              </w:rPr>
              <w:t> </w:t>
            </w:r>
          </w:p>
        </w:tc>
        <w:tc>
          <w:tcPr>
            <w:tcW w:w="500" w:type="pct"/>
            <w:shd w:val="clear" w:color="auto" w:fill="CCEEFF"/>
            <w:vAlign w:val="bottom"/>
            <w:hideMark/>
          </w:tcPr>
          <w:p w14:paraId="1173BCC3" w14:textId="77777777" w:rsidR="00000000" w:rsidRDefault="00847163">
            <w:pPr>
              <w:jc w:val="right"/>
              <w:rPr>
                <w:rFonts w:eastAsia="Times New Roman"/>
                <w:sz w:val="20"/>
                <w:szCs w:val="20"/>
              </w:rPr>
            </w:pPr>
            <w:r>
              <w:rPr>
                <w:rStyle w:val="a6"/>
                <w:rFonts w:eastAsia="Times New Roman"/>
                <w:sz w:val="20"/>
                <w:szCs w:val="20"/>
              </w:rPr>
              <w:t> </w:t>
            </w:r>
          </w:p>
        </w:tc>
        <w:tc>
          <w:tcPr>
            <w:tcW w:w="50" w:type="pct"/>
            <w:shd w:val="clear" w:color="auto" w:fill="CCEEFF"/>
            <w:vAlign w:val="bottom"/>
            <w:hideMark/>
          </w:tcPr>
          <w:p w14:paraId="201D2F54" w14:textId="77777777" w:rsidR="00000000" w:rsidRDefault="00847163">
            <w:pPr>
              <w:rPr>
                <w:rFonts w:eastAsia="Times New Roman"/>
                <w:sz w:val="20"/>
                <w:szCs w:val="20"/>
              </w:rPr>
            </w:pPr>
            <w:r>
              <w:rPr>
                <w:rFonts w:eastAsia="Times New Roman"/>
                <w:sz w:val="20"/>
                <w:szCs w:val="20"/>
              </w:rPr>
              <w:t> </w:t>
            </w:r>
          </w:p>
        </w:tc>
        <w:tc>
          <w:tcPr>
            <w:tcW w:w="500" w:type="pct"/>
            <w:shd w:val="clear" w:color="auto" w:fill="CCEEFF"/>
            <w:vAlign w:val="bottom"/>
            <w:hideMark/>
          </w:tcPr>
          <w:p w14:paraId="1AAD5C9F" w14:textId="77777777" w:rsidR="00000000" w:rsidRDefault="00847163">
            <w:pPr>
              <w:rPr>
                <w:rFonts w:eastAsia="Times New Roman"/>
                <w:sz w:val="20"/>
                <w:szCs w:val="20"/>
              </w:rPr>
            </w:pPr>
            <w:r>
              <w:rPr>
                <w:rStyle w:val="a6"/>
                <w:rFonts w:eastAsia="Times New Roman"/>
                <w:sz w:val="20"/>
                <w:szCs w:val="20"/>
              </w:rPr>
              <w:t> </w:t>
            </w:r>
          </w:p>
        </w:tc>
      </w:tr>
    </w:tbl>
    <w:p w14:paraId="75BC04D9" w14:textId="77777777" w:rsidR="00000000" w:rsidRDefault="00847163">
      <w:pPr>
        <w:pStyle w:val="a3"/>
        <w:spacing w:before="0" w:beforeAutospacing="0" w:after="0" w:afterAutospacing="0"/>
        <w:jc w:val="both"/>
        <w:rPr>
          <w:sz w:val="20"/>
          <w:szCs w:val="20"/>
        </w:rPr>
      </w:pPr>
      <w:r>
        <w:rPr>
          <w:sz w:val="20"/>
          <w:szCs w:val="20"/>
        </w:rPr>
        <w:t> </w:t>
      </w:r>
    </w:p>
    <w:p w14:paraId="4912EB8C" w14:textId="77777777" w:rsidR="00000000" w:rsidRDefault="00847163">
      <w:pPr>
        <w:pStyle w:val="a3"/>
        <w:spacing w:before="0" w:beforeAutospacing="0" w:after="0" w:afterAutospacing="0"/>
        <w:jc w:val="both"/>
        <w:rPr>
          <w:sz w:val="20"/>
          <w:szCs w:val="20"/>
        </w:rPr>
      </w:pPr>
      <w:r>
        <w:rPr>
          <w:i/>
          <w:iCs/>
          <w:sz w:val="20"/>
          <w:szCs w:val="20"/>
        </w:rPr>
        <w:t>Common Stock -</w:t>
      </w:r>
    </w:p>
    <w:p w14:paraId="75E3374B" w14:textId="77777777" w:rsidR="00000000" w:rsidRDefault="00847163">
      <w:pPr>
        <w:pStyle w:val="a3"/>
        <w:spacing w:before="0" w:beforeAutospacing="0" w:after="0" w:afterAutospacing="0"/>
        <w:jc w:val="both"/>
        <w:rPr>
          <w:sz w:val="20"/>
          <w:szCs w:val="20"/>
        </w:rPr>
      </w:pPr>
      <w:r>
        <w:rPr>
          <w:i/>
          <w:iCs/>
          <w:sz w:val="20"/>
          <w:szCs w:val="20"/>
        </w:rPr>
        <w:t> </w:t>
      </w:r>
    </w:p>
    <w:p w14:paraId="28CD257E" w14:textId="77777777" w:rsidR="00000000" w:rsidRDefault="00847163">
      <w:pPr>
        <w:pStyle w:val="a3"/>
        <w:spacing w:before="0" w:beforeAutospacing="0" w:after="0" w:afterAutospacing="0"/>
        <w:ind w:firstLine="360"/>
        <w:jc w:val="both"/>
        <w:rPr>
          <w:sz w:val="20"/>
          <w:szCs w:val="20"/>
        </w:rPr>
      </w:pPr>
      <w:r>
        <w:rPr>
          <w:sz w:val="20"/>
          <w:szCs w:val="20"/>
        </w:rPr>
        <w:t xml:space="preserve">During </w:t>
      </w:r>
      <w:r>
        <w:rPr>
          <w:rStyle w:val="a6"/>
          <w:sz w:val="20"/>
          <w:szCs w:val="20"/>
        </w:rPr>
        <w:t xml:space="preserve">February 2020, </w:t>
      </w:r>
      <w:r>
        <w:rPr>
          <w:sz w:val="20"/>
          <w:szCs w:val="20"/>
        </w:rPr>
        <w:t xml:space="preserve">the Company extended its share repurchase program for a term of </w:t>
      </w:r>
      <w:r>
        <w:rPr>
          <w:rStyle w:val="a6"/>
          <w:sz w:val="20"/>
          <w:szCs w:val="20"/>
        </w:rPr>
        <w:t>two</w:t>
      </w:r>
      <w:r>
        <w:rPr>
          <w:sz w:val="20"/>
          <w:szCs w:val="20"/>
        </w:rPr>
        <w:t xml:space="preserve"> years, which will expire in </w:t>
      </w:r>
      <w:r>
        <w:rPr>
          <w:rStyle w:val="a6"/>
          <w:sz w:val="20"/>
          <w:szCs w:val="20"/>
        </w:rPr>
        <w:t xml:space="preserve">February 2022, </w:t>
      </w:r>
      <w:r>
        <w:rPr>
          <w:sz w:val="20"/>
          <w:szCs w:val="20"/>
        </w:rPr>
        <w:t xml:space="preserve">pursuant to which the Company </w:t>
      </w:r>
      <w:r>
        <w:rPr>
          <w:rStyle w:val="a6"/>
          <w:sz w:val="20"/>
          <w:szCs w:val="20"/>
        </w:rPr>
        <w:t xml:space="preserve">may </w:t>
      </w:r>
      <w:r>
        <w:rPr>
          <w:sz w:val="20"/>
          <w:szCs w:val="20"/>
        </w:rPr>
        <w:t xml:space="preserve">repurchase shares of its common stock, par value $0.01 </w:t>
      </w:r>
      <w:r>
        <w:rPr>
          <w:sz w:val="20"/>
          <w:szCs w:val="20"/>
        </w:rPr>
        <w:t xml:space="preserve">per share, with an aggregate gross purchase price of up to $300.0 million. The Company did </w:t>
      </w:r>
      <w:r>
        <w:rPr>
          <w:rStyle w:val="a6"/>
          <w:sz w:val="20"/>
          <w:szCs w:val="20"/>
        </w:rPr>
        <w:t>not</w:t>
      </w:r>
      <w:r>
        <w:rPr>
          <w:sz w:val="20"/>
          <w:szCs w:val="20"/>
        </w:rPr>
        <w:t xml:space="preserve"> repurchase any shares under the share repurchase program during the </w:t>
      </w:r>
      <w:r>
        <w:rPr>
          <w:rStyle w:val="a6"/>
          <w:sz w:val="20"/>
          <w:szCs w:val="20"/>
        </w:rPr>
        <w:t>three</w:t>
      </w:r>
      <w:r>
        <w:rPr>
          <w:sz w:val="20"/>
          <w:szCs w:val="20"/>
        </w:rPr>
        <w:t xml:space="preserve"> months ended </w:t>
      </w:r>
      <w:r>
        <w:rPr>
          <w:rStyle w:val="a6"/>
          <w:sz w:val="20"/>
          <w:szCs w:val="20"/>
        </w:rPr>
        <w:t xml:space="preserve">March 31, 2020. </w:t>
      </w:r>
      <w:r>
        <w:rPr>
          <w:sz w:val="20"/>
          <w:szCs w:val="20"/>
        </w:rPr>
        <w:t xml:space="preserve">As of </w:t>
      </w:r>
      <w:r>
        <w:rPr>
          <w:rStyle w:val="a6"/>
          <w:sz w:val="20"/>
          <w:szCs w:val="20"/>
        </w:rPr>
        <w:t xml:space="preserve">March 31, 2020, </w:t>
      </w:r>
      <w:r>
        <w:rPr>
          <w:sz w:val="20"/>
          <w:szCs w:val="20"/>
        </w:rPr>
        <w:t>the Company had $224.9 million avail</w:t>
      </w:r>
      <w:r>
        <w:rPr>
          <w:sz w:val="20"/>
          <w:szCs w:val="20"/>
        </w:rPr>
        <w:t>able under this share repurchase program.</w:t>
      </w:r>
    </w:p>
    <w:p w14:paraId="61242651" w14:textId="77777777" w:rsidR="00000000" w:rsidRDefault="00847163">
      <w:pPr>
        <w:pStyle w:val="a3"/>
        <w:spacing w:before="0" w:beforeAutospacing="0" w:after="0" w:afterAutospacing="0"/>
        <w:ind w:firstLine="360"/>
        <w:jc w:val="both"/>
        <w:rPr>
          <w:sz w:val="20"/>
          <w:szCs w:val="20"/>
        </w:rPr>
      </w:pPr>
      <w:r>
        <w:rPr>
          <w:sz w:val="20"/>
          <w:szCs w:val="20"/>
        </w:rPr>
        <w:t> </w:t>
      </w:r>
    </w:p>
    <w:p w14:paraId="42DEDF92" w14:textId="77777777" w:rsidR="00000000" w:rsidRDefault="00847163">
      <w:pPr>
        <w:pStyle w:val="a3"/>
        <w:spacing w:before="0" w:beforeAutospacing="0" w:after="0" w:afterAutospacing="0"/>
        <w:ind w:firstLine="360"/>
        <w:jc w:val="both"/>
        <w:rPr>
          <w:sz w:val="20"/>
          <w:szCs w:val="20"/>
        </w:rPr>
      </w:pPr>
      <w:r>
        <w:rPr>
          <w:sz w:val="20"/>
          <w:szCs w:val="20"/>
        </w:rPr>
        <w:t xml:space="preserve">During </w:t>
      </w:r>
      <w:r>
        <w:rPr>
          <w:rStyle w:val="a6"/>
          <w:sz w:val="20"/>
          <w:szCs w:val="20"/>
        </w:rPr>
        <w:t xml:space="preserve">September 2019, </w:t>
      </w:r>
      <w:r>
        <w:rPr>
          <w:sz w:val="20"/>
          <w:szCs w:val="20"/>
        </w:rPr>
        <w:t xml:space="preserve">the Company established an at the market continuous offering program (“ATM program”), pursuant to which the Company </w:t>
      </w:r>
      <w:r>
        <w:rPr>
          <w:rStyle w:val="a6"/>
          <w:sz w:val="20"/>
          <w:szCs w:val="20"/>
        </w:rPr>
        <w:t xml:space="preserve">may </w:t>
      </w:r>
      <w:r>
        <w:rPr>
          <w:sz w:val="20"/>
          <w:szCs w:val="20"/>
        </w:rPr>
        <w:t xml:space="preserve">offer and sell from time to time shares of its common stock, par value $0.01 per share, with an aggregate gross sales price of up to $500.0 million through a consortium of banks acting as sales agents. Sales of the shares of common stock </w:t>
      </w:r>
      <w:r>
        <w:rPr>
          <w:rStyle w:val="a6"/>
          <w:sz w:val="20"/>
          <w:szCs w:val="20"/>
        </w:rPr>
        <w:t xml:space="preserve">may </w:t>
      </w:r>
      <w:r>
        <w:rPr>
          <w:sz w:val="20"/>
          <w:szCs w:val="20"/>
        </w:rPr>
        <w:t>be made, as ne</w:t>
      </w:r>
      <w:r>
        <w:rPr>
          <w:sz w:val="20"/>
          <w:szCs w:val="20"/>
        </w:rPr>
        <w:t xml:space="preserve">eded, from time to time in “at the market” offerings as defined in Rule </w:t>
      </w:r>
      <w:r>
        <w:rPr>
          <w:rStyle w:val="a6"/>
          <w:sz w:val="20"/>
          <w:szCs w:val="20"/>
        </w:rPr>
        <w:t>415</w:t>
      </w:r>
      <w:r>
        <w:rPr>
          <w:sz w:val="20"/>
          <w:szCs w:val="20"/>
        </w:rPr>
        <w:t xml:space="preserve"> of the Securities Act of </w:t>
      </w:r>
      <w:r>
        <w:rPr>
          <w:rStyle w:val="a6"/>
          <w:sz w:val="20"/>
          <w:szCs w:val="20"/>
        </w:rPr>
        <w:t>1933,</w:t>
      </w:r>
      <w:r>
        <w:rPr>
          <w:sz w:val="20"/>
          <w:szCs w:val="20"/>
        </w:rPr>
        <w:t xml:space="preserve"> including by means of ordinary brokers’ transactions on the New York Stock Exchange or otherwise (i) at market prices prevailing at the time of sale,</w:t>
      </w:r>
      <w:r>
        <w:rPr>
          <w:sz w:val="20"/>
          <w:szCs w:val="20"/>
        </w:rPr>
        <w:t xml:space="preserve"> (ii) at prices related to prevailing market prices or (iii) as otherwise agreed to with the applicable sales agent. The Company did </w:t>
      </w:r>
      <w:r>
        <w:rPr>
          <w:rStyle w:val="a6"/>
          <w:sz w:val="20"/>
          <w:szCs w:val="20"/>
        </w:rPr>
        <w:t>not</w:t>
      </w:r>
      <w:r>
        <w:rPr>
          <w:sz w:val="20"/>
          <w:szCs w:val="20"/>
        </w:rPr>
        <w:t xml:space="preserve"> offer for sale any shares of common stock under the ATM program during the </w:t>
      </w:r>
      <w:r>
        <w:rPr>
          <w:rStyle w:val="a6"/>
          <w:sz w:val="20"/>
          <w:szCs w:val="20"/>
        </w:rPr>
        <w:t>three</w:t>
      </w:r>
      <w:r>
        <w:rPr>
          <w:sz w:val="20"/>
          <w:szCs w:val="20"/>
        </w:rPr>
        <w:t xml:space="preserve"> months ended </w:t>
      </w:r>
      <w:r>
        <w:rPr>
          <w:rStyle w:val="a6"/>
          <w:sz w:val="20"/>
          <w:szCs w:val="20"/>
        </w:rPr>
        <w:t>March 31, 2020.</w:t>
      </w:r>
    </w:p>
    <w:p w14:paraId="7B33BE53" w14:textId="77777777" w:rsidR="00000000" w:rsidRDefault="00847163">
      <w:pPr>
        <w:pStyle w:val="a3"/>
        <w:spacing w:before="0" w:beforeAutospacing="0" w:after="0" w:afterAutospacing="0"/>
        <w:jc w:val="both"/>
        <w:rPr>
          <w:sz w:val="20"/>
          <w:szCs w:val="20"/>
        </w:rPr>
      </w:pPr>
      <w:r>
        <w:rPr>
          <w:i/>
          <w:iCs/>
          <w:sz w:val="20"/>
          <w:szCs w:val="20"/>
        </w:rPr>
        <w:t> </w:t>
      </w:r>
    </w:p>
    <w:p w14:paraId="0B1971A3" w14:textId="77777777" w:rsidR="00000000" w:rsidRDefault="00847163">
      <w:pPr>
        <w:pStyle w:val="a3"/>
        <w:spacing w:before="0" w:beforeAutospacing="0" w:after="0" w:afterAutospacing="0"/>
        <w:jc w:val="both"/>
        <w:rPr>
          <w:sz w:val="20"/>
          <w:szCs w:val="20"/>
        </w:rPr>
      </w:pPr>
      <w:r>
        <w:rPr>
          <w:i/>
          <w:iCs/>
          <w:sz w:val="20"/>
          <w:szCs w:val="20"/>
        </w:rPr>
        <w:t>Dividen</w:t>
      </w:r>
      <w:r>
        <w:rPr>
          <w:i/>
          <w:iCs/>
          <w:sz w:val="20"/>
          <w:szCs w:val="20"/>
        </w:rPr>
        <w:t>ds Declared -</w:t>
      </w:r>
    </w:p>
    <w:p w14:paraId="6A293AE0" w14:textId="77777777" w:rsidR="00000000" w:rsidRDefault="00847163">
      <w:pPr>
        <w:pStyle w:val="a3"/>
        <w:spacing w:before="0" w:beforeAutospacing="0" w:after="0" w:afterAutospacing="0"/>
        <w:rPr>
          <w:sz w:val="20"/>
          <w:szCs w:val="20"/>
        </w:rPr>
      </w:pPr>
      <w:r>
        <w:rPr>
          <w:sz w:val="20"/>
          <w:szCs w:val="20"/>
        </w:rPr>
        <w:t> </w:t>
      </w:r>
    </w:p>
    <w:p w14:paraId="4AC49A36" w14:textId="77777777" w:rsidR="00000000" w:rsidRDefault="00847163">
      <w:pPr>
        <w:pStyle w:val="a3"/>
        <w:spacing w:before="0" w:beforeAutospacing="0" w:after="0" w:afterAutospacing="0"/>
        <w:ind w:left="360"/>
        <w:jc w:val="both"/>
        <w:rPr>
          <w:sz w:val="20"/>
          <w:szCs w:val="20"/>
        </w:rPr>
      </w:pPr>
      <w:r>
        <w:rPr>
          <w:sz w:val="20"/>
          <w:szCs w:val="20"/>
        </w:rPr>
        <w:t>The following table provides a summary of the dividends declared per share:</w:t>
      </w:r>
    </w:p>
    <w:p w14:paraId="735CE69A" w14:textId="77777777" w:rsidR="00000000" w:rsidRDefault="00847163">
      <w:pPr>
        <w:pStyle w:val="a3"/>
        <w:spacing w:before="0" w:beforeAutospacing="0" w:after="0" w:afterAutospacing="0"/>
        <w:ind w:left="360"/>
        <w:jc w:val="both"/>
        <w:rPr>
          <w:sz w:val="20"/>
          <w:szCs w:val="20"/>
        </w:rPr>
      </w:pPr>
      <w:r>
        <w:rPr>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4110"/>
        <w:gridCol w:w="56"/>
        <w:gridCol w:w="100"/>
        <w:gridCol w:w="1054"/>
        <w:gridCol w:w="57"/>
        <w:gridCol w:w="57"/>
        <w:gridCol w:w="100"/>
        <w:gridCol w:w="1054"/>
        <w:gridCol w:w="57"/>
      </w:tblGrid>
      <w:tr w:rsidR="00000000" w14:paraId="10B16E65" w14:textId="77777777">
        <w:trPr>
          <w:tblCellSpacing w:w="0" w:type="dxa"/>
        </w:trPr>
        <w:tc>
          <w:tcPr>
            <w:tcW w:w="0" w:type="auto"/>
            <w:vAlign w:val="bottom"/>
            <w:hideMark/>
          </w:tcPr>
          <w:p w14:paraId="4E078BBE"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1288E426" w14:textId="77777777" w:rsidR="00000000" w:rsidRDefault="00847163">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14:paraId="28A53D67" w14:textId="77777777" w:rsidR="00000000" w:rsidRDefault="00847163">
            <w:pPr>
              <w:pStyle w:val="a3"/>
              <w:spacing w:before="0" w:beforeAutospacing="0" w:after="0" w:afterAutospacing="0"/>
              <w:jc w:val="center"/>
              <w:rPr>
                <w:sz w:val="20"/>
                <w:szCs w:val="20"/>
              </w:rPr>
            </w:pPr>
            <w:r>
              <w:rPr>
                <w:b/>
                <w:bCs/>
                <w:sz w:val="20"/>
                <w:szCs w:val="20"/>
              </w:rPr>
              <w:t>Three Months Ended March 31,</w:t>
            </w:r>
          </w:p>
        </w:tc>
        <w:tc>
          <w:tcPr>
            <w:tcW w:w="0" w:type="auto"/>
            <w:tcMar>
              <w:top w:w="0" w:type="dxa"/>
              <w:left w:w="0" w:type="dxa"/>
              <w:bottom w:w="15" w:type="dxa"/>
              <w:right w:w="0" w:type="dxa"/>
            </w:tcMar>
            <w:vAlign w:val="bottom"/>
            <w:hideMark/>
          </w:tcPr>
          <w:p w14:paraId="663169B7" w14:textId="77777777" w:rsidR="00000000" w:rsidRDefault="00847163">
            <w:pPr>
              <w:rPr>
                <w:rFonts w:eastAsia="Times New Roman"/>
                <w:sz w:val="20"/>
                <w:szCs w:val="20"/>
              </w:rPr>
            </w:pPr>
            <w:r>
              <w:rPr>
                <w:rFonts w:eastAsia="Times New Roman"/>
                <w:sz w:val="20"/>
                <w:szCs w:val="20"/>
              </w:rPr>
              <w:t> </w:t>
            </w:r>
          </w:p>
        </w:tc>
      </w:tr>
      <w:tr w:rsidR="00000000" w14:paraId="14013AA5" w14:textId="77777777">
        <w:trPr>
          <w:tblCellSpacing w:w="0" w:type="dxa"/>
        </w:trPr>
        <w:tc>
          <w:tcPr>
            <w:tcW w:w="0" w:type="auto"/>
            <w:vAlign w:val="bottom"/>
            <w:hideMark/>
          </w:tcPr>
          <w:p w14:paraId="01E4D52A"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42D24FC6" w14:textId="77777777" w:rsidR="00000000" w:rsidRDefault="0084716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194B3C85" w14:textId="77777777" w:rsidR="00000000" w:rsidRDefault="00847163">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14:paraId="765D7FC6"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7BFBB760" w14:textId="77777777" w:rsidR="00000000" w:rsidRDefault="0084716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02B6E62C" w14:textId="77777777" w:rsidR="00000000" w:rsidRDefault="00847163">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3DA8E90C" w14:textId="77777777" w:rsidR="00000000" w:rsidRDefault="00847163">
            <w:pPr>
              <w:rPr>
                <w:rFonts w:eastAsia="Times New Roman"/>
                <w:sz w:val="20"/>
                <w:szCs w:val="20"/>
              </w:rPr>
            </w:pPr>
            <w:r>
              <w:rPr>
                <w:rFonts w:eastAsia="Times New Roman"/>
                <w:sz w:val="20"/>
                <w:szCs w:val="20"/>
              </w:rPr>
              <w:t> </w:t>
            </w:r>
          </w:p>
        </w:tc>
      </w:tr>
      <w:tr w:rsidR="00000000" w14:paraId="0CDB5A0C" w14:textId="77777777">
        <w:trPr>
          <w:tblCellSpacing w:w="0" w:type="dxa"/>
        </w:trPr>
        <w:tc>
          <w:tcPr>
            <w:tcW w:w="3100" w:type="pct"/>
            <w:shd w:val="clear" w:color="auto" w:fill="CCEEFF"/>
            <w:vAlign w:val="bottom"/>
            <w:hideMark/>
          </w:tcPr>
          <w:p w14:paraId="0E3388C9" w14:textId="77777777" w:rsidR="00000000" w:rsidRDefault="00847163">
            <w:pPr>
              <w:pStyle w:val="a3"/>
              <w:spacing w:before="0" w:beforeAutospacing="0" w:after="0" w:afterAutospacing="0"/>
              <w:rPr>
                <w:sz w:val="20"/>
                <w:szCs w:val="20"/>
              </w:rPr>
            </w:pPr>
            <w:r>
              <w:rPr>
                <w:sz w:val="20"/>
                <w:szCs w:val="20"/>
              </w:rPr>
              <w:t>Common Shares</w:t>
            </w:r>
          </w:p>
        </w:tc>
        <w:tc>
          <w:tcPr>
            <w:tcW w:w="50" w:type="pct"/>
            <w:shd w:val="clear" w:color="auto" w:fill="CCEEFF"/>
            <w:vAlign w:val="bottom"/>
            <w:hideMark/>
          </w:tcPr>
          <w:p w14:paraId="6A134D60"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18C4B39" w14:textId="77777777" w:rsidR="00000000" w:rsidRDefault="00847163">
            <w:pPr>
              <w:rPr>
                <w:rFonts w:eastAsia="Times New Roman"/>
                <w:sz w:val="20"/>
                <w:szCs w:val="20"/>
              </w:rPr>
            </w:pPr>
            <w:r>
              <w:rPr>
                <w:rFonts w:eastAsia="Times New Roman"/>
                <w:sz w:val="20"/>
                <w:szCs w:val="20"/>
              </w:rPr>
              <w:t>$</w:t>
            </w:r>
          </w:p>
        </w:tc>
        <w:tc>
          <w:tcPr>
            <w:tcW w:w="800" w:type="pct"/>
            <w:shd w:val="clear" w:color="auto" w:fill="CCEEFF"/>
            <w:vAlign w:val="bottom"/>
            <w:hideMark/>
          </w:tcPr>
          <w:p w14:paraId="7E2E7A08" w14:textId="77777777" w:rsidR="00000000" w:rsidRDefault="00847163">
            <w:pPr>
              <w:jc w:val="right"/>
              <w:rPr>
                <w:rFonts w:eastAsia="Times New Roman"/>
                <w:sz w:val="20"/>
                <w:szCs w:val="20"/>
              </w:rPr>
            </w:pPr>
            <w:r>
              <w:rPr>
                <w:rFonts w:eastAsia="Times New Roman"/>
                <w:sz w:val="20"/>
                <w:szCs w:val="20"/>
              </w:rPr>
              <w:t>0.28000</w:t>
            </w:r>
          </w:p>
        </w:tc>
        <w:tc>
          <w:tcPr>
            <w:tcW w:w="50" w:type="pct"/>
            <w:shd w:val="clear" w:color="auto" w:fill="CCEEFF"/>
            <w:vAlign w:val="bottom"/>
            <w:hideMark/>
          </w:tcPr>
          <w:p w14:paraId="580C8B2E"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44435E8"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7D4E915" w14:textId="77777777" w:rsidR="00000000" w:rsidRDefault="00847163">
            <w:pPr>
              <w:rPr>
                <w:rFonts w:eastAsia="Times New Roman"/>
                <w:sz w:val="20"/>
                <w:szCs w:val="20"/>
              </w:rPr>
            </w:pPr>
            <w:r>
              <w:rPr>
                <w:rFonts w:eastAsia="Times New Roman"/>
                <w:sz w:val="20"/>
                <w:szCs w:val="20"/>
              </w:rPr>
              <w:t>$</w:t>
            </w:r>
          </w:p>
        </w:tc>
        <w:tc>
          <w:tcPr>
            <w:tcW w:w="800" w:type="pct"/>
            <w:shd w:val="clear" w:color="auto" w:fill="CCEEFF"/>
            <w:vAlign w:val="bottom"/>
            <w:hideMark/>
          </w:tcPr>
          <w:p w14:paraId="3DFEC8BC" w14:textId="77777777" w:rsidR="00000000" w:rsidRDefault="00847163">
            <w:pPr>
              <w:jc w:val="right"/>
              <w:rPr>
                <w:rFonts w:eastAsia="Times New Roman"/>
                <w:sz w:val="20"/>
                <w:szCs w:val="20"/>
              </w:rPr>
            </w:pPr>
            <w:r>
              <w:rPr>
                <w:rFonts w:eastAsia="Times New Roman"/>
                <w:sz w:val="20"/>
                <w:szCs w:val="20"/>
              </w:rPr>
              <w:t>0.28000</w:t>
            </w:r>
          </w:p>
        </w:tc>
        <w:tc>
          <w:tcPr>
            <w:tcW w:w="50" w:type="pct"/>
            <w:shd w:val="clear" w:color="auto" w:fill="CCEEFF"/>
            <w:vAlign w:val="bottom"/>
            <w:hideMark/>
          </w:tcPr>
          <w:p w14:paraId="7267A2BE" w14:textId="77777777" w:rsidR="00000000" w:rsidRDefault="00847163">
            <w:pPr>
              <w:rPr>
                <w:rFonts w:eastAsia="Times New Roman"/>
                <w:sz w:val="20"/>
                <w:szCs w:val="20"/>
              </w:rPr>
            </w:pPr>
            <w:r>
              <w:rPr>
                <w:rFonts w:eastAsia="Times New Roman"/>
                <w:sz w:val="20"/>
                <w:szCs w:val="20"/>
              </w:rPr>
              <w:t> </w:t>
            </w:r>
          </w:p>
        </w:tc>
      </w:tr>
      <w:tr w:rsidR="00000000" w14:paraId="6A00B822" w14:textId="77777777">
        <w:trPr>
          <w:tblCellSpacing w:w="0" w:type="dxa"/>
        </w:trPr>
        <w:tc>
          <w:tcPr>
            <w:tcW w:w="0" w:type="auto"/>
            <w:shd w:val="clear" w:color="auto" w:fill="FFFFFF"/>
            <w:vAlign w:val="bottom"/>
            <w:hideMark/>
          </w:tcPr>
          <w:p w14:paraId="561A3E1F" w14:textId="77777777" w:rsidR="00000000" w:rsidRDefault="00847163">
            <w:pPr>
              <w:pStyle w:val="a3"/>
              <w:spacing w:before="0" w:beforeAutospacing="0" w:after="0" w:afterAutospacing="0"/>
              <w:rPr>
                <w:sz w:val="20"/>
                <w:szCs w:val="20"/>
              </w:rPr>
            </w:pPr>
            <w:r>
              <w:rPr>
                <w:sz w:val="20"/>
                <w:szCs w:val="20"/>
              </w:rPr>
              <w:t>Class I Depositary Shares (1)</w:t>
            </w:r>
          </w:p>
        </w:tc>
        <w:tc>
          <w:tcPr>
            <w:tcW w:w="50" w:type="pct"/>
            <w:shd w:val="clear" w:color="auto" w:fill="FFFFFF"/>
            <w:vAlign w:val="bottom"/>
            <w:hideMark/>
          </w:tcPr>
          <w:p w14:paraId="47CE1B34"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8F681F7" w14:textId="77777777" w:rsidR="00000000" w:rsidRDefault="00847163">
            <w:pPr>
              <w:rPr>
                <w:rFonts w:eastAsia="Times New Roman"/>
                <w:sz w:val="20"/>
                <w:szCs w:val="20"/>
              </w:rPr>
            </w:pPr>
            <w:r>
              <w:rPr>
                <w:rFonts w:eastAsia="Times New Roman"/>
                <w:sz w:val="20"/>
                <w:szCs w:val="20"/>
              </w:rPr>
              <w:t>$</w:t>
            </w:r>
          </w:p>
        </w:tc>
        <w:tc>
          <w:tcPr>
            <w:tcW w:w="800" w:type="pct"/>
            <w:shd w:val="clear" w:color="auto" w:fill="FFFFFF"/>
            <w:vAlign w:val="bottom"/>
            <w:hideMark/>
          </w:tcPr>
          <w:p w14:paraId="33E4C609" w14:textId="77777777" w:rsidR="00000000" w:rsidRDefault="00847163">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6A8E10EC"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72C1CC7"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258DF7A" w14:textId="77777777" w:rsidR="00000000" w:rsidRDefault="00847163">
            <w:pPr>
              <w:rPr>
                <w:rFonts w:eastAsia="Times New Roman"/>
                <w:sz w:val="20"/>
                <w:szCs w:val="20"/>
              </w:rPr>
            </w:pPr>
            <w:r>
              <w:rPr>
                <w:rFonts w:eastAsia="Times New Roman"/>
                <w:sz w:val="20"/>
                <w:szCs w:val="20"/>
              </w:rPr>
              <w:t>$</w:t>
            </w:r>
          </w:p>
        </w:tc>
        <w:tc>
          <w:tcPr>
            <w:tcW w:w="800" w:type="pct"/>
            <w:shd w:val="clear" w:color="auto" w:fill="FFFFFF"/>
            <w:vAlign w:val="bottom"/>
            <w:hideMark/>
          </w:tcPr>
          <w:p w14:paraId="46821559" w14:textId="77777777" w:rsidR="00000000" w:rsidRDefault="00847163">
            <w:pPr>
              <w:jc w:val="right"/>
              <w:rPr>
                <w:rFonts w:eastAsia="Times New Roman"/>
                <w:sz w:val="20"/>
                <w:szCs w:val="20"/>
              </w:rPr>
            </w:pPr>
            <w:r>
              <w:rPr>
                <w:rFonts w:eastAsia="Times New Roman"/>
                <w:sz w:val="20"/>
                <w:szCs w:val="20"/>
              </w:rPr>
              <w:t>0.37500</w:t>
            </w:r>
          </w:p>
        </w:tc>
        <w:tc>
          <w:tcPr>
            <w:tcW w:w="50" w:type="pct"/>
            <w:shd w:val="clear" w:color="auto" w:fill="FFFFFF"/>
            <w:vAlign w:val="bottom"/>
            <w:hideMark/>
          </w:tcPr>
          <w:p w14:paraId="0779E2DC" w14:textId="77777777" w:rsidR="00000000" w:rsidRDefault="00847163">
            <w:pPr>
              <w:rPr>
                <w:rFonts w:eastAsia="Times New Roman"/>
                <w:sz w:val="20"/>
                <w:szCs w:val="20"/>
              </w:rPr>
            </w:pPr>
            <w:r>
              <w:rPr>
                <w:rFonts w:eastAsia="Times New Roman"/>
                <w:sz w:val="20"/>
                <w:szCs w:val="20"/>
              </w:rPr>
              <w:t> </w:t>
            </w:r>
          </w:p>
        </w:tc>
      </w:tr>
      <w:tr w:rsidR="00000000" w14:paraId="16694954" w14:textId="77777777">
        <w:trPr>
          <w:tblCellSpacing w:w="0" w:type="dxa"/>
        </w:trPr>
        <w:tc>
          <w:tcPr>
            <w:tcW w:w="0" w:type="auto"/>
            <w:shd w:val="clear" w:color="auto" w:fill="CCEEFF"/>
            <w:vAlign w:val="bottom"/>
            <w:hideMark/>
          </w:tcPr>
          <w:p w14:paraId="38A4E29E" w14:textId="77777777" w:rsidR="00000000" w:rsidRDefault="00847163">
            <w:pPr>
              <w:pStyle w:val="a3"/>
              <w:spacing w:before="0" w:beforeAutospacing="0" w:after="0" w:afterAutospacing="0"/>
              <w:rPr>
                <w:sz w:val="20"/>
                <w:szCs w:val="20"/>
              </w:rPr>
            </w:pPr>
            <w:r>
              <w:rPr>
                <w:sz w:val="20"/>
                <w:szCs w:val="20"/>
              </w:rPr>
              <w:t>Class J Depositary Shares (1)</w:t>
            </w:r>
          </w:p>
        </w:tc>
        <w:tc>
          <w:tcPr>
            <w:tcW w:w="50" w:type="pct"/>
            <w:shd w:val="clear" w:color="auto" w:fill="CCEEFF"/>
            <w:vAlign w:val="bottom"/>
            <w:hideMark/>
          </w:tcPr>
          <w:p w14:paraId="2896A150"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5B752B4" w14:textId="77777777" w:rsidR="00000000" w:rsidRDefault="00847163">
            <w:pPr>
              <w:rPr>
                <w:rFonts w:eastAsia="Times New Roman"/>
                <w:sz w:val="20"/>
                <w:szCs w:val="20"/>
              </w:rPr>
            </w:pPr>
            <w:r>
              <w:rPr>
                <w:rFonts w:eastAsia="Times New Roman"/>
                <w:sz w:val="20"/>
                <w:szCs w:val="20"/>
              </w:rPr>
              <w:t>$</w:t>
            </w:r>
          </w:p>
        </w:tc>
        <w:tc>
          <w:tcPr>
            <w:tcW w:w="800" w:type="pct"/>
            <w:shd w:val="clear" w:color="auto" w:fill="CCEEFF"/>
            <w:vAlign w:val="bottom"/>
            <w:hideMark/>
          </w:tcPr>
          <w:p w14:paraId="54EC98A8" w14:textId="77777777" w:rsidR="00000000" w:rsidRDefault="0084716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13A959FF"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2EE53DE"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C144962" w14:textId="77777777" w:rsidR="00000000" w:rsidRDefault="00847163">
            <w:pPr>
              <w:rPr>
                <w:rFonts w:eastAsia="Times New Roman"/>
                <w:sz w:val="20"/>
                <w:szCs w:val="20"/>
              </w:rPr>
            </w:pPr>
            <w:r>
              <w:rPr>
                <w:rFonts w:eastAsia="Times New Roman"/>
                <w:sz w:val="20"/>
                <w:szCs w:val="20"/>
              </w:rPr>
              <w:t>$</w:t>
            </w:r>
          </w:p>
        </w:tc>
        <w:tc>
          <w:tcPr>
            <w:tcW w:w="800" w:type="pct"/>
            <w:shd w:val="clear" w:color="auto" w:fill="CCEEFF"/>
            <w:vAlign w:val="bottom"/>
            <w:hideMark/>
          </w:tcPr>
          <w:p w14:paraId="6150175B" w14:textId="77777777" w:rsidR="00000000" w:rsidRDefault="00847163">
            <w:pPr>
              <w:jc w:val="right"/>
              <w:rPr>
                <w:rFonts w:eastAsia="Times New Roman"/>
                <w:sz w:val="20"/>
                <w:szCs w:val="20"/>
              </w:rPr>
            </w:pPr>
            <w:r>
              <w:rPr>
                <w:rFonts w:eastAsia="Times New Roman"/>
                <w:sz w:val="20"/>
                <w:szCs w:val="20"/>
              </w:rPr>
              <w:t>0.34375</w:t>
            </w:r>
          </w:p>
        </w:tc>
        <w:tc>
          <w:tcPr>
            <w:tcW w:w="50" w:type="pct"/>
            <w:shd w:val="clear" w:color="auto" w:fill="CCEEFF"/>
            <w:vAlign w:val="bottom"/>
            <w:hideMark/>
          </w:tcPr>
          <w:p w14:paraId="589CE77B" w14:textId="77777777" w:rsidR="00000000" w:rsidRDefault="00847163">
            <w:pPr>
              <w:rPr>
                <w:rFonts w:eastAsia="Times New Roman"/>
                <w:sz w:val="20"/>
                <w:szCs w:val="20"/>
              </w:rPr>
            </w:pPr>
            <w:r>
              <w:rPr>
                <w:rFonts w:eastAsia="Times New Roman"/>
                <w:sz w:val="20"/>
                <w:szCs w:val="20"/>
              </w:rPr>
              <w:t> </w:t>
            </w:r>
          </w:p>
        </w:tc>
      </w:tr>
      <w:tr w:rsidR="00000000" w14:paraId="75A84AC4" w14:textId="77777777">
        <w:trPr>
          <w:tblCellSpacing w:w="0" w:type="dxa"/>
        </w:trPr>
        <w:tc>
          <w:tcPr>
            <w:tcW w:w="0" w:type="auto"/>
            <w:shd w:val="clear" w:color="auto" w:fill="FFFFFF"/>
            <w:vAlign w:val="bottom"/>
            <w:hideMark/>
          </w:tcPr>
          <w:p w14:paraId="602EE7B7" w14:textId="77777777" w:rsidR="00000000" w:rsidRDefault="00847163">
            <w:pPr>
              <w:pStyle w:val="a3"/>
              <w:spacing w:before="0" w:beforeAutospacing="0" w:after="0" w:afterAutospacing="0"/>
              <w:rPr>
                <w:sz w:val="20"/>
                <w:szCs w:val="20"/>
              </w:rPr>
            </w:pPr>
            <w:r>
              <w:rPr>
                <w:sz w:val="20"/>
                <w:szCs w:val="20"/>
              </w:rPr>
              <w:t>Class K Depositary Shares (1)</w:t>
            </w:r>
          </w:p>
        </w:tc>
        <w:tc>
          <w:tcPr>
            <w:tcW w:w="50" w:type="pct"/>
            <w:shd w:val="clear" w:color="auto" w:fill="FFFFFF"/>
            <w:vAlign w:val="bottom"/>
            <w:hideMark/>
          </w:tcPr>
          <w:p w14:paraId="027C4D46"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5AD1838" w14:textId="77777777" w:rsidR="00000000" w:rsidRDefault="00847163">
            <w:pPr>
              <w:rPr>
                <w:rFonts w:eastAsia="Times New Roman"/>
                <w:sz w:val="20"/>
                <w:szCs w:val="20"/>
              </w:rPr>
            </w:pPr>
            <w:r>
              <w:rPr>
                <w:rFonts w:eastAsia="Times New Roman"/>
                <w:sz w:val="20"/>
                <w:szCs w:val="20"/>
              </w:rPr>
              <w:t>$</w:t>
            </w:r>
          </w:p>
        </w:tc>
        <w:tc>
          <w:tcPr>
            <w:tcW w:w="800" w:type="pct"/>
            <w:shd w:val="clear" w:color="auto" w:fill="FFFFFF"/>
            <w:vAlign w:val="bottom"/>
            <w:hideMark/>
          </w:tcPr>
          <w:p w14:paraId="0C87197B" w14:textId="77777777" w:rsidR="00000000" w:rsidRDefault="00847163">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35E934EA"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E9FB572"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000B858" w14:textId="77777777" w:rsidR="00000000" w:rsidRDefault="00847163">
            <w:pPr>
              <w:rPr>
                <w:rFonts w:eastAsia="Times New Roman"/>
                <w:sz w:val="20"/>
                <w:szCs w:val="20"/>
              </w:rPr>
            </w:pPr>
            <w:r>
              <w:rPr>
                <w:rFonts w:eastAsia="Times New Roman"/>
                <w:sz w:val="20"/>
                <w:szCs w:val="20"/>
              </w:rPr>
              <w:t>$</w:t>
            </w:r>
          </w:p>
        </w:tc>
        <w:tc>
          <w:tcPr>
            <w:tcW w:w="800" w:type="pct"/>
            <w:shd w:val="clear" w:color="auto" w:fill="FFFFFF"/>
            <w:vAlign w:val="bottom"/>
            <w:hideMark/>
          </w:tcPr>
          <w:p w14:paraId="16ACF152" w14:textId="77777777" w:rsidR="00000000" w:rsidRDefault="00847163">
            <w:pPr>
              <w:jc w:val="right"/>
              <w:rPr>
                <w:rFonts w:eastAsia="Times New Roman"/>
                <w:sz w:val="20"/>
                <w:szCs w:val="20"/>
              </w:rPr>
            </w:pPr>
            <w:r>
              <w:rPr>
                <w:rFonts w:eastAsia="Times New Roman"/>
                <w:sz w:val="20"/>
                <w:szCs w:val="20"/>
              </w:rPr>
              <w:t>0.35156</w:t>
            </w:r>
          </w:p>
        </w:tc>
        <w:tc>
          <w:tcPr>
            <w:tcW w:w="50" w:type="pct"/>
            <w:shd w:val="clear" w:color="auto" w:fill="FFFFFF"/>
            <w:vAlign w:val="bottom"/>
            <w:hideMark/>
          </w:tcPr>
          <w:p w14:paraId="03B2991B" w14:textId="77777777" w:rsidR="00000000" w:rsidRDefault="00847163">
            <w:pPr>
              <w:rPr>
                <w:rFonts w:eastAsia="Times New Roman"/>
                <w:sz w:val="20"/>
                <w:szCs w:val="20"/>
              </w:rPr>
            </w:pPr>
            <w:r>
              <w:rPr>
                <w:rFonts w:eastAsia="Times New Roman"/>
                <w:sz w:val="20"/>
                <w:szCs w:val="20"/>
              </w:rPr>
              <w:t> </w:t>
            </w:r>
          </w:p>
        </w:tc>
      </w:tr>
      <w:tr w:rsidR="00000000" w14:paraId="46EAE5CC" w14:textId="77777777">
        <w:trPr>
          <w:tblCellSpacing w:w="0" w:type="dxa"/>
        </w:trPr>
        <w:tc>
          <w:tcPr>
            <w:tcW w:w="0" w:type="auto"/>
            <w:shd w:val="clear" w:color="auto" w:fill="CCEEFF"/>
            <w:vAlign w:val="bottom"/>
            <w:hideMark/>
          </w:tcPr>
          <w:p w14:paraId="5449369D" w14:textId="77777777" w:rsidR="00000000" w:rsidRDefault="00847163">
            <w:pPr>
              <w:pStyle w:val="a3"/>
              <w:spacing w:before="0" w:beforeAutospacing="0" w:after="0" w:afterAutospacing="0"/>
              <w:rPr>
                <w:sz w:val="20"/>
                <w:szCs w:val="20"/>
              </w:rPr>
            </w:pPr>
            <w:r>
              <w:rPr>
                <w:sz w:val="20"/>
                <w:szCs w:val="20"/>
              </w:rPr>
              <w:t>Class L Depositary Shares</w:t>
            </w:r>
          </w:p>
        </w:tc>
        <w:tc>
          <w:tcPr>
            <w:tcW w:w="50" w:type="pct"/>
            <w:shd w:val="clear" w:color="auto" w:fill="CCEEFF"/>
            <w:vAlign w:val="bottom"/>
            <w:hideMark/>
          </w:tcPr>
          <w:p w14:paraId="17C11727"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5A1FF25" w14:textId="77777777" w:rsidR="00000000" w:rsidRDefault="00847163">
            <w:pPr>
              <w:rPr>
                <w:rFonts w:eastAsia="Times New Roman"/>
                <w:sz w:val="20"/>
                <w:szCs w:val="20"/>
              </w:rPr>
            </w:pPr>
            <w:r>
              <w:rPr>
                <w:rFonts w:eastAsia="Times New Roman"/>
                <w:sz w:val="20"/>
                <w:szCs w:val="20"/>
              </w:rPr>
              <w:t>$</w:t>
            </w:r>
          </w:p>
        </w:tc>
        <w:tc>
          <w:tcPr>
            <w:tcW w:w="800" w:type="pct"/>
            <w:shd w:val="clear" w:color="auto" w:fill="CCEEFF"/>
            <w:vAlign w:val="bottom"/>
            <w:hideMark/>
          </w:tcPr>
          <w:p w14:paraId="12C60F54" w14:textId="77777777" w:rsidR="00000000" w:rsidRDefault="00847163">
            <w:pPr>
              <w:jc w:val="right"/>
              <w:rPr>
                <w:rFonts w:eastAsia="Times New Roman"/>
                <w:sz w:val="20"/>
                <w:szCs w:val="20"/>
              </w:rPr>
            </w:pPr>
            <w:r>
              <w:rPr>
                <w:rFonts w:eastAsia="Times New Roman"/>
                <w:sz w:val="20"/>
                <w:szCs w:val="20"/>
              </w:rPr>
              <w:t>0.32031</w:t>
            </w:r>
          </w:p>
        </w:tc>
        <w:tc>
          <w:tcPr>
            <w:tcW w:w="50" w:type="pct"/>
            <w:shd w:val="clear" w:color="auto" w:fill="CCEEFF"/>
            <w:vAlign w:val="bottom"/>
            <w:hideMark/>
          </w:tcPr>
          <w:p w14:paraId="5346B7AC"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B011720"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3E11811" w14:textId="77777777" w:rsidR="00000000" w:rsidRDefault="00847163">
            <w:pPr>
              <w:rPr>
                <w:rFonts w:eastAsia="Times New Roman"/>
                <w:sz w:val="20"/>
                <w:szCs w:val="20"/>
              </w:rPr>
            </w:pPr>
            <w:r>
              <w:rPr>
                <w:rFonts w:eastAsia="Times New Roman"/>
                <w:sz w:val="20"/>
                <w:szCs w:val="20"/>
              </w:rPr>
              <w:t>$</w:t>
            </w:r>
          </w:p>
        </w:tc>
        <w:tc>
          <w:tcPr>
            <w:tcW w:w="800" w:type="pct"/>
            <w:shd w:val="clear" w:color="auto" w:fill="CCEEFF"/>
            <w:vAlign w:val="bottom"/>
            <w:hideMark/>
          </w:tcPr>
          <w:p w14:paraId="7D651E29" w14:textId="77777777" w:rsidR="00000000" w:rsidRDefault="00847163">
            <w:pPr>
              <w:jc w:val="right"/>
              <w:rPr>
                <w:rFonts w:eastAsia="Times New Roman"/>
                <w:sz w:val="20"/>
                <w:szCs w:val="20"/>
              </w:rPr>
            </w:pPr>
            <w:r>
              <w:rPr>
                <w:rFonts w:eastAsia="Times New Roman"/>
                <w:sz w:val="20"/>
                <w:szCs w:val="20"/>
              </w:rPr>
              <w:t>0.32031</w:t>
            </w:r>
          </w:p>
        </w:tc>
        <w:tc>
          <w:tcPr>
            <w:tcW w:w="50" w:type="pct"/>
            <w:shd w:val="clear" w:color="auto" w:fill="CCEEFF"/>
            <w:vAlign w:val="bottom"/>
            <w:hideMark/>
          </w:tcPr>
          <w:p w14:paraId="2B4310DE" w14:textId="77777777" w:rsidR="00000000" w:rsidRDefault="00847163">
            <w:pPr>
              <w:rPr>
                <w:rFonts w:eastAsia="Times New Roman"/>
                <w:sz w:val="20"/>
                <w:szCs w:val="20"/>
              </w:rPr>
            </w:pPr>
            <w:r>
              <w:rPr>
                <w:rFonts w:eastAsia="Times New Roman"/>
                <w:sz w:val="20"/>
                <w:szCs w:val="20"/>
              </w:rPr>
              <w:t> </w:t>
            </w:r>
          </w:p>
        </w:tc>
      </w:tr>
      <w:tr w:rsidR="00000000" w14:paraId="25564E44" w14:textId="77777777">
        <w:trPr>
          <w:tblCellSpacing w:w="0" w:type="dxa"/>
        </w:trPr>
        <w:tc>
          <w:tcPr>
            <w:tcW w:w="0" w:type="auto"/>
            <w:shd w:val="clear" w:color="auto" w:fill="FFFFFF"/>
            <w:vAlign w:val="bottom"/>
            <w:hideMark/>
          </w:tcPr>
          <w:p w14:paraId="3C7E9216" w14:textId="77777777" w:rsidR="00000000" w:rsidRDefault="00847163">
            <w:pPr>
              <w:pStyle w:val="a3"/>
              <w:spacing w:before="0" w:beforeAutospacing="0" w:after="0" w:afterAutospacing="0"/>
              <w:rPr>
                <w:sz w:val="20"/>
                <w:szCs w:val="20"/>
              </w:rPr>
            </w:pPr>
            <w:r>
              <w:rPr>
                <w:sz w:val="20"/>
                <w:szCs w:val="20"/>
              </w:rPr>
              <w:t>Class M Depositary Shares</w:t>
            </w:r>
          </w:p>
        </w:tc>
        <w:tc>
          <w:tcPr>
            <w:tcW w:w="50" w:type="pct"/>
            <w:shd w:val="clear" w:color="auto" w:fill="FFFFFF"/>
            <w:vAlign w:val="bottom"/>
            <w:hideMark/>
          </w:tcPr>
          <w:p w14:paraId="5EB71AB3"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1883486" w14:textId="77777777" w:rsidR="00000000" w:rsidRDefault="00847163">
            <w:pPr>
              <w:rPr>
                <w:rFonts w:eastAsia="Times New Roman"/>
                <w:sz w:val="20"/>
                <w:szCs w:val="20"/>
              </w:rPr>
            </w:pPr>
            <w:r>
              <w:rPr>
                <w:rFonts w:eastAsia="Times New Roman"/>
                <w:sz w:val="20"/>
                <w:szCs w:val="20"/>
              </w:rPr>
              <w:t>$</w:t>
            </w:r>
          </w:p>
        </w:tc>
        <w:tc>
          <w:tcPr>
            <w:tcW w:w="800" w:type="pct"/>
            <w:shd w:val="clear" w:color="auto" w:fill="FFFFFF"/>
            <w:vAlign w:val="bottom"/>
            <w:hideMark/>
          </w:tcPr>
          <w:p w14:paraId="5153B6F2" w14:textId="77777777" w:rsidR="00000000" w:rsidRDefault="00847163">
            <w:pPr>
              <w:jc w:val="right"/>
              <w:rPr>
                <w:rFonts w:eastAsia="Times New Roman"/>
                <w:sz w:val="20"/>
                <w:szCs w:val="20"/>
              </w:rPr>
            </w:pPr>
            <w:r>
              <w:rPr>
                <w:rFonts w:eastAsia="Times New Roman"/>
                <w:sz w:val="20"/>
                <w:szCs w:val="20"/>
              </w:rPr>
              <w:t>0.32813</w:t>
            </w:r>
          </w:p>
        </w:tc>
        <w:tc>
          <w:tcPr>
            <w:tcW w:w="50" w:type="pct"/>
            <w:shd w:val="clear" w:color="auto" w:fill="FFFFFF"/>
            <w:vAlign w:val="bottom"/>
            <w:hideMark/>
          </w:tcPr>
          <w:p w14:paraId="139E3995"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813D089"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B33F594" w14:textId="77777777" w:rsidR="00000000" w:rsidRDefault="00847163">
            <w:pPr>
              <w:rPr>
                <w:rFonts w:eastAsia="Times New Roman"/>
                <w:sz w:val="20"/>
                <w:szCs w:val="20"/>
              </w:rPr>
            </w:pPr>
            <w:r>
              <w:rPr>
                <w:rFonts w:eastAsia="Times New Roman"/>
                <w:sz w:val="20"/>
                <w:szCs w:val="20"/>
              </w:rPr>
              <w:t>$</w:t>
            </w:r>
          </w:p>
        </w:tc>
        <w:tc>
          <w:tcPr>
            <w:tcW w:w="800" w:type="pct"/>
            <w:shd w:val="clear" w:color="auto" w:fill="FFFFFF"/>
            <w:vAlign w:val="bottom"/>
            <w:hideMark/>
          </w:tcPr>
          <w:p w14:paraId="4361187D" w14:textId="77777777" w:rsidR="00000000" w:rsidRDefault="00847163">
            <w:pPr>
              <w:jc w:val="right"/>
              <w:rPr>
                <w:rFonts w:eastAsia="Times New Roman"/>
                <w:sz w:val="20"/>
                <w:szCs w:val="20"/>
              </w:rPr>
            </w:pPr>
            <w:r>
              <w:rPr>
                <w:rFonts w:eastAsia="Times New Roman"/>
                <w:sz w:val="20"/>
                <w:szCs w:val="20"/>
              </w:rPr>
              <w:t>0.32813</w:t>
            </w:r>
          </w:p>
        </w:tc>
        <w:tc>
          <w:tcPr>
            <w:tcW w:w="50" w:type="pct"/>
            <w:shd w:val="clear" w:color="auto" w:fill="FFFFFF"/>
            <w:vAlign w:val="bottom"/>
            <w:hideMark/>
          </w:tcPr>
          <w:p w14:paraId="7EF558A2" w14:textId="77777777" w:rsidR="00000000" w:rsidRDefault="00847163">
            <w:pPr>
              <w:rPr>
                <w:rFonts w:eastAsia="Times New Roman"/>
                <w:sz w:val="20"/>
                <w:szCs w:val="20"/>
              </w:rPr>
            </w:pPr>
            <w:r>
              <w:rPr>
                <w:rFonts w:eastAsia="Times New Roman"/>
                <w:sz w:val="20"/>
                <w:szCs w:val="20"/>
              </w:rPr>
              <w:t> </w:t>
            </w:r>
          </w:p>
        </w:tc>
      </w:tr>
    </w:tbl>
    <w:p w14:paraId="7B0553A7" w14:textId="77777777" w:rsidR="00000000" w:rsidRDefault="00847163">
      <w:pPr>
        <w:pStyle w:val="a3"/>
        <w:spacing w:before="0" w:beforeAutospacing="0" w:after="0" w:afterAutospacing="0"/>
        <w:ind w:left="360"/>
        <w:jc w:val="both"/>
        <w:rPr>
          <w:sz w:val="20"/>
          <w:szCs w:val="20"/>
        </w:rPr>
      </w:pPr>
      <w:r>
        <w:rPr>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360"/>
        <w:gridCol w:w="6285"/>
      </w:tblGrid>
      <w:tr w:rsidR="00000000" w14:paraId="5005932E" w14:textId="77777777">
        <w:trPr>
          <w:tblCellSpacing w:w="0" w:type="dxa"/>
        </w:trPr>
        <w:tc>
          <w:tcPr>
            <w:tcW w:w="360" w:type="dxa"/>
            <w:hideMark/>
          </w:tcPr>
          <w:p w14:paraId="16671C6A" w14:textId="77777777" w:rsidR="00000000" w:rsidRDefault="00847163">
            <w:pPr>
              <w:pStyle w:val="a3"/>
              <w:spacing w:before="0" w:beforeAutospacing="0" w:after="0" w:afterAutospacing="0"/>
              <w:rPr>
                <w:sz w:val="20"/>
                <w:szCs w:val="20"/>
              </w:rPr>
            </w:pPr>
            <w:r>
              <w:rPr>
                <w:sz w:val="20"/>
                <w:szCs w:val="20"/>
              </w:rPr>
              <w:t>(</w:t>
            </w:r>
            <w:r>
              <w:rPr>
                <w:rStyle w:val="a6"/>
                <w:sz w:val="20"/>
                <w:szCs w:val="20"/>
              </w:rPr>
              <w:t>1</w:t>
            </w:r>
            <w:r>
              <w:rPr>
                <w:sz w:val="20"/>
                <w:szCs w:val="20"/>
              </w:rPr>
              <w:t>)</w:t>
            </w:r>
          </w:p>
        </w:tc>
        <w:tc>
          <w:tcPr>
            <w:tcW w:w="0" w:type="auto"/>
            <w:hideMark/>
          </w:tcPr>
          <w:p w14:paraId="0CB9D3F8" w14:textId="77777777" w:rsidR="00000000" w:rsidRDefault="00847163">
            <w:pPr>
              <w:pStyle w:val="a3"/>
              <w:spacing w:before="0" w:beforeAutospacing="0" w:after="0" w:afterAutospacing="0"/>
              <w:rPr>
                <w:sz w:val="20"/>
                <w:szCs w:val="20"/>
              </w:rPr>
            </w:pPr>
            <w:r>
              <w:rPr>
                <w:sz w:val="20"/>
                <w:szCs w:val="20"/>
              </w:rPr>
              <w:t xml:space="preserve">Shares were fully redeemed during </w:t>
            </w:r>
            <w:r>
              <w:rPr>
                <w:rStyle w:val="a6"/>
                <w:sz w:val="20"/>
                <w:szCs w:val="20"/>
              </w:rPr>
              <w:t>2019</w:t>
            </w:r>
          </w:p>
        </w:tc>
      </w:tr>
    </w:tbl>
    <w:p w14:paraId="00EC2D7F" w14:textId="77777777" w:rsidR="00000000" w:rsidRDefault="00847163">
      <w:pPr>
        <w:pStyle w:val="a3"/>
        <w:spacing w:before="0" w:beforeAutospacing="0" w:after="0" w:afterAutospacing="0"/>
        <w:rPr>
          <w:sz w:val="20"/>
          <w:szCs w:val="20"/>
        </w:rPr>
      </w:pPr>
      <w:r>
        <w:rPr>
          <w:sz w:val="20"/>
          <w:szCs w:val="20"/>
        </w:rPr>
        <w:t> </w:t>
      </w:r>
    </w:p>
    <w:p w14:paraId="7F9A162F" w14:textId="77777777" w:rsidR="00000000" w:rsidRDefault="00847163">
      <w:pPr>
        <w:divId w:val="855730163"/>
        <w:rPr>
          <w:rFonts w:eastAsia="Times New Roman"/>
          <w:sz w:val="20"/>
          <w:szCs w:val="20"/>
        </w:rPr>
      </w:pPr>
      <w:r>
        <w:rPr>
          <w:rFonts w:eastAsia="Times New Roman"/>
          <w:sz w:val="20"/>
          <w:szCs w:val="20"/>
        </w:rPr>
        <w:t xml:space="preserve">  </w:t>
      </w:r>
    </w:p>
    <w:p w14:paraId="5551F9FE" w14:textId="77777777" w:rsidR="00000000" w:rsidRDefault="00847163">
      <w:pPr>
        <w:pStyle w:val="a3"/>
        <w:spacing w:before="0" w:beforeAutospacing="0" w:after="0" w:afterAutospacing="0"/>
        <w:rPr>
          <w:sz w:val="20"/>
          <w:szCs w:val="20"/>
        </w:rPr>
      </w:pPr>
      <w:r>
        <w:rPr>
          <w:rStyle w:val="a6"/>
          <w:sz w:val="20"/>
          <w:szCs w:val="20"/>
        </w:rPr>
        <w:t>15.</w:t>
      </w:r>
      <w:r>
        <w:rPr>
          <w:sz w:val="20"/>
          <w:szCs w:val="20"/>
        </w:rPr>
        <w:t xml:space="preserve"> </w:t>
      </w:r>
      <w:r>
        <w:rPr>
          <w:sz w:val="20"/>
          <w:szCs w:val="20"/>
          <w:u w:val="single"/>
        </w:rPr>
        <w:t>Supplemental Schedule of Non-Cash Investing / Financing Activities</w:t>
      </w:r>
    </w:p>
    <w:p w14:paraId="44F06076" w14:textId="77777777" w:rsidR="00000000" w:rsidRDefault="00847163">
      <w:pPr>
        <w:pStyle w:val="a3"/>
        <w:spacing w:before="0" w:beforeAutospacing="0" w:after="0" w:afterAutospacing="0"/>
        <w:jc w:val="both"/>
        <w:rPr>
          <w:sz w:val="20"/>
          <w:szCs w:val="20"/>
        </w:rPr>
      </w:pPr>
      <w:r>
        <w:rPr>
          <w:sz w:val="20"/>
          <w:szCs w:val="20"/>
        </w:rPr>
        <w:t> </w:t>
      </w:r>
    </w:p>
    <w:p w14:paraId="54B16AE1" w14:textId="77777777" w:rsidR="00000000" w:rsidRDefault="00847163">
      <w:pPr>
        <w:pStyle w:val="a3"/>
        <w:spacing w:before="0" w:beforeAutospacing="0" w:after="0" w:afterAutospacing="0"/>
        <w:ind w:firstLine="360"/>
        <w:jc w:val="both"/>
        <w:rPr>
          <w:sz w:val="20"/>
          <w:szCs w:val="20"/>
        </w:rPr>
      </w:pPr>
      <w:r>
        <w:rPr>
          <w:sz w:val="20"/>
          <w:szCs w:val="20"/>
        </w:rPr>
        <w:t xml:space="preserve">The following schedule summarizes the non-cash investing and financing activities of the Company for the </w:t>
      </w:r>
      <w:r>
        <w:rPr>
          <w:rStyle w:val="a6"/>
          <w:sz w:val="20"/>
          <w:szCs w:val="20"/>
        </w:rPr>
        <w:t>three</w:t>
      </w:r>
      <w:r>
        <w:rPr>
          <w:sz w:val="20"/>
          <w:szCs w:val="20"/>
        </w:rPr>
        <w:t xml:space="preserve"> months ended </w:t>
      </w:r>
      <w:r>
        <w:rPr>
          <w:rStyle w:val="a6"/>
          <w:sz w:val="20"/>
          <w:szCs w:val="20"/>
        </w:rPr>
        <w:t xml:space="preserve">March 31, 2020 </w:t>
      </w:r>
      <w:r>
        <w:rPr>
          <w:sz w:val="20"/>
          <w:szCs w:val="20"/>
        </w:rPr>
        <w:t xml:space="preserve">and </w:t>
      </w:r>
      <w:r>
        <w:rPr>
          <w:rStyle w:val="a6"/>
          <w:sz w:val="20"/>
          <w:szCs w:val="20"/>
        </w:rPr>
        <w:t>2019</w:t>
      </w:r>
      <w:r>
        <w:rPr>
          <w:sz w:val="20"/>
          <w:szCs w:val="20"/>
        </w:rPr>
        <w:t xml:space="preserve"> (in thousands):</w:t>
      </w:r>
    </w:p>
    <w:p w14:paraId="355E15AD" w14:textId="77777777" w:rsidR="00000000" w:rsidRDefault="00847163">
      <w:pPr>
        <w:pStyle w:val="a3"/>
        <w:spacing w:before="0" w:beforeAutospacing="0" w:after="0" w:afterAutospacing="0"/>
        <w:ind w:firstLine="360"/>
        <w:jc w:val="both"/>
        <w:rPr>
          <w:sz w:val="20"/>
          <w:szCs w:val="20"/>
        </w:rPr>
      </w:pPr>
      <w:r>
        <w:rPr>
          <w:sz w:val="20"/>
          <w:szCs w:val="20"/>
        </w:rPr>
        <w:t> </w:t>
      </w:r>
    </w:p>
    <w:tbl>
      <w:tblPr>
        <w:tblW w:w="4750" w:type="pct"/>
        <w:tblCellSpacing w:w="0" w:type="dxa"/>
        <w:tblInd w:w="2" w:type="dxa"/>
        <w:tblCellMar>
          <w:left w:w="0" w:type="dxa"/>
          <w:right w:w="0" w:type="dxa"/>
        </w:tblCellMar>
        <w:tblLook w:val="04A0" w:firstRow="1" w:lastRow="0" w:firstColumn="1" w:lastColumn="0" w:noHBand="0" w:noVBand="1"/>
      </w:tblPr>
      <w:tblGrid>
        <w:gridCol w:w="5359"/>
        <w:gridCol w:w="73"/>
        <w:gridCol w:w="100"/>
        <w:gridCol w:w="1020"/>
        <w:gridCol w:w="73"/>
        <w:gridCol w:w="73"/>
        <w:gridCol w:w="100"/>
        <w:gridCol w:w="1020"/>
        <w:gridCol w:w="73"/>
      </w:tblGrid>
      <w:tr w:rsidR="00000000" w14:paraId="17E2804B" w14:textId="77777777">
        <w:trPr>
          <w:tblCellSpacing w:w="0" w:type="dxa"/>
        </w:trPr>
        <w:tc>
          <w:tcPr>
            <w:tcW w:w="0" w:type="auto"/>
            <w:vAlign w:val="bottom"/>
            <w:hideMark/>
          </w:tcPr>
          <w:p w14:paraId="757262D0"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4045C504" w14:textId="77777777" w:rsidR="00000000" w:rsidRDefault="00847163">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14:paraId="4FA4033E" w14:textId="77777777" w:rsidR="00000000" w:rsidRDefault="00847163">
            <w:pPr>
              <w:pStyle w:val="a3"/>
              <w:spacing w:before="0" w:beforeAutospacing="0" w:after="0" w:afterAutospacing="0"/>
              <w:jc w:val="center"/>
              <w:rPr>
                <w:sz w:val="20"/>
                <w:szCs w:val="20"/>
              </w:rPr>
            </w:pPr>
            <w:r>
              <w:rPr>
                <w:b/>
                <w:bCs/>
                <w:sz w:val="20"/>
                <w:szCs w:val="20"/>
              </w:rPr>
              <w:t xml:space="preserve">Three Months Ended March 31, </w:t>
            </w:r>
          </w:p>
        </w:tc>
        <w:tc>
          <w:tcPr>
            <w:tcW w:w="0" w:type="auto"/>
            <w:tcMar>
              <w:top w:w="0" w:type="dxa"/>
              <w:left w:w="0" w:type="dxa"/>
              <w:bottom w:w="15" w:type="dxa"/>
              <w:right w:w="0" w:type="dxa"/>
            </w:tcMar>
            <w:vAlign w:val="bottom"/>
            <w:hideMark/>
          </w:tcPr>
          <w:p w14:paraId="621D44BA" w14:textId="77777777" w:rsidR="00000000" w:rsidRDefault="00847163">
            <w:pPr>
              <w:rPr>
                <w:rFonts w:eastAsia="Times New Roman"/>
                <w:sz w:val="20"/>
                <w:szCs w:val="20"/>
              </w:rPr>
            </w:pPr>
            <w:r>
              <w:rPr>
                <w:rFonts w:eastAsia="Times New Roman"/>
                <w:sz w:val="20"/>
                <w:szCs w:val="20"/>
              </w:rPr>
              <w:t> </w:t>
            </w:r>
          </w:p>
        </w:tc>
      </w:tr>
      <w:tr w:rsidR="00000000" w14:paraId="1842344C" w14:textId="77777777">
        <w:trPr>
          <w:tblCellSpacing w:w="0" w:type="dxa"/>
        </w:trPr>
        <w:tc>
          <w:tcPr>
            <w:tcW w:w="0" w:type="auto"/>
            <w:vAlign w:val="bottom"/>
            <w:hideMark/>
          </w:tcPr>
          <w:p w14:paraId="67608639"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7D0A35C2" w14:textId="77777777" w:rsidR="00000000" w:rsidRDefault="0084716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0BBD59C0" w14:textId="77777777" w:rsidR="00000000" w:rsidRDefault="00847163">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14:paraId="7A28E167"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0D5C37A3" w14:textId="77777777" w:rsidR="00000000" w:rsidRDefault="0084716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25CF2E93" w14:textId="77777777" w:rsidR="00000000" w:rsidRDefault="00847163">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183A8663" w14:textId="77777777" w:rsidR="00000000" w:rsidRDefault="00847163">
            <w:pPr>
              <w:rPr>
                <w:rFonts w:eastAsia="Times New Roman"/>
                <w:sz w:val="20"/>
                <w:szCs w:val="20"/>
              </w:rPr>
            </w:pPr>
            <w:r>
              <w:rPr>
                <w:rFonts w:eastAsia="Times New Roman"/>
                <w:sz w:val="20"/>
                <w:szCs w:val="20"/>
              </w:rPr>
              <w:t> </w:t>
            </w:r>
          </w:p>
        </w:tc>
      </w:tr>
      <w:tr w:rsidR="00000000" w14:paraId="24C45DBA" w14:textId="77777777">
        <w:trPr>
          <w:tblCellSpacing w:w="0" w:type="dxa"/>
        </w:trPr>
        <w:tc>
          <w:tcPr>
            <w:tcW w:w="3400" w:type="pct"/>
            <w:shd w:val="clear" w:color="auto" w:fill="CCEEFF"/>
            <w:vAlign w:val="bottom"/>
            <w:hideMark/>
          </w:tcPr>
          <w:p w14:paraId="3EDD0128" w14:textId="77777777" w:rsidR="00000000" w:rsidRDefault="00847163">
            <w:pPr>
              <w:pStyle w:val="a3"/>
              <w:spacing w:before="0" w:beforeAutospacing="0" w:after="0" w:afterAutospacing="0"/>
              <w:rPr>
                <w:sz w:val="20"/>
                <w:szCs w:val="20"/>
              </w:rPr>
            </w:pPr>
            <w:r>
              <w:rPr>
                <w:sz w:val="20"/>
                <w:szCs w:val="20"/>
              </w:rPr>
              <w:t>Acquisition of real estate interests through proceeds held in escrow</w:t>
            </w:r>
          </w:p>
        </w:tc>
        <w:tc>
          <w:tcPr>
            <w:tcW w:w="50" w:type="pct"/>
            <w:shd w:val="clear" w:color="auto" w:fill="CCEEFF"/>
            <w:vAlign w:val="bottom"/>
            <w:hideMark/>
          </w:tcPr>
          <w:p w14:paraId="3F822230"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E66704A" w14:textId="77777777" w:rsidR="00000000" w:rsidRDefault="00847163">
            <w:pPr>
              <w:rPr>
                <w:rFonts w:eastAsia="Times New Roman"/>
                <w:sz w:val="20"/>
                <w:szCs w:val="20"/>
              </w:rPr>
            </w:pPr>
            <w:r>
              <w:rPr>
                <w:rFonts w:eastAsia="Times New Roman"/>
                <w:sz w:val="20"/>
                <w:szCs w:val="20"/>
              </w:rPr>
              <w:t>$</w:t>
            </w:r>
          </w:p>
        </w:tc>
        <w:tc>
          <w:tcPr>
            <w:tcW w:w="650" w:type="pct"/>
            <w:shd w:val="clear" w:color="auto" w:fill="CCEEFF"/>
            <w:vAlign w:val="bottom"/>
            <w:hideMark/>
          </w:tcPr>
          <w:p w14:paraId="3AEEB374" w14:textId="77777777" w:rsidR="00000000" w:rsidRDefault="0084716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72674A9F"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FA69BA9"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5AEA3CC" w14:textId="77777777" w:rsidR="00000000" w:rsidRDefault="00847163">
            <w:pPr>
              <w:rPr>
                <w:rFonts w:eastAsia="Times New Roman"/>
                <w:sz w:val="20"/>
                <w:szCs w:val="20"/>
              </w:rPr>
            </w:pPr>
            <w:r>
              <w:rPr>
                <w:rFonts w:eastAsia="Times New Roman"/>
                <w:sz w:val="20"/>
                <w:szCs w:val="20"/>
              </w:rPr>
              <w:t>$</w:t>
            </w:r>
          </w:p>
        </w:tc>
        <w:tc>
          <w:tcPr>
            <w:tcW w:w="650" w:type="pct"/>
            <w:shd w:val="clear" w:color="auto" w:fill="CCEEFF"/>
            <w:vAlign w:val="bottom"/>
            <w:hideMark/>
          </w:tcPr>
          <w:p w14:paraId="07CE9743" w14:textId="77777777" w:rsidR="00000000" w:rsidRDefault="00847163">
            <w:pPr>
              <w:jc w:val="right"/>
              <w:rPr>
                <w:rFonts w:eastAsia="Times New Roman"/>
                <w:sz w:val="20"/>
                <w:szCs w:val="20"/>
              </w:rPr>
            </w:pPr>
            <w:r>
              <w:rPr>
                <w:rFonts w:eastAsia="Times New Roman"/>
                <w:sz w:val="20"/>
                <w:szCs w:val="20"/>
              </w:rPr>
              <w:t>30,970</w:t>
            </w:r>
          </w:p>
        </w:tc>
        <w:tc>
          <w:tcPr>
            <w:tcW w:w="50" w:type="pct"/>
            <w:shd w:val="clear" w:color="auto" w:fill="CCEEFF"/>
            <w:vAlign w:val="bottom"/>
            <w:hideMark/>
          </w:tcPr>
          <w:p w14:paraId="1B8DAA20" w14:textId="77777777" w:rsidR="00000000" w:rsidRDefault="00847163">
            <w:pPr>
              <w:rPr>
                <w:rFonts w:eastAsia="Times New Roman"/>
                <w:sz w:val="20"/>
                <w:szCs w:val="20"/>
              </w:rPr>
            </w:pPr>
            <w:r>
              <w:rPr>
                <w:rFonts w:eastAsia="Times New Roman"/>
                <w:sz w:val="20"/>
                <w:szCs w:val="20"/>
              </w:rPr>
              <w:t> </w:t>
            </w:r>
          </w:p>
        </w:tc>
      </w:tr>
      <w:tr w:rsidR="00000000" w14:paraId="538950A1" w14:textId="77777777">
        <w:trPr>
          <w:tblCellSpacing w:w="0" w:type="dxa"/>
        </w:trPr>
        <w:tc>
          <w:tcPr>
            <w:tcW w:w="0" w:type="auto"/>
            <w:shd w:val="clear" w:color="auto" w:fill="FFFFFF"/>
            <w:vAlign w:val="bottom"/>
            <w:hideMark/>
          </w:tcPr>
          <w:p w14:paraId="1C4C62B8" w14:textId="77777777" w:rsidR="00000000" w:rsidRDefault="00847163">
            <w:pPr>
              <w:pStyle w:val="a3"/>
              <w:spacing w:before="0" w:beforeAutospacing="0" w:after="0" w:afterAutospacing="0"/>
              <w:rPr>
                <w:sz w:val="20"/>
                <w:szCs w:val="20"/>
              </w:rPr>
            </w:pPr>
            <w:r>
              <w:rPr>
                <w:sz w:val="20"/>
                <w:szCs w:val="20"/>
              </w:rPr>
              <w:t>Surrender of restricted common stock</w:t>
            </w:r>
          </w:p>
        </w:tc>
        <w:tc>
          <w:tcPr>
            <w:tcW w:w="50" w:type="pct"/>
            <w:shd w:val="clear" w:color="auto" w:fill="FFFFFF"/>
            <w:vAlign w:val="bottom"/>
            <w:hideMark/>
          </w:tcPr>
          <w:p w14:paraId="3973DE86"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D2C7E91" w14:textId="77777777" w:rsidR="00000000" w:rsidRDefault="00847163">
            <w:pPr>
              <w:rPr>
                <w:rFonts w:eastAsia="Times New Roman"/>
                <w:sz w:val="20"/>
                <w:szCs w:val="20"/>
              </w:rPr>
            </w:pPr>
            <w:r>
              <w:rPr>
                <w:rFonts w:eastAsia="Times New Roman"/>
                <w:sz w:val="20"/>
                <w:szCs w:val="20"/>
              </w:rPr>
              <w:t>$</w:t>
            </w:r>
          </w:p>
        </w:tc>
        <w:tc>
          <w:tcPr>
            <w:tcW w:w="650" w:type="pct"/>
            <w:shd w:val="clear" w:color="auto" w:fill="FFFFFF"/>
            <w:vAlign w:val="bottom"/>
            <w:hideMark/>
          </w:tcPr>
          <w:p w14:paraId="1F0049E2" w14:textId="77777777" w:rsidR="00000000" w:rsidRDefault="00847163">
            <w:pPr>
              <w:jc w:val="right"/>
              <w:rPr>
                <w:rFonts w:eastAsia="Times New Roman"/>
                <w:sz w:val="20"/>
                <w:szCs w:val="20"/>
              </w:rPr>
            </w:pPr>
            <w:r>
              <w:rPr>
                <w:rFonts w:eastAsia="Times New Roman"/>
                <w:sz w:val="20"/>
                <w:szCs w:val="20"/>
              </w:rPr>
              <w:t>5,159</w:t>
            </w:r>
          </w:p>
        </w:tc>
        <w:tc>
          <w:tcPr>
            <w:tcW w:w="50" w:type="pct"/>
            <w:shd w:val="clear" w:color="auto" w:fill="FFFFFF"/>
            <w:vAlign w:val="bottom"/>
            <w:hideMark/>
          </w:tcPr>
          <w:p w14:paraId="691F2855"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B5B3EC9"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684932A" w14:textId="77777777" w:rsidR="00000000" w:rsidRDefault="00847163">
            <w:pPr>
              <w:rPr>
                <w:rFonts w:eastAsia="Times New Roman"/>
                <w:sz w:val="20"/>
                <w:szCs w:val="20"/>
              </w:rPr>
            </w:pPr>
            <w:r>
              <w:rPr>
                <w:rFonts w:eastAsia="Times New Roman"/>
                <w:sz w:val="20"/>
                <w:szCs w:val="20"/>
              </w:rPr>
              <w:t>$</w:t>
            </w:r>
          </w:p>
        </w:tc>
        <w:tc>
          <w:tcPr>
            <w:tcW w:w="650" w:type="pct"/>
            <w:shd w:val="clear" w:color="auto" w:fill="FFFFFF"/>
            <w:vAlign w:val="bottom"/>
            <w:hideMark/>
          </w:tcPr>
          <w:p w14:paraId="470E8CB2" w14:textId="77777777" w:rsidR="00000000" w:rsidRDefault="00847163">
            <w:pPr>
              <w:jc w:val="right"/>
              <w:rPr>
                <w:rFonts w:eastAsia="Times New Roman"/>
                <w:sz w:val="20"/>
                <w:szCs w:val="20"/>
              </w:rPr>
            </w:pPr>
            <w:r>
              <w:rPr>
                <w:rFonts w:eastAsia="Times New Roman"/>
                <w:sz w:val="20"/>
                <w:szCs w:val="20"/>
              </w:rPr>
              <w:t>3,252</w:t>
            </w:r>
          </w:p>
        </w:tc>
        <w:tc>
          <w:tcPr>
            <w:tcW w:w="50" w:type="pct"/>
            <w:shd w:val="clear" w:color="auto" w:fill="FFFFFF"/>
            <w:vAlign w:val="bottom"/>
            <w:hideMark/>
          </w:tcPr>
          <w:p w14:paraId="14386BB9" w14:textId="77777777" w:rsidR="00000000" w:rsidRDefault="00847163">
            <w:pPr>
              <w:rPr>
                <w:rFonts w:eastAsia="Times New Roman"/>
                <w:sz w:val="20"/>
                <w:szCs w:val="20"/>
              </w:rPr>
            </w:pPr>
            <w:r>
              <w:rPr>
                <w:rFonts w:eastAsia="Times New Roman"/>
                <w:sz w:val="20"/>
                <w:szCs w:val="20"/>
              </w:rPr>
              <w:t> </w:t>
            </w:r>
          </w:p>
        </w:tc>
      </w:tr>
      <w:tr w:rsidR="00000000" w14:paraId="16EF6506" w14:textId="77777777">
        <w:trPr>
          <w:tblCellSpacing w:w="0" w:type="dxa"/>
        </w:trPr>
        <w:tc>
          <w:tcPr>
            <w:tcW w:w="0" w:type="auto"/>
            <w:shd w:val="clear" w:color="auto" w:fill="CCEEFF"/>
            <w:vAlign w:val="bottom"/>
            <w:hideMark/>
          </w:tcPr>
          <w:p w14:paraId="55E701B6" w14:textId="77777777" w:rsidR="00000000" w:rsidRDefault="00847163">
            <w:pPr>
              <w:pStyle w:val="a3"/>
              <w:spacing w:before="0" w:beforeAutospacing="0" w:after="0" w:afterAutospacing="0"/>
              <w:rPr>
                <w:sz w:val="20"/>
                <w:szCs w:val="20"/>
              </w:rPr>
            </w:pPr>
            <w:r>
              <w:rPr>
                <w:sz w:val="20"/>
                <w:szCs w:val="20"/>
              </w:rPr>
              <w:t>Declaration of dividends paid in succeeding period</w:t>
            </w:r>
          </w:p>
        </w:tc>
        <w:tc>
          <w:tcPr>
            <w:tcW w:w="50" w:type="pct"/>
            <w:shd w:val="clear" w:color="auto" w:fill="CCEEFF"/>
            <w:vAlign w:val="bottom"/>
            <w:hideMark/>
          </w:tcPr>
          <w:p w14:paraId="1A397910"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9E61B67" w14:textId="77777777" w:rsidR="00000000" w:rsidRDefault="00847163">
            <w:pPr>
              <w:rPr>
                <w:rFonts w:eastAsia="Times New Roman"/>
                <w:sz w:val="20"/>
                <w:szCs w:val="20"/>
              </w:rPr>
            </w:pPr>
            <w:r>
              <w:rPr>
                <w:rFonts w:eastAsia="Times New Roman"/>
                <w:sz w:val="20"/>
                <w:szCs w:val="20"/>
              </w:rPr>
              <w:t>$</w:t>
            </w:r>
          </w:p>
        </w:tc>
        <w:tc>
          <w:tcPr>
            <w:tcW w:w="650" w:type="pct"/>
            <w:shd w:val="clear" w:color="auto" w:fill="CCEEFF"/>
            <w:vAlign w:val="bottom"/>
            <w:hideMark/>
          </w:tcPr>
          <w:p w14:paraId="7BB607EB" w14:textId="77777777" w:rsidR="00000000" w:rsidRDefault="00847163">
            <w:pPr>
              <w:jc w:val="right"/>
              <w:rPr>
                <w:rFonts w:eastAsia="Times New Roman"/>
                <w:sz w:val="20"/>
                <w:szCs w:val="20"/>
              </w:rPr>
            </w:pPr>
            <w:r>
              <w:rPr>
                <w:rFonts w:eastAsia="Times New Roman"/>
                <w:sz w:val="20"/>
                <w:szCs w:val="20"/>
              </w:rPr>
              <w:t>126,473</w:t>
            </w:r>
          </w:p>
        </w:tc>
        <w:tc>
          <w:tcPr>
            <w:tcW w:w="50" w:type="pct"/>
            <w:shd w:val="clear" w:color="auto" w:fill="CCEEFF"/>
            <w:vAlign w:val="bottom"/>
            <w:hideMark/>
          </w:tcPr>
          <w:p w14:paraId="115AC9D8"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2FE2687"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B18F8B0" w14:textId="77777777" w:rsidR="00000000" w:rsidRDefault="00847163">
            <w:pPr>
              <w:rPr>
                <w:rFonts w:eastAsia="Times New Roman"/>
                <w:sz w:val="20"/>
                <w:szCs w:val="20"/>
              </w:rPr>
            </w:pPr>
            <w:r>
              <w:rPr>
                <w:rFonts w:eastAsia="Times New Roman"/>
                <w:sz w:val="20"/>
                <w:szCs w:val="20"/>
              </w:rPr>
              <w:t>$</w:t>
            </w:r>
          </w:p>
        </w:tc>
        <w:tc>
          <w:tcPr>
            <w:tcW w:w="650" w:type="pct"/>
            <w:shd w:val="clear" w:color="auto" w:fill="CCEEFF"/>
            <w:vAlign w:val="bottom"/>
            <w:hideMark/>
          </w:tcPr>
          <w:p w14:paraId="18094424" w14:textId="77777777" w:rsidR="00000000" w:rsidRDefault="00847163">
            <w:pPr>
              <w:jc w:val="right"/>
              <w:rPr>
                <w:rFonts w:eastAsia="Times New Roman"/>
                <w:sz w:val="20"/>
                <w:szCs w:val="20"/>
              </w:rPr>
            </w:pPr>
            <w:r>
              <w:rPr>
                <w:rFonts w:eastAsia="Times New Roman"/>
                <w:sz w:val="20"/>
                <w:szCs w:val="20"/>
              </w:rPr>
              <w:t>130,444</w:t>
            </w:r>
          </w:p>
        </w:tc>
        <w:tc>
          <w:tcPr>
            <w:tcW w:w="50" w:type="pct"/>
            <w:shd w:val="clear" w:color="auto" w:fill="CCEEFF"/>
            <w:vAlign w:val="bottom"/>
            <w:hideMark/>
          </w:tcPr>
          <w:p w14:paraId="3687E881" w14:textId="77777777" w:rsidR="00000000" w:rsidRDefault="00847163">
            <w:pPr>
              <w:rPr>
                <w:rFonts w:eastAsia="Times New Roman"/>
                <w:sz w:val="20"/>
                <w:szCs w:val="20"/>
              </w:rPr>
            </w:pPr>
            <w:r>
              <w:rPr>
                <w:rFonts w:eastAsia="Times New Roman"/>
                <w:sz w:val="20"/>
                <w:szCs w:val="20"/>
              </w:rPr>
              <w:t> </w:t>
            </w:r>
          </w:p>
        </w:tc>
      </w:tr>
      <w:tr w:rsidR="00000000" w14:paraId="61217623" w14:textId="77777777">
        <w:trPr>
          <w:tblCellSpacing w:w="0" w:type="dxa"/>
        </w:trPr>
        <w:tc>
          <w:tcPr>
            <w:tcW w:w="0" w:type="auto"/>
            <w:shd w:val="clear" w:color="auto" w:fill="FFFFFF"/>
            <w:vAlign w:val="bottom"/>
            <w:hideMark/>
          </w:tcPr>
          <w:p w14:paraId="79034795" w14:textId="77777777" w:rsidR="00000000" w:rsidRDefault="00847163">
            <w:pPr>
              <w:pStyle w:val="a3"/>
              <w:spacing w:before="0" w:beforeAutospacing="0" w:after="0" w:afterAutospacing="0"/>
              <w:rPr>
                <w:sz w:val="20"/>
                <w:szCs w:val="20"/>
              </w:rPr>
            </w:pPr>
            <w:r>
              <w:rPr>
                <w:sz w:val="20"/>
                <w:szCs w:val="20"/>
              </w:rPr>
              <w:t>Capital expenditures accrual</w:t>
            </w:r>
          </w:p>
        </w:tc>
        <w:tc>
          <w:tcPr>
            <w:tcW w:w="50" w:type="pct"/>
            <w:shd w:val="clear" w:color="auto" w:fill="FFFFFF"/>
            <w:vAlign w:val="bottom"/>
            <w:hideMark/>
          </w:tcPr>
          <w:p w14:paraId="0DDE0602"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9993D57" w14:textId="77777777" w:rsidR="00000000" w:rsidRDefault="00847163">
            <w:pPr>
              <w:rPr>
                <w:rFonts w:eastAsia="Times New Roman"/>
                <w:sz w:val="20"/>
                <w:szCs w:val="20"/>
              </w:rPr>
            </w:pPr>
            <w:r>
              <w:rPr>
                <w:rFonts w:eastAsia="Times New Roman"/>
                <w:sz w:val="20"/>
                <w:szCs w:val="20"/>
              </w:rPr>
              <w:t>$</w:t>
            </w:r>
          </w:p>
        </w:tc>
        <w:tc>
          <w:tcPr>
            <w:tcW w:w="650" w:type="pct"/>
            <w:shd w:val="clear" w:color="auto" w:fill="FFFFFF"/>
            <w:vAlign w:val="bottom"/>
            <w:hideMark/>
          </w:tcPr>
          <w:p w14:paraId="26D2F871" w14:textId="77777777" w:rsidR="00000000" w:rsidRDefault="00847163">
            <w:pPr>
              <w:jc w:val="right"/>
              <w:rPr>
                <w:rFonts w:eastAsia="Times New Roman"/>
                <w:sz w:val="20"/>
                <w:szCs w:val="20"/>
              </w:rPr>
            </w:pPr>
            <w:r>
              <w:rPr>
                <w:rFonts w:eastAsia="Times New Roman"/>
                <w:sz w:val="20"/>
                <w:szCs w:val="20"/>
              </w:rPr>
              <w:t>47,533</w:t>
            </w:r>
          </w:p>
        </w:tc>
        <w:tc>
          <w:tcPr>
            <w:tcW w:w="50" w:type="pct"/>
            <w:shd w:val="clear" w:color="auto" w:fill="FFFFFF"/>
            <w:vAlign w:val="bottom"/>
            <w:hideMark/>
          </w:tcPr>
          <w:p w14:paraId="0691C59F"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1570B94"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363E3B1" w14:textId="77777777" w:rsidR="00000000" w:rsidRDefault="00847163">
            <w:pPr>
              <w:rPr>
                <w:rFonts w:eastAsia="Times New Roman"/>
                <w:sz w:val="20"/>
                <w:szCs w:val="20"/>
              </w:rPr>
            </w:pPr>
            <w:r>
              <w:rPr>
                <w:rFonts w:eastAsia="Times New Roman"/>
                <w:sz w:val="20"/>
                <w:szCs w:val="20"/>
              </w:rPr>
              <w:t>$</w:t>
            </w:r>
          </w:p>
        </w:tc>
        <w:tc>
          <w:tcPr>
            <w:tcW w:w="650" w:type="pct"/>
            <w:shd w:val="clear" w:color="auto" w:fill="FFFFFF"/>
            <w:vAlign w:val="bottom"/>
            <w:hideMark/>
          </w:tcPr>
          <w:p w14:paraId="4A22B63F" w14:textId="77777777" w:rsidR="00000000" w:rsidRDefault="00847163">
            <w:pPr>
              <w:jc w:val="right"/>
              <w:rPr>
                <w:rFonts w:eastAsia="Times New Roman"/>
                <w:sz w:val="20"/>
                <w:szCs w:val="20"/>
              </w:rPr>
            </w:pPr>
            <w:r>
              <w:rPr>
                <w:rFonts w:eastAsia="Times New Roman"/>
                <w:sz w:val="20"/>
                <w:szCs w:val="20"/>
              </w:rPr>
              <w:t>70,976</w:t>
            </w:r>
          </w:p>
        </w:tc>
        <w:tc>
          <w:tcPr>
            <w:tcW w:w="50" w:type="pct"/>
            <w:shd w:val="clear" w:color="auto" w:fill="FFFFFF"/>
            <w:vAlign w:val="bottom"/>
            <w:hideMark/>
          </w:tcPr>
          <w:p w14:paraId="30B66A86" w14:textId="77777777" w:rsidR="00000000" w:rsidRDefault="00847163">
            <w:pPr>
              <w:rPr>
                <w:rFonts w:eastAsia="Times New Roman"/>
                <w:sz w:val="20"/>
                <w:szCs w:val="20"/>
              </w:rPr>
            </w:pPr>
            <w:r>
              <w:rPr>
                <w:rFonts w:eastAsia="Times New Roman"/>
                <w:sz w:val="20"/>
                <w:szCs w:val="20"/>
              </w:rPr>
              <w:t> </w:t>
            </w:r>
          </w:p>
        </w:tc>
      </w:tr>
    </w:tbl>
    <w:p w14:paraId="5BBE064A" w14:textId="77777777" w:rsidR="00000000" w:rsidRDefault="00847163">
      <w:pPr>
        <w:pStyle w:val="a3"/>
        <w:spacing w:before="0" w:beforeAutospacing="0" w:after="0" w:afterAutospacing="0"/>
        <w:jc w:val="both"/>
        <w:rPr>
          <w:sz w:val="20"/>
          <w:szCs w:val="20"/>
        </w:rPr>
      </w:pPr>
      <w:r>
        <w:rPr>
          <w:sz w:val="20"/>
          <w:szCs w:val="20"/>
        </w:rPr>
        <w:t> </w:t>
      </w:r>
    </w:p>
    <w:p w14:paraId="24041C1A" w14:textId="77777777" w:rsidR="00000000" w:rsidRDefault="00847163">
      <w:pPr>
        <w:jc w:val="center"/>
        <w:divId w:val="723913159"/>
        <w:rPr>
          <w:rFonts w:eastAsia="Times New Roman"/>
          <w:sz w:val="20"/>
          <w:szCs w:val="20"/>
        </w:rPr>
      </w:pPr>
      <w:r>
        <w:rPr>
          <w:rStyle w:val="a6"/>
          <w:rFonts w:eastAsia="Times New Roman"/>
          <w:sz w:val="20"/>
          <w:szCs w:val="20"/>
        </w:rPr>
        <w:t>17</w:t>
      </w:r>
      <w:r>
        <w:rPr>
          <w:rFonts w:eastAsia="Times New Roman"/>
          <w:sz w:val="20"/>
          <w:szCs w:val="20"/>
        </w:rPr>
        <w:t xml:space="preserve"> </w:t>
      </w:r>
    </w:p>
    <w:p w14:paraId="4CB6D568" w14:textId="77777777" w:rsidR="00000000" w:rsidRDefault="00847163">
      <w:pPr>
        <w:divId w:val="2053727798"/>
        <w:rPr>
          <w:rFonts w:eastAsia="Times New Roman"/>
          <w:sz w:val="20"/>
          <w:szCs w:val="20"/>
        </w:rPr>
      </w:pPr>
      <w:r>
        <w:rPr>
          <w:rFonts w:eastAsia="Times New Roman"/>
          <w:sz w:val="20"/>
          <w:szCs w:val="20"/>
        </w:rPr>
        <w:pict w14:anchorId="4A01EAA9">
          <v:rect id="_x0000_i1045" style="width:415.3pt;height:1.5pt" o:hralign="center" o:hrstd="t" o:hrnoshade="t" o:hr="t" fillcolor="black" stroked="f"/>
        </w:pict>
      </w:r>
    </w:p>
    <w:p w14:paraId="1D25C6F5" w14:textId="77777777" w:rsidR="00000000" w:rsidRDefault="00847163">
      <w:pPr>
        <w:divId w:val="802771847"/>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4D4E661E" w14:textId="77777777" w:rsidR="00000000" w:rsidRDefault="00847163">
      <w:pPr>
        <w:pStyle w:val="a3"/>
        <w:spacing w:before="0" w:beforeAutospacing="0" w:after="0" w:afterAutospacing="0"/>
        <w:jc w:val="both"/>
        <w:rPr>
          <w:sz w:val="20"/>
          <w:szCs w:val="20"/>
        </w:rPr>
      </w:pPr>
      <w:r>
        <w:rPr>
          <w:sz w:val="20"/>
          <w:szCs w:val="20"/>
        </w:rPr>
        <w:t> </w:t>
      </w:r>
    </w:p>
    <w:p w14:paraId="53B060D1" w14:textId="77777777" w:rsidR="00000000" w:rsidRDefault="00847163">
      <w:pPr>
        <w:divId w:val="1246764022"/>
        <w:rPr>
          <w:rFonts w:eastAsia="Times New Roman"/>
          <w:sz w:val="20"/>
          <w:szCs w:val="20"/>
        </w:rPr>
      </w:pPr>
      <w:r>
        <w:rPr>
          <w:rFonts w:eastAsia="Times New Roman"/>
          <w:sz w:val="20"/>
          <w:szCs w:val="20"/>
        </w:rPr>
        <w:t xml:space="preserve">  </w:t>
      </w:r>
    </w:p>
    <w:p w14:paraId="307F1C8D" w14:textId="77777777" w:rsidR="00000000" w:rsidRDefault="00847163">
      <w:pPr>
        <w:pStyle w:val="a3"/>
        <w:spacing w:before="0" w:beforeAutospacing="0" w:after="0" w:afterAutospacing="0"/>
        <w:rPr>
          <w:sz w:val="20"/>
          <w:szCs w:val="20"/>
        </w:rPr>
      </w:pPr>
      <w:r>
        <w:rPr>
          <w:rStyle w:val="a6"/>
          <w:sz w:val="20"/>
          <w:szCs w:val="20"/>
        </w:rPr>
        <w:t>16.</w:t>
      </w:r>
      <w:r>
        <w:rPr>
          <w:sz w:val="20"/>
          <w:szCs w:val="20"/>
        </w:rPr>
        <w:t xml:space="preserve"> </w:t>
      </w:r>
      <w:r>
        <w:rPr>
          <w:sz w:val="20"/>
          <w:szCs w:val="20"/>
          <w:u w:val="single"/>
        </w:rPr>
        <w:t>Subsequent Events</w:t>
      </w:r>
    </w:p>
    <w:p w14:paraId="177712E9" w14:textId="77777777" w:rsidR="00000000" w:rsidRDefault="00847163">
      <w:pPr>
        <w:pStyle w:val="a3"/>
        <w:spacing w:before="0" w:beforeAutospacing="0" w:after="0" w:afterAutospacing="0"/>
        <w:rPr>
          <w:sz w:val="20"/>
          <w:szCs w:val="20"/>
        </w:rPr>
      </w:pPr>
      <w:r>
        <w:rPr>
          <w:sz w:val="20"/>
          <w:szCs w:val="20"/>
        </w:rPr>
        <w:t> </w:t>
      </w:r>
    </w:p>
    <w:p w14:paraId="4E1D2546" w14:textId="77777777" w:rsidR="00000000" w:rsidRDefault="00847163">
      <w:pPr>
        <w:pStyle w:val="a3"/>
        <w:spacing w:before="0" w:beforeAutospacing="0" w:after="0" w:afterAutospacing="0"/>
        <w:ind w:firstLine="360"/>
        <w:jc w:val="both"/>
        <w:rPr>
          <w:sz w:val="20"/>
          <w:szCs w:val="20"/>
        </w:rPr>
      </w:pPr>
      <w:r>
        <w:rPr>
          <w:sz w:val="20"/>
          <w:szCs w:val="20"/>
        </w:rPr>
        <w:t xml:space="preserve">During and subsequent to the </w:t>
      </w:r>
      <w:r>
        <w:rPr>
          <w:rStyle w:val="a6"/>
          <w:sz w:val="20"/>
          <w:szCs w:val="20"/>
        </w:rPr>
        <w:t>first</w:t>
      </w:r>
      <w:r>
        <w:rPr>
          <w:sz w:val="20"/>
          <w:szCs w:val="20"/>
        </w:rPr>
        <w:t xml:space="preserve"> quarter </w:t>
      </w:r>
      <w:r>
        <w:rPr>
          <w:rStyle w:val="a6"/>
          <w:sz w:val="20"/>
          <w:szCs w:val="20"/>
        </w:rPr>
        <w:t>2020,</w:t>
      </w:r>
      <w:r>
        <w:rPr>
          <w:sz w:val="20"/>
          <w:szCs w:val="20"/>
        </w:rPr>
        <w:t xml:space="preserve"> the world has been impacted by the COVID-</w:t>
      </w:r>
      <w:r>
        <w:rPr>
          <w:rStyle w:val="a6"/>
          <w:sz w:val="20"/>
          <w:szCs w:val="20"/>
        </w:rPr>
        <w:t>19</w:t>
      </w:r>
      <w:r>
        <w:rPr>
          <w:sz w:val="20"/>
          <w:szCs w:val="20"/>
        </w:rPr>
        <w:t xml:space="preserve"> </w:t>
      </w:r>
      <w:r>
        <w:rPr>
          <w:sz w:val="20"/>
          <w:szCs w:val="20"/>
        </w:rPr>
        <w:t>pandemic. It has created significant economic uncertainty and volatility. The extent to which the COVID-</w:t>
      </w:r>
      <w:r>
        <w:rPr>
          <w:rStyle w:val="a6"/>
          <w:sz w:val="20"/>
          <w:szCs w:val="20"/>
        </w:rPr>
        <w:t>19</w:t>
      </w:r>
      <w:r>
        <w:rPr>
          <w:sz w:val="20"/>
          <w:szCs w:val="20"/>
        </w:rPr>
        <w:t xml:space="preserve"> pandemic impacts the Company’s business, operations and financial results will depend on numerous evolving factors that the Company is </w:t>
      </w:r>
      <w:r>
        <w:rPr>
          <w:rStyle w:val="a6"/>
          <w:sz w:val="20"/>
          <w:szCs w:val="20"/>
        </w:rPr>
        <w:t>not</w:t>
      </w:r>
      <w:r>
        <w:rPr>
          <w:sz w:val="20"/>
          <w:szCs w:val="20"/>
        </w:rPr>
        <w:t xml:space="preserve"> be able to</w:t>
      </w:r>
      <w:r>
        <w:rPr>
          <w:sz w:val="20"/>
          <w:szCs w:val="20"/>
        </w:rPr>
        <w:t xml:space="preserve"> predict at this time, including the duration and scope of the pandemic, governmental, business and individual actions that have been and continue to be taken in response to the pandemic, the impact on economic activity from the pandemic and actions taken </w:t>
      </w:r>
      <w:r>
        <w:rPr>
          <w:sz w:val="20"/>
          <w:szCs w:val="20"/>
        </w:rPr>
        <w:t>in response, the effect on the Company’s tenants and their businesses, the ability of tenants to make their rental payments and any additional closures of tenants’ businesses. Any of these events could materially adversely impact the Company’s business, fi</w:t>
      </w:r>
      <w:r>
        <w:rPr>
          <w:sz w:val="20"/>
          <w:szCs w:val="20"/>
        </w:rPr>
        <w:t>nancial condition, results of operations or stock price.</w:t>
      </w:r>
    </w:p>
    <w:p w14:paraId="4F2BC3D9" w14:textId="77777777" w:rsidR="00000000" w:rsidRDefault="00847163">
      <w:pPr>
        <w:pStyle w:val="a3"/>
        <w:spacing w:before="0" w:beforeAutospacing="0" w:after="0" w:afterAutospacing="0"/>
        <w:ind w:firstLine="360"/>
        <w:jc w:val="both"/>
        <w:rPr>
          <w:sz w:val="20"/>
          <w:szCs w:val="20"/>
        </w:rPr>
      </w:pPr>
      <w:r>
        <w:rPr>
          <w:sz w:val="20"/>
          <w:szCs w:val="20"/>
        </w:rPr>
        <w:t> </w:t>
      </w:r>
    </w:p>
    <w:p w14:paraId="5D05385E" w14:textId="77777777" w:rsidR="00000000" w:rsidRDefault="00847163">
      <w:pPr>
        <w:pStyle w:val="a3"/>
        <w:spacing w:before="0" w:beforeAutospacing="0" w:after="0" w:afterAutospacing="0"/>
        <w:ind w:firstLine="360"/>
        <w:jc w:val="both"/>
        <w:rPr>
          <w:sz w:val="20"/>
          <w:szCs w:val="20"/>
        </w:rPr>
      </w:pPr>
      <w:r>
        <w:rPr>
          <w:sz w:val="20"/>
          <w:szCs w:val="20"/>
        </w:rPr>
        <w:t xml:space="preserve">As of </w:t>
      </w:r>
      <w:r>
        <w:rPr>
          <w:rStyle w:val="a6"/>
          <w:sz w:val="20"/>
          <w:szCs w:val="20"/>
        </w:rPr>
        <w:t xml:space="preserve">April 30, 2020, </w:t>
      </w:r>
      <w:r>
        <w:rPr>
          <w:sz w:val="20"/>
          <w:szCs w:val="20"/>
        </w:rPr>
        <w:t>the Company’s shopping centers generally remain open, however, a substantial number of tenants have temporarily closed their businesses, have shortened their operating hours o</w:t>
      </w:r>
      <w:r>
        <w:rPr>
          <w:sz w:val="20"/>
          <w:szCs w:val="20"/>
        </w:rPr>
        <w:t>r are offering reduced services. The Company has also observed a substantial increase in the number of tenants that have made late or partial rent payments, requested a deferral of rent payments or defaulted on rent payments.</w:t>
      </w:r>
    </w:p>
    <w:p w14:paraId="2C505481" w14:textId="77777777" w:rsidR="00000000" w:rsidRDefault="00847163">
      <w:pPr>
        <w:pStyle w:val="a3"/>
        <w:spacing w:before="0" w:beforeAutospacing="0" w:after="0" w:afterAutospacing="0"/>
        <w:ind w:firstLine="360"/>
        <w:jc w:val="both"/>
        <w:rPr>
          <w:sz w:val="20"/>
          <w:szCs w:val="20"/>
        </w:rPr>
      </w:pPr>
      <w:r>
        <w:rPr>
          <w:sz w:val="20"/>
          <w:szCs w:val="20"/>
        </w:rPr>
        <w:t> </w:t>
      </w:r>
    </w:p>
    <w:p w14:paraId="20C690FD" w14:textId="77777777" w:rsidR="00000000" w:rsidRDefault="00847163">
      <w:pPr>
        <w:pStyle w:val="a3"/>
        <w:spacing w:before="0" w:beforeAutospacing="0" w:after="0" w:afterAutospacing="0"/>
        <w:ind w:firstLine="360"/>
        <w:jc w:val="both"/>
        <w:rPr>
          <w:sz w:val="20"/>
          <w:szCs w:val="20"/>
        </w:rPr>
      </w:pPr>
      <w:r>
        <w:rPr>
          <w:sz w:val="20"/>
          <w:szCs w:val="20"/>
        </w:rPr>
        <w:t>As a result of these request</w:t>
      </w:r>
      <w:r>
        <w:rPr>
          <w:sz w:val="20"/>
          <w:szCs w:val="20"/>
        </w:rPr>
        <w:t>s and the current economic uncertainty, the Company has taken important steps to offer its support:</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3E3AEB79" w14:textId="77777777">
        <w:trPr>
          <w:tblCellSpacing w:w="0" w:type="dxa"/>
        </w:trPr>
        <w:tc>
          <w:tcPr>
            <w:tcW w:w="360" w:type="dxa"/>
            <w:hideMark/>
          </w:tcPr>
          <w:p w14:paraId="7CB4EF41" w14:textId="77777777" w:rsidR="00000000" w:rsidRDefault="00847163">
            <w:pPr>
              <w:rPr>
                <w:rFonts w:eastAsia="Times New Roman"/>
              </w:rPr>
            </w:pPr>
            <w:r>
              <w:rPr>
                <w:rFonts w:eastAsia="Times New Roman"/>
              </w:rPr>
              <w:t> </w:t>
            </w:r>
          </w:p>
        </w:tc>
        <w:tc>
          <w:tcPr>
            <w:tcW w:w="360" w:type="dxa"/>
            <w:hideMark/>
          </w:tcPr>
          <w:p w14:paraId="444B9D67" w14:textId="77777777" w:rsidR="00000000" w:rsidRDefault="00847163">
            <w:pPr>
              <w:pStyle w:val="a3"/>
              <w:spacing w:before="0" w:beforeAutospacing="0" w:after="0" w:afterAutospacing="0"/>
              <w:jc w:val="both"/>
              <w:rPr>
                <w:sz w:val="20"/>
                <w:szCs w:val="20"/>
              </w:rPr>
            </w:pPr>
            <w:r>
              <w:rPr>
                <w:sz w:val="20"/>
                <w:szCs w:val="20"/>
              </w:rPr>
              <w:t>●</w:t>
            </w:r>
          </w:p>
        </w:tc>
        <w:tc>
          <w:tcPr>
            <w:tcW w:w="0" w:type="auto"/>
            <w:hideMark/>
          </w:tcPr>
          <w:p w14:paraId="23E25DF3" w14:textId="77777777" w:rsidR="00000000" w:rsidRDefault="00847163">
            <w:pPr>
              <w:pStyle w:val="a3"/>
              <w:spacing w:before="0" w:beforeAutospacing="0" w:after="0" w:afterAutospacing="0"/>
              <w:jc w:val="both"/>
              <w:rPr>
                <w:sz w:val="20"/>
                <w:szCs w:val="20"/>
              </w:rPr>
            </w:pPr>
            <w:r>
              <w:rPr>
                <w:sz w:val="20"/>
                <w:szCs w:val="20"/>
              </w:rPr>
              <w:t>The Company has worked with these tenants to potentially grant rent deferrals on a tenant-by-tenant basis. The deferrals are anticipated to be paid with</w:t>
            </w:r>
            <w:r>
              <w:rPr>
                <w:sz w:val="20"/>
                <w:szCs w:val="20"/>
              </w:rPr>
              <w:t xml:space="preserve">in a period of </w:t>
            </w:r>
            <w:r>
              <w:rPr>
                <w:rStyle w:val="a6"/>
                <w:sz w:val="20"/>
                <w:szCs w:val="20"/>
              </w:rPr>
              <w:t>one</w:t>
            </w:r>
            <w:r>
              <w:rPr>
                <w:sz w:val="20"/>
                <w:szCs w:val="20"/>
              </w:rPr>
              <w:t xml:space="preserve"> year or less.</w:t>
            </w:r>
          </w:p>
        </w:tc>
      </w:tr>
    </w:tbl>
    <w:p w14:paraId="756863A2" w14:textId="77777777" w:rsidR="00000000" w:rsidRDefault="00847163">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64B1C8C9" w14:textId="77777777">
        <w:trPr>
          <w:tblCellSpacing w:w="0" w:type="dxa"/>
        </w:trPr>
        <w:tc>
          <w:tcPr>
            <w:tcW w:w="360" w:type="dxa"/>
            <w:hideMark/>
          </w:tcPr>
          <w:p w14:paraId="40C34685" w14:textId="77777777" w:rsidR="00000000" w:rsidRDefault="00847163">
            <w:pPr>
              <w:rPr>
                <w:rFonts w:eastAsia="Times New Roman"/>
              </w:rPr>
            </w:pPr>
            <w:r>
              <w:rPr>
                <w:rFonts w:eastAsia="Times New Roman"/>
              </w:rPr>
              <w:t> </w:t>
            </w:r>
          </w:p>
        </w:tc>
        <w:tc>
          <w:tcPr>
            <w:tcW w:w="360" w:type="dxa"/>
            <w:hideMark/>
          </w:tcPr>
          <w:p w14:paraId="1E754225" w14:textId="77777777" w:rsidR="00000000" w:rsidRDefault="00847163">
            <w:pPr>
              <w:pStyle w:val="a3"/>
              <w:spacing w:before="0" w:beforeAutospacing="0" w:after="0" w:afterAutospacing="0"/>
              <w:jc w:val="both"/>
              <w:rPr>
                <w:sz w:val="20"/>
                <w:szCs w:val="20"/>
              </w:rPr>
            </w:pPr>
            <w:r>
              <w:rPr>
                <w:sz w:val="20"/>
                <w:szCs w:val="20"/>
              </w:rPr>
              <w:t>●</w:t>
            </w:r>
          </w:p>
        </w:tc>
        <w:tc>
          <w:tcPr>
            <w:tcW w:w="0" w:type="auto"/>
            <w:hideMark/>
          </w:tcPr>
          <w:p w14:paraId="13775984" w14:textId="77777777" w:rsidR="00000000" w:rsidRDefault="00847163">
            <w:pPr>
              <w:pStyle w:val="a3"/>
              <w:spacing w:before="0" w:beforeAutospacing="0" w:after="0" w:afterAutospacing="0"/>
              <w:jc w:val="both"/>
              <w:rPr>
                <w:sz w:val="20"/>
                <w:szCs w:val="20"/>
              </w:rPr>
            </w:pPr>
            <w:r>
              <w:rPr>
                <w:sz w:val="20"/>
                <w:szCs w:val="20"/>
              </w:rPr>
              <w:t xml:space="preserve">During </w:t>
            </w:r>
            <w:r>
              <w:rPr>
                <w:rStyle w:val="a6"/>
                <w:sz w:val="20"/>
                <w:szCs w:val="20"/>
              </w:rPr>
              <w:t xml:space="preserve">April 2020, </w:t>
            </w:r>
            <w:r>
              <w:rPr>
                <w:sz w:val="20"/>
                <w:szCs w:val="20"/>
              </w:rPr>
              <w:t>the Company began piloting a Tenant Assistance Program to assist small business tenants in identifying and applying for federal and state aid to help support their businesses during the COVID-</w:t>
            </w:r>
            <w:r>
              <w:rPr>
                <w:rStyle w:val="a6"/>
                <w:sz w:val="20"/>
                <w:szCs w:val="20"/>
              </w:rPr>
              <w:t>19</w:t>
            </w:r>
            <w:r>
              <w:rPr>
                <w:sz w:val="20"/>
                <w:szCs w:val="20"/>
              </w:rPr>
              <w:t xml:space="preserve"> pan</w:t>
            </w:r>
            <w:r>
              <w:rPr>
                <w:sz w:val="20"/>
                <w:szCs w:val="20"/>
              </w:rPr>
              <w:t>demic. The Company is working in partnership with law firms to provide assistance with the application process at the Company’s expense. Legal professionals will assist tenants in identifying suitable loan programs, identifying potential lending institutio</w:t>
            </w:r>
            <w:r>
              <w:rPr>
                <w:sz w:val="20"/>
                <w:szCs w:val="20"/>
              </w:rPr>
              <w:t>ns, and preparing and submitting applications.</w:t>
            </w:r>
          </w:p>
        </w:tc>
      </w:tr>
    </w:tbl>
    <w:p w14:paraId="1370AAD4" w14:textId="77777777" w:rsidR="00000000" w:rsidRDefault="00847163">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6B100A62" w14:textId="77777777">
        <w:trPr>
          <w:tblCellSpacing w:w="0" w:type="dxa"/>
        </w:trPr>
        <w:tc>
          <w:tcPr>
            <w:tcW w:w="360" w:type="dxa"/>
            <w:hideMark/>
          </w:tcPr>
          <w:p w14:paraId="64563864" w14:textId="77777777" w:rsidR="00000000" w:rsidRDefault="00847163">
            <w:pPr>
              <w:rPr>
                <w:rFonts w:eastAsia="Times New Roman"/>
              </w:rPr>
            </w:pPr>
            <w:r>
              <w:rPr>
                <w:rFonts w:eastAsia="Times New Roman"/>
              </w:rPr>
              <w:t> </w:t>
            </w:r>
          </w:p>
        </w:tc>
        <w:tc>
          <w:tcPr>
            <w:tcW w:w="360" w:type="dxa"/>
            <w:hideMark/>
          </w:tcPr>
          <w:p w14:paraId="5ABE4911" w14:textId="77777777" w:rsidR="00000000" w:rsidRDefault="00847163">
            <w:pPr>
              <w:pStyle w:val="a3"/>
              <w:spacing w:before="0" w:beforeAutospacing="0" w:after="0" w:afterAutospacing="0"/>
              <w:jc w:val="both"/>
              <w:rPr>
                <w:sz w:val="20"/>
                <w:szCs w:val="20"/>
              </w:rPr>
            </w:pPr>
            <w:r>
              <w:rPr>
                <w:sz w:val="20"/>
                <w:szCs w:val="20"/>
              </w:rPr>
              <w:t>●</w:t>
            </w:r>
          </w:p>
        </w:tc>
        <w:tc>
          <w:tcPr>
            <w:tcW w:w="0" w:type="auto"/>
            <w:hideMark/>
          </w:tcPr>
          <w:p w14:paraId="5105EADD" w14:textId="77777777" w:rsidR="00000000" w:rsidRDefault="00847163">
            <w:pPr>
              <w:pStyle w:val="a3"/>
              <w:spacing w:before="0" w:beforeAutospacing="0" w:after="0" w:afterAutospacing="0"/>
              <w:jc w:val="both"/>
              <w:rPr>
                <w:sz w:val="20"/>
                <w:szCs w:val="20"/>
              </w:rPr>
            </w:pPr>
            <w:r>
              <w:rPr>
                <w:sz w:val="20"/>
                <w:szCs w:val="20"/>
              </w:rPr>
              <w:t>The Company is closely monitoring recommendations and mandates of federal, state and local governments and health authorities.</w:t>
            </w:r>
          </w:p>
        </w:tc>
      </w:tr>
    </w:tbl>
    <w:p w14:paraId="616B333B" w14:textId="77777777" w:rsidR="00000000" w:rsidRDefault="00847163">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3A910B88" w14:textId="77777777">
        <w:trPr>
          <w:tblCellSpacing w:w="0" w:type="dxa"/>
        </w:trPr>
        <w:tc>
          <w:tcPr>
            <w:tcW w:w="360" w:type="dxa"/>
            <w:hideMark/>
          </w:tcPr>
          <w:p w14:paraId="68995258" w14:textId="77777777" w:rsidR="00000000" w:rsidRDefault="00847163">
            <w:pPr>
              <w:rPr>
                <w:rFonts w:eastAsia="Times New Roman"/>
              </w:rPr>
            </w:pPr>
            <w:r>
              <w:rPr>
                <w:rFonts w:eastAsia="Times New Roman"/>
              </w:rPr>
              <w:t> </w:t>
            </w:r>
          </w:p>
        </w:tc>
        <w:tc>
          <w:tcPr>
            <w:tcW w:w="360" w:type="dxa"/>
            <w:hideMark/>
          </w:tcPr>
          <w:p w14:paraId="5CF8FA18" w14:textId="77777777" w:rsidR="00000000" w:rsidRDefault="00847163">
            <w:pPr>
              <w:pStyle w:val="a3"/>
              <w:spacing w:before="0" w:beforeAutospacing="0" w:after="0" w:afterAutospacing="0"/>
              <w:jc w:val="both"/>
              <w:rPr>
                <w:sz w:val="20"/>
                <w:szCs w:val="20"/>
              </w:rPr>
            </w:pPr>
            <w:r>
              <w:rPr>
                <w:sz w:val="20"/>
                <w:szCs w:val="20"/>
              </w:rPr>
              <w:t>●</w:t>
            </w:r>
          </w:p>
        </w:tc>
        <w:tc>
          <w:tcPr>
            <w:tcW w:w="0" w:type="auto"/>
            <w:hideMark/>
          </w:tcPr>
          <w:p w14:paraId="569F5BC9" w14:textId="77777777" w:rsidR="00000000" w:rsidRDefault="00847163">
            <w:pPr>
              <w:pStyle w:val="a3"/>
              <w:spacing w:before="0" w:beforeAutospacing="0" w:after="0" w:afterAutospacing="0"/>
              <w:jc w:val="both"/>
              <w:rPr>
                <w:sz w:val="20"/>
                <w:szCs w:val="20"/>
              </w:rPr>
            </w:pPr>
            <w:r>
              <w:rPr>
                <w:sz w:val="20"/>
                <w:szCs w:val="20"/>
              </w:rPr>
              <w:t>At the onset of the COVID-</w:t>
            </w:r>
            <w:r>
              <w:rPr>
                <w:rStyle w:val="a6"/>
                <w:sz w:val="20"/>
                <w:szCs w:val="20"/>
              </w:rPr>
              <w:t>19</w:t>
            </w:r>
            <w:r>
              <w:rPr>
                <w:sz w:val="20"/>
                <w:szCs w:val="20"/>
              </w:rPr>
              <w:t xml:space="preserve"> </w:t>
            </w:r>
            <w:r>
              <w:rPr>
                <w:sz w:val="20"/>
                <w:szCs w:val="20"/>
              </w:rPr>
              <w:t>pandemic in the U.S., the Company immediately increased the frequency and intensity of its janitorial services to help prevent the spread of the virus. Areas such as public bathrooms, interior concourses and hallways, vestibules and shared doors, and eleva</w:t>
            </w:r>
            <w:r>
              <w:rPr>
                <w:sz w:val="20"/>
                <w:szCs w:val="20"/>
              </w:rPr>
              <w:t>tors and escalators are being sanitized multiple times per day.</w:t>
            </w:r>
          </w:p>
        </w:tc>
      </w:tr>
    </w:tbl>
    <w:p w14:paraId="69742E41" w14:textId="77777777" w:rsidR="00000000" w:rsidRDefault="00847163">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26809A18" w14:textId="77777777">
        <w:trPr>
          <w:tblCellSpacing w:w="0" w:type="dxa"/>
        </w:trPr>
        <w:tc>
          <w:tcPr>
            <w:tcW w:w="360" w:type="dxa"/>
            <w:hideMark/>
          </w:tcPr>
          <w:p w14:paraId="291F6941" w14:textId="77777777" w:rsidR="00000000" w:rsidRDefault="00847163">
            <w:pPr>
              <w:rPr>
                <w:rFonts w:eastAsia="Times New Roman"/>
              </w:rPr>
            </w:pPr>
            <w:r>
              <w:rPr>
                <w:rFonts w:eastAsia="Times New Roman"/>
              </w:rPr>
              <w:t> </w:t>
            </w:r>
          </w:p>
        </w:tc>
        <w:tc>
          <w:tcPr>
            <w:tcW w:w="360" w:type="dxa"/>
            <w:hideMark/>
          </w:tcPr>
          <w:p w14:paraId="35159CD5" w14:textId="77777777" w:rsidR="00000000" w:rsidRDefault="00847163">
            <w:pPr>
              <w:pStyle w:val="a3"/>
              <w:spacing w:before="0" w:beforeAutospacing="0" w:after="0" w:afterAutospacing="0"/>
              <w:jc w:val="both"/>
              <w:rPr>
                <w:sz w:val="20"/>
                <w:szCs w:val="20"/>
              </w:rPr>
            </w:pPr>
            <w:r>
              <w:rPr>
                <w:sz w:val="20"/>
                <w:szCs w:val="20"/>
              </w:rPr>
              <w:t>●</w:t>
            </w:r>
          </w:p>
        </w:tc>
        <w:tc>
          <w:tcPr>
            <w:tcW w:w="0" w:type="auto"/>
            <w:hideMark/>
          </w:tcPr>
          <w:p w14:paraId="192E7664" w14:textId="77777777" w:rsidR="00000000" w:rsidRDefault="00847163">
            <w:pPr>
              <w:pStyle w:val="a3"/>
              <w:spacing w:before="0" w:beforeAutospacing="0" w:after="0" w:afterAutospacing="0"/>
              <w:jc w:val="both"/>
              <w:rPr>
                <w:sz w:val="20"/>
                <w:szCs w:val="20"/>
              </w:rPr>
            </w:pPr>
            <w:r>
              <w:rPr>
                <w:sz w:val="20"/>
                <w:szCs w:val="20"/>
              </w:rPr>
              <w:t>The Company’s teams are also working quickly to provide additional assistance in the communities where it operates, finding creative ways to use its conveniently located shopping centers</w:t>
            </w:r>
            <w:r>
              <w:rPr>
                <w:sz w:val="20"/>
                <w:szCs w:val="20"/>
              </w:rPr>
              <w:t xml:space="preserve"> during this difficult time. The Company is fast-tracking the approval of drive-thru testing centers, blood drive locations, and school lunch pick-ups, and several of its shopping centers are already offering these services.</w:t>
            </w:r>
          </w:p>
        </w:tc>
      </w:tr>
      <w:tr w:rsidR="00000000" w14:paraId="781FEE64" w14:textId="77777777">
        <w:trPr>
          <w:tblCellSpacing w:w="0" w:type="dxa"/>
        </w:trPr>
        <w:tc>
          <w:tcPr>
            <w:tcW w:w="360" w:type="dxa"/>
            <w:vAlign w:val="center"/>
            <w:hideMark/>
          </w:tcPr>
          <w:p w14:paraId="2EA4544D" w14:textId="77777777" w:rsidR="00000000" w:rsidRDefault="00847163">
            <w:pPr>
              <w:rPr>
                <w:rFonts w:eastAsia="Times New Roman"/>
              </w:rPr>
            </w:pPr>
            <w:r>
              <w:rPr>
                <w:rFonts w:eastAsia="Times New Roman"/>
              </w:rPr>
              <w:t> </w:t>
            </w:r>
          </w:p>
        </w:tc>
        <w:tc>
          <w:tcPr>
            <w:tcW w:w="360" w:type="dxa"/>
            <w:hideMark/>
          </w:tcPr>
          <w:p w14:paraId="7142CFAF" w14:textId="77777777" w:rsidR="00000000" w:rsidRDefault="00847163">
            <w:pPr>
              <w:rPr>
                <w:rFonts w:eastAsia="Times New Roman"/>
                <w:sz w:val="20"/>
                <w:szCs w:val="20"/>
              </w:rPr>
            </w:pPr>
            <w:r>
              <w:rPr>
                <w:rFonts w:eastAsia="Times New Roman"/>
                <w:sz w:val="20"/>
                <w:szCs w:val="20"/>
              </w:rPr>
              <w:t>●</w:t>
            </w:r>
          </w:p>
        </w:tc>
        <w:tc>
          <w:tcPr>
            <w:tcW w:w="0" w:type="auto"/>
            <w:vAlign w:val="center"/>
            <w:hideMark/>
          </w:tcPr>
          <w:p w14:paraId="2B2651E1" w14:textId="77777777" w:rsidR="00000000" w:rsidRDefault="00847163">
            <w:pPr>
              <w:rPr>
                <w:rFonts w:eastAsia="Times New Roman"/>
                <w:sz w:val="20"/>
                <w:szCs w:val="20"/>
              </w:rPr>
            </w:pPr>
            <w:r>
              <w:rPr>
                <w:rFonts w:eastAsia="Times New Roman"/>
                <w:sz w:val="20"/>
                <w:szCs w:val="20"/>
              </w:rPr>
              <w:t>The Company launched the K</w:t>
            </w:r>
            <w:r>
              <w:rPr>
                <w:rFonts w:eastAsia="Times New Roman"/>
                <w:sz w:val="20"/>
                <w:szCs w:val="20"/>
              </w:rPr>
              <w:t>imco Curbside Pickup™ program designating dedicated parking spots for curbside pickup at its centers for use by all tenants and their customers.</w:t>
            </w:r>
          </w:p>
        </w:tc>
      </w:tr>
    </w:tbl>
    <w:p w14:paraId="7C09615E" w14:textId="77777777" w:rsidR="00000000" w:rsidRDefault="00847163">
      <w:pPr>
        <w:pStyle w:val="a3"/>
        <w:spacing w:before="0" w:beforeAutospacing="0" w:after="0" w:afterAutospacing="0"/>
        <w:ind w:firstLine="360"/>
        <w:jc w:val="both"/>
        <w:rPr>
          <w:sz w:val="20"/>
          <w:szCs w:val="20"/>
        </w:rPr>
      </w:pPr>
      <w:r>
        <w:rPr>
          <w:sz w:val="20"/>
          <w:szCs w:val="20"/>
        </w:rPr>
        <w:t> </w:t>
      </w:r>
    </w:p>
    <w:p w14:paraId="0EE95AD9" w14:textId="77777777" w:rsidR="00000000" w:rsidRDefault="00847163">
      <w:pPr>
        <w:pStyle w:val="a3"/>
        <w:spacing w:before="0" w:beforeAutospacing="0" w:after="0" w:afterAutospacing="0"/>
        <w:ind w:firstLine="360"/>
        <w:jc w:val="both"/>
        <w:rPr>
          <w:sz w:val="20"/>
          <w:szCs w:val="20"/>
        </w:rPr>
      </w:pPr>
      <w:r>
        <w:rPr>
          <w:sz w:val="20"/>
          <w:szCs w:val="20"/>
        </w:rPr>
        <w:t xml:space="preserve">In addition, on </w:t>
      </w:r>
      <w:r>
        <w:rPr>
          <w:rStyle w:val="a6"/>
          <w:sz w:val="20"/>
          <w:szCs w:val="20"/>
        </w:rPr>
        <w:t xml:space="preserve">April 1, 2020, </w:t>
      </w:r>
      <w:r>
        <w:rPr>
          <w:sz w:val="20"/>
          <w:szCs w:val="20"/>
        </w:rPr>
        <w:t>the Company entered into a new $375.0 million unsecured term loan credit faci</w:t>
      </w:r>
      <w:r>
        <w:rPr>
          <w:sz w:val="20"/>
          <w:szCs w:val="20"/>
        </w:rPr>
        <w:t xml:space="preserve">lity, that was subsequently increased to $590.0 million through an accordion feature. See Footnote </w:t>
      </w:r>
      <w:r>
        <w:rPr>
          <w:rStyle w:val="a6"/>
          <w:sz w:val="20"/>
          <w:szCs w:val="20"/>
        </w:rPr>
        <w:t>8</w:t>
      </w:r>
      <w:r>
        <w:rPr>
          <w:sz w:val="20"/>
          <w:szCs w:val="20"/>
        </w:rPr>
        <w:t xml:space="preserve"> to the Notes to the Company’s Condensed Consolidated Financial Statements for additional discussion regarding the Term Loan.</w:t>
      </w:r>
    </w:p>
    <w:p w14:paraId="294EE883" w14:textId="77777777" w:rsidR="00000000" w:rsidRDefault="00847163">
      <w:pPr>
        <w:pStyle w:val="a3"/>
        <w:spacing w:before="0" w:beforeAutospacing="0" w:after="0" w:afterAutospacing="0"/>
        <w:ind w:firstLine="360"/>
        <w:jc w:val="both"/>
        <w:rPr>
          <w:sz w:val="20"/>
          <w:szCs w:val="20"/>
        </w:rPr>
      </w:pPr>
      <w:r>
        <w:rPr>
          <w:sz w:val="20"/>
          <w:szCs w:val="20"/>
        </w:rPr>
        <w:t> </w:t>
      </w:r>
    </w:p>
    <w:p w14:paraId="533AAD79" w14:textId="77777777" w:rsidR="00000000" w:rsidRDefault="00847163">
      <w:pPr>
        <w:jc w:val="center"/>
        <w:divId w:val="363988303"/>
        <w:rPr>
          <w:rFonts w:eastAsia="Times New Roman"/>
          <w:sz w:val="20"/>
          <w:szCs w:val="20"/>
        </w:rPr>
      </w:pPr>
      <w:r>
        <w:rPr>
          <w:rStyle w:val="a6"/>
          <w:rFonts w:eastAsia="Times New Roman"/>
          <w:sz w:val="20"/>
          <w:szCs w:val="20"/>
        </w:rPr>
        <w:t>18</w:t>
      </w:r>
      <w:r>
        <w:rPr>
          <w:rFonts w:eastAsia="Times New Roman"/>
          <w:sz w:val="20"/>
          <w:szCs w:val="20"/>
        </w:rPr>
        <w:t xml:space="preserve"> </w:t>
      </w:r>
    </w:p>
    <w:p w14:paraId="0D1DEA87" w14:textId="77777777" w:rsidR="00000000" w:rsidRDefault="00847163">
      <w:pPr>
        <w:divId w:val="1997026973"/>
        <w:rPr>
          <w:rFonts w:eastAsia="Times New Roman"/>
          <w:sz w:val="20"/>
          <w:szCs w:val="20"/>
        </w:rPr>
      </w:pPr>
      <w:r>
        <w:rPr>
          <w:rFonts w:eastAsia="Times New Roman"/>
          <w:sz w:val="20"/>
          <w:szCs w:val="20"/>
        </w:rPr>
        <w:pict w14:anchorId="4694445D">
          <v:rect id="_x0000_i1046" style="width:415.3pt;height:1.5pt" o:hralign="center" o:hrstd="t" o:hrnoshade="t" o:hr="t" fillcolor="black" stroked="f"/>
        </w:pict>
      </w:r>
    </w:p>
    <w:p w14:paraId="4FBB0247" w14:textId="77777777" w:rsidR="00000000" w:rsidRDefault="00847163">
      <w:pPr>
        <w:divId w:val="513108839"/>
        <w:rPr>
          <w:rFonts w:eastAsia="Times New Roman"/>
          <w:sz w:val="20"/>
          <w:szCs w:val="20"/>
        </w:rPr>
      </w:pPr>
      <w:hyperlink w:anchor="toc" w:history="1">
        <w:r>
          <w:rPr>
            <w:rStyle w:val="a4"/>
            <w:rFonts w:eastAsia="Times New Roman"/>
            <w:sz w:val="20"/>
            <w:szCs w:val="20"/>
          </w:rPr>
          <w:t>Table of Conte</w:t>
        </w:r>
        <w:r>
          <w:rPr>
            <w:rStyle w:val="a4"/>
            <w:rFonts w:eastAsia="Times New Roman"/>
            <w:sz w:val="20"/>
            <w:szCs w:val="20"/>
          </w:rPr>
          <w:t>nts</w:t>
        </w:r>
      </w:hyperlink>
      <w:r>
        <w:rPr>
          <w:rFonts w:eastAsia="Times New Roman"/>
          <w:sz w:val="20"/>
          <w:szCs w:val="20"/>
        </w:rPr>
        <w:t xml:space="preserve"> </w:t>
      </w:r>
    </w:p>
    <w:p w14:paraId="54533156" w14:textId="77777777" w:rsidR="00000000" w:rsidRDefault="00847163">
      <w:pPr>
        <w:pStyle w:val="a3"/>
        <w:spacing w:before="0" w:beforeAutospacing="0" w:after="0" w:afterAutospacing="0"/>
        <w:ind w:firstLine="360"/>
        <w:jc w:val="both"/>
        <w:rPr>
          <w:sz w:val="20"/>
          <w:szCs w:val="20"/>
        </w:rPr>
      </w:pPr>
      <w:r>
        <w:rPr>
          <w:sz w:val="20"/>
          <w:szCs w:val="20"/>
        </w:rPr>
        <w:t> </w:t>
      </w:r>
    </w:p>
    <w:p w14:paraId="16989E64" w14:textId="77777777" w:rsidR="00000000" w:rsidRDefault="00847163">
      <w:pPr>
        <w:divId w:val="1334650932"/>
        <w:rPr>
          <w:rFonts w:eastAsia="Times New Roman"/>
          <w:sz w:val="20"/>
          <w:szCs w:val="20"/>
        </w:rPr>
      </w:pPr>
      <w:r>
        <w:rPr>
          <w:rFonts w:eastAsia="Times New Roman"/>
          <w:sz w:val="20"/>
          <w:szCs w:val="20"/>
        </w:rPr>
        <w:t xml:space="preserve">  </w:t>
      </w:r>
    </w:p>
    <w:p w14:paraId="78011640" w14:textId="77777777" w:rsidR="00000000" w:rsidRDefault="00847163">
      <w:pPr>
        <w:pStyle w:val="a3"/>
        <w:spacing w:before="0" w:beforeAutospacing="0" w:after="0" w:afterAutospacing="0"/>
        <w:rPr>
          <w:sz w:val="20"/>
          <w:szCs w:val="20"/>
        </w:rPr>
      </w:pPr>
      <w:r>
        <w:rPr>
          <w:b/>
          <w:bCs/>
          <w:sz w:val="20"/>
          <w:szCs w:val="20"/>
        </w:rPr>
        <w:t>Item 2. Management's Discussion and Analysis of Financial Condition and Results of Operations</w:t>
      </w:r>
    </w:p>
    <w:p w14:paraId="5CBF90BB" w14:textId="77777777" w:rsidR="00000000" w:rsidRDefault="00847163">
      <w:pPr>
        <w:pStyle w:val="a3"/>
        <w:spacing w:before="0" w:beforeAutospacing="0" w:after="0" w:afterAutospacing="0"/>
        <w:jc w:val="both"/>
        <w:rPr>
          <w:sz w:val="20"/>
          <w:szCs w:val="20"/>
        </w:rPr>
      </w:pPr>
      <w:r>
        <w:rPr>
          <w:sz w:val="20"/>
          <w:szCs w:val="20"/>
        </w:rPr>
        <w:t> </w:t>
      </w:r>
    </w:p>
    <w:p w14:paraId="3C203CF6" w14:textId="77777777" w:rsidR="00000000" w:rsidRDefault="00847163">
      <w:pPr>
        <w:pStyle w:val="a3"/>
        <w:spacing w:before="0" w:beforeAutospacing="0" w:after="0" w:afterAutospacing="0"/>
        <w:rPr>
          <w:sz w:val="20"/>
          <w:szCs w:val="20"/>
        </w:rPr>
      </w:pPr>
      <w:r>
        <w:rPr>
          <w:sz w:val="20"/>
          <w:szCs w:val="20"/>
          <w:u w:val="single"/>
        </w:rPr>
        <w:t>Forward-Looking Statements</w:t>
      </w:r>
    </w:p>
    <w:p w14:paraId="3BCF79D7" w14:textId="77777777" w:rsidR="00000000" w:rsidRDefault="00847163">
      <w:pPr>
        <w:pStyle w:val="a3"/>
        <w:spacing w:before="0" w:beforeAutospacing="0" w:after="0" w:afterAutospacing="0"/>
        <w:jc w:val="both"/>
        <w:rPr>
          <w:sz w:val="20"/>
          <w:szCs w:val="20"/>
        </w:rPr>
      </w:pPr>
      <w:r>
        <w:rPr>
          <w:sz w:val="20"/>
          <w:szCs w:val="20"/>
        </w:rPr>
        <w:t> </w:t>
      </w:r>
    </w:p>
    <w:p w14:paraId="21820A18" w14:textId="77777777" w:rsidR="00000000" w:rsidRDefault="00847163">
      <w:pPr>
        <w:pStyle w:val="a3"/>
        <w:spacing w:before="0" w:beforeAutospacing="0" w:after="0" w:afterAutospacing="0"/>
        <w:ind w:firstLine="360"/>
        <w:jc w:val="both"/>
        <w:rPr>
          <w:sz w:val="20"/>
          <w:szCs w:val="20"/>
        </w:rPr>
      </w:pPr>
      <w:r>
        <w:rPr>
          <w:sz w:val="20"/>
          <w:szCs w:val="20"/>
        </w:rPr>
        <w:t>This Quarterly Report on Form 10-Q, together with other statements and information publicly dis</w:t>
      </w:r>
      <w:r>
        <w:rPr>
          <w:sz w:val="20"/>
          <w:szCs w:val="20"/>
        </w:rPr>
        <w:t>seminated by Kimco Realty Corporation (the “Company”) contains certain forward-looking statements within the meaning of Section 27A of the Securities Act of 1933, as amended, and Section 21E of the Securities Exchange Act of 1934, as amended. The Company i</w:t>
      </w:r>
      <w:r>
        <w:rPr>
          <w:sz w:val="20"/>
          <w:szCs w:val="20"/>
        </w:rPr>
        <w:t>ntends such forward-looking statements to be covered by the safe harbor provisions for forward-looking statements contained in the Private Securities Litigation Reform Act of 1995 and includes this statement for purposes of complying with the safe harbor p</w:t>
      </w:r>
      <w:r>
        <w:rPr>
          <w:sz w:val="20"/>
          <w:szCs w:val="20"/>
        </w:rPr>
        <w:t>rovisions. Forward-looking statements, which are based on certain assumptions and describe the Company’s future plans, strategies and expectations, are generally identifiable by use of the words “believe,” “expect,” “intend,” “anticipate,” “estimate,” “pro</w:t>
      </w:r>
      <w:r>
        <w:rPr>
          <w:sz w:val="20"/>
          <w:szCs w:val="20"/>
        </w:rPr>
        <w:t>ject,” “will,” “target,” “forecast” or similar expressions. You should not rely on forward-looking statements since they involve known and unknown risks, uncertainties and other factors which are, in some cases, beyond the Company’s control and could mater</w:t>
      </w:r>
      <w:r>
        <w:rPr>
          <w:sz w:val="20"/>
          <w:szCs w:val="20"/>
        </w:rPr>
        <w:t>ially affect actual results, performances or achievements. Factors which may cause actual results to differ materially from current expectations include, but are not limited to, (i) general adverse economic and local real estate conditions, (ii) the inabil</w:t>
      </w:r>
      <w:r>
        <w:rPr>
          <w:sz w:val="20"/>
          <w:szCs w:val="20"/>
        </w:rPr>
        <w:t>ity of major tenants to continue paying their rent obligations due to bankruptcy, insolvency or a general downturn in their business, (iii) financing risks, such as the inability to obtain equity, debt or other sources of financing or refinancing on favora</w:t>
      </w:r>
      <w:r>
        <w:rPr>
          <w:sz w:val="20"/>
          <w:szCs w:val="20"/>
        </w:rPr>
        <w:t>ble terms to the Company, (iv) the Company’s ability to raise capital by selling its assets, (v) changes in governmental laws and regulations and management’s ability to estimate the impact of such changes, (vi) the level and volatility of interest rates a</w:t>
      </w:r>
      <w:r>
        <w:rPr>
          <w:sz w:val="20"/>
          <w:szCs w:val="20"/>
        </w:rPr>
        <w:t>nd management’s ability to estimate the impact thereof, (vii) pandemics or other health crises, such as coronavirus disease 2019 (“COVID-19”), (viii) the availability of suitable acquisition, disposition, development and redevelopment opportunities, and ri</w:t>
      </w:r>
      <w:r>
        <w:rPr>
          <w:sz w:val="20"/>
          <w:szCs w:val="20"/>
        </w:rPr>
        <w:t>sks related to acquisitions not performing in accordance with our expectations, (ix) valuation and risks related to the Company’s joint venture and preferred equity investments, (x) valuation of marketable securities and other investments, (xi) increases i</w:t>
      </w:r>
      <w:r>
        <w:rPr>
          <w:sz w:val="20"/>
          <w:szCs w:val="20"/>
        </w:rPr>
        <w:t>n operating costs, (xii) changes in the dividend policy for the Company’s common and preferred stock and the Company’s ability to pay dividends at current levels, (xiii) the reduction in the Company’s income in the event of multiple lease terminations by t</w:t>
      </w:r>
      <w:r>
        <w:rPr>
          <w:sz w:val="20"/>
          <w:szCs w:val="20"/>
        </w:rPr>
        <w:t>enants or a failure by multiple tenants to occupy their premises in a shopping center, (xiv) impairment charges (xv) unanticipated changes in the Company’s intention or ability to prepay certain debt prior to maturity and/or hold certain securities until m</w:t>
      </w:r>
      <w:r>
        <w:rPr>
          <w:sz w:val="20"/>
          <w:szCs w:val="20"/>
        </w:rPr>
        <w:t xml:space="preserve">aturity and (xvi) the risks and uncertainties identified under Item 1A, “Risk Factors” in our Annual Report on Form 10-K for the year-ended December 31, 2019. Accordingly, there is no assurance that the Company’s expectations will be realized. The Company </w:t>
      </w:r>
      <w:r>
        <w:rPr>
          <w:sz w:val="20"/>
          <w:szCs w:val="20"/>
        </w:rPr>
        <w:t>disclaims any intention or obligation to update the forward-looking statements, whether as a result of new information, future events or otherwise. You are advised to refer to any further disclosures the Company makes or related subjects in the Company’s C</w:t>
      </w:r>
      <w:r>
        <w:rPr>
          <w:sz w:val="20"/>
          <w:szCs w:val="20"/>
        </w:rPr>
        <w:t>urrent Reports on Form 8-K that the Company files with the Securities and Exchange Commission (“SEC”).</w:t>
      </w:r>
    </w:p>
    <w:p w14:paraId="14C9FE28" w14:textId="77777777" w:rsidR="00000000" w:rsidRDefault="00847163">
      <w:pPr>
        <w:pStyle w:val="a3"/>
        <w:spacing w:before="0" w:beforeAutospacing="0" w:after="0" w:afterAutospacing="0"/>
        <w:jc w:val="both"/>
        <w:rPr>
          <w:sz w:val="20"/>
          <w:szCs w:val="20"/>
        </w:rPr>
      </w:pPr>
      <w:r>
        <w:rPr>
          <w:sz w:val="20"/>
          <w:szCs w:val="20"/>
        </w:rPr>
        <w:t> </w:t>
      </w:r>
    </w:p>
    <w:p w14:paraId="24280A4B" w14:textId="77777777" w:rsidR="00000000" w:rsidRDefault="00847163">
      <w:pPr>
        <w:pStyle w:val="a3"/>
        <w:spacing w:before="0" w:beforeAutospacing="0" w:after="0" w:afterAutospacing="0"/>
        <w:ind w:firstLine="360"/>
        <w:jc w:val="both"/>
        <w:rPr>
          <w:sz w:val="20"/>
          <w:szCs w:val="20"/>
        </w:rPr>
      </w:pPr>
      <w:r>
        <w:rPr>
          <w:sz w:val="20"/>
          <w:szCs w:val="20"/>
        </w:rPr>
        <w:t>The following discussion should be read in conjunction with the accompanying Condensed Consolidated Financial Statements and Notes thereto.  These unau</w:t>
      </w:r>
      <w:r>
        <w:rPr>
          <w:sz w:val="20"/>
          <w:szCs w:val="20"/>
        </w:rPr>
        <w:t>dited financial statements include all adjustments which are, in the opinion of management, necessary to reflect a fair statement of the results for the interim periods presented, and all such adjustments are of a normal recurring nature.</w:t>
      </w:r>
    </w:p>
    <w:p w14:paraId="2F1F96D8" w14:textId="77777777" w:rsidR="00000000" w:rsidRDefault="00847163">
      <w:pPr>
        <w:pStyle w:val="a3"/>
        <w:spacing w:before="0" w:beforeAutospacing="0" w:after="0" w:afterAutospacing="0"/>
        <w:jc w:val="both"/>
        <w:rPr>
          <w:sz w:val="20"/>
          <w:szCs w:val="20"/>
        </w:rPr>
      </w:pPr>
      <w:r>
        <w:rPr>
          <w:sz w:val="20"/>
          <w:szCs w:val="20"/>
        </w:rPr>
        <w:t> </w:t>
      </w:r>
    </w:p>
    <w:p w14:paraId="69EAADC4" w14:textId="77777777" w:rsidR="00000000" w:rsidRDefault="00847163">
      <w:pPr>
        <w:pStyle w:val="a3"/>
        <w:spacing w:before="0" w:beforeAutospacing="0" w:after="0" w:afterAutospacing="0"/>
        <w:jc w:val="both"/>
        <w:rPr>
          <w:sz w:val="20"/>
          <w:szCs w:val="20"/>
        </w:rPr>
      </w:pPr>
      <w:r>
        <w:rPr>
          <w:sz w:val="20"/>
          <w:szCs w:val="20"/>
          <w:u w:val="single"/>
        </w:rPr>
        <w:t>Executive Overv</w:t>
      </w:r>
      <w:r>
        <w:rPr>
          <w:sz w:val="20"/>
          <w:szCs w:val="20"/>
          <w:u w:val="single"/>
        </w:rPr>
        <w:t>iew</w:t>
      </w:r>
    </w:p>
    <w:p w14:paraId="6B19151D" w14:textId="77777777" w:rsidR="00000000" w:rsidRDefault="00847163">
      <w:pPr>
        <w:pStyle w:val="a3"/>
        <w:spacing w:before="0" w:beforeAutospacing="0" w:after="0" w:afterAutospacing="0"/>
        <w:jc w:val="both"/>
        <w:rPr>
          <w:sz w:val="20"/>
          <w:szCs w:val="20"/>
        </w:rPr>
      </w:pPr>
      <w:r>
        <w:rPr>
          <w:sz w:val="20"/>
          <w:szCs w:val="20"/>
        </w:rPr>
        <w:t> </w:t>
      </w:r>
    </w:p>
    <w:p w14:paraId="3C4BDC5E" w14:textId="77777777" w:rsidR="00000000" w:rsidRDefault="00847163">
      <w:pPr>
        <w:pStyle w:val="a3"/>
        <w:spacing w:before="0" w:beforeAutospacing="0" w:after="0" w:afterAutospacing="0"/>
        <w:ind w:firstLine="360"/>
        <w:jc w:val="both"/>
        <w:rPr>
          <w:sz w:val="20"/>
          <w:szCs w:val="20"/>
        </w:rPr>
      </w:pPr>
      <w:r>
        <w:rPr>
          <w:sz w:val="20"/>
          <w:szCs w:val="20"/>
        </w:rPr>
        <w:t xml:space="preserve">Kimco Realty Corporation, a Maryland corporation, is one of North America’s largest publicly traded owners and operators of open-air, grocery-anchored shopping centers and mixed-use assets. The terms “Kimco,” the “Company,” “we,” “our” and “us” each </w:t>
      </w:r>
      <w:r>
        <w:rPr>
          <w:sz w:val="20"/>
          <w:szCs w:val="20"/>
        </w:rPr>
        <w:t>refer to Kimco Realty Corporation and our subsidiaries, unless the context indicates otherwise.  The Company’s mission is to create destinations for everyday living that inspire a sense of community and deliver value to our many stakeholders.</w:t>
      </w:r>
    </w:p>
    <w:p w14:paraId="4551CC1A" w14:textId="77777777" w:rsidR="00000000" w:rsidRDefault="00847163">
      <w:pPr>
        <w:pStyle w:val="a3"/>
        <w:spacing w:before="0" w:beforeAutospacing="0" w:after="0" w:afterAutospacing="0"/>
        <w:ind w:firstLine="360"/>
        <w:jc w:val="both"/>
        <w:rPr>
          <w:sz w:val="20"/>
          <w:szCs w:val="20"/>
        </w:rPr>
      </w:pPr>
      <w:r>
        <w:rPr>
          <w:sz w:val="20"/>
          <w:szCs w:val="20"/>
        </w:rPr>
        <w:t> </w:t>
      </w:r>
    </w:p>
    <w:p w14:paraId="6E0FE5FF" w14:textId="77777777" w:rsidR="00000000" w:rsidRDefault="00847163">
      <w:pPr>
        <w:pStyle w:val="a3"/>
        <w:spacing w:before="0" w:beforeAutospacing="0" w:after="0" w:afterAutospacing="0"/>
        <w:ind w:firstLine="360"/>
        <w:jc w:val="both"/>
        <w:rPr>
          <w:sz w:val="20"/>
          <w:szCs w:val="20"/>
        </w:rPr>
      </w:pPr>
      <w:r>
        <w:rPr>
          <w:sz w:val="20"/>
          <w:szCs w:val="20"/>
        </w:rPr>
        <w:t>The Company</w:t>
      </w:r>
      <w:r>
        <w:rPr>
          <w:sz w:val="20"/>
          <w:szCs w:val="20"/>
        </w:rPr>
        <w:t xml:space="preserve"> is a self-administered real estate investment trust (“REIT”) and has owned and operated open-air shopping centers for over 60 years.  The Company has not engaged, nor does it expect to retain, any REIT advisors in connection with the operation of its prop</w:t>
      </w:r>
      <w:r>
        <w:rPr>
          <w:sz w:val="20"/>
          <w:szCs w:val="20"/>
        </w:rPr>
        <w:t xml:space="preserve">erties. As of March 31, 2020, the Company had interests in 401 U.S. shopping center properties, aggregating 70.0 million square feet of gross leasable area (“GLA”), located in 27 states. In addition, the Company had 215 other property interests, primarily </w:t>
      </w:r>
      <w:r>
        <w:rPr>
          <w:sz w:val="20"/>
          <w:szCs w:val="20"/>
        </w:rPr>
        <w:t>through the Company’s preferred equity investments and other real estate investments, totaling 6.0 million square feet of GLA. The Company’s ownership interests in real estate consist of its consolidated portfolio and portfolios where the Company owns an e</w:t>
      </w:r>
      <w:r>
        <w:rPr>
          <w:sz w:val="20"/>
          <w:szCs w:val="20"/>
        </w:rPr>
        <w:t>conomic interest, such as properties in the Company’s investment real estate management programs, where the Company partners with institutional investors and also retains management.  </w:t>
      </w:r>
    </w:p>
    <w:p w14:paraId="72F75EB2" w14:textId="77777777" w:rsidR="00000000" w:rsidRDefault="00847163">
      <w:pPr>
        <w:pStyle w:val="a3"/>
        <w:spacing w:before="0" w:beforeAutospacing="0" w:after="0" w:afterAutospacing="0"/>
        <w:ind w:firstLine="360"/>
        <w:rPr>
          <w:sz w:val="20"/>
          <w:szCs w:val="20"/>
        </w:rPr>
      </w:pPr>
      <w:r>
        <w:rPr>
          <w:sz w:val="20"/>
          <w:szCs w:val="20"/>
        </w:rPr>
        <w:t> </w:t>
      </w:r>
    </w:p>
    <w:p w14:paraId="16F8C4A2" w14:textId="77777777" w:rsidR="00000000" w:rsidRDefault="00847163">
      <w:pPr>
        <w:pStyle w:val="a3"/>
        <w:spacing w:before="0" w:beforeAutospacing="0" w:after="0" w:afterAutospacing="0"/>
        <w:ind w:firstLine="360"/>
        <w:jc w:val="both"/>
        <w:rPr>
          <w:sz w:val="20"/>
          <w:szCs w:val="20"/>
        </w:rPr>
      </w:pPr>
      <w:r>
        <w:rPr>
          <w:sz w:val="20"/>
          <w:szCs w:val="20"/>
        </w:rPr>
        <w:t>The Company’s operating strategies are to (i) own and operate its sho</w:t>
      </w:r>
      <w:r>
        <w:rPr>
          <w:sz w:val="20"/>
          <w:szCs w:val="20"/>
        </w:rPr>
        <w:t>pping center properties at their highest potential through maximizing and maintaining rental income and occupancy levels, (ii) attract local area customers to its shopping centers, which offer buy online and pick up in store, off-price merchandise and day-</w:t>
      </w:r>
      <w:r>
        <w:rPr>
          <w:sz w:val="20"/>
          <w:szCs w:val="20"/>
        </w:rPr>
        <w:t>to-day necessities rather than high-priced luxury items, and (iii) maintain a strong balance sheet.</w:t>
      </w:r>
    </w:p>
    <w:p w14:paraId="609C38F7" w14:textId="77777777" w:rsidR="00000000" w:rsidRDefault="00847163">
      <w:pPr>
        <w:pStyle w:val="a3"/>
        <w:spacing w:before="0" w:beforeAutospacing="0" w:after="0" w:afterAutospacing="0"/>
        <w:ind w:firstLine="360"/>
        <w:jc w:val="both"/>
        <w:rPr>
          <w:sz w:val="20"/>
          <w:szCs w:val="20"/>
        </w:rPr>
      </w:pPr>
      <w:r>
        <w:rPr>
          <w:sz w:val="20"/>
          <w:szCs w:val="20"/>
        </w:rPr>
        <w:t> </w:t>
      </w:r>
    </w:p>
    <w:p w14:paraId="64424BD2" w14:textId="77777777" w:rsidR="00000000" w:rsidRDefault="00847163">
      <w:pPr>
        <w:pStyle w:val="a3"/>
        <w:spacing w:before="0" w:beforeAutospacing="0" w:after="0" w:afterAutospacing="0"/>
        <w:ind w:firstLine="360"/>
        <w:jc w:val="both"/>
        <w:rPr>
          <w:sz w:val="20"/>
          <w:szCs w:val="20"/>
        </w:rPr>
      </w:pPr>
      <w:r>
        <w:rPr>
          <w:sz w:val="20"/>
          <w:szCs w:val="20"/>
        </w:rPr>
        <w:t>The Company’s investment strategy is to invest capital into its high-quality assets which are tightly clustered in major metropolitan markets that provide</w:t>
      </w:r>
      <w:r>
        <w:rPr>
          <w:sz w:val="20"/>
          <w:szCs w:val="20"/>
        </w:rPr>
        <w:t xml:space="preserve"> opportunity for growth while disposing of lesser quality assets in less desirable locations. Through this strategy, the Company has transformed its portfolio and will continue these efforts as deemed necessary to maximize the quality and growth of its por</w:t>
      </w:r>
      <w:r>
        <w:rPr>
          <w:sz w:val="20"/>
          <w:szCs w:val="20"/>
        </w:rPr>
        <w:t>tfolio. Property acquisitions are focused in major metropolitan areas allowing tenants to generate higher foot traffic resulting in higher sales volume accompanied with a potential for a mixed-use component. The Company believes that this will enable it to</w:t>
      </w:r>
      <w:r>
        <w:rPr>
          <w:sz w:val="20"/>
          <w:szCs w:val="20"/>
        </w:rPr>
        <w:t xml:space="preserve"> maintain higher occupancy levels, rental rates and rental growth.</w:t>
      </w:r>
    </w:p>
    <w:p w14:paraId="5E63AD4D" w14:textId="77777777" w:rsidR="00000000" w:rsidRDefault="00847163">
      <w:pPr>
        <w:pStyle w:val="a3"/>
        <w:spacing w:before="0" w:beforeAutospacing="0" w:after="0" w:afterAutospacing="0"/>
        <w:ind w:firstLine="360"/>
        <w:jc w:val="both"/>
        <w:rPr>
          <w:sz w:val="20"/>
          <w:szCs w:val="20"/>
        </w:rPr>
      </w:pPr>
      <w:r>
        <w:rPr>
          <w:sz w:val="20"/>
          <w:szCs w:val="20"/>
        </w:rPr>
        <w:t> </w:t>
      </w:r>
    </w:p>
    <w:p w14:paraId="30FC4009" w14:textId="77777777" w:rsidR="00000000" w:rsidRDefault="00847163">
      <w:pPr>
        <w:jc w:val="center"/>
        <w:divId w:val="1417244700"/>
        <w:rPr>
          <w:rFonts w:eastAsia="Times New Roman"/>
          <w:sz w:val="20"/>
          <w:szCs w:val="20"/>
        </w:rPr>
      </w:pPr>
      <w:r>
        <w:rPr>
          <w:rFonts w:eastAsia="Times New Roman"/>
          <w:sz w:val="20"/>
          <w:szCs w:val="20"/>
        </w:rPr>
        <w:t xml:space="preserve">19 </w:t>
      </w:r>
    </w:p>
    <w:p w14:paraId="583163AC" w14:textId="77777777" w:rsidR="00000000" w:rsidRDefault="00847163">
      <w:pPr>
        <w:divId w:val="1534731451"/>
        <w:rPr>
          <w:rFonts w:eastAsia="Times New Roman"/>
          <w:sz w:val="20"/>
          <w:szCs w:val="20"/>
        </w:rPr>
      </w:pPr>
      <w:r>
        <w:rPr>
          <w:rFonts w:eastAsia="Times New Roman"/>
          <w:sz w:val="20"/>
          <w:szCs w:val="20"/>
        </w:rPr>
        <w:pict w14:anchorId="410F7E00">
          <v:rect id="_x0000_i1047" style="width:0;height:1.5pt" o:hralign="center" o:hrstd="t" o:hr="t" fillcolor="#a0a0a0" stroked="f"/>
        </w:pict>
      </w:r>
    </w:p>
    <w:p w14:paraId="79C9A57B" w14:textId="77777777" w:rsidR="00000000" w:rsidRDefault="00847163">
      <w:pPr>
        <w:divId w:val="103431161"/>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47DE6462" w14:textId="77777777" w:rsidR="00000000" w:rsidRDefault="00847163">
      <w:pPr>
        <w:pStyle w:val="a3"/>
        <w:spacing w:before="0" w:beforeAutospacing="0" w:after="0" w:afterAutospacing="0"/>
        <w:rPr>
          <w:sz w:val="20"/>
          <w:szCs w:val="20"/>
        </w:rPr>
      </w:pPr>
      <w:r>
        <w:rPr>
          <w:sz w:val="20"/>
          <w:szCs w:val="20"/>
        </w:rPr>
        <w:t> </w:t>
      </w:r>
    </w:p>
    <w:p w14:paraId="39BDD174" w14:textId="77777777" w:rsidR="00000000" w:rsidRDefault="00847163">
      <w:pPr>
        <w:pStyle w:val="a3"/>
        <w:spacing w:before="0" w:beforeAutospacing="0" w:after="0" w:afterAutospacing="0"/>
        <w:ind w:firstLine="360"/>
        <w:jc w:val="both"/>
        <w:rPr>
          <w:sz w:val="20"/>
          <w:szCs w:val="20"/>
        </w:rPr>
      </w:pPr>
      <w:r>
        <w:rPr>
          <w:sz w:val="20"/>
          <w:szCs w:val="20"/>
        </w:rPr>
        <w:t>The Company’s investment strategy also includes the retail re-tenanting, renovation and expansion of its existing centers and acquired centers, while also pursuing redevelop</w:t>
      </w:r>
      <w:r>
        <w:rPr>
          <w:sz w:val="20"/>
          <w:szCs w:val="20"/>
        </w:rPr>
        <w:t xml:space="preserve">ment opportunities to increase overall value within its portfolio. The Company may selectively acquire established income-producing real estate properties and properties requiring significant re-tenanting and redevelopment, primarily in geographic regions </w:t>
      </w:r>
      <w:r>
        <w:rPr>
          <w:sz w:val="20"/>
          <w:szCs w:val="20"/>
        </w:rPr>
        <w:t xml:space="preserve">in which the Company presently operates. Additionally, the Company may selectively acquire land parcels in its key markets for real estate development projects for long-term investment. The Company may consider investments in other real estate sectors and </w:t>
      </w:r>
      <w:r>
        <w:rPr>
          <w:sz w:val="20"/>
          <w:szCs w:val="20"/>
        </w:rPr>
        <w:t>in geographic markets where it does not presently operate should suitable opportunities arise. The Company also continues to simplify its business by reducing the number of joint venture investments.</w:t>
      </w:r>
    </w:p>
    <w:p w14:paraId="42191E6A" w14:textId="77777777" w:rsidR="00000000" w:rsidRDefault="00847163">
      <w:pPr>
        <w:pStyle w:val="a3"/>
        <w:spacing w:before="0" w:beforeAutospacing="0" w:after="0" w:afterAutospacing="0"/>
        <w:ind w:firstLine="360"/>
        <w:jc w:val="both"/>
        <w:rPr>
          <w:sz w:val="20"/>
          <w:szCs w:val="20"/>
        </w:rPr>
      </w:pPr>
      <w:r>
        <w:rPr>
          <w:sz w:val="20"/>
          <w:szCs w:val="20"/>
        </w:rPr>
        <w:t> </w:t>
      </w:r>
    </w:p>
    <w:p w14:paraId="58B0A917" w14:textId="77777777" w:rsidR="00000000" w:rsidRDefault="00847163">
      <w:pPr>
        <w:pStyle w:val="a3"/>
        <w:spacing w:before="0" w:beforeAutospacing="0" w:after="0" w:afterAutospacing="0"/>
        <w:ind w:firstLine="360"/>
        <w:jc w:val="both"/>
        <w:rPr>
          <w:sz w:val="20"/>
          <w:szCs w:val="20"/>
        </w:rPr>
      </w:pPr>
      <w:r>
        <w:rPr>
          <w:sz w:val="20"/>
          <w:szCs w:val="20"/>
        </w:rPr>
        <w:t>As part of the Company’s investment strategy each prop</w:t>
      </w:r>
      <w:r>
        <w:rPr>
          <w:sz w:val="20"/>
          <w:szCs w:val="20"/>
        </w:rPr>
        <w:t>erty is evaluated for its highest and best use, which may include residential and mixed-use components. In addition, the Company may consider other opportunistic investments related to retailer controlled real estate such as repositioning underperforming r</w:t>
      </w:r>
      <w:r>
        <w:rPr>
          <w:sz w:val="20"/>
          <w:szCs w:val="20"/>
        </w:rPr>
        <w:t>etail locations, retail real estate financing and bankruptcy transaction support. The Company has a capital recycling program that provides for the disposition of certain lesser quality assets. If the estimated fair value for any of these assets is less th</w:t>
      </w:r>
      <w:r>
        <w:rPr>
          <w:sz w:val="20"/>
          <w:szCs w:val="20"/>
        </w:rPr>
        <w:t>an their net carrying values, the Company would be required to take impairment charges and such amounts could be material.</w:t>
      </w:r>
    </w:p>
    <w:p w14:paraId="0C53B65E" w14:textId="77777777" w:rsidR="00000000" w:rsidRDefault="00847163">
      <w:pPr>
        <w:pStyle w:val="a3"/>
        <w:spacing w:before="0" w:beforeAutospacing="0" w:after="0" w:afterAutospacing="0"/>
        <w:ind w:firstLine="360"/>
        <w:jc w:val="both"/>
        <w:rPr>
          <w:sz w:val="20"/>
          <w:szCs w:val="20"/>
        </w:rPr>
      </w:pPr>
      <w:r>
        <w:rPr>
          <w:sz w:val="20"/>
          <w:szCs w:val="20"/>
        </w:rPr>
        <w:t> </w:t>
      </w:r>
    </w:p>
    <w:p w14:paraId="0287F3EB" w14:textId="77777777" w:rsidR="00000000" w:rsidRDefault="00847163">
      <w:pPr>
        <w:pStyle w:val="a3"/>
        <w:spacing w:before="0" w:beforeAutospacing="0" w:after="0" w:afterAutospacing="0"/>
        <w:rPr>
          <w:sz w:val="20"/>
          <w:szCs w:val="20"/>
        </w:rPr>
      </w:pPr>
      <w:r>
        <w:rPr>
          <w:sz w:val="20"/>
          <w:szCs w:val="20"/>
          <w:u w:val="single"/>
        </w:rPr>
        <w:t>COVID-19 Pandemic</w:t>
      </w:r>
    </w:p>
    <w:p w14:paraId="34A52197" w14:textId="77777777" w:rsidR="00000000" w:rsidRDefault="00847163">
      <w:pPr>
        <w:pStyle w:val="a3"/>
        <w:spacing w:before="0" w:beforeAutospacing="0" w:after="0" w:afterAutospacing="0"/>
        <w:ind w:firstLine="360"/>
        <w:jc w:val="both"/>
        <w:rPr>
          <w:sz w:val="20"/>
          <w:szCs w:val="20"/>
        </w:rPr>
      </w:pPr>
      <w:r>
        <w:rPr>
          <w:b/>
          <w:bCs/>
          <w:sz w:val="20"/>
          <w:szCs w:val="20"/>
        </w:rPr>
        <w:t> </w:t>
      </w:r>
    </w:p>
    <w:p w14:paraId="3E065F92" w14:textId="77777777" w:rsidR="00000000" w:rsidRDefault="00847163">
      <w:pPr>
        <w:pStyle w:val="a3"/>
        <w:spacing w:before="0" w:beforeAutospacing="0" w:after="0" w:afterAutospacing="0"/>
        <w:ind w:firstLine="360"/>
        <w:jc w:val="both"/>
        <w:rPr>
          <w:sz w:val="20"/>
          <w:szCs w:val="20"/>
        </w:rPr>
      </w:pPr>
      <w:r>
        <w:rPr>
          <w:sz w:val="20"/>
          <w:szCs w:val="20"/>
        </w:rPr>
        <w:t>The COVID-19 pandemic has resulted in a widespread health crisis that has adversely affected businesses, econom</w:t>
      </w:r>
      <w:r>
        <w:rPr>
          <w:sz w:val="20"/>
          <w:szCs w:val="20"/>
        </w:rPr>
        <w:t>ies and financial markets worldwide, and has caused significant volatility in U.S. and international debt and equity markets. The COVID-19 pandemic has significantly impacted the retail sector in which the Company operates, and if the effects of the pandem</w:t>
      </w:r>
      <w:r>
        <w:rPr>
          <w:sz w:val="20"/>
          <w:szCs w:val="20"/>
        </w:rPr>
        <w:t>ic are prolonged, it could have a significant adverse impact on the underlying industries of many of the Company’s tenants. Accordingly, the Company’s tenants and their operations, and, thus, their ability to pay rent, have been impacted and may continue t</w:t>
      </w:r>
      <w:r>
        <w:rPr>
          <w:sz w:val="20"/>
          <w:szCs w:val="20"/>
        </w:rPr>
        <w:t xml:space="preserve">o be impacted.  At the end of April 2020, all the Company’s shopping centers remain open and operational continuing to provide access to tenants providing essential goods and services. However, a substantial number of tenants have temporarily closed their </w:t>
      </w:r>
      <w:r>
        <w:rPr>
          <w:sz w:val="20"/>
          <w:szCs w:val="20"/>
        </w:rPr>
        <w:t>business, have shortened their operating hours or are offering reduced services. Based on information currently available to us, approximately 44% of annual base rent across the portfolio comes from tenants that are subject to some form of mandatory closur</w:t>
      </w:r>
      <w:r>
        <w:rPr>
          <w:sz w:val="20"/>
          <w:szCs w:val="20"/>
        </w:rPr>
        <w:t>e or have voluntarily closed. As a result, the Company has observed a substantial increase in the number of tenants that have made late or partial rent payments, requested a deferral of rent payments, or defaulted on rent payments, and it is likely that mo</w:t>
      </w:r>
      <w:r>
        <w:rPr>
          <w:sz w:val="20"/>
          <w:szCs w:val="20"/>
        </w:rPr>
        <w:t>re of our tenants will be similarly impacted in the future.  The Company received rent deferral requests approximating 35% of the Company’s pro-rata minimum base rent for the month of April, with the Company selectively granting deferrals for 14% of the mi</w:t>
      </w:r>
      <w:r>
        <w:rPr>
          <w:sz w:val="20"/>
          <w:szCs w:val="20"/>
        </w:rPr>
        <w:t>nimum base rent for this period. The Company continues to negotiate for the payment of the remaining April rent not yet collected.</w:t>
      </w:r>
    </w:p>
    <w:p w14:paraId="158D39FC" w14:textId="77777777" w:rsidR="00000000" w:rsidRDefault="00847163">
      <w:pPr>
        <w:pStyle w:val="a3"/>
        <w:spacing w:before="0" w:beforeAutospacing="0" w:after="0" w:afterAutospacing="0"/>
        <w:rPr>
          <w:sz w:val="20"/>
          <w:szCs w:val="20"/>
        </w:rPr>
      </w:pPr>
      <w:r>
        <w:rPr>
          <w:sz w:val="20"/>
          <w:szCs w:val="20"/>
        </w:rPr>
        <w:t> </w:t>
      </w:r>
    </w:p>
    <w:p w14:paraId="65F63922" w14:textId="77777777" w:rsidR="00000000" w:rsidRDefault="00847163">
      <w:pPr>
        <w:pStyle w:val="a3"/>
        <w:spacing w:before="0" w:beforeAutospacing="0" w:after="0" w:afterAutospacing="0"/>
        <w:ind w:firstLine="360"/>
        <w:jc w:val="both"/>
        <w:rPr>
          <w:sz w:val="20"/>
          <w:szCs w:val="20"/>
        </w:rPr>
      </w:pPr>
      <w:r>
        <w:rPr>
          <w:sz w:val="20"/>
          <w:szCs w:val="20"/>
        </w:rPr>
        <w:t>The impact of COVID-19 on the Company’s future results could be significant and will largely depend on future developments,</w:t>
      </w:r>
      <w:r>
        <w:rPr>
          <w:sz w:val="20"/>
          <w:szCs w:val="20"/>
        </w:rPr>
        <w:t xml:space="preserve"> which are highly uncertain and cannot be predicted, including new information that may emerge concerning the severity of COVID-19, the success of governmental, business and individual actions that have been and continue to be taken in response to COVID-19</w:t>
      </w:r>
      <w:r>
        <w:rPr>
          <w:sz w:val="20"/>
          <w:szCs w:val="20"/>
        </w:rPr>
        <w:t>, the impact of COVID-19 on economic activity, the effect of COVID-19 on the Company’s tenants and their businesses, the ability of tenants to make their rental payments and any additional closures of tenants’ businesses. </w:t>
      </w:r>
    </w:p>
    <w:p w14:paraId="31FABD38" w14:textId="77777777" w:rsidR="00000000" w:rsidRDefault="00847163">
      <w:pPr>
        <w:pStyle w:val="a3"/>
        <w:spacing w:before="0" w:beforeAutospacing="0" w:after="0" w:afterAutospacing="0"/>
        <w:ind w:firstLine="360"/>
        <w:jc w:val="both"/>
        <w:rPr>
          <w:sz w:val="20"/>
          <w:szCs w:val="20"/>
        </w:rPr>
      </w:pPr>
      <w:r>
        <w:rPr>
          <w:sz w:val="20"/>
          <w:szCs w:val="20"/>
        </w:rPr>
        <w:t> </w:t>
      </w:r>
    </w:p>
    <w:p w14:paraId="7B39EE73" w14:textId="77777777" w:rsidR="00000000" w:rsidRDefault="00847163">
      <w:pPr>
        <w:pStyle w:val="a3"/>
        <w:spacing w:before="0" w:beforeAutospacing="0" w:after="0" w:afterAutospacing="0"/>
        <w:ind w:firstLine="360"/>
        <w:jc w:val="both"/>
        <w:rPr>
          <w:sz w:val="20"/>
          <w:szCs w:val="20"/>
        </w:rPr>
      </w:pPr>
      <w:r>
        <w:rPr>
          <w:sz w:val="20"/>
          <w:szCs w:val="20"/>
        </w:rPr>
        <w:t>The Company is continuing to mo</w:t>
      </w:r>
      <w:r>
        <w:rPr>
          <w:sz w:val="20"/>
          <w:szCs w:val="20"/>
        </w:rPr>
        <w:t>nitor the impact of COVID-19 on the Company’s business, tenants and industry as a whole.  The magnitude and duration of the COVID-19 pandemic and its impact on the Company’s operations and liquidity is uncertain as of the filing date of this Quarterly Repo</w:t>
      </w:r>
      <w:r>
        <w:rPr>
          <w:sz w:val="20"/>
          <w:szCs w:val="20"/>
        </w:rPr>
        <w:t>rt on Form 10-Q as this pandemic continues to evolve globally. However, if the COVID-19 pandemic continues its current trajectory, such impacts could grow and become material and could materially disrupt the Company’s business operations. See Part II. Item</w:t>
      </w:r>
      <w:r>
        <w:rPr>
          <w:sz w:val="20"/>
          <w:szCs w:val="20"/>
        </w:rPr>
        <w:t xml:space="preserve"> 1A. "Risk Factors" of this Quarterly Report on Form 10-Q and Footnotes 1, 2, 8 and 16 to the Notes to the Company’s Condensed Consolidated Financial Statements for further discussion of the possible impact of the COVID-19 pandemic on the Company’s busines</w:t>
      </w:r>
      <w:r>
        <w:rPr>
          <w:sz w:val="20"/>
          <w:szCs w:val="20"/>
        </w:rPr>
        <w:t>s.</w:t>
      </w:r>
    </w:p>
    <w:p w14:paraId="787D9B33" w14:textId="77777777" w:rsidR="00000000" w:rsidRDefault="00847163">
      <w:pPr>
        <w:pStyle w:val="a3"/>
        <w:spacing w:before="0" w:beforeAutospacing="0" w:after="0" w:afterAutospacing="0"/>
        <w:ind w:firstLine="360"/>
        <w:jc w:val="both"/>
        <w:rPr>
          <w:sz w:val="20"/>
          <w:szCs w:val="20"/>
        </w:rPr>
      </w:pPr>
      <w:r>
        <w:rPr>
          <w:sz w:val="20"/>
          <w:szCs w:val="20"/>
        </w:rPr>
        <w:t> </w:t>
      </w:r>
    </w:p>
    <w:p w14:paraId="05B7E340" w14:textId="77777777" w:rsidR="00000000" w:rsidRDefault="00847163">
      <w:pPr>
        <w:pStyle w:val="a3"/>
        <w:spacing w:before="0" w:beforeAutospacing="0" w:after="0" w:afterAutospacing="0"/>
        <w:ind w:firstLine="360"/>
        <w:jc w:val="both"/>
        <w:rPr>
          <w:sz w:val="20"/>
          <w:szCs w:val="20"/>
        </w:rPr>
      </w:pPr>
      <w:r>
        <w:rPr>
          <w:sz w:val="20"/>
          <w:szCs w:val="20"/>
        </w:rPr>
        <w:t>As of March 31, 2020, the Company has not incurred any significant disruptions to its business activities. Management cannot, at this point, estimate ultimate losses related to the COVID-19 pandemic, and accordingly no impairment charges were reflecte</w:t>
      </w:r>
      <w:r>
        <w:rPr>
          <w:sz w:val="20"/>
          <w:szCs w:val="20"/>
        </w:rPr>
        <w:t>d in the accompanying financial statements related to this matter. The Company will continue to monitor the economic, financial, and social conditions resulting from the COVID-19 pandemic and will assess its asset portfolio for any impairment indicators. I</w:t>
      </w:r>
      <w:r>
        <w:rPr>
          <w:sz w:val="20"/>
          <w:szCs w:val="20"/>
        </w:rPr>
        <w:t>f the Company determines that any of its assets are impaired, the Company would be required to take impairment charges and such amounts could be material. See Footnote 3 to the Notes to the Company’s Condensed Consolidated Financial Statements for addition</w:t>
      </w:r>
      <w:r>
        <w:rPr>
          <w:sz w:val="20"/>
          <w:szCs w:val="20"/>
        </w:rPr>
        <w:t>al discussion regarding impairment charges.</w:t>
      </w:r>
    </w:p>
    <w:p w14:paraId="7A95BB21" w14:textId="77777777" w:rsidR="00000000" w:rsidRDefault="00847163">
      <w:pPr>
        <w:pStyle w:val="a3"/>
        <w:spacing w:before="0" w:beforeAutospacing="0" w:after="0" w:afterAutospacing="0"/>
        <w:ind w:firstLine="360"/>
        <w:jc w:val="both"/>
        <w:rPr>
          <w:sz w:val="20"/>
          <w:szCs w:val="20"/>
        </w:rPr>
      </w:pPr>
      <w:r>
        <w:rPr>
          <w:sz w:val="20"/>
          <w:szCs w:val="20"/>
        </w:rPr>
        <w:t> </w:t>
      </w:r>
    </w:p>
    <w:p w14:paraId="5D38D99F" w14:textId="77777777" w:rsidR="00000000" w:rsidRDefault="00847163">
      <w:pPr>
        <w:pStyle w:val="a3"/>
        <w:spacing w:before="0" w:beforeAutospacing="0" w:after="0" w:afterAutospacing="0"/>
        <w:ind w:firstLine="360"/>
        <w:jc w:val="both"/>
        <w:rPr>
          <w:sz w:val="20"/>
          <w:szCs w:val="20"/>
        </w:rPr>
      </w:pPr>
      <w:r>
        <w:rPr>
          <w:sz w:val="20"/>
          <w:szCs w:val="20"/>
        </w:rPr>
        <w:t xml:space="preserve">Also, in response to the COVID-19 pandemic, in April 2020, the Company closed on a $375.0 million unsecured term loan credit facility (the "Term Loan") that was subsequently increased to $590.0 million through </w:t>
      </w:r>
      <w:r>
        <w:rPr>
          <w:sz w:val="20"/>
          <w:szCs w:val="20"/>
        </w:rPr>
        <w:t>an accordion feature. </w:t>
      </w:r>
    </w:p>
    <w:p w14:paraId="690193AF" w14:textId="77777777" w:rsidR="00000000" w:rsidRDefault="00847163">
      <w:pPr>
        <w:pStyle w:val="a3"/>
        <w:spacing w:before="0" w:beforeAutospacing="0" w:after="0" w:afterAutospacing="0"/>
        <w:ind w:firstLine="360"/>
        <w:rPr>
          <w:sz w:val="20"/>
          <w:szCs w:val="20"/>
        </w:rPr>
      </w:pPr>
      <w:r>
        <w:rPr>
          <w:sz w:val="20"/>
          <w:szCs w:val="20"/>
        </w:rPr>
        <w:t> </w:t>
      </w:r>
    </w:p>
    <w:p w14:paraId="7C8B8221" w14:textId="77777777" w:rsidR="00000000" w:rsidRDefault="00847163">
      <w:pPr>
        <w:jc w:val="center"/>
        <w:divId w:val="519121662"/>
        <w:rPr>
          <w:rFonts w:eastAsia="Times New Roman"/>
          <w:sz w:val="20"/>
          <w:szCs w:val="20"/>
        </w:rPr>
      </w:pPr>
      <w:r>
        <w:rPr>
          <w:rFonts w:eastAsia="Times New Roman"/>
          <w:sz w:val="20"/>
          <w:szCs w:val="20"/>
        </w:rPr>
        <w:t xml:space="preserve">20 </w:t>
      </w:r>
    </w:p>
    <w:p w14:paraId="0F0C18DD" w14:textId="77777777" w:rsidR="00000000" w:rsidRDefault="00847163">
      <w:pPr>
        <w:divId w:val="788663634"/>
        <w:rPr>
          <w:rFonts w:eastAsia="Times New Roman"/>
          <w:sz w:val="20"/>
          <w:szCs w:val="20"/>
        </w:rPr>
      </w:pPr>
      <w:r>
        <w:rPr>
          <w:rFonts w:eastAsia="Times New Roman"/>
          <w:sz w:val="20"/>
          <w:szCs w:val="20"/>
        </w:rPr>
        <w:pict w14:anchorId="0A619427">
          <v:rect id="_x0000_i1048" style="width:0;height:1.5pt" o:hralign="center" o:hrstd="t" o:hr="t" fillcolor="#a0a0a0" stroked="f"/>
        </w:pict>
      </w:r>
    </w:p>
    <w:p w14:paraId="5E2286E9" w14:textId="77777777" w:rsidR="00000000" w:rsidRDefault="00847163">
      <w:pPr>
        <w:divId w:val="1655181691"/>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6D9E946C" w14:textId="77777777" w:rsidR="00000000" w:rsidRDefault="00847163">
      <w:pPr>
        <w:divId w:val="2115437320"/>
        <w:rPr>
          <w:rFonts w:eastAsia="Times New Roman"/>
          <w:sz w:val="20"/>
          <w:szCs w:val="20"/>
        </w:rPr>
      </w:pPr>
      <w:r>
        <w:rPr>
          <w:rFonts w:eastAsia="Times New Roman"/>
          <w:sz w:val="20"/>
          <w:szCs w:val="20"/>
        </w:rPr>
        <w:t xml:space="preserve">  </w:t>
      </w:r>
    </w:p>
    <w:p w14:paraId="77B0F622" w14:textId="77777777" w:rsidR="00000000" w:rsidRDefault="00847163">
      <w:pPr>
        <w:pStyle w:val="a3"/>
        <w:spacing w:before="0" w:beforeAutospacing="0" w:after="0" w:afterAutospacing="0"/>
        <w:rPr>
          <w:sz w:val="20"/>
          <w:szCs w:val="20"/>
        </w:rPr>
      </w:pPr>
      <w:r>
        <w:rPr>
          <w:sz w:val="20"/>
          <w:szCs w:val="20"/>
        </w:rPr>
        <w:t> </w:t>
      </w:r>
    </w:p>
    <w:p w14:paraId="5ADF5CC7" w14:textId="77777777" w:rsidR="00000000" w:rsidRDefault="00847163">
      <w:pPr>
        <w:pStyle w:val="a3"/>
        <w:spacing w:before="0" w:beforeAutospacing="0" w:after="0" w:afterAutospacing="0"/>
        <w:rPr>
          <w:sz w:val="20"/>
          <w:szCs w:val="20"/>
        </w:rPr>
      </w:pPr>
      <w:r>
        <w:rPr>
          <w:sz w:val="20"/>
          <w:szCs w:val="20"/>
          <w:u w:val="single"/>
        </w:rPr>
        <w:t>Results of Operations</w:t>
      </w:r>
    </w:p>
    <w:p w14:paraId="45F723D2" w14:textId="77777777" w:rsidR="00000000" w:rsidRDefault="00847163">
      <w:pPr>
        <w:pStyle w:val="a3"/>
        <w:spacing w:before="0" w:beforeAutospacing="0" w:after="0" w:afterAutospacing="0"/>
        <w:jc w:val="both"/>
        <w:rPr>
          <w:sz w:val="20"/>
          <w:szCs w:val="20"/>
        </w:rPr>
      </w:pPr>
      <w:r>
        <w:rPr>
          <w:sz w:val="20"/>
          <w:szCs w:val="20"/>
        </w:rPr>
        <w:t> </w:t>
      </w:r>
    </w:p>
    <w:p w14:paraId="35260DD9" w14:textId="77777777" w:rsidR="00000000" w:rsidRDefault="00847163">
      <w:pPr>
        <w:pStyle w:val="a3"/>
        <w:spacing w:before="0" w:beforeAutospacing="0" w:after="0" w:afterAutospacing="0"/>
        <w:jc w:val="both"/>
        <w:rPr>
          <w:sz w:val="20"/>
          <w:szCs w:val="20"/>
        </w:rPr>
      </w:pPr>
      <w:r>
        <w:rPr>
          <w:i/>
          <w:iCs/>
          <w:sz w:val="20"/>
          <w:szCs w:val="20"/>
        </w:rPr>
        <w:t>Comparison of the three months ended March 31, 2020 and 2019</w:t>
      </w:r>
    </w:p>
    <w:p w14:paraId="0FEE2084" w14:textId="77777777" w:rsidR="00000000" w:rsidRDefault="00847163">
      <w:pPr>
        <w:pStyle w:val="a3"/>
        <w:spacing w:before="0" w:beforeAutospacing="0" w:after="0" w:afterAutospacing="0"/>
        <w:jc w:val="both"/>
        <w:rPr>
          <w:sz w:val="20"/>
          <w:szCs w:val="20"/>
        </w:rPr>
      </w:pPr>
      <w:r>
        <w:rPr>
          <w:sz w:val="20"/>
          <w:szCs w:val="20"/>
        </w:rPr>
        <w:t> </w:t>
      </w:r>
    </w:p>
    <w:p w14:paraId="3D6223E5" w14:textId="77777777" w:rsidR="00000000" w:rsidRDefault="00847163">
      <w:pPr>
        <w:pStyle w:val="a3"/>
        <w:spacing w:before="0" w:beforeAutospacing="0" w:after="0" w:afterAutospacing="0"/>
        <w:ind w:firstLine="360"/>
        <w:jc w:val="both"/>
        <w:rPr>
          <w:sz w:val="20"/>
          <w:szCs w:val="20"/>
        </w:rPr>
      </w:pPr>
      <w:r>
        <w:rPr>
          <w:sz w:val="20"/>
          <w:szCs w:val="20"/>
        </w:rPr>
        <w:t>The following table presents the comparative results from the Company’s Condensed Consolidated Statements of Income for the three months ended March 31, 2020, as compared to the corresponding periods in 2019 (in thousands, except per share data):</w:t>
      </w:r>
    </w:p>
    <w:p w14:paraId="7907EE04" w14:textId="77777777" w:rsidR="00000000" w:rsidRDefault="00847163">
      <w:pPr>
        <w:pStyle w:val="a3"/>
        <w:spacing w:before="0" w:beforeAutospacing="0" w:after="0" w:afterAutospacing="0"/>
        <w:rPr>
          <w:sz w:val="20"/>
          <w:szCs w:val="20"/>
        </w:rPr>
      </w:pPr>
      <w:r>
        <w:rPr>
          <w:sz w:val="20"/>
          <w:szCs w:val="20"/>
        </w:rPr>
        <w:t> </w:t>
      </w:r>
    </w:p>
    <w:tbl>
      <w:tblPr>
        <w:tblW w:w="4250" w:type="pct"/>
        <w:tblCellSpacing w:w="0" w:type="dxa"/>
        <w:tblInd w:w="7" w:type="dxa"/>
        <w:tblCellMar>
          <w:left w:w="0" w:type="dxa"/>
          <w:right w:w="0" w:type="dxa"/>
        </w:tblCellMar>
        <w:tblLook w:val="04A0" w:firstRow="1" w:lastRow="0" w:firstColumn="1" w:lastColumn="0" w:noHBand="0" w:noVBand="1"/>
      </w:tblPr>
      <w:tblGrid>
        <w:gridCol w:w="4084"/>
        <w:gridCol w:w="60"/>
        <w:gridCol w:w="100"/>
        <w:gridCol w:w="767"/>
        <w:gridCol w:w="67"/>
        <w:gridCol w:w="56"/>
        <w:gridCol w:w="100"/>
        <w:gridCol w:w="767"/>
        <w:gridCol w:w="67"/>
        <w:gridCol w:w="57"/>
        <w:gridCol w:w="100"/>
        <w:gridCol w:w="768"/>
        <w:gridCol w:w="67"/>
      </w:tblGrid>
      <w:tr w:rsidR="00000000" w14:paraId="239887D9" w14:textId="77777777">
        <w:trPr>
          <w:tblCellSpacing w:w="0" w:type="dxa"/>
        </w:trPr>
        <w:tc>
          <w:tcPr>
            <w:tcW w:w="0" w:type="auto"/>
            <w:vAlign w:val="bottom"/>
            <w:hideMark/>
          </w:tcPr>
          <w:p w14:paraId="404309E3"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66DF1BCF" w14:textId="77777777" w:rsidR="00000000" w:rsidRDefault="00847163">
            <w:pPr>
              <w:rPr>
                <w:rFonts w:eastAsia="Times New Roman"/>
                <w:sz w:val="20"/>
                <w:szCs w:val="20"/>
              </w:rPr>
            </w:pPr>
            <w:r>
              <w:rPr>
                <w:rFonts w:eastAsia="Times New Roman"/>
                <w:sz w:val="20"/>
                <w:szCs w:val="20"/>
              </w:rPr>
              <w:t> </w:t>
            </w:r>
          </w:p>
        </w:tc>
        <w:tc>
          <w:tcPr>
            <w:tcW w:w="0" w:type="auto"/>
            <w:gridSpan w:val="10"/>
            <w:tcBorders>
              <w:bottom w:val="single" w:sz="6" w:space="0" w:color="000000"/>
            </w:tcBorders>
            <w:vAlign w:val="bottom"/>
            <w:hideMark/>
          </w:tcPr>
          <w:p w14:paraId="183AC5F1" w14:textId="77777777" w:rsidR="00000000" w:rsidRDefault="00847163">
            <w:pPr>
              <w:pStyle w:val="a3"/>
              <w:spacing w:before="0" w:beforeAutospacing="0" w:after="0" w:afterAutospacing="0"/>
              <w:jc w:val="center"/>
              <w:rPr>
                <w:sz w:val="20"/>
                <w:szCs w:val="20"/>
              </w:rPr>
            </w:pPr>
            <w:r>
              <w:rPr>
                <w:b/>
                <w:bCs/>
                <w:sz w:val="20"/>
                <w:szCs w:val="20"/>
              </w:rPr>
              <w:t>Thr</w:t>
            </w:r>
            <w:r>
              <w:rPr>
                <w:b/>
                <w:bCs/>
                <w:sz w:val="20"/>
                <w:szCs w:val="20"/>
              </w:rPr>
              <w:t xml:space="preserve">ee Months Ended March 31, </w:t>
            </w:r>
          </w:p>
        </w:tc>
        <w:tc>
          <w:tcPr>
            <w:tcW w:w="0" w:type="auto"/>
            <w:tcMar>
              <w:top w:w="0" w:type="dxa"/>
              <w:left w:w="0" w:type="dxa"/>
              <w:bottom w:w="15" w:type="dxa"/>
              <w:right w:w="0" w:type="dxa"/>
            </w:tcMar>
            <w:vAlign w:val="bottom"/>
            <w:hideMark/>
          </w:tcPr>
          <w:p w14:paraId="21C87E0D" w14:textId="77777777" w:rsidR="00000000" w:rsidRDefault="00847163">
            <w:pPr>
              <w:rPr>
                <w:rFonts w:eastAsia="Times New Roman"/>
                <w:sz w:val="20"/>
                <w:szCs w:val="20"/>
              </w:rPr>
            </w:pPr>
            <w:r>
              <w:rPr>
                <w:rFonts w:eastAsia="Times New Roman"/>
                <w:sz w:val="20"/>
                <w:szCs w:val="20"/>
              </w:rPr>
              <w:t> </w:t>
            </w:r>
          </w:p>
        </w:tc>
      </w:tr>
      <w:tr w:rsidR="00000000" w14:paraId="652635C7" w14:textId="77777777">
        <w:trPr>
          <w:tblCellSpacing w:w="0" w:type="dxa"/>
        </w:trPr>
        <w:tc>
          <w:tcPr>
            <w:tcW w:w="0" w:type="auto"/>
            <w:vAlign w:val="bottom"/>
            <w:hideMark/>
          </w:tcPr>
          <w:p w14:paraId="2DA0627B"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7CEEC991" w14:textId="77777777" w:rsidR="00000000" w:rsidRDefault="0084716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6FB7CB6A" w14:textId="77777777" w:rsidR="00000000" w:rsidRDefault="00847163">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14:paraId="79039891"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1A00E4A5" w14:textId="77777777" w:rsidR="00000000" w:rsidRDefault="0084716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2F504C0F" w14:textId="77777777" w:rsidR="00000000" w:rsidRDefault="00847163">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3682A52E"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4D07A55C" w14:textId="77777777" w:rsidR="00000000" w:rsidRDefault="0084716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395F977C" w14:textId="77777777" w:rsidR="00000000" w:rsidRDefault="00847163">
            <w:pPr>
              <w:pStyle w:val="a3"/>
              <w:spacing w:before="0" w:beforeAutospacing="0" w:after="0" w:afterAutospacing="0"/>
              <w:jc w:val="center"/>
              <w:rPr>
                <w:sz w:val="20"/>
                <w:szCs w:val="20"/>
              </w:rPr>
            </w:pPr>
            <w:r>
              <w:rPr>
                <w:b/>
                <w:bCs/>
                <w:sz w:val="20"/>
                <w:szCs w:val="20"/>
              </w:rPr>
              <w:t>Change</w:t>
            </w:r>
          </w:p>
        </w:tc>
        <w:tc>
          <w:tcPr>
            <w:tcW w:w="0" w:type="auto"/>
            <w:tcMar>
              <w:top w:w="0" w:type="dxa"/>
              <w:left w:w="0" w:type="dxa"/>
              <w:bottom w:w="15" w:type="dxa"/>
              <w:right w:w="0" w:type="dxa"/>
            </w:tcMar>
            <w:vAlign w:val="bottom"/>
            <w:hideMark/>
          </w:tcPr>
          <w:p w14:paraId="23433A74" w14:textId="77777777" w:rsidR="00000000" w:rsidRDefault="00847163">
            <w:pPr>
              <w:rPr>
                <w:rFonts w:eastAsia="Times New Roman"/>
                <w:sz w:val="20"/>
                <w:szCs w:val="20"/>
              </w:rPr>
            </w:pPr>
            <w:r>
              <w:rPr>
                <w:rFonts w:eastAsia="Times New Roman"/>
                <w:sz w:val="20"/>
                <w:szCs w:val="20"/>
              </w:rPr>
              <w:t> </w:t>
            </w:r>
          </w:p>
        </w:tc>
      </w:tr>
      <w:tr w:rsidR="00000000" w14:paraId="72F17700" w14:textId="77777777">
        <w:trPr>
          <w:tblCellSpacing w:w="0" w:type="dxa"/>
        </w:trPr>
        <w:tc>
          <w:tcPr>
            <w:tcW w:w="0" w:type="auto"/>
            <w:vAlign w:val="bottom"/>
            <w:hideMark/>
          </w:tcPr>
          <w:p w14:paraId="05E9F1A2"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7AE77B43"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1D70A803"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05EA3982"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05ACEF78"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566B8DC2"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772A2A08"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279B7DF4"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133BB5A9"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74B4DAD3"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593BC6F7"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654CC460"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4D167E20" w14:textId="77777777" w:rsidR="00000000" w:rsidRDefault="00847163">
            <w:pPr>
              <w:rPr>
                <w:rFonts w:eastAsia="Times New Roman"/>
                <w:sz w:val="20"/>
                <w:szCs w:val="20"/>
              </w:rPr>
            </w:pPr>
            <w:r>
              <w:rPr>
                <w:rFonts w:eastAsia="Times New Roman"/>
                <w:sz w:val="20"/>
                <w:szCs w:val="20"/>
              </w:rPr>
              <w:t> </w:t>
            </w:r>
          </w:p>
        </w:tc>
      </w:tr>
      <w:tr w:rsidR="00000000" w14:paraId="50AECC04" w14:textId="77777777">
        <w:trPr>
          <w:tblCellSpacing w:w="0" w:type="dxa"/>
        </w:trPr>
        <w:tc>
          <w:tcPr>
            <w:tcW w:w="2900" w:type="pct"/>
            <w:shd w:val="clear" w:color="auto" w:fill="CCEEFF"/>
            <w:vAlign w:val="bottom"/>
            <w:hideMark/>
          </w:tcPr>
          <w:p w14:paraId="346F31FD" w14:textId="77777777" w:rsidR="00000000" w:rsidRDefault="00847163">
            <w:pPr>
              <w:pStyle w:val="a3"/>
              <w:spacing w:before="0" w:beforeAutospacing="0" w:after="0" w:afterAutospacing="0"/>
              <w:rPr>
                <w:sz w:val="20"/>
                <w:szCs w:val="20"/>
              </w:rPr>
            </w:pPr>
            <w:r>
              <w:rPr>
                <w:sz w:val="20"/>
                <w:szCs w:val="20"/>
              </w:rPr>
              <w:t>Revenues</w:t>
            </w:r>
          </w:p>
        </w:tc>
        <w:tc>
          <w:tcPr>
            <w:tcW w:w="0" w:type="auto"/>
            <w:shd w:val="clear" w:color="auto" w:fill="CCEEFF"/>
            <w:vAlign w:val="bottom"/>
            <w:hideMark/>
          </w:tcPr>
          <w:p w14:paraId="28DD7B79"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3D68C26"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CB7AAC"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12E15C3"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005CEA7"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9D5BD53"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CCFF21"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E6476FE"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F35DE98"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0A92B7B"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4F60BB7"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2C330A" w14:textId="77777777" w:rsidR="00000000" w:rsidRDefault="00847163">
            <w:pPr>
              <w:rPr>
                <w:rFonts w:eastAsia="Times New Roman"/>
                <w:sz w:val="20"/>
                <w:szCs w:val="20"/>
              </w:rPr>
            </w:pPr>
            <w:r>
              <w:rPr>
                <w:rFonts w:eastAsia="Times New Roman"/>
                <w:sz w:val="20"/>
                <w:szCs w:val="20"/>
              </w:rPr>
              <w:t> </w:t>
            </w:r>
          </w:p>
        </w:tc>
      </w:tr>
      <w:tr w:rsidR="00000000" w14:paraId="1173EAC0" w14:textId="77777777">
        <w:trPr>
          <w:tblCellSpacing w:w="0" w:type="dxa"/>
        </w:trPr>
        <w:tc>
          <w:tcPr>
            <w:tcW w:w="0" w:type="auto"/>
            <w:shd w:val="clear" w:color="auto" w:fill="FFFFFF"/>
            <w:vAlign w:val="bottom"/>
            <w:hideMark/>
          </w:tcPr>
          <w:p w14:paraId="5CD596EF" w14:textId="77777777" w:rsidR="00000000" w:rsidRDefault="00847163">
            <w:pPr>
              <w:pStyle w:val="a3"/>
              <w:spacing w:before="0" w:beforeAutospacing="0" w:after="0" w:afterAutospacing="0"/>
              <w:ind w:left="360"/>
              <w:rPr>
                <w:sz w:val="20"/>
                <w:szCs w:val="20"/>
              </w:rPr>
            </w:pPr>
            <w:r>
              <w:rPr>
                <w:sz w:val="20"/>
                <w:szCs w:val="20"/>
              </w:rPr>
              <w:t>Revenues from rental properties, net</w:t>
            </w:r>
          </w:p>
        </w:tc>
        <w:tc>
          <w:tcPr>
            <w:tcW w:w="50" w:type="pct"/>
            <w:shd w:val="clear" w:color="auto" w:fill="FFFFFF"/>
            <w:vAlign w:val="bottom"/>
            <w:hideMark/>
          </w:tcPr>
          <w:p w14:paraId="090C34BB"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44F9E9C" w14:textId="77777777" w:rsidR="00000000" w:rsidRDefault="00847163">
            <w:pPr>
              <w:rPr>
                <w:rFonts w:eastAsia="Times New Roman"/>
                <w:sz w:val="20"/>
                <w:szCs w:val="20"/>
              </w:rPr>
            </w:pPr>
            <w:r>
              <w:rPr>
                <w:rFonts w:eastAsia="Times New Roman"/>
                <w:sz w:val="20"/>
                <w:szCs w:val="20"/>
              </w:rPr>
              <w:t>$</w:t>
            </w:r>
          </w:p>
        </w:tc>
        <w:tc>
          <w:tcPr>
            <w:tcW w:w="550" w:type="pct"/>
            <w:shd w:val="clear" w:color="auto" w:fill="FFFFFF"/>
            <w:vAlign w:val="bottom"/>
            <w:hideMark/>
          </w:tcPr>
          <w:p w14:paraId="6D8494BF" w14:textId="77777777" w:rsidR="00000000" w:rsidRDefault="00847163">
            <w:pPr>
              <w:jc w:val="right"/>
              <w:rPr>
                <w:rFonts w:eastAsia="Times New Roman"/>
                <w:sz w:val="20"/>
                <w:szCs w:val="20"/>
              </w:rPr>
            </w:pPr>
            <w:r>
              <w:rPr>
                <w:rFonts w:eastAsia="Times New Roman"/>
                <w:sz w:val="20"/>
                <w:szCs w:val="20"/>
              </w:rPr>
              <w:t>286,004</w:t>
            </w:r>
          </w:p>
        </w:tc>
        <w:tc>
          <w:tcPr>
            <w:tcW w:w="50" w:type="pct"/>
            <w:shd w:val="clear" w:color="auto" w:fill="FFFFFF"/>
            <w:vAlign w:val="bottom"/>
            <w:hideMark/>
          </w:tcPr>
          <w:p w14:paraId="124B4792"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D0559F8"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1596633" w14:textId="77777777" w:rsidR="00000000" w:rsidRDefault="00847163">
            <w:pPr>
              <w:rPr>
                <w:rFonts w:eastAsia="Times New Roman"/>
                <w:sz w:val="20"/>
                <w:szCs w:val="20"/>
              </w:rPr>
            </w:pPr>
            <w:r>
              <w:rPr>
                <w:rFonts w:eastAsia="Times New Roman"/>
                <w:sz w:val="20"/>
                <w:szCs w:val="20"/>
              </w:rPr>
              <w:t>$</w:t>
            </w:r>
          </w:p>
        </w:tc>
        <w:tc>
          <w:tcPr>
            <w:tcW w:w="550" w:type="pct"/>
            <w:shd w:val="clear" w:color="auto" w:fill="FFFFFF"/>
            <w:vAlign w:val="bottom"/>
            <w:hideMark/>
          </w:tcPr>
          <w:p w14:paraId="5DB2639B" w14:textId="77777777" w:rsidR="00000000" w:rsidRDefault="00847163">
            <w:pPr>
              <w:jc w:val="right"/>
              <w:rPr>
                <w:rFonts w:eastAsia="Times New Roman"/>
                <w:sz w:val="20"/>
                <w:szCs w:val="20"/>
              </w:rPr>
            </w:pPr>
            <w:r>
              <w:rPr>
                <w:rFonts w:eastAsia="Times New Roman"/>
                <w:sz w:val="20"/>
                <w:szCs w:val="20"/>
              </w:rPr>
              <w:t>290,634</w:t>
            </w:r>
          </w:p>
        </w:tc>
        <w:tc>
          <w:tcPr>
            <w:tcW w:w="50" w:type="pct"/>
            <w:shd w:val="clear" w:color="auto" w:fill="FFFFFF"/>
            <w:vAlign w:val="bottom"/>
            <w:hideMark/>
          </w:tcPr>
          <w:p w14:paraId="1FA40A2D"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3272F9E"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15AC758" w14:textId="77777777" w:rsidR="00000000" w:rsidRDefault="00847163">
            <w:pPr>
              <w:rPr>
                <w:rFonts w:eastAsia="Times New Roman"/>
                <w:sz w:val="20"/>
                <w:szCs w:val="20"/>
              </w:rPr>
            </w:pPr>
            <w:r>
              <w:rPr>
                <w:rFonts w:eastAsia="Times New Roman"/>
                <w:sz w:val="20"/>
                <w:szCs w:val="20"/>
              </w:rPr>
              <w:t>$</w:t>
            </w:r>
          </w:p>
        </w:tc>
        <w:tc>
          <w:tcPr>
            <w:tcW w:w="550" w:type="pct"/>
            <w:shd w:val="clear" w:color="auto" w:fill="FFFFFF"/>
            <w:vAlign w:val="bottom"/>
            <w:hideMark/>
          </w:tcPr>
          <w:p w14:paraId="529E5A0D" w14:textId="77777777" w:rsidR="00000000" w:rsidRDefault="00847163">
            <w:pPr>
              <w:jc w:val="right"/>
              <w:rPr>
                <w:rFonts w:eastAsia="Times New Roman"/>
                <w:sz w:val="20"/>
                <w:szCs w:val="20"/>
              </w:rPr>
            </w:pPr>
            <w:r>
              <w:rPr>
                <w:rFonts w:eastAsia="Times New Roman"/>
                <w:sz w:val="20"/>
                <w:szCs w:val="20"/>
              </w:rPr>
              <w:t>(4,630</w:t>
            </w:r>
          </w:p>
        </w:tc>
        <w:tc>
          <w:tcPr>
            <w:tcW w:w="50" w:type="pct"/>
            <w:shd w:val="clear" w:color="auto" w:fill="FFFFFF"/>
            <w:vAlign w:val="bottom"/>
            <w:hideMark/>
          </w:tcPr>
          <w:p w14:paraId="1FF191D2" w14:textId="77777777" w:rsidR="00000000" w:rsidRDefault="00847163">
            <w:pPr>
              <w:rPr>
                <w:rFonts w:eastAsia="Times New Roman"/>
                <w:sz w:val="20"/>
                <w:szCs w:val="20"/>
              </w:rPr>
            </w:pPr>
            <w:r>
              <w:rPr>
                <w:rFonts w:eastAsia="Times New Roman"/>
                <w:sz w:val="20"/>
                <w:szCs w:val="20"/>
              </w:rPr>
              <w:t>)</w:t>
            </w:r>
          </w:p>
        </w:tc>
      </w:tr>
      <w:tr w:rsidR="00000000" w14:paraId="22FD0F73" w14:textId="77777777">
        <w:trPr>
          <w:tblCellSpacing w:w="0" w:type="dxa"/>
        </w:trPr>
        <w:tc>
          <w:tcPr>
            <w:tcW w:w="0" w:type="auto"/>
            <w:shd w:val="clear" w:color="auto" w:fill="CCEEFF"/>
            <w:vAlign w:val="bottom"/>
            <w:hideMark/>
          </w:tcPr>
          <w:p w14:paraId="270189D7" w14:textId="77777777" w:rsidR="00000000" w:rsidRDefault="00847163">
            <w:pPr>
              <w:pStyle w:val="a3"/>
              <w:spacing w:before="0" w:beforeAutospacing="0" w:after="0" w:afterAutospacing="0"/>
              <w:ind w:left="360"/>
              <w:rPr>
                <w:sz w:val="20"/>
                <w:szCs w:val="20"/>
              </w:rPr>
            </w:pPr>
            <w:r>
              <w:rPr>
                <w:sz w:val="20"/>
                <w:szCs w:val="20"/>
              </w:rPr>
              <w:t>Management and other fee income</w:t>
            </w:r>
          </w:p>
        </w:tc>
        <w:tc>
          <w:tcPr>
            <w:tcW w:w="50" w:type="pct"/>
            <w:shd w:val="clear" w:color="auto" w:fill="CCEEFF"/>
            <w:vAlign w:val="bottom"/>
            <w:hideMark/>
          </w:tcPr>
          <w:p w14:paraId="0111B887"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FE0C818" w14:textId="77777777" w:rsidR="00000000" w:rsidRDefault="00847163">
            <w:pPr>
              <w:rPr>
                <w:rFonts w:eastAsia="Times New Roman"/>
                <w:sz w:val="20"/>
                <w:szCs w:val="20"/>
              </w:rPr>
            </w:pPr>
            <w:r>
              <w:rPr>
                <w:rFonts w:eastAsia="Times New Roman"/>
                <w:sz w:val="20"/>
                <w:szCs w:val="20"/>
              </w:rPr>
              <w:t> </w:t>
            </w:r>
          </w:p>
        </w:tc>
        <w:tc>
          <w:tcPr>
            <w:tcW w:w="550" w:type="pct"/>
            <w:shd w:val="clear" w:color="auto" w:fill="CCEEFF"/>
            <w:vAlign w:val="bottom"/>
            <w:hideMark/>
          </w:tcPr>
          <w:p w14:paraId="0D690B47" w14:textId="77777777" w:rsidR="00000000" w:rsidRDefault="00847163">
            <w:pPr>
              <w:jc w:val="right"/>
              <w:rPr>
                <w:rFonts w:eastAsia="Times New Roman"/>
                <w:sz w:val="20"/>
                <w:szCs w:val="20"/>
              </w:rPr>
            </w:pPr>
            <w:r>
              <w:rPr>
                <w:rFonts w:eastAsia="Times New Roman"/>
                <w:sz w:val="20"/>
                <w:szCs w:val="20"/>
              </w:rPr>
              <w:t>3,740</w:t>
            </w:r>
          </w:p>
        </w:tc>
        <w:tc>
          <w:tcPr>
            <w:tcW w:w="50" w:type="pct"/>
            <w:shd w:val="clear" w:color="auto" w:fill="CCEEFF"/>
            <w:vAlign w:val="bottom"/>
            <w:hideMark/>
          </w:tcPr>
          <w:p w14:paraId="11E25782"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343D49B"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C400D3F" w14:textId="77777777" w:rsidR="00000000" w:rsidRDefault="00847163">
            <w:pPr>
              <w:rPr>
                <w:rFonts w:eastAsia="Times New Roman"/>
                <w:sz w:val="20"/>
                <w:szCs w:val="20"/>
              </w:rPr>
            </w:pPr>
            <w:r>
              <w:rPr>
                <w:rFonts w:eastAsia="Times New Roman"/>
                <w:sz w:val="20"/>
                <w:szCs w:val="20"/>
              </w:rPr>
              <w:t> </w:t>
            </w:r>
          </w:p>
        </w:tc>
        <w:tc>
          <w:tcPr>
            <w:tcW w:w="550" w:type="pct"/>
            <w:shd w:val="clear" w:color="auto" w:fill="CCEEFF"/>
            <w:vAlign w:val="bottom"/>
            <w:hideMark/>
          </w:tcPr>
          <w:p w14:paraId="5048FE4B" w14:textId="77777777" w:rsidR="00000000" w:rsidRDefault="00847163">
            <w:pPr>
              <w:jc w:val="right"/>
              <w:rPr>
                <w:rFonts w:eastAsia="Times New Roman"/>
                <w:sz w:val="20"/>
                <w:szCs w:val="20"/>
              </w:rPr>
            </w:pPr>
            <w:r>
              <w:rPr>
                <w:rFonts w:eastAsia="Times New Roman"/>
                <w:sz w:val="20"/>
                <w:szCs w:val="20"/>
              </w:rPr>
              <w:t>4,376</w:t>
            </w:r>
          </w:p>
        </w:tc>
        <w:tc>
          <w:tcPr>
            <w:tcW w:w="50" w:type="pct"/>
            <w:shd w:val="clear" w:color="auto" w:fill="CCEEFF"/>
            <w:vAlign w:val="bottom"/>
            <w:hideMark/>
          </w:tcPr>
          <w:p w14:paraId="1B5061A9"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5BF3EC6"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4D81C7A" w14:textId="77777777" w:rsidR="00000000" w:rsidRDefault="00847163">
            <w:pPr>
              <w:rPr>
                <w:rFonts w:eastAsia="Times New Roman"/>
                <w:sz w:val="20"/>
                <w:szCs w:val="20"/>
              </w:rPr>
            </w:pPr>
            <w:r>
              <w:rPr>
                <w:rFonts w:eastAsia="Times New Roman"/>
                <w:sz w:val="20"/>
                <w:szCs w:val="20"/>
              </w:rPr>
              <w:t> </w:t>
            </w:r>
          </w:p>
        </w:tc>
        <w:tc>
          <w:tcPr>
            <w:tcW w:w="550" w:type="pct"/>
            <w:shd w:val="clear" w:color="auto" w:fill="CCEEFF"/>
            <w:vAlign w:val="bottom"/>
            <w:hideMark/>
          </w:tcPr>
          <w:p w14:paraId="31C9598D" w14:textId="77777777" w:rsidR="00000000" w:rsidRDefault="00847163">
            <w:pPr>
              <w:jc w:val="right"/>
              <w:rPr>
                <w:rFonts w:eastAsia="Times New Roman"/>
                <w:sz w:val="20"/>
                <w:szCs w:val="20"/>
              </w:rPr>
            </w:pPr>
            <w:r>
              <w:rPr>
                <w:rFonts w:eastAsia="Times New Roman"/>
                <w:sz w:val="20"/>
                <w:szCs w:val="20"/>
              </w:rPr>
              <w:t>(636</w:t>
            </w:r>
          </w:p>
        </w:tc>
        <w:tc>
          <w:tcPr>
            <w:tcW w:w="50" w:type="pct"/>
            <w:shd w:val="clear" w:color="auto" w:fill="CCEEFF"/>
            <w:vAlign w:val="bottom"/>
            <w:hideMark/>
          </w:tcPr>
          <w:p w14:paraId="147D38E9" w14:textId="77777777" w:rsidR="00000000" w:rsidRDefault="00847163">
            <w:pPr>
              <w:rPr>
                <w:rFonts w:eastAsia="Times New Roman"/>
                <w:sz w:val="20"/>
                <w:szCs w:val="20"/>
              </w:rPr>
            </w:pPr>
            <w:r>
              <w:rPr>
                <w:rFonts w:eastAsia="Times New Roman"/>
                <w:sz w:val="20"/>
                <w:szCs w:val="20"/>
              </w:rPr>
              <w:t>)</w:t>
            </w:r>
          </w:p>
        </w:tc>
      </w:tr>
      <w:tr w:rsidR="00000000" w14:paraId="0A92513E" w14:textId="77777777">
        <w:trPr>
          <w:tblCellSpacing w:w="0" w:type="dxa"/>
        </w:trPr>
        <w:tc>
          <w:tcPr>
            <w:tcW w:w="0" w:type="auto"/>
            <w:shd w:val="clear" w:color="auto" w:fill="FFFFFF"/>
            <w:vAlign w:val="bottom"/>
            <w:hideMark/>
          </w:tcPr>
          <w:p w14:paraId="61466938" w14:textId="77777777" w:rsidR="00000000" w:rsidRDefault="00847163">
            <w:pPr>
              <w:pStyle w:val="a3"/>
              <w:spacing w:before="0" w:beforeAutospacing="0" w:after="0" w:afterAutospacing="0"/>
              <w:rPr>
                <w:sz w:val="20"/>
                <w:szCs w:val="20"/>
              </w:rPr>
            </w:pPr>
            <w:r>
              <w:rPr>
                <w:sz w:val="20"/>
                <w:szCs w:val="20"/>
              </w:rPr>
              <w:t>Operating expenses</w:t>
            </w:r>
          </w:p>
        </w:tc>
        <w:tc>
          <w:tcPr>
            <w:tcW w:w="0" w:type="auto"/>
            <w:shd w:val="clear" w:color="auto" w:fill="FFFFFF"/>
            <w:vAlign w:val="bottom"/>
            <w:hideMark/>
          </w:tcPr>
          <w:p w14:paraId="653F7D42"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FB526BD"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39C11B9"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560EA15"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200F57B"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9D63EF5"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B3A1D96"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F8DE280"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1372EA0"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D04A012"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57D9440"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DAD408D" w14:textId="77777777" w:rsidR="00000000" w:rsidRDefault="00847163">
            <w:pPr>
              <w:rPr>
                <w:rFonts w:eastAsia="Times New Roman"/>
                <w:sz w:val="20"/>
                <w:szCs w:val="20"/>
              </w:rPr>
            </w:pPr>
            <w:r>
              <w:rPr>
                <w:rFonts w:eastAsia="Times New Roman"/>
                <w:sz w:val="20"/>
                <w:szCs w:val="20"/>
              </w:rPr>
              <w:t> </w:t>
            </w:r>
          </w:p>
        </w:tc>
      </w:tr>
      <w:tr w:rsidR="00000000" w14:paraId="60E2D632" w14:textId="77777777">
        <w:trPr>
          <w:tblCellSpacing w:w="0" w:type="dxa"/>
        </w:trPr>
        <w:tc>
          <w:tcPr>
            <w:tcW w:w="0" w:type="auto"/>
            <w:shd w:val="clear" w:color="auto" w:fill="CCEEFF"/>
            <w:vAlign w:val="bottom"/>
            <w:hideMark/>
          </w:tcPr>
          <w:p w14:paraId="2A438035" w14:textId="77777777" w:rsidR="00000000" w:rsidRDefault="00847163">
            <w:pPr>
              <w:pStyle w:val="a3"/>
              <w:spacing w:before="0" w:beforeAutospacing="0" w:after="0" w:afterAutospacing="0"/>
              <w:ind w:left="360"/>
              <w:rPr>
                <w:sz w:val="20"/>
                <w:szCs w:val="20"/>
              </w:rPr>
            </w:pPr>
            <w:r>
              <w:rPr>
                <w:sz w:val="20"/>
                <w:szCs w:val="20"/>
              </w:rPr>
              <w:t>Rent (1)</w:t>
            </w:r>
          </w:p>
        </w:tc>
        <w:tc>
          <w:tcPr>
            <w:tcW w:w="50" w:type="pct"/>
            <w:shd w:val="clear" w:color="auto" w:fill="CCEEFF"/>
            <w:vAlign w:val="bottom"/>
            <w:hideMark/>
          </w:tcPr>
          <w:p w14:paraId="7A9A2C12"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7999EEF" w14:textId="77777777" w:rsidR="00000000" w:rsidRDefault="00847163">
            <w:pPr>
              <w:rPr>
                <w:rFonts w:eastAsia="Times New Roman"/>
                <w:sz w:val="20"/>
                <w:szCs w:val="20"/>
              </w:rPr>
            </w:pPr>
            <w:r>
              <w:rPr>
                <w:rFonts w:eastAsia="Times New Roman"/>
                <w:sz w:val="20"/>
                <w:szCs w:val="20"/>
              </w:rPr>
              <w:t> </w:t>
            </w:r>
          </w:p>
        </w:tc>
        <w:tc>
          <w:tcPr>
            <w:tcW w:w="550" w:type="pct"/>
            <w:shd w:val="clear" w:color="auto" w:fill="CCEEFF"/>
            <w:vAlign w:val="bottom"/>
            <w:hideMark/>
          </w:tcPr>
          <w:p w14:paraId="2B72FBFC" w14:textId="77777777" w:rsidR="00000000" w:rsidRDefault="00847163">
            <w:pPr>
              <w:jc w:val="right"/>
              <w:rPr>
                <w:rFonts w:eastAsia="Times New Roman"/>
                <w:sz w:val="20"/>
                <w:szCs w:val="20"/>
              </w:rPr>
            </w:pPr>
            <w:r>
              <w:rPr>
                <w:rFonts w:eastAsia="Times New Roman"/>
                <w:sz w:val="20"/>
                <w:szCs w:val="20"/>
              </w:rPr>
              <w:t>(2,835</w:t>
            </w:r>
          </w:p>
        </w:tc>
        <w:tc>
          <w:tcPr>
            <w:tcW w:w="50" w:type="pct"/>
            <w:shd w:val="clear" w:color="auto" w:fill="CCEEFF"/>
            <w:vAlign w:val="bottom"/>
            <w:hideMark/>
          </w:tcPr>
          <w:p w14:paraId="7539BF1F" w14:textId="77777777" w:rsidR="00000000" w:rsidRDefault="00847163">
            <w:pPr>
              <w:rPr>
                <w:rFonts w:eastAsia="Times New Roman"/>
                <w:sz w:val="20"/>
                <w:szCs w:val="20"/>
              </w:rPr>
            </w:pPr>
            <w:r>
              <w:rPr>
                <w:rFonts w:eastAsia="Times New Roman"/>
                <w:sz w:val="20"/>
                <w:szCs w:val="20"/>
              </w:rPr>
              <w:t>)</w:t>
            </w:r>
          </w:p>
        </w:tc>
        <w:tc>
          <w:tcPr>
            <w:tcW w:w="50" w:type="pct"/>
            <w:shd w:val="clear" w:color="auto" w:fill="CCEEFF"/>
            <w:vAlign w:val="bottom"/>
            <w:hideMark/>
          </w:tcPr>
          <w:p w14:paraId="4365FA87"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A48E708" w14:textId="77777777" w:rsidR="00000000" w:rsidRDefault="00847163">
            <w:pPr>
              <w:rPr>
                <w:rFonts w:eastAsia="Times New Roman"/>
                <w:sz w:val="20"/>
                <w:szCs w:val="20"/>
              </w:rPr>
            </w:pPr>
            <w:r>
              <w:rPr>
                <w:rFonts w:eastAsia="Times New Roman"/>
                <w:sz w:val="20"/>
                <w:szCs w:val="20"/>
              </w:rPr>
              <w:t> </w:t>
            </w:r>
          </w:p>
        </w:tc>
        <w:tc>
          <w:tcPr>
            <w:tcW w:w="550" w:type="pct"/>
            <w:shd w:val="clear" w:color="auto" w:fill="CCEEFF"/>
            <w:vAlign w:val="bottom"/>
            <w:hideMark/>
          </w:tcPr>
          <w:p w14:paraId="19D3FD84" w14:textId="77777777" w:rsidR="00000000" w:rsidRDefault="00847163">
            <w:pPr>
              <w:jc w:val="right"/>
              <w:rPr>
                <w:rFonts w:eastAsia="Times New Roman"/>
                <w:sz w:val="20"/>
                <w:szCs w:val="20"/>
              </w:rPr>
            </w:pPr>
            <w:r>
              <w:rPr>
                <w:rFonts w:eastAsia="Times New Roman"/>
                <w:sz w:val="20"/>
                <w:szCs w:val="20"/>
              </w:rPr>
              <w:t>(2,692</w:t>
            </w:r>
          </w:p>
        </w:tc>
        <w:tc>
          <w:tcPr>
            <w:tcW w:w="50" w:type="pct"/>
            <w:shd w:val="clear" w:color="auto" w:fill="CCEEFF"/>
            <w:vAlign w:val="bottom"/>
            <w:hideMark/>
          </w:tcPr>
          <w:p w14:paraId="74B18219" w14:textId="77777777" w:rsidR="00000000" w:rsidRDefault="00847163">
            <w:pPr>
              <w:rPr>
                <w:rFonts w:eastAsia="Times New Roman"/>
                <w:sz w:val="20"/>
                <w:szCs w:val="20"/>
              </w:rPr>
            </w:pPr>
            <w:r>
              <w:rPr>
                <w:rFonts w:eastAsia="Times New Roman"/>
                <w:sz w:val="20"/>
                <w:szCs w:val="20"/>
              </w:rPr>
              <w:t>)</w:t>
            </w:r>
          </w:p>
        </w:tc>
        <w:tc>
          <w:tcPr>
            <w:tcW w:w="50" w:type="pct"/>
            <w:shd w:val="clear" w:color="auto" w:fill="CCEEFF"/>
            <w:vAlign w:val="bottom"/>
            <w:hideMark/>
          </w:tcPr>
          <w:p w14:paraId="58D8EE6B"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53F6A19" w14:textId="77777777" w:rsidR="00000000" w:rsidRDefault="00847163">
            <w:pPr>
              <w:rPr>
                <w:rFonts w:eastAsia="Times New Roman"/>
                <w:sz w:val="20"/>
                <w:szCs w:val="20"/>
              </w:rPr>
            </w:pPr>
            <w:r>
              <w:rPr>
                <w:rFonts w:eastAsia="Times New Roman"/>
                <w:sz w:val="20"/>
                <w:szCs w:val="20"/>
              </w:rPr>
              <w:t> </w:t>
            </w:r>
          </w:p>
        </w:tc>
        <w:tc>
          <w:tcPr>
            <w:tcW w:w="550" w:type="pct"/>
            <w:shd w:val="clear" w:color="auto" w:fill="CCEEFF"/>
            <w:vAlign w:val="bottom"/>
            <w:hideMark/>
          </w:tcPr>
          <w:p w14:paraId="3CD5F1C9" w14:textId="77777777" w:rsidR="00000000" w:rsidRDefault="00847163">
            <w:pPr>
              <w:jc w:val="right"/>
              <w:rPr>
                <w:rFonts w:eastAsia="Times New Roman"/>
                <w:sz w:val="20"/>
                <w:szCs w:val="20"/>
              </w:rPr>
            </w:pPr>
            <w:r>
              <w:rPr>
                <w:rFonts w:eastAsia="Times New Roman"/>
                <w:sz w:val="20"/>
                <w:szCs w:val="20"/>
              </w:rPr>
              <w:t>(143</w:t>
            </w:r>
          </w:p>
        </w:tc>
        <w:tc>
          <w:tcPr>
            <w:tcW w:w="50" w:type="pct"/>
            <w:shd w:val="clear" w:color="auto" w:fill="CCEEFF"/>
            <w:vAlign w:val="bottom"/>
            <w:hideMark/>
          </w:tcPr>
          <w:p w14:paraId="76A98867" w14:textId="77777777" w:rsidR="00000000" w:rsidRDefault="00847163">
            <w:pPr>
              <w:rPr>
                <w:rFonts w:eastAsia="Times New Roman"/>
                <w:sz w:val="20"/>
                <w:szCs w:val="20"/>
              </w:rPr>
            </w:pPr>
            <w:r>
              <w:rPr>
                <w:rFonts w:eastAsia="Times New Roman"/>
                <w:sz w:val="20"/>
                <w:szCs w:val="20"/>
              </w:rPr>
              <w:t>)</w:t>
            </w:r>
          </w:p>
        </w:tc>
      </w:tr>
      <w:tr w:rsidR="00000000" w14:paraId="0E12CC5A" w14:textId="77777777">
        <w:trPr>
          <w:tblCellSpacing w:w="0" w:type="dxa"/>
        </w:trPr>
        <w:tc>
          <w:tcPr>
            <w:tcW w:w="0" w:type="auto"/>
            <w:shd w:val="clear" w:color="auto" w:fill="FFFFFF"/>
            <w:vAlign w:val="bottom"/>
            <w:hideMark/>
          </w:tcPr>
          <w:p w14:paraId="794022E3" w14:textId="77777777" w:rsidR="00000000" w:rsidRDefault="00847163">
            <w:pPr>
              <w:pStyle w:val="a3"/>
              <w:spacing w:before="0" w:beforeAutospacing="0" w:after="0" w:afterAutospacing="0"/>
              <w:ind w:left="360"/>
              <w:rPr>
                <w:sz w:val="20"/>
                <w:szCs w:val="20"/>
              </w:rPr>
            </w:pPr>
            <w:r>
              <w:rPr>
                <w:sz w:val="20"/>
                <w:szCs w:val="20"/>
              </w:rPr>
              <w:t>Real estate taxes</w:t>
            </w:r>
          </w:p>
        </w:tc>
        <w:tc>
          <w:tcPr>
            <w:tcW w:w="50" w:type="pct"/>
            <w:shd w:val="clear" w:color="auto" w:fill="FFFFFF"/>
            <w:vAlign w:val="bottom"/>
            <w:hideMark/>
          </w:tcPr>
          <w:p w14:paraId="2C875FCB"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072B600" w14:textId="77777777" w:rsidR="00000000" w:rsidRDefault="00847163">
            <w:pPr>
              <w:rPr>
                <w:rFonts w:eastAsia="Times New Roman"/>
                <w:sz w:val="20"/>
                <w:szCs w:val="20"/>
              </w:rPr>
            </w:pPr>
            <w:r>
              <w:rPr>
                <w:rFonts w:eastAsia="Times New Roman"/>
                <w:sz w:val="20"/>
                <w:szCs w:val="20"/>
              </w:rPr>
              <w:t> </w:t>
            </w:r>
          </w:p>
        </w:tc>
        <w:tc>
          <w:tcPr>
            <w:tcW w:w="550" w:type="pct"/>
            <w:shd w:val="clear" w:color="auto" w:fill="FFFFFF"/>
            <w:vAlign w:val="bottom"/>
            <w:hideMark/>
          </w:tcPr>
          <w:p w14:paraId="2BBD143D" w14:textId="77777777" w:rsidR="00000000" w:rsidRDefault="00847163">
            <w:pPr>
              <w:jc w:val="right"/>
              <w:rPr>
                <w:rFonts w:eastAsia="Times New Roman"/>
                <w:sz w:val="20"/>
                <w:szCs w:val="20"/>
              </w:rPr>
            </w:pPr>
            <w:r>
              <w:rPr>
                <w:rFonts w:eastAsia="Times New Roman"/>
                <w:sz w:val="20"/>
                <w:szCs w:val="20"/>
              </w:rPr>
              <w:t>(39,652</w:t>
            </w:r>
          </w:p>
        </w:tc>
        <w:tc>
          <w:tcPr>
            <w:tcW w:w="50" w:type="pct"/>
            <w:shd w:val="clear" w:color="auto" w:fill="FFFFFF"/>
            <w:vAlign w:val="bottom"/>
            <w:hideMark/>
          </w:tcPr>
          <w:p w14:paraId="0FBE33C4" w14:textId="77777777" w:rsidR="00000000" w:rsidRDefault="00847163">
            <w:pPr>
              <w:rPr>
                <w:rFonts w:eastAsia="Times New Roman"/>
                <w:sz w:val="20"/>
                <w:szCs w:val="20"/>
              </w:rPr>
            </w:pPr>
            <w:r>
              <w:rPr>
                <w:rFonts w:eastAsia="Times New Roman"/>
                <w:sz w:val="20"/>
                <w:szCs w:val="20"/>
              </w:rPr>
              <w:t>)</w:t>
            </w:r>
          </w:p>
        </w:tc>
        <w:tc>
          <w:tcPr>
            <w:tcW w:w="50" w:type="pct"/>
            <w:shd w:val="clear" w:color="auto" w:fill="FFFFFF"/>
            <w:vAlign w:val="bottom"/>
            <w:hideMark/>
          </w:tcPr>
          <w:p w14:paraId="0ED4A43F"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EADC7A7" w14:textId="77777777" w:rsidR="00000000" w:rsidRDefault="00847163">
            <w:pPr>
              <w:rPr>
                <w:rFonts w:eastAsia="Times New Roman"/>
                <w:sz w:val="20"/>
                <w:szCs w:val="20"/>
              </w:rPr>
            </w:pPr>
            <w:r>
              <w:rPr>
                <w:rFonts w:eastAsia="Times New Roman"/>
                <w:sz w:val="20"/>
                <w:szCs w:val="20"/>
              </w:rPr>
              <w:t> </w:t>
            </w:r>
          </w:p>
        </w:tc>
        <w:tc>
          <w:tcPr>
            <w:tcW w:w="550" w:type="pct"/>
            <w:shd w:val="clear" w:color="auto" w:fill="FFFFFF"/>
            <w:vAlign w:val="bottom"/>
            <w:hideMark/>
          </w:tcPr>
          <w:p w14:paraId="3BD0FF13" w14:textId="77777777" w:rsidR="00000000" w:rsidRDefault="00847163">
            <w:pPr>
              <w:jc w:val="right"/>
              <w:rPr>
                <w:rFonts w:eastAsia="Times New Roman"/>
                <w:sz w:val="20"/>
                <w:szCs w:val="20"/>
              </w:rPr>
            </w:pPr>
            <w:r>
              <w:rPr>
                <w:rFonts w:eastAsia="Times New Roman"/>
                <w:sz w:val="20"/>
                <w:szCs w:val="20"/>
              </w:rPr>
              <w:t>(39,347</w:t>
            </w:r>
          </w:p>
        </w:tc>
        <w:tc>
          <w:tcPr>
            <w:tcW w:w="50" w:type="pct"/>
            <w:shd w:val="clear" w:color="auto" w:fill="FFFFFF"/>
            <w:vAlign w:val="bottom"/>
            <w:hideMark/>
          </w:tcPr>
          <w:p w14:paraId="5BD65896" w14:textId="77777777" w:rsidR="00000000" w:rsidRDefault="00847163">
            <w:pPr>
              <w:rPr>
                <w:rFonts w:eastAsia="Times New Roman"/>
                <w:sz w:val="20"/>
                <w:szCs w:val="20"/>
              </w:rPr>
            </w:pPr>
            <w:r>
              <w:rPr>
                <w:rFonts w:eastAsia="Times New Roman"/>
                <w:sz w:val="20"/>
                <w:szCs w:val="20"/>
              </w:rPr>
              <w:t>)</w:t>
            </w:r>
          </w:p>
        </w:tc>
        <w:tc>
          <w:tcPr>
            <w:tcW w:w="50" w:type="pct"/>
            <w:shd w:val="clear" w:color="auto" w:fill="FFFFFF"/>
            <w:vAlign w:val="bottom"/>
            <w:hideMark/>
          </w:tcPr>
          <w:p w14:paraId="491166C8"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BA0DCE6" w14:textId="77777777" w:rsidR="00000000" w:rsidRDefault="00847163">
            <w:pPr>
              <w:rPr>
                <w:rFonts w:eastAsia="Times New Roman"/>
                <w:sz w:val="20"/>
                <w:szCs w:val="20"/>
              </w:rPr>
            </w:pPr>
            <w:r>
              <w:rPr>
                <w:rFonts w:eastAsia="Times New Roman"/>
                <w:sz w:val="20"/>
                <w:szCs w:val="20"/>
              </w:rPr>
              <w:t> </w:t>
            </w:r>
          </w:p>
        </w:tc>
        <w:tc>
          <w:tcPr>
            <w:tcW w:w="550" w:type="pct"/>
            <w:shd w:val="clear" w:color="auto" w:fill="FFFFFF"/>
            <w:vAlign w:val="bottom"/>
            <w:hideMark/>
          </w:tcPr>
          <w:p w14:paraId="25474005" w14:textId="77777777" w:rsidR="00000000" w:rsidRDefault="00847163">
            <w:pPr>
              <w:jc w:val="right"/>
              <w:rPr>
                <w:rFonts w:eastAsia="Times New Roman"/>
                <w:sz w:val="20"/>
                <w:szCs w:val="20"/>
              </w:rPr>
            </w:pPr>
            <w:r>
              <w:rPr>
                <w:rFonts w:eastAsia="Times New Roman"/>
                <w:sz w:val="20"/>
                <w:szCs w:val="20"/>
              </w:rPr>
              <w:t>(305</w:t>
            </w:r>
          </w:p>
        </w:tc>
        <w:tc>
          <w:tcPr>
            <w:tcW w:w="50" w:type="pct"/>
            <w:shd w:val="clear" w:color="auto" w:fill="FFFFFF"/>
            <w:vAlign w:val="bottom"/>
            <w:hideMark/>
          </w:tcPr>
          <w:p w14:paraId="396FB8D6" w14:textId="77777777" w:rsidR="00000000" w:rsidRDefault="00847163">
            <w:pPr>
              <w:rPr>
                <w:rFonts w:eastAsia="Times New Roman"/>
                <w:sz w:val="20"/>
                <w:szCs w:val="20"/>
              </w:rPr>
            </w:pPr>
            <w:r>
              <w:rPr>
                <w:rFonts w:eastAsia="Times New Roman"/>
                <w:sz w:val="20"/>
                <w:szCs w:val="20"/>
              </w:rPr>
              <w:t>)</w:t>
            </w:r>
          </w:p>
        </w:tc>
      </w:tr>
      <w:tr w:rsidR="00000000" w14:paraId="6FD610B6" w14:textId="77777777">
        <w:trPr>
          <w:tblCellSpacing w:w="0" w:type="dxa"/>
        </w:trPr>
        <w:tc>
          <w:tcPr>
            <w:tcW w:w="0" w:type="auto"/>
            <w:shd w:val="clear" w:color="auto" w:fill="CCEEFF"/>
            <w:vAlign w:val="bottom"/>
            <w:hideMark/>
          </w:tcPr>
          <w:p w14:paraId="02364DAC" w14:textId="77777777" w:rsidR="00000000" w:rsidRDefault="00847163">
            <w:pPr>
              <w:pStyle w:val="a3"/>
              <w:spacing w:before="0" w:beforeAutospacing="0" w:after="0" w:afterAutospacing="0"/>
              <w:ind w:left="360"/>
              <w:rPr>
                <w:sz w:val="20"/>
                <w:szCs w:val="20"/>
              </w:rPr>
            </w:pPr>
            <w:r>
              <w:rPr>
                <w:sz w:val="20"/>
                <w:szCs w:val="20"/>
              </w:rPr>
              <w:t>Operating and maintenance (2)</w:t>
            </w:r>
          </w:p>
        </w:tc>
        <w:tc>
          <w:tcPr>
            <w:tcW w:w="50" w:type="pct"/>
            <w:shd w:val="clear" w:color="auto" w:fill="CCEEFF"/>
            <w:vAlign w:val="bottom"/>
            <w:hideMark/>
          </w:tcPr>
          <w:p w14:paraId="784E8311"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7071D3C" w14:textId="77777777" w:rsidR="00000000" w:rsidRDefault="00847163">
            <w:pPr>
              <w:rPr>
                <w:rFonts w:eastAsia="Times New Roman"/>
                <w:sz w:val="20"/>
                <w:szCs w:val="20"/>
              </w:rPr>
            </w:pPr>
            <w:r>
              <w:rPr>
                <w:rFonts w:eastAsia="Times New Roman"/>
                <w:sz w:val="20"/>
                <w:szCs w:val="20"/>
              </w:rPr>
              <w:t> </w:t>
            </w:r>
          </w:p>
        </w:tc>
        <w:tc>
          <w:tcPr>
            <w:tcW w:w="550" w:type="pct"/>
            <w:shd w:val="clear" w:color="auto" w:fill="CCEEFF"/>
            <w:vAlign w:val="bottom"/>
            <w:hideMark/>
          </w:tcPr>
          <w:p w14:paraId="66F97384" w14:textId="77777777" w:rsidR="00000000" w:rsidRDefault="00847163">
            <w:pPr>
              <w:jc w:val="right"/>
              <w:rPr>
                <w:rFonts w:eastAsia="Times New Roman"/>
                <w:sz w:val="20"/>
                <w:szCs w:val="20"/>
              </w:rPr>
            </w:pPr>
            <w:r>
              <w:rPr>
                <w:rFonts w:eastAsia="Times New Roman"/>
                <w:sz w:val="20"/>
                <w:szCs w:val="20"/>
              </w:rPr>
              <w:t>(42,408</w:t>
            </w:r>
          </w:p>
        </w:tc>
        <w:tc>
          <w:tcPr>
            <w:tcW w:w="50" w:type="pct"/>
            <w:shd w:val="clear" w:color="auto" w:fill="CCEEFF"/>
            <w:vAlign w:val="bottom"/>
            <w:hideMark/>
          </w:tcPr>
          <w:p w14:paraId="0AD17E60" w14:textId="77777777" w:rsidR="00000000" w:rsidRDefault="00847163">
            <w:pPr>
              <w:rPr>
                <w:rFonts w:eastAsia="Times New Roman"/>
                <w:sz w:val="20"/>
                <w:szCs w:val="20"/>
              </w:rPr>
            </w:pPr>
            <w:r>
              <w:rPr>
                <w:rFonts w:eastAsia="Times New Roman"/>
                <w:sz w:val="20"/>
                <w:szCs w:val="20"/>
              </w:rPr>
              <w:t>)</w:t>
            </w:r>
          </w:p>
        </w:tc>
        <w:tc>
          <w:tcPr>
            <w:tcW w:w="50" w:type="pct"/>
            <w:shd w:val="clear" w:color="auto" w:fill="CCEEFF"/>
            <w:vAlign w:val="bottom"/>
            <w:hideMark/>
          </w:tcPr>
          <w:p w14:paraId="21E9E02D"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449D3C6" w14:textId="77777777" w:rsidR="00000000" w:rsidRDefault="00847163">
            <w:pPr>
              <w:rPr>
                <w:rFonts w:eastAsia="Times New Roman"/>
                <w:sz w:val="20"/>
                <w:szCs w:val="20"/>
              </w:rPr>
            </w:pPr>
            <w:r>
              <w:rPr>
                <w:rFonts w:eastAsia="Times New Roman"/>
                <w:sz w:val="20"/>
                <w:szCs w:val="20"/>
              </w:rPr>
              <w:t> </w:t>
            </w:r>
          </w:p>
        </w:tc>
        <w:tc>
          <w:tcPr>
            <w:tcW w:w="550" w:type="pct"/>
            <w:shd w:val="clear" w:color="auto" w:fill="CCEEFF"/>
            <w:vAlign w:val="bottom"/>
            <w:hideMark/>
          </w:tcPr>
          <w:p w14:paraId="3F4E19F6" w14:textId="77777777" w:rsidR="00000000" w:rsidRDefault="00847163">
            <w:pPr>
              <w:jc w:val="right"/>
              <w:rPr>
                <w:rFonts w:eastAsia="Times New Roman"/>
                <w:sz w:val="20"/>
                <w:szCs w:val="20"/>
              </w:rPr>
            </w:pPr>
            <w:r>
              <w:rPr>
                <w:rFonts w:eastAsia="Times New Roman"/>
                <w:sz w:val="20"/>
                <w:szCs w:val="20"/>
              </w:rPr>
              <w:t>(40,896</w:t>
            </w:r>
          </w:p>
        </w:tc>
        <w:tc>
          <w:tcPr>
            <w:tcW w:w="50" w:type="pct"/>
            <w:shd w:val="clear" w:color="auto" w:fill="CCEEFF"/>
            <w:vAlign w:val="bottom"/>
            <w:hideMark/>
          </w:tcPr>
          <w:p w14:paraId="3246D3B3" w14:textId="77777777" w:rsidR="00000000" w:rsidRDefault="00847163">
            <w:pPr>
              <w:rPr>
                <w:rFonts w:eastAsia="Times New Roman"/>
                <w:sz w:val="20"/>
                <w:szCs w:val="20"/>
              </w:rPr>
            </w:pPr>
            <w:r>
              <w:rPr>
                <w:rFonts w:eastAsia="Times New Roman"/>
                <w:sz w:val="20"/>
                <w:szCs w:val="20"/>
              </w:rPr>
              <w:t>)</w:t>
            </w:r>
          </w:p>
        </w:tc>
        <w:tc>
          <w:tcPr>
            <w:tcW w:w="50" w:type="pct"/>
            <w:shd w:val="clear" w:color="auto" w:fill="CCEEFF"/>
            <w:vAlign w:val="bottom"/>
            <w:hideMark/>
          </w:tcPr>
          <w:p w14:paraId="623451FE"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C3A608F" w14:textId="77777777" w:rsidR="00000000" w:rsidRDefault="00847163">
            <w:pPr>
              <w:rPr>
                <w:rFonts w:eastAsia="Times New Roman"/>
                <w:sz w:val="20"/>
                <w:szCs w:val="20"/>
              </w:rPr>
            </w:pPr>
            <w:r>
              <w:rPr>
                <w:rFonts w:eastAsia="Times New Roman"/>
                <w:sz w:val="20"/>
                <w:szCs w:val="20"/>
              </w:rPr>
              <w:t> </w:t>
            </w:r>
          </w:p>
        </w:tc>
        <w:tc>
          <w:tcPr>
            <w:tcW w:w="550" w:type="pct"/>
            <w:shd w:val="clear" w:color="auto" w:fill="CCEEFF"/>
            <w:vAlign w:val="bottom"/>
            <w:hideMark/>
          </w:tcPr>
          <w:p w14:paraId="3696F4EA" w14:textId="77777777" w:rsidR="00000000" w:rsidRDefault="00847163">
            <w:pPr>
              <w:jc w:val="right"/>
              <w:rPr>
                <w:rFonts w:eastAsia="Times New Roman"/>
                <w:sz w:val="20"/>
                <w:szCs w:val="20"/>
              </w:rPr>
            </w:pPr>
            <w:r>
              <w:rPr>
                <w:rFonts w:eastAsia="Times New Roman"/>
                <w:sz w:val="20"/>
                <w:szCs w:val="20"/>
              </w:rPr>
              <w:t>(1,512</w:t>
            </w:r>
          </w:p>
        </w:tc>
        <w:tc>
          <w:tcPr>
            <w:tcW w:w="50" w:type="pct"/>
            <w:shd w:val="clear" w:color="auto" w:fill="CCEEFF"/>
            <w:vAlign w:val="bottom"/>
            <w:hideMark/>
          </w:tcPr>
          <w:p w14:paraId="583E79DE" w14:textId="77777777" w:rsidR="00000000" w:rsidRDefault="00847163">
            <w:pPr>
              <w:rPr>
                <w:rFonts w:eastAsia="Times New Roman"/>
                <w:sz w:val="20"/>
                <w:szCs w:val="20"/>
              </w:rPr>
            </w:pPr>
            <w:r>
              <w:rPr>
                <w:rFonts w:eastAsia="Times New Roman"/>
                <w:sz w:val="20"/>
                <w:szCs w:val="20"/>
              </w:rPr>
              <w:t>)</w:t>
            </w:r>
          </w:p>
        </w:tc>
      </w:tr>
      <w:tr w:rsidR="00000000" w14:paraId="7ED41EA1" w14:textId="77777777">
        <w:trPr>
          <w:tblCellSpacing w:w="0" w:type="dxa"/>
        </w:trPr>
        <w:tc>
          <w:tcPr>
            <w:tcW w:w="0" w:type="auto"/>
            <w:shd w:val="clear" w:color="auto" w:fill="FFFFFF"/>
            <w:vAlign w:val="bottom"/>
            <w:hideMark/>
          </w:tcPr>
          <w:p w14:paraId="024C18DF" w14:textId="77777777" w:rsidR="00000000" w:rsidRDefault="00847163">
            <w:pPr>
              <w:pStyle w:val="a3"/>
              <w:spacing w:before="0" w:beforeAutospacing="0" w:after="0" w:afterAutospacing="0"/>
              <w:ind w:left="360"/>
              <w:rPr>
                <w:sz w:val="20"/>
                <w:szCs w:val="20"/>
              </w:rPr>
            </w:pPr>
            <w:r>
              <w:rPr>
                <w:sz w:val="20"/>
                <w:szCs w:val="20"/>
              </w:rPr>
              <w:t>General and administrative (3)</w:t>
            </w:r>
          </w:p>
        </w:tc>
        <w:tc>
          <w:tcPr>
            <w:tcW w:w="50" w:type="pct"/>
            <w:shd w:val="clear" w:color="auto" w:fill="FFFFFF"/>
            <w:vAlign w:val="bottom"/>
            <w:hideMark/>
          </w:tcPr>
          <w:p w14:paraId="3C62D524"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6978D6A" w14:textId="77777777" w:rsidR="00000000" w:rsidRDefault="00847163">
            <w:pPr>
              <w:rPr>
                <w:rFonts w:eastAsia="Times New Roman"/>
                <w:sz w:val="20"/>
                <w:szCs w:val="20"/>
              </w:rPr>
            </w:pPr>
            <w:r>
              <w:rPr>
                <w:rFonts w:eastAsia="Times New Roman"/>
                <w:sz w:val="20"/>
                <w:szCs w:val="20"/>
              </w:rPr>
              <w:t> </w:t>
            </w:r>
          </w:p>
        </w:tc>
        <w:tc>
          <w:tcPr>
            <w:tcW w:w="550" w:type="pct"/>
            <w:shd w:val="clear" w:color="auto" w:fill="FFFFFF"/>
            <w:vAlign w:val="bottom"/>
            <w:hideMark/>
          </w:tcPr>
          <w:p w14:paraId="6F18E2FD" w14:textId="77777777" w:rsidR="00000000" w:rsidRDefault="00847163">
            <w:pPr>
              <w:jc w:val="right"/>
              <w:rPr>
                <w:rFonts w:eastAsia="Times New Roman"/>
                <w:sz w:val="20"/>
                <w:szCs w:val="20"/>
              </w:rPr>
            </w:pPr>
            <w:r>
              <w:rPr>
                <w:rFonts w:eastAsia="Times New Roman"/>
                <w:sz w:val="20"/>
                <w:szCs w:val="20"/>
              </w:rPr>
              <w:t>(21,017</w:t>
            </w:r>
          </w:p>
        </w:tc>
        <w:tc>
          <w:tcPr>
            <w:tcW w:w="50" w:type="pct"/>
            <w:shd w:val="clear" w:color="auto" w:fill="FFFFFF"/>
            <w:vAlign w:val="bottom"/>
            <w:hideMark/>
          </w:tcPr>
          <w:p w14:paraId="28C8E8B1" w14:textId="77777777" w:rsidR="00000000" w:rsidRDefault="00847163">
            <w:pPr>
              <w:rPr>
                <w:rFonts w:eastAsia="Times New Roman"/>
                <w:sz w:val="20"/>
                <w:szCs w:val="20"/>
              </w:rPr>
            </w:pPr>
            <w:r>
              <w:rPr>
                <w:rFonts w:eastAsia="Times New Roman"/>
                <w:sz w:val="20"/>
                <w:szCs w:val="20"/>
              </w:rPr>
              <w:t>)</w:t>
            </w:r>
          </w:p>
        </w:tc>
        <w:tc>
          <w:tcPr>
            <w:tcW w:w="50" w:type="pct"/>
            <w:shd w:val="clear" w:color="auto" w:fill="FFFFFF"/>
            <w:vAlign w:val="bottom"/>
            <w:hideMark/>
          </w:tcPr>
          <w:p w14:paraId="3E938D9E"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DACAC88" w14:textId="77777777" w:rsidR="00000000" w:rsidRDefault="00847163">
            <w:pPr>
              <w:rPr>
                <w:rFonts w:eastAsia="Times New Roman"/>
                <w:sz w:val="20"/>
                <w:szCs w:val="20"/>
              </w:rPr>
            </w:pPr>
            <w:r>
              <w:rPr>
                <w:rFonts w:eastAsia="Times New Roman"/>
                <w:sz w:val="20"/>
                <w:szCs w:val="20"/>
              </w:rPr>
              <w:t> </w:t>
            </w:r>
          </w:p>
        </w:tc>
        <w:tc>
          <w:tcPr>
            <w:tcW w:w="550" w:type="pct"/>
            <w:shd w:val="clear" w:color="auto" w:fill="FFFFFF"/>
            <w:vAlign w:val="bottom"/>
            <w:hideMark/>
          </w:tcPr>
          <w:p w14:paraId="2463B7D9" w14:textId="77777777" w:rsidR="00000000" w:rsidRDefault="00847163">
            <w:pPr>
              <w:jc w:val="right"/>
              <w:rPr>
                <w:rFonts w:eastAsia="Times New Roman"/>
                <w:sz w:val="20"/>
                <w:szCs w:val="20"/>
              </w:rPr>
            </w:pPr>
            <w:r>
              <w:rPr>
                <w:rFonts w:eastAsia="Times New Roman"/>
                <w:sz w:val="20"/>
                <w:szCs w:val="20"/>
              </w:rPr>
              <w:t>(25,831</w:t>
            </w:r>
          </w:p>
        </w:tc>
        <w:tc>
          <w:tcPr>
            <w:tcW w:w="50" w:type="pct"/>
            <w:shd w:val="clear" w:color="auto" w:fill="FFFFFF"/>
            <w:vAlign w:val="bottom"/>
            <w:hideMark/>
          </w:tcPr>
          <w:p w14:paraId="2090BC87" w14:textId="77777777" w:rsidR="00000000" w:rsidRDefault="00847163">
            <w:pPr>
              <w:rPr>
                <w:rFonts w:eastAsia="Times New Roman"/>
                <w:sz w:val="20"/>
                <w:szCs w:val="20"/>
              </w:rPr>
            </w:pPr>
            <w:r>
              <w:rPr>
                <w:rFonts w:eastAsia="Times New Roman"/>
                <w:sz w:val="20"/>
                <w:szCs w:val="20"/>
              </w:rPr>
              <w:t>)</w:t>
            </w:r>
          </w:p>
        </w:tc>
        <w:tc>
          <w:tcPr>
            <w:tcW w:w="50" w:type="pct"/>
            <w:shd w:val="clear" w:color="auto" w:fill="FFFFFF"/>
            <w:vAlign w:val="bottom"/>
            <w:hideMark/>
          </w:tcPr>
          <w:p w14:paraId="6B9D3F76"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A988975" w14:textId="77777777" w:rsidR="00000000" w:rsidRDefault="00847163">
            <w:pPr>
              <w:rPr>
                <w:rFonts w:eastAsia="Times New Roman"/>
                <w:sz w:val="20"/>
                <w:szCs w:val="20"/>
              </w:rPr>
            </w:pPr>
            <w:r>
              <w:rPr>
                <w:rFonts w:eastAsia="Times New Roman"/>
                <w:sz w:val="20"/>
                <w:szCs w:val="20"/>
              </w:rPr>
              <w:t> </w:t>
            </w:r>
          </w:p>
        </w:tc>
        <w:tc>
          <w:tcPr>
            <w:tcW w:w="550" w:type="pct"/>
            <w:shd w:val="clear" w:color="auto" w:fill="FFFFFF"/>
            <w:vAlign w:val="bottom"/>
            <w:hideMark/>
          </w:tcPr>
          <w:p w14:paraId="18DDFD16" w14:textId="77777777" w:rsidR="00000000" w:rsidRDefault="00847163">
            <w:pPr>
              <w:jc w:val="right"/>
              <w:rPr>
                <w:rFonts w:eastAsia="Times New Roman"/>
                <w:sz w:val="20"/>
                <w:szCs w:val="20"/>
              </w:rPr>
            </w:pPr>
            <w:r>
              <w:rPr>
                <w:rFonts w:eastAsia="Times New Roman"/>
                <w:sz w:val="20"/>
                <w:szCs w:val="20"/>
              </w:rPr>
              <w:t>4,814</w:t>
            </w:r>
          </w:p>
        </w:tc>
        <w:tc>
          <w:tcPr>
            <w:tcW w:w="50" w:type="pct"/>
            <w:shd w:val="clear" w:color="auto" w:fill="FFFFFF"/>
            <w:vAlign w:val="bottom"/>
            <w:hideMark/>
          </w:tcPr>
          <w:p w14:paraId="1742F595" w14:textId="77777777" w:rsidR="00000000" w:rsidRDefault="00847163">
            <w:pPr>
              <w:rPr>
                <w:rFonts w:eastAsia="Times New Roman"/>
                <w:sz w:val="20"/>
                <w:szCs w:val="20"/>
              </w:rPr>
            </w:pPr>
            <w:r>
              <w:rPr>
                <w:rFonts w:eastAsia="Times New Roman"/>
                <w:sz w:val="20"/>
                <w:szCs w:val="20"/>
              </w:rPr>
              <w:t> </w:t>
            </w:r>
          </w:p>
        </w:tc>
      </w:tr>
      <w:tr w:rsidR="00000000" w14:paraId="0C40D01A" w14:textId="77777777">
        <w:trPr>
          <w:tblCellSpacing w:w="0" w:type="dxa"/>
        </w:trPr>
        <w:tc>
          <w:tcPr>
            <w:tcW w:w="0" w:type="auto"/>
            <w:shd w:val="clear" w:color="auto" w:fill="CCEEFF"/>
            <w:vAlign w:val="bottom"/>
            <w:hideMark/>
          </w:tcPr>
          <w:p w14:paraId="2AA80DF6" w14:textId="77777777" w:rsidR="00000000" w:rsidRDefault="00847163">
            <w:pPr>
              <w:pStyle w:val="a3"/>
              <w:spacing w:before="0" w:beforeAutospacing="0" w:after="0" w:afterAutospacing="0"/>
              <w:ind w:left="360"/>
              <w:rPr>
                <w:sz w:val="20"/>
                <w:szCs w:val="20"/>
              </w:rPr>
            </w:pPr>
            <w:r>
              <w:rPr>
                <w:sz w:val="20"/>
                <w:szCs w:val="20"/>
              </w:rPr>
              <w:t>Impairment charges</w:t>
            </w:r>
          </w:p>
        </w:tc>
        <w:tc>
          <w:tcPr>
            <w:tcW w:w="50" w:type="pct"/>
            <w:shd w:val="clear" w:color="auto" w:fill="CCEEFF"/>
            <w:vAlign w:val="bottom"/>
            <w:hideMark/>
          </w:tcPr>
          <w:p w14:paraId="0C2C596E"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C6F9A3E" w14:textId="77777777" w:rsidR="00000000" w:rsidRDefault="00847163">
            <w:pPr>
              <w:rPr>
                <w:rFonts w:eastAsia="Times New Roman"/>
                <w:sz w:val="20"/>
                <w:szCs w:val="20"/>
              </w:rPr>
            </w:pPr>
            <w:r>
              <w:rPr>
                <w:rFonts w:eastAsia="Times New Roman"/>
                <w:sz w:val="20"/>
                <w:szCs w:val="20"/>
              </w:rPr>
              <w:t> </w:t>
            </w:r>
          </w:p>
        </w:tc>
        <w:tc>
          <w:tcPr>
            <w:tcW w:w="550" w:type="pct"/>
            <w:shd w:val="clear" w:color="auto" w:fill="CCEEFF"/>
            <w:vAlign w:val="bottom"/>
            <w:hideMark/>
          </w:tcPr>
          <w:p w14:paraId="007D08BB" w14:textId="77777777" w:rsidR="00000000" w:rsidRDefault="00847163">
            <w:pPr>
              <w:jc w:val="right"/>
              <w:rPr>
                <w:rFonts w:eastAsia="Times New Roman"/>
                <w:sz w:val="20"/>
                <w:szCs w:val="20"/>
              </w:rPr>
            </w:pPr>
            <w:r>
              <w:rPr>
                <w:rFonts w:eastAsia="Times New Roman"/>
                <w:sz w:val="20"/>
                <w:szCs w:val="20"/>
              </w:rPr>
              <w:t>(2,974</w:t>
            </w:r>
          </w:p>
        </w:tc>
        <w:tc>
          <w:tcPr>
            <w:tcW w:w="50" w:type="pct"/>
            <w:shd w:val="clear" w:color="auto" w:fill="CCEEFF"/>
            <w:vAlign w:val="bottom"/>
            <w:hideMark/>
          </w:tcPr>
          <w:p w14:paraId="57C496FE" w14:textId="77777777" w:rsidR="00000000" w:rsidRDefault="00847163">
            <w:pPr>
              <w:rPr>
                <w:rFonts w:eastAsia="Times New Roman"/>
                <w:sz w:val="20"/>
                <w:szCs w:val="20"/>
              </w:rPr>
            </w:pPr>
            <w:r>
              <w:rPr>
                <w:rFonts w:eastAsia="Times New Roman"/>
                <w:sz w:val="20"/>
                <w:szCs w:val="20"/>
              </w:rPr>
              <w:t>)</w:t>
            </w:r>
          </w:p>
        </w:tc>
        <w:tc>
          <w:tcPr>
            <w:tcW w:w="50" w:type="pct"/>
            <w:shd w:val="clear" w:color="auto" w:fill="CCEEFF"/>
            <w:vAlign w:val="bottom"/>
            <w:hideMark/>
          </w:tcPr>
          <w:p w14:paraId="2BE17CCC"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47D59FB" w14:textId="77777777" w:rsidR="00000000" w:rsidRDefault="00847163">
            <w:pPr>
              <w:rPr>
                <w:rFonts w:eastAsia="Times New Roman"/>
                <w:sz w:val="20"/>
                <w:szCs w:val="20"/>
              </w:rPr>
            </w:pPr>
            <w:r>
              <w:rPr>
                <w:rFonts w:eastAsia="Times New Roman"/>
                <w:sz w:val="20"/>
                <w:szCs w:val="20"/>
              </w:rPr>
              <w:t> </w:t>
            </w:r>
          </w:p>
        </w:tc>
        <w:tc>
          <w:tcPr>
            <w:tcW w:w="550" w:type="pct"/>
            <w:shd w:val="clear" w:color="auto" w:fill="CCEEFF"/>
            <w:vAlign w:val="bottom"/>
            <w:hideMark/>
          </w:tcPr>
          <w:p w14:paraId="57F1AAAE" w14:textId="77777777" w:rsidR="00000000" w:rsidRDefault="00847163">
            <w:pPr>
              <w:jc w:val="right"/>
              <w:rPr>
                <w:rFonts w:eastAsia="Times New Roman"/>
                <w:sz w:val="20"/>
                <w:szCs w:val="20"/>
              </w:rPr>
            </w:pPr>
            <w:r>
              <w:rPr>
                <w:rFonts w:eastAsia="Times New Roman"/>
                <w:sz w:val="20"/>
                <w:szCs w:val="20"/>
              </w:rPr>
              <w:t>(4,175</w:t>
            </w:r>
          </w:p>
        </w:tc>
        <w:tc>
          <w:tcPr>
            <w:tcW w:w="50" w:type="pct"/>
            <w:shd w:val="clear" w:color="auto" w:fill="CCEEFF"/>
            <w:vAlign w:val="bottom"/>
            <w:hideMark/>
          </w:tcPr>
          <w:p w14:paraId="6D2DAD66" w14:textId="77777777" w:rsidR="00000000" w:rsidRDefault="00847163">
            <w:pPr>
              <w:rPr>
                <w:rFonts w:eastAsia="Times New Roman"/>
                <w:sz w:val="20"/>
                <w:szCs w:val="20"/>
              </w:rPr>
            </w:pPr>
            <w:r>
              <w:rPr>
                <w:rFonts w:eastAsia="Times New Roman"/>
                <w:sz w:val="20"/>
                <w:szCs w:val="20"/>
              </w:rPr>
              <w:t>)</w:t>
            </w:r>
          </w:p>
        </w:tc>
        <w:tc>
          <w:tcPr>
            <w:tcW w:w="50" w:type="pct"/>
            <w:shd w:val="clear" w:color="auto" w:fill="CCEEFF"/>
            <w:vAlign w:val="bottom"/>
            <w:hideMark/>
          </w:tcPr>
          <w:p w14:paraId="0C621A3E"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A957D7D" w14:textId="77777777" w:rsidR="00000000" w:rsidRDefault="00847163">
            <w:pPr>
              <w:rPr>
                <w:rFonts w:eastAsia="Times New Roman"/>
                <w:sz w:val="20"/>
                <w:szCs w:val="20"/>
              </w:rPr>
            </w:pPr>
            <w:r>
              <w:rPr>
                <w:rFonts w:eastAsia="Times New Roman"/>
                <w:sz w:val="20"/>
                <w:szCs w:val="20"/>
              </w:rPr>
              <w:t> </w:t>
            </w:r>
          </w:p>
        </w:tc>
        <w:tc>
          <w:tcPr>
            <w:tcW w:w="550" w:type="pct"/>
            <w:shd w:val="clear" w:color="auto" w:fill="CCEEFF"/>
            <w:vAlign w:val="bottom"/>
            <w:hideMark/>
          </w:tcPr>
          <w:p w14:paraId="43FBEA65" w14:textId="77777777" w:rsidR="00000000" w:rsidRDefault="00847163">
            <w:pPr>
              <w:jc w:val="right"/>
              <w:rPr>
                <w:rFonts w:eastAsia="Times New Roman"/>
                <w:sz w:val="20"/>
                <w:szCs w:val="20"/>
              </w:rPr>
            </w:pPr>
            <w:r>
              <w:rPr>
                <w:rFonts w:eastAsia="Times New Roman"/>
                <w:sz w:val="20"/>
                <w:szCs w:val="20"/>
              </w:rPr>
              <w:t>1,201</w:t>
            </w:r>
          </w:p>
        </w:tc>
        <w:tc>
          <w:tcPr>
            <w:tcW w:w="50" w:type="pct"/>
            <w:shd w:val="clear" w:color="auto" w:fill="CCEEFF"/>
            <w:vAlign w:val="bottom"/>
            <w:hideMark/>
          </w:tcPr>
          <w:p w14:paraId="325BF132" w14:textId="77777777" w:rsidR="00000000" w:rsidRDefault="00847163">
            <w:pPr>
              <w:rPr>
                <w:rFonts w:eastAsia="Times New Roman"/>
                <w:sz w:val="20"/>
                <w:szCs w:val="20"/>
              </w:rPr>
            </w:pPr>
            <w:r>
              <w:rPr>
                <w:rFonts w:eastAsia="Times New Roman"/>
                <w:sz w:val="20"/>
                <w:szCs w:val="20"/>
              </w:rPr>
              <w:t> </w:t>
            </w:r>
          </w:p>
        </w:tc>
      </w:tr>
      <w:tr w:rsidR="00000000" w14:paraId="2A2D22B1" w14:textId="77777777">
        <w:trPr>
          <w:tblCellSpacing w:w="0" w:type="dxa"/>
        </w:trPr>
        <w:tc>
          <w:tcPr>
            <w:tcW w:w="0" w:type="auto"/>
            <w:shd w:val="clear" w:color="auto" w:fill="FFFFFF"/>
            <w:vAlign w:val="bottom"/>
            <w:hideMark/>
          </w:tcPr>
          <w:p w14:paraId="2D7C2D1E" w14:textId="77777777" w:rsidR="00000000" w:rsidRDefault="00847163">
            <w:pPr>
              <w:pStyle w:val="a3"/>
              <w:spacing w:before="0" w:beforeAutospacing="0" w:after="0" w:afterAutospacing="0"/>
              <w:ind w:left="360"/>
              <w:rPr>
                <w:sz w:val="20"/>
                <w:szCs w:val="20"/>
              </w:rPr>
            </w:pPr>
            <w:r>
              <w:rPr>
                <w:sz w:val="20"/>
                <w:szCs w:val="20"/>
              </w:rPr>
              <w:t>Depreciation and amortization</w:t>
            </w:r>
          </w:p>
        </w:tc>
        <w:tc>
          <w:tcPr>
            <w:tcW w:w="50" w:type="pct"/>
            <w:shd w:val="clear" w:color="auto" w:fill="FFFFFF"/>
            <w:vAlign w:val="bottom"/>
            <w:hideMark/>
          </w:tcPr>
          <w:p w14:paraId="0FDBB02B"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A02140B" w14:textId="77777777" w:rsidR="00000000" w:rsidRDefault="00847163">
            <w:pPr>
              <w:rPr>
                <w:rFonts w:eastAsia="Times New Roman"/>
                <w:sz w:val="20"/>
                <w:szCs w:val="20"/>
              </w:rPr>
            </w:pPr>
            <w:r>
              <w:rPr>
                <w:rFonts w:eastAsia="Times New Roman"/>
                <w:sz w:val="20"/>
                <w:szCs w:val="20"/>
              </w:rPr>
              <w:t> </w:t>
            </w:r>
          </w:p>
        </w:tc>
        <w:tc>
          <w:tcPr>
            <w:tcW w:w="550" w:type="pct"/>
            <w:shd w:val="clear" w:color="auto" w:fill="FFFFFF"/>
            <w:vAlign w:val="bottom"/>
            <w:hideMark/>
          </w:tcPr>
          <w:p w14:paraId="3CC7F391" w14:textId="77777777" w:rsidR="00000000" w:rsidRDefault="00847163">
            <w:pPr>
              <w:jc w:val="right"/>
              <w:rPr>
                <w:rFonts w:eastAsia="Times New Roman"/>
                <w:sz w:val="20"/>
                <w:szCs w:val="20"/>
              </w:rPr>
            </w:pPr>
            <w:r>
              <w:rPr>
                <w:rFonts w:eastAsia="Times New Roman"/>
                <w:sz w:val="20"/>
                <w:szCs w:val="20"/>
              </w:rPr>
              <w:t>(69,397</w:t>
            </w:r>
          </w:p>
        </w:tc>
        <w:tc>
          <w:tcPr>
            <w:tcW w:w="50" w:type="pct"/>
            <w:shd w:val="clear" w:color="auto" w:fill="FFFFFF"/>
            <w:vAlign w:val="bottom"/>
            <w:hideMark/>
          </w:tcPr>
          <w:p w14:paraId="5DD7C808" w14:textId="77777777" w:rsidR="00000000" w:rsidRDefault="00847163">
            <w:pPr>
              <w:rPr>
                <w:rFonts w:eastAsia="Times New Roman"/>
                <w:sz w:val="20"/>
                <w:szCs w:val="20"/>
              </w:rPr>
            </w:pPr>
            <w:r>
              <w:rPr>
                <w:rFonts w:eastAsia="Times New Roman"/>
                <w:sz w:val="20"/>
                <w:szCs w:val="20"/>
              </w:rPr>
              <w:t>)</w:t>
            </w:r>
          </w:p>
        </w:tc>
        <w:tc>
          <w:tcPr>
            <w:tcW w:w="50" w:type="pct"/>
            <w:shd w:val="clear" w:color="auto" w:fill="FFFFFF"/>
            <w:vAlign w:val="bottom"/>
            <w:hideMark/>
          </w:tcPr>
          <w:p w14:paraId="3A21CA40"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D58CFF1" w14:textId="77777777" w:rsidR="00000000" w:rsidRDefault="00847163">
            <w:pPr>
              <w:rPr>
                <w:rFonts w:eastAsia="Times New Roman"/>
                <w:sz w:val="20"/>
                <w:szCs w:val="20"/>
              </w:rPr>
            </w:pPr>
            <w:r>
              <w:rPr>
                <w:rFonts w:eastAsia="Times New Roman"/>
                <w:sz w:val="20"/>
                <w:szCs w:val="20"/>
              </w:rPr>
              <w:t> </w:t>
            </w:r>
          </w:p>
        </w:tc>
        <w:tc>
          <w:tcPr>
            <w:tcW w:w="550" w:type="pct"/>
            <w:shd w:val="clear" w:color="auto" w:fill="FFFFFF"/>
            <w:vAlign w:val="bottom"/>
            <w:hideMark/>
          </w:tcPr>
          <w:p w14:paraId="132E3076" w14:textId="77777777" w:rsidR="00000000" w:rsidRDefault="00847163">
            <w:pPr>
              <w:jc w:val="right"/>
              <w:rPr>
                <w:rFonts w:eastAsia="Times New Roman"/>
                <w:sz w:val="20"/>
                <w:szCs w:val="20"/>
              </w:rPr>
            </w:pPr>
            <w:r>
              <w:rPr>
                <w:rFonts w:eastAsia="Times New Roman"/>
                <w:sz w:val="20"/>
                <w:szCs w:val="20"/>
              </w:rPr>
              <w:t>(71,561</w:t>
            </w:r>
          </w:p>
        </w:tc>
        <w:tc>
          <w:tcPr>
            <w:tcW w:w="50" w:type="pct"/>
            <w:shd w:val="clear" w:color="auto" w:fill="FFFFFF"/>
            <w:vAlign w:val="bottom"/>
            <w:hideMark/>
          </w:tcPr>
          <w:p w14:paraId="6E05E586" w14:textId="77777777" w:rsidR="00000000" w:rsidRDefault="00847163">
            <w:pPr>
              <w:rPr>
                <w:rFonts w:eastAsia="Times New Roman"/>
                <w:sz w:val="20"/>
                <w:szCs w:val="20"/>
              </w:rPr>
            </w:pPr>
            <w:r>
              <w:rPr>
                <w:rFonts w:eastAsia="Times New Roman"/>
                <w:sz w:val="20"/>
                <w:szCs w:val="20"/>
              </w:rPr>
              <w:t>)</w:t>
            </w:r>
          </w:p>
        </w:tc>
        <w:tc>
          <w:tcPr>
            <w:tcW w:w="50" w:type="pct"/>
            <w:shd w:val="clear" w:color="auto" w:fill="FFFFFF"/>
            <w:vAlign w:val="bottom"/>
            <w:hideMark/>
          </w:tcPr>
          <w:p w14:paraId="73432A88"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2C39020" w14:textId="77777777" w:rsidR="00000000" w:rsidRDefault="00847163">
            <w:pPr>
              <w:rPr>
                <w:rFonts w:eastAsia="Times New Roman"/>
                <w:sz w:val="20"/>
                <w:szCs w:val="20"/>
              </w:rPr>
            </w:pPr>
            <w:r>
              <w:rPr>
                <w:rFonts w:eastAsia="Times New Roman"/>
                <w:sz w:val="20"/>
                <w:szCs w:val="20"/>
              </w:rPr>
              <w:t> </w:t>
            </w:r>
          </w:p>
        </w:tc>
        <w:tc>
          <w:tcPr>
            <w:tcW w:w="550" w:type="pct"/>
            <w:shd w:val="clear" w:color="auto" w:fill="FFFFFF"/>
            <w:vAlign w:val="bottom"/>
            <w:hideMark/>
          </w:tcPr>
          <w:p w14:paraId="537D0B0B" w14:textId="77777777" w:rsidR="00000000" w:rsidRDefault="00847163">
            <w:pPr>
              <w:jc w:val="right"/>
              <w:rPr>
                <w:rFonts w:eastAsia="Times New Roman"/>
                <w:sz w:val="20"/>
                <w:szCs w:val="20"/>
              </w:rPr>
            </w:pPr>
            <w:r>
              <w:rPr>
                <w:rFonts w:eastAsia="Times New Roman"/>
                <w:sz w:val="20"/>
                <w:szCs w:val="20"/>
              </w:rPr>
              <w:t>2,164</w:t>
            </w:r>
          </w:p>
        </w:tc>
        <w:tc>
          <w:tcPr>
            <w:tcW w:w="50" w:type="pct"/>
            <w:shd w:val="clear" w:color="auto" w:fill="FFFFFF"/>
            <w:vAlign w:val="bottom"/>
            <w:hideMark/>
          </w:tcPr>
          <w:p w14:paraId="7F1D82BA" w14:textId="77777777" w:rsidR="00000000" w:rsidRDefault="00847163">
            <w:pPr>
              <w:rPr>
                <w:rFonts w:eastAsia="Times New Roman"/>
                <w:sz w:val="20"/>
                <w:szCs w:val="20"/>
              </w:rPr>
            </w:pPr>
            <w:r>
              <w:rPr>
                <w:rFonts w:eastAsia="Times New Roman"/>
                <w:sz w:val="20"/>
                <w:szCs w:val="20"/>
              </w:rPr>
              <w:t> </w:t>
            </w:r>
          </w:p>
        </w:tc>
      </w:tr>
      <w:tr w:rsidR="00000000" w14:paraId="586B7443" w14:textId="77777777">
        <w:trPr>
          <w:tblCellSpacing w:w="0" w:type="dxa"/>
        </w:trPr>
        <w:tc>
          <w:tcPr>
            <w:tcW w:w="0" w:type="auto"/>
            <w:shd w:val="clear" w:color="auto" w:fill="CCEEFF"/>
            <w:vAlign w:val="bottom"/>
            <w:hideMark/>
          </w:tcPr>
          <w:p w14:paraId="2098A35D" w14:textId="77777777" w:rsidR="00000000" w:rsidRDefault="00847163">
            <w:pPr>
              <w:pStyle w:val="a3"/>
              <w:spacing w:before="0" w:beforeAutospacing="0" w:after="0" w:afterAutospacing="0"/>
              <w:rPr>
                <w:sz w:val="20"/>
                <w:szCs w:val="20"/>
              </w:rPr>
            </w:pPr>
            <w:r>
              <w:rPr>
                <w:sz w:val="20"/>
                <w:szCs w:val="20"/>
              </w:rPr>
              <w:t>Gain on sale of properties</w:t>
            </w:r>
          </w:p>
        </w:tc>
        <w:tc>
          <w:tcPr>
            <w:tcW w:w="50" w:type="pct"/>
            <w:shd w:val="clear" w:color="auto" w:fill="CCEEFF"/>
            <w:vAlign w:val="bottom"/>
            <w:hideMark/>
          </w:tcPr>
          <w:p w14:paraId="1ABFF011"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0698861" w14:textId="77777777" w:rsidR="00000000" w:rsidRDefault="00847163">
            <w:pPr>
              <w:rPr>
                <w:rFonts w:eastAsia="Times New Roman"/>
                <w:sz w:val="20"/>
                <w:szCs w:val="20"/>
              </w:rPr>
            </w:pPr>
            <w:r>
              <w:rPr>
                <w:rFonts w:eastAsia="Times New Roman"/>
                <w:sz w:val="20"/>
                <w:szCs w:val="20"/>
              </w:rPr>
              <w:t> </w:t>
            </w:r>
          </w:p>
        </w:tc>
        <w:tc>
          <w:tcPr>
            <w:tcW w:w="550" w:type="pct"/>
            <w:shd w:val="clear" w:color="auto" w:fill="CCEEFF"/>
            <w:vAlign w:val="bottom"/>
            <w:hideMark/>
          </w:tcPr>
          <w:p w14:paraId="7BA1C0A9" w14:textId="77777777" w:rsidR="00000000" w:rsidRDefault="00847163">
            <w:pPr>
              <w:jc w:val="right"/>
              <w:rPr>
                <w:rFonts w:eastAsia="Times New Roman"/>
                <w:sz w:val="20"/>
                <w:szCs w:val="20"/>
              </w:rPr>
            </w:pPr>
            <w:r>
              <w:rPr>
                <w:rFonts w:eastAsia="Times New Roman"/>
                <w:sz w:val="20"/>
                <w:szCs w:val="20"/>
              </w:rPr>
              <w:t>3,847</w:t>
            </w:r>
          </w:p>
        </w:tc>
        <w:tc>
          <w:tcPr>
            <w:tcW w:w="50" w:type="pct"/>
            <w:shd w:val="clear" w:color="auto" w:fill="CCEEFF"/>
            <w:vAlign w:val="bottom"/>
            <w:hideMark/>
          </w:tcPr>
          <w:p w14:paraId="076901EB"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27B44D9"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E0D26AE" w14:textId="77777777" w:rsidR="00000000" w:rsidRDefault="00847163">
            <w:pPr>
              <w:rPr>
                <w:rFonts w:eastAsia="Times New Roman"/>
                <w:sz w:val="20"/>
                <w:szCs w:val="20"/>
              </w:rPr>
            </w:pPr>
            <w:r>
              <w:rPr>
                <w:rFonts w:eastAsia="Times New Roman"/>
                <w:sz w:val="20"/>
                <w:szCs w:val="20"/>
              </w:rPr>
              <w:t> </w:t>
            </w:r>
          </w:p>
        </w:tc>
        <w:tc>
          <w:tcPr>
            <w:tcW w:w="550" w:type="pct"/>
            <w:shd w:val="clear" w:color="auto" w:fill="CCEEFF"/>
            <w:vAlign w:val="bottom"/>
            <w:hideMark/>
          </w:tcPr>
          <w:p w14:paraId="49919FA0" w14:textId="77777777" w:rsidR="00000000" w:rsidRDefault="00847163">
            <w:pPr>
              <w:jc w:val="right"/>
              <w:rPr>
                <w:rFonts w:eastAsia="Times New Roman"/>
                <w:sz w:val="20"/>
                <w:szCs w:val="20"/>
              </w:rPr>
            </w:pPr>
            <w:r>
              <w:rPr>
                <w:rFonts w:eastAsia="Times New Roman"/>
                <w:sz w:val="20"/>
                <w:szCs w:val="20"/>
              </w:rPr>
              <w:t>23,595</w:t>
            </w:r>
          </w:p>
        </w:tc>
        <w:tc>
          <w:tcPr>
            <w:tcW w:w="50" w:type="pct"/>
            <w:shd w:val="clear" w:color="auto" w:fill="CCEEFF"/>
            <w:vAlign w:val="bottom"/>
            <w:hideMark/>
          </w:tcPr>
          <w:p w14:paraId="72A5A2BA"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7609F19"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0C460B8" w14:textId="77777777" w:rsidR="00000000" w:rsidRDefault="00847163">
            <w:pPr>
              <w:rPr>
                <w:rFonts w:eastAsia="Times New Roman"/>
                <w:sz w:val="20"/>
                <w:szCs w:val="20"/>
              </w:rPr>
            </w:pPr>
            <w:r>
              <w:rPr>
                <w:rFonts w:eastAsia="Times New Roman"/>
                <w:sz w:val="20"/>
                <w:szCs w:val="20"/>
              </w:rPr>
              <w:t> </w:t>
            </w:r>
          </w:p>
        </w:tc>
        <w:tc>
          <w:tcPr>
            <w:tcW w:w="550" w:type="pct"/>
            <w:shd w:val="clear" w:color="auto" w:fill="CCEEFF"/>
            <w:vAlign w:val="bottom"/>
            <w:hideMark/>
          </w:tcPr>
          <w:p w14:paraId="78BF3620" w14:textId="77777777" w:rsidR="00000000" w:rsidRDefault="00847163">
            <w:pPr>
              <w:jc w:val="right"/>
              <w:rPr>
                <w:rFonts w:eastAsia="Times New Roman"/>
                <w:sz w:val="20"/>
                <w:szCs w:val="20"/>
              </w:rPr>
            </w:pPr>
            <w:r>
              <w:rPr>
                <w:rFonts w:eastAsia="Times New Roman"/>
                <w:sz w:val="20"/>
                <w:szCs w:val="20"/>
              </w:rPr>
              <w:t>(19,748</w:t>
            </w:r>
          </w:p>
        </w:tc>
        <w:tc>
          <w:tcPr>
            <w:tcW w:w="50" w:type="pct"/>
            <w:shd w:val="clear" w:color="auto" w:fill="CCEEFF"/>
            <w:vAlign w:val="bottom"/>
            <w:hideMark/>
          </w:tcPr>
          <w:p w14:paraId="5A8C6E2C" w14:textId="77777777" w:rsidR="00000000" w:rsidRDefault="00847163">
            <w:pPr>
              <w:rPr>
                <w:rFonts w:eastAsia="Times New Roman"/>
                <w:sz w:val="20"/>
                <w:szCs w:val="20"/>
              </w:rPr>
            </w:pPr>
            <w:r>
              <w:rPr>
                <w:rFonts w:eastAsia="Times New Roman"/>
                <w:sz w:val="20"/>
                <w:szCs w:val="20"/>
              </w:rPr>
              <w:t>)</w:t>
            </w:r>
          </w:p>
        </w:tc>
      </w:tr>
      <w:tr w:rsidR="00000000" w14:paraId="2AB8B197" w14:textId="77777777">
        <w:trPr>
          <w:tblCellSpacing w:w="0" w:type="dxa"/>
        </w:trPr>
        <w:tc>
          <w:tcPr>
            <w:tcW w:w="0" w:type="auto"/>
            <w:shd w:val="clear" w:color="auto" w:fill="FFFFFF"/>
            <w:vAlign w:val="bottom"/>
            <w:hideMark/>
          </w:tcPr>
          <w:p w14:paraId="2D5805DC" w14:textId="77777777" w:rsidR="00000000" w:rsidRDefault="00847163">
            <w:pPr>
              <w:pStyle w:val="a3"/>
              <w:spacing w:before="0" w:beforeAutospacing="0" w:after="0" w:afterAutospacing="0"/>
              <w:rPr>
                <w:sz w:val="20"/>
                <w:szCs w:val="20"/>
              </w:rPr>
            </w:pPr>
            <w:r>
              <w:rPr>
                <w:sz w:val="20"/>
                <w:szCs w:val="20"/>
              </w:rPr>
              <w:t>Other income/(expense)</w:t>
            </w:r>
          </w:p>
        </w:tc>
        <w:tc>
          <w:tcPr>
            <w:tcW w:w="0" w:type="auto"/>
            <w:shd w:val="clear" w:color="auto" w:fill="FFFFFF"/>
            <w:vAlign w:val="bottom"/>
            <w:hideMark/>
          </w:tcPr>
          <w:p w14:paraId="24E58265"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3C81C62"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EF59E36"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FC369D1"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6BF357D"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073EFF4"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AC91AB7"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012A55D"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65EB42E"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A3328EC"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7B5A1E6"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E10EF4A" w14:textId="77777777" w:rsidR="00000000" w:rsidRDefault="00847163">
            <w:pPr>
              <w:rPr>
                <w:rFonts w:eastAsia="Times New Roman"/>
                <w:sz w:val="20"/>
                <w:szCs w:val="20"/>
              </w:rPr>
            </w:pPr>
            <w:r>
              <w:rPr>
                <w:rFonts w:eastAsia="Times New Roman"/>
                <w:sz w:val="20"/>
                <w:szCs w:val="20"/>
              </w:rPr>
              <w:t> </w:t>
            </w:r>
          </w:p>
        </w:tc>
      </w:tr>
      <w:tr w:rsidR="00000000" w14:paraId="200087E4" w14:textId="77777777">
        <w:trPr>
          <w:tblCellSpacing w:w="0" w:type="dxa"/>
        </w:trPr>
        <w:tc>
          <w:tcPr>
            <w:tcW w:w="0" w:type="auto"/>
            <w:shd w:val="clear" w:color="auto" w:fill="CCEEFF"/>
            <w:vAlign w:val="bottom"/>
            <w:hideMark/>
          </w:tcPr>
          <w:p w14:paraId="0A81C12E" w14:textId="77777777" w:rsidR="00000000" w:rsidRDefault="00847163">
            <w:pPr>
              <w:pStyle w:val="a3"/>
              <w:spacing w:before="0" w:beforeAutospacing="0" w:after="0" w:afterAutospacing="0"/>
              <w:ind w:left="360"/>
              <w:rPr>
                <w:sz w:val="20"/>
                <w:szCs w:val="20"/>
              </w:rPr>
            </w:pPr>
            <w:r>
              <w:rPr>
                <w:sz w:val="20"/>
                <w:szCs w:val="20"/>
              </w:rPr>
              <w:t>Other (expense)/income, net</w:t>
            </w:r>
          </w:p>
        </w:tc>
        <w:tc>
          <w:tcPr>
            <w:tcW w:w="50" w:type="pct"/>
            <w:shd w:val="clear" w:color="auto" w:fill="CCEEFF"/>
            <w:vAlign w:val="bottom"/>
            <w:hideMark/>
          </w:tcPr>
          <w:p w14:paraId="2EDCB497"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408C524" w14:textId="77777777" w:rsidR="00000000" w:rsidRDefault="00847163">
            <w:pPr>
              <w:rPr>
                <w:rFonts w:eastAsia="Times New Roman"/>
                <w:sz w:val="20"/>
                <w:szCs w:val="20"/>
              </w:rPr>
            </w:pPr>
            <w:r>
              <w:rPr>
                <w:rFonts w:eastAsia="Times New Roman"/>
                <w:sz w:val="20"/>
                <w:szCs w:val="20"/>
              </w:rPr>
              <w:t> </w:t>
            </w:r>
          </w:p>
        </w:tc>
        <w:tc>
          <w:tcPr>
            <w:tcW w:w="550" w:type="pct"/>
            <w:shd w:val="clear" w:color="auto" w:fill="CCEEFF"/>
            <w:vAlign w:val="bottom"/>
            <w:hideMark/>
          </w:tcPr>
          <w:p w14:paraId="3F7FF070" w14:textId="77777777" w:rsidR="00000000" w:rsidRDefault="00847163">
            <w:pPr>
              <w:jc w:val="right"/>
              <w:rPr>
                <w:rFonts w:eastAsia="Times New Roman"/>
                <w:sz w:val="20"/>
                <w:szCs w:val="20"/>
              </w:rPr>
            </w:pPr>
            <w:r>
              <w:rPr>
                <w:rFonts w:eastAsia="Times New Roman"/>
                <w:sz w:val="20"/>
                <w:szCs w:val="20"/>
              </w:rPr>
              <w:t>(3,422</w:t>
            </w:r>
          </w:p>
        </w:tc>
        <w:tc>
          <w:tcPr>
            <w:tcW w:w="50" w:type="pct"/>
            <w:shd w:val="clear" w:color="auto" w:fill="CCEEFF"/>
            <w:vAlign w:val="bottom"/>
            <w:hideMark/>
          </w:tcPr>
          <w:p w14:paraId="2A37C3EB" w14:textId="77777777" w:rsidR="00000000" w:rsidRDefault="00847163">
            <w:pPr>
              <w:rPr>
                <w:rFonts w:eastAsia="Times New Roman"/>
                <w:sz w:val="20"/>
                <w:szCs w:val="20"/>
              </w:rPr>
            </w:pPr>
            <w:r>
              <w:rPr>
                <w:rFonts w:eastAsia="Times New Roman"/>
                <w:sz w:val="20"/>
                <w:szCs w:val="20"/>
              </w:rPr>
              <w:t>)</w:t>
            </w:r>
          </w:p>
        </w:tc>
        <w:tc>
          <w:tcPr>
            <w:tcW w:w="50" w:type="pct"/>
            <w:shd w:val="clear" w:color="auto" w:fill="CCEEFF"/>
            <w:vAlign w:val="bottom"/>
            <w:hideMark/>
          </w:tcPr>
          <w:p w14:paraId="3863CFEF"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82CDB30" w14:textId="77777777" w:rsidR="00000000" w:rsidRDefault="00847163">
            <w:pPr>
              <w:rPr>
                <w:rFonts w:eastAsia="Times New Roman"/>
                <w:sz w:val="20"/>
                <w:szCs w:val="20"/>
              </w:rPr>
            </w:pPr>
            <w:r>
              <w:rPr>
                <w:rFonts w:eastAsia="Times New Roman"/>
                <w:sz w:val="20"/>
                <w:szCs w:val="20"/>
              </w:rPr>
              <w:t> </w:t>
            </w:r>
          </w:p>
        </w:tc>
        <w:tc>
          <w:tcPr>
            <w:tcW w:w="550" w:type="pct"/>
            <w:shd w:val="clear" w:color="auto" w:fill="CCEEFF"/>
            <w:vAlign w:val="bottom"/>
            <w:hideMark/>
          </w:tcPr>
          <w:p w14:paraId="1BE1B8B3" w14:textId="77777777" w:rsidR="00000000" w:rsidRDefault="00847163">
            <w:pPr>
              <w:jc w:val="right"/>
              <w:rPr>
                <w:rFonts w:eastAsia="Times New Roman"/>
                <w:sz w:val="20"/>
                <w:szCs w:val="20"/>
              </w:rPr>
            </w:pPr>
            <w:r>
              <w:rPr>
                <w:rFonts w:eastAsia="Times New Roman"/>
                <w:sz w:val="20"/>
                <w:szCs w:val="20"/>
              </w:rPr>
              <w:t>2,622</w:t>
            </w:r>
          </w:p>
        </w:tc>
        <w:tc>
          <w:tcPr>
            <w:tcW w:w="50" w:type="pct"/>
            <w:shd w:val="clear" w:color="auto" w:fill="CCEEFF"/>
            <w:vAlign w:val="bottom"/>
            <w:hideMark/>
          </w:tcPr>
          <w:p w14:paraId="3D7772F6"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A82093B"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9A8E94F" w14:textId="77777777" w:rsidR="00000000" w:rsidRDefault="00847163">
            <w:pPr>
              <w:rPr>
                <w:rFonts w:eastAsia="Times New Roman"/>
                <w:sz w:val="20"/>
                <w:szCs w:val="20"/>
              </w:rPr>
            </w:pPr>
            <w:r>
              <w:rPr>
                <w:rFonts w:eastAsia="Times New Roman"/>
                <w:sz w:val="20"/>
                <w:szCs w:val="20"/>
              </w:rPr>
              <w:t> </w:t>
            </w:r>
          </w:p>
        </w:tc>
        <w:tc>
          <w:tcPr>
            <w:tcW w:w="550" w:type="pct"/>
            <w:shd w:val="clear" w:color="auto" w:fill="CCEEFF"/>
            <w:vAlign w:val="bottom"/>
            <w:hideMark/>
          </w:tcPr>
          <w:p w14:paraId="400B637A" w14:textId="77777777" w:rsidR="00000000" w:rsidRDefault="00847163">
            <w:pPr>
              <w:jc w:val="right"/>
              <w:rPr>
                <w:rFonts w:eastAsia="Times New Roman"/>
                <w:sz w:val="20"/>
                <w:szCs w:val="20"/>
              </w:rPr>
            </w:pPr>
            <w:r>
              <w:rPr>
                <w:rFonts w:eastAsia="Times New Roman"/>
                <w:sz w:val="20"/>
                <w:szCs w:val="20"/>
              </w:rPr>
              <w:t>(6,044</w:t>
            </w:r>
          </w:p>
        </w:tc>
        <w:tc>
          <w:tcPr>
            <w:tcW w:w="50" w:type="pct"/>
            <w:shd w:val="clear" w:color="auto" w:fill="CCEEFF"/>
            <w:vAlign w:val="bottom"/>
            <w:hideMark/>
          </w:tcPr>
          <w:p w14:paraId="0FF408C1" w14:textId="77777777" w:rsidR="00000000" w:rsidRDefault="00847163">
            <w:pPr>
              <w:rPr>
                <w:rFonts w:eastAsia="Times New Roman"/>
                <w:sz w:val="20"/>
                <w:szCs w:val="20"/>
              </w:rPr>
            </w:pPr>
            <w:r>
              <w:rPr>
                <w:rFonts w:eastAsia="Times New Roman"/>
                <w:sz w:val="20"/>
                <w:szCs w:val="20"/>
              </w:rPr>
              <w:t>)</w:t>
            </w:r>
          </w:p>
        </w:tc>
      </w:tr>
      <w:tr w:rsidR="00000000" w14:paraId="37EEE052" w14:textId="77777777">
        <w:trPr>
          <w:tblCellSpacing w:w="0" w:type="dxa"/>
        </w:trPr>
        <w:tc>
          <w:tcPr>
            <w:tcW w:w="0" w:type="auto"/>
            <w:shd w:val="clear" w:color="auto" w:fill="FFFFFF"/>
            <w:vAlign w:val="bottom"/>
            <w:hideMark/>
          </w:tcPr>
          <w:p w14:paraId="4F69FD02" w14:textId="77777777" w:rsidR="00000000" w:rsidRDefault="00847163">
            <w:pPr>
              <w:pStyle w:val="a3"/>
              <w:spacing w:before="0" w:beforeAutospacing="0" w:after="0" w:afterAutospacing="0"/>
              <w:ind w:left="360"/>
              <w:rPr>
                <w:sz w:val="20"/>
                <w:szCs w:val="20"/>
              </w:rPr>
            </w:pPr>
            <w:r>
              <w:rPr>
                <w:sz w:val="20"/>
                <w:szCs w:val="20"/>
              </w:rPr>
              <w:t>Interest expense</w:t>
            </w:r>
          </w:p>
        </w:tc>
        <w:tc>
          <w:tcPr>
            <w:tcW w:w="50" w:type="pct"/>
            <w:shd w:val="clear" w:color="auto" w:fill="FFFFFF"/>
            <w:vAlign w:val="bottom"/>
            <w:hideMark/>
          </w:tcPr>
          <w:p w14:paraId="301C24FF"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2C41A5C" w14:textId="77777777" w:rsidR="00000000" w:rsidRDefault="00847163">
            <w:pPr>
              <w:rPr>
                <w:rFonts w:eastAsia="Times New Roman"/>
                <w:sz w:val="20"/>
                <w:szCs w:val="20"/>
              </w:rPr>
            </w:pPr>
            <w:r>
              <w:rPr>
                <w:rFonts w:eastAsia="Times New Roman"/>
                <w:sz w:val="20"/>
                <w:szCs w:val="20"/>
              </w:rPr>
              <w:t> </w:t>
            </w:r>
          </w:p>
        </w:tc>
        <w:tc>
          <w:tcPr>
            <w:tcW w:w="550" w:type="pct"/>
            <w:shd w:val="clear" w:color="auto" w:fill="FFFFFF"/>
            <w:vAlign w:val="bottom"/>
            <w:hideMark/>
          </w:tcPr>
          <w:p w14:paraId="78341F73" w14:textId="77777777" w:rsidR="00000000" w:rsidRDefault="00847163">
            <w:pPr>
              <w:jc w:val="right"/>
              <w:rPr>
                <w:rFonts w:eastAsia="Times New Roman"/>
                <w:sz w:val="20"/>
                <w:szCs w:val="20"/>
              </w:rPr>
            </w:pPr>
            <w:r>
              <w:rPr>
                <w:rFonts w:eastAsia="Times New Roman"/>
                <w:sz w:val="20"/>
                <w:szCs w:val="20"/>
              </w:rPr>
              <w:t>(46,060</w:t>
            </w:r>
          </w:p>
        </w:tc>
        <w:tc>
          <w:tcPr>
            <w:tcW w:w="50" w:type="pct"/>
            <w:shd w:val="clear" w:color="auto" w:fill="FFFFFF"/>
            <w:vAlign w:val="bottom"/>
            <w:hideMark/>
          </w:tcPr>
          <w:p w14:paraId="02A76B6D" w14:textId="77777777" w:rsidR="00000000" w:rsidRDefault="00847163">
            <w:pPr>
              <w:rPr>
                <w:rFonts w:eastAsia="Times New Roman"/>
                <w:sz w:val="20"/>
                <w:szCs w:val="20"/>
              </w:rPr>
            </w:pPr>
            <w:r>
              <w:rPr>
                <w:rFonts w:eastAsia="Times New Roman"/>
                <w:sz w:val="20"/>
                <w:szCs w:val="20"/>
              </w:rPr>
              <w:t>)</w:t>
            </w:r>
          </w:p>
        </w:tc>
        <w:tc>
          <w:tcPr>
            <w:tcW w:w="50" w:type="pct"/>
            <w:shd w:val="clear" w:color="auto" w:fill="FFFFFF"/>
            <w:vAlign w:val="bottom"/>
            <w:hideMark/>
          </w:tcPr>
          <w:p w14:paraId="6BD0F6C2"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A97593A" w14:textId="77777777" w:rsidR="00000000" w:rsidRDefault="00847163">
            <w:pPr>
              <w:rPr>
                <w:rFonts w:eastAsia="Times New Roman"/>
                <w:sz w:val="20"/>
                <w:szCs w:val="20"/>
              </w:rPr>
            </w:pPr>
            <w:r>
              <w:rPr>
                <w:rFonts w:eastAsia="Times New Roman"/>
                <w:sz w:val="20"/>
                <w:szCs w:val="20"/>
              </w:rPr>
              <w:t> </w:t>
            </w:r>
          </w:p>
        </w:tc>
        <w:tc>
          <w:tcPr>
            <w:tcW w:w="550" w:type="pct"/>
            <w:shd w:val="clear" w:color="auto" w:fill="FFFFFF"/>
            <w:vAlign w:val="bottom"/>
            <w:hideMark/>
          </w:tcPr>
          <w:p w14:paraId="2B46F471" w14:textId="77777777" w:rsidR="00000000" w:rsidRDefault="00847163">
            <w:pPr>
              <w:jc w:val="right"/>
              <w:rPr>
                <w:rFonts w:eastAsia="Times New Roman"/>
                <w:sz w:val="20"/>
                <w:szCs w:val="20"/>
              </w:rPr>
            </w:pPr>
            <w:r>
              <w:rPr>
                <w:rFonts w:eastAsia="Times New Roman"/>
                <w:sz w:val="20"/>
                <w:szCs w:val="20"/>
              </w:rPr>
              <w:t>(44,395</w:t>
            </w:r>
          </w:p>
        </w:tc>
        <w:tc>
          <w:tcPr>
            <w:tcW w:w="50" w:type="pct"/>
            <w:shd w:val="clear" w:color="auto" w:fill="FFFFFF"/>
            <w:vAlign w:val="bottom"/>
            <w:hideMark/>
          </w:tcPr>
          <w:p w14:paraId="5C1C5BE1" w14:textId="77777777" w:rsidR="00000000" w:rsidRDefault="00847163">
            <w:pPr>
              <w:rPr>
                <w:rFonts w:eastAsia="Times New Roman"/>
                <w:sz w:val="20"/>
                <w:szCs w:val="20"/>
              </w:rPr>
            </w:pPr>
            <w:r>
              <w:rPr>
                <w:rFonts w:eastAsia="Times New Roman"/>
                <w:sz w:val="20"/>
                <w:szCs w:val="20"/>
              </w:rPr>
              <w:t>)</w:t>
            </w:r>
          </w:p>
        </w:tc>
        <w:tc>
          <w:tcPr>
            <w:tcW w:w="50" w:type="pct"/>
            <w:shd w:val="clear" w:color="auto" w:fill="FFFFFF"/>
            <w:vAlign w:val="bottom"/>
            <w:hideMark/>
          </w:tcPr>
          <w:p w14:paraId="46FDB5DB"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E367AB6" w14:textId="77777777" w:rsidR="00000000" w:rsidRDefault="00847163">
            <w:pPr>
              <w:rPr>
                <w:rFonts w:eastAsia="Times New Roman"/>
                <w:sz w:val="20"/>
                <w:szCs w:val="20"/>
              </w:rPr>
            </w:pPr>
            <w:r>
              <w:rPr>
                <w:rFonts w:eastAsia="Times New Roman"/>
                <w:sz w:val="20"/>
                <w:szCs w:val="20"/>
              </w:rPr>
              <w:t> </w:t>
            </w:r>
          </w:p>
        </w:tc>
        <w:tc>
          <w:tcPr>
            <w:tcW w:w="550" w:type="pct"/>
            <w:shd w:val="clear" w:color="auto" w:fill="FFFFFF"/>
            <w:vAlign w:val="bottom"/>
            <w:hideMark/>
          </w:tcPr>
          <w:p w14:paraId="5B0E5E06" w14:textId="77777777" w:rsidR="00000000" w:rsidRDefault="00847163">
            <w:pPr>
              <w:jc w:val="right"/>
              <w:rPr>
                <w:rFonts w:eastAsia="Times New Roman"/>
                <w:sz w:val="20"/>
                <w:szCs w:val="20"/>
              </w:rPr>
            </w:pPr>
            <w:r>
              <w:rPr>
                <w:rFonts w:eastAsia="Times New Roman"/>
                <w:sz w:val="20"/>
                <w:szCs w:val="20"/>
              </w:rPr>
              <w:t>(1,665</w:t>
            </w:r>
          </w:p>
        </w:tc>
        <w:tc>
          <w:tcPr>
            <w:tcW w:w="50" w:type="pct"/>
            <w:shd w:val="clear" w:color="auto" w:fill="FFFFFF"/>
            <w:vAlign w:val="bottom"/>
            <w:hideMark/>
          </w:tcPr>
          <w:p w14:paraId="5139F813" w14:textId="77777777" w:rsidR="00000000" w:rsidRDefault="00847163">
            <w:pPr>
              <w:rPr>
                <w:rFonts w:eastAsia="Times New Roman"/>
                <w:sz w:val="20"/>
                <w:szCs w:val="20"/>
              </w:rPr>
            </w:pPr>
            <w:r>
              <w:rPr>
                <w:rFonts w:eastAsia="Times New Roman"/>
                <w:sz w:val="20"/>
                <w:szCs w:val="20"/>
              </w:rPr>
              <w:t>)</w:t>
            </w:r>
          </w:p>
        </w:tc>
      </w:tr>
      <w:tr w:rsidR="00000000" w14:paraId="2548ECAB" w14:textId="77777777">
        <w:trPr>
          <w:tblCellSpacing w:w="0" w:type="dxa"/>
        </w:trPr>
        <w:tc>
          <w:tcPr>
            <w:tcW w:w="0" w:type="auto"/>
            <w:shd w:val="clear" w:color="auto" w:fill="CCEEFF"/>
            <w:vAlign w:val="bottom"/>
            <w:hideMark/>
          </w:tcPr>
          <w:p w14:paraId="62208773" w14:textId="77777777" w:rsidR="00000000" w:rsidRDefault="00847163">
            <w:pPr>
              <w:pStyle w:val="a3"/>
              <w:spacing w:before="0" w:beforeAutospacing="0" w:after="0" w:afterAutospacing="0"/>
              <w:ind w:left="360"/>
              <w:rPr>
                <w:sz w:val="20"/>
                <w:szCs w:val="20"/>
              </w:rPr>
            </w:pPr>
            <w:r>
              <w:rPr>
                <w:sz w:val="20"/>
                <w:szCs w:val="20"/>
              </w:rPr>
              <w:t>Provision for income taxes, net</w:t>
            </w:r>
          </w:p>
        </w:tc>
        <w:tc>
          <w:tcPr>
            <w:tcW w:w="50" w:type="pct"/>
            <w:shd w:val="clear" w:color="auto" w:fill="CCEEFF"/>
            <w:vAlign w:val="bottom"/>
            <w:hideMark/>
          </w:tcPr>
          <w:p w14:paraId="14F92291"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4AFDBB5" w14:textId="77777777" w:rsidR="00000000" w:rsidRDefault="00847163">
            <w:pPr>
              <w:rPr>
                <w:rFonts w:eastAsia="Times New Roman"/>
                <w:sz w:val="20"/>
                <w:szCs w:val="20"/>
              </w:rPr>
            </w:pPr>
            <w:r>
              <w:rPr>
                <w:rFonts w:eastAsia="Times New Roman"/>
                <w:sz w:val="20"/>
                <w:szCs w:val="20"/>
              </w:rPr>
              <w:t> </w:t>
            </w:r>
          </w:p>
        </w:tc>
        <w:tc>
          <w:tcPr>
            <w:tcW w:w="550" w:type="pct"/>
            <w:shd w:val="clear" w:color="auto" w:fill="CCEEFF"/>
            <w:vAlign w:val="bottom"/>
            <w:hideMark/>
          </w:tcPr>
          <w:p w14:paraId="598C9016" w14:textId="77777777" w:rsidR="00000000" w:rsidRDefault="00847163">
            <w:pPr>
              <w:jc w:val="right"/>
              <w:rPr>
                <w:rFonts w:eastAsia="Times New Roman"/>
                <w:sz w:val="20"/>
                <w:szCs w:val="20"/>
              </w:rPr>
            </w:pPr>
            <w:r>
              <w:rPr>
                <w:rFonts w:eastAsia="Times New Roman"/>
                <w:sz w:val="20"/>
                <w:szCs w:val="20"/>
              </w:rPr>
              <w:t>(43</w:t>
            </w:r>
          </w:p>
        </w:tc>
        <w:tc>
          <w:tcPr>
            <w:tcW w:w="50" w:type="pct"/>
            <w:shd w:val="clear" w:color="auto" w:fill="CCEEFF"/>
            <w:vAlign w:val="bottom"/>
            <w:hideMark/>
          </w:tcPr>
          <w:p w14:paraId="008073F6" w14:textId="77777777" w:rsidR="00000000" w:rsidRDefault="00847163">
            <w:pPr>
              <w:rPr>
                <w:rFonts w:eastAsia="Times New Roman"/>
                <w:sz w:val="20"/>
                <w:szCs w:val="20"/>
              </w:rPr>
            </w:pPr>
            <w:r>
              <w:rPr>
                <w:rFonts w:eastAsia="Times New Roman"/>
                <w:sz w:val="20"/>
                <w:szCs w:val="20"/>
              </w:rPr>
              <w:t>)</w:t>
            </w:r>
          </w:p>
        </w:tc>
        <w:tc>
          <w:tcPr>
            <w:tcW w:w="50" w:type="pct"/>
            <w:shd w:val="clear" w:color="auto" w:fill="CCEEFF"/>
            <w:vAlign w:val="bottom"/>
            <w:hideMark/>
          </w:tcPr>
          <w:p w14:paraId="5AED6148"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FB9FAD8" w14:textId="77777777" w:rsidR="00000000" w:rsidRDefault="00847163">
            <w:pPr>
              <w:rPr>
                <w:rFonts w:eastAsia="Times New Roman"/>
                <w:sz w:val="20"/>
                <w:szCs w:val="20"/>
              </w:rPr>
            </w:pPr>
            <w:r>
              <w:rPr>
                <w:rFonts w:eastAsia="Times New Roman"/>
                <w:sz w:val="20"/>
                <w:szCs w:val="20"/>
              </w:rPr>
              <w:t> </w:t>
            </w:r>
          </w:p>
        </w:tc>
        <w:tc>
          <w:tcPr>
            <w:tcW w:w="550" w:type="pct"/>
            <w:shd w:val="clear" w:color="auto" w:fill="CCEEFF"/>
            <w:vAlign w:val="bottom"/>
            <w:hideMark/>
          </w:tcPr>
          <w:p w14:paraId="7CD92727" w14:textId="77777777" w:rsidR="00000000" w:rsidRDefault="00847163">
            <w:pPr>
              <w:jc w:val="right"/>
              <w:rPr>
                <w:rFonts w:eastAsia="Times New Roman"/>
                <w:sz w:val="20"/>
                <w:szCs w:val="20"/>
              </w:rPr>
            </w:pPr>
            <w:r>
              <w:rPr>
                <w:rFonts w:eastAsia="Times New Roman"/>
                <w:sz w:val="20"/>
                <w:szCs w:val="20"/>
              </w:rPr>
              <w:t>(630</w:t>
            </w:r>
          </w:p>
        </w:tc>
        <w:tc>
          <w:tcPr>
            <w:tcW w:w="50" w:type="pct"/>
            <w:shd w:val="clear" w:color="auto" w:fill="CCEEFF"/>
            <w:vAlign w:val="bottom"/>
            <w:hideMark/>
          </w:tcPr>
          <w:p w14:paraId="31BFF895" w14:textId="77777777" w:rsidR="00000000" w:rsidRDefault="00847163">
            <w:pPr>
              <w:rPr>
                <w:rFonts w:eastAsia="Times New Roman"/>
                <w:sz w:val="20"/>
                <w:szCs w:val="20"/>
              </w:rPr>
            </w:pPr>
            <w:r>
              <w:rPr>
                <w:rFonts w:eastAsia="Times New Roman"/>
                <w:sz w:val="20"/>
                <w:szCs w:val="20"/>
              </w:rPr>
              <w:t>)</w:t>
            </w:r>
          </w:p>
        </w:tc>
        <w:tc>
          <w:tcPr>
            <w:tcW w:w="50" w:type="pct"/>
            <w:shd w:val="clear" w:color="auto" w:fill="CCEEFF"/>
            <w:vAlign w:val="bottom"/>
            <w:hideMark/>
          </w:tcPr>
          <w:p w14:paraId="2CB037E2"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F5CA513" w14:textId="77777777" w:rsidR="00000000" w:rsidRDefault="00847163">
            <w:pPr>
              <w:rPr>
                <w:rFonts w:eastAsia="Times New Roman"/>
                <w:sz w:val="20"/>
                <w:szCs w:val="20"/>
              </w:rPr>
            </w:pPr>
            <w:r>
              <w:rPr>
                <w:rFonts w:eastAsia="Times New Roman"/>
                <w:sz w:val="20"/>
                <w:szCs w:val="20"/>
              </w:rPr>
              <w:t> </w:t>
            </w:r>
          </w:p>
        </w:tc>
        <w:tc>
          <w:tcPr>
            <w:tcW w:w="550" w:type="pct"/>
            <w:shd w:val="clear" w:color="auto" w:fill="CCEEFF"/>
            <w:vAlign w:val="bottom"/>
            <w:hideMark/>
          </w:tcPr>
          <w:p w14:paraId="2035D126" w14:textId="77777777" w:rsidR="00000000" w:rsidRDefault="00847163">
            <w:pPr>
              <w:jc w:val="right"/>
              <w:rPr>
                <w:rFonts w:eastAsia="Times New Roman"/>
                <w:sz w:val="20"/>
                <w:szCs w:val="20"/>
              </w:rPr>
            </w:pPr>
            <w:r>
              <w:rPr>
                <w:rFonts w:eastAsia="Times New Roman"/>
                <w:sz w:val="20"/>
                <w:szCs w:val="20"/>
              </w:rPr>
              <w:t>587</w:t>
            </w:r>
          </w:p>
        </w:tc>
        <w:tc>
          <w:tcPr>
            <w:tcW w:w="50" w:type="pct"/>
            <w:shd w:val="clear" w:color="auto" w:fill="CCEEFF"/>
            <w:vAlign w:val="bottom"/>
            <w:hideMark/>
          </w:tcPr>
          <w:p w14:paraId="4BA57366" w14:textId="77777777" w:rsidR="00000000" w:rsidRDefault="00847163">
            <w:pPr>
              <w:rPr>
                <w:rFonts w:eastAsia="Times New Roman"/>
                <w:sz w:val="20"/>
                <w:szCs w:val="20"/>
              </w:rPr>
            </w:pPr>
            <w:r>
              <w:rPr>
                <w:rFonts w:eastAsia="Times New Roman"/>
                <w:sz w:val="20"/>
                <w:szCs w:val="20"/>
              </w:rPr>
              <w:t> </w:t>
            </w:r>
          </w:p>
        </w:tc>
      </w:tr>
      <w:tr w:rsidR="00000000" w14:paraId="61323D75" w14:textId="77777777">
        <w:trPr>
          <w:tblCellSpacing w:w="0" w:type="dxa"/>
        </w:trPr>
        <w:tc>
          <w:tcPr>
            <w:tcW w:w="0" w:type="auto"/>
            <w:shd w:val="clear" w:color="auto" w:fill="FFFFFF"/>
            <w:vAlign w:val="bottom"/>
            <w:hideMark/>
          </w:tcPr>
          <w:p w14:paraId="79AC2313" w14:textId="77777777" w:rsidR="00000000" w:rsidRDefault="00847163">
            <w:pPr>
              <w:pStyle w:val="a3"/>
              <w:spacing w:before="0" w:beforeAutospacing="0" w:after="0" w:afterAutospacing="0"/>
              <w:ind w:left="360"/>
              <w:rPr>
                <w:sz w:val="20"/>
                <w:szCs w:val="20"/>
              </w:rPr>
            </w:pPr>
            <w:r>
              <w:rPr>
                <w:sz w:val="20"/>
                <w:szCs w:val="20"/>
              </w:rPr>
              <w:t>Equity in income of joint ventures, net</w:t>
            </w:r>
          </w:p>
        </w:tc>
        <w:tc>
          <w:tcPr>
            <w:tcW w:w="50" w:type="pct"/>
            <w:shd w:val="clear" w:color="auto" w:fill="FFFFFF"/>
            <w:vAlign w:val="bottom"/>
            <w:hideMark/>
          </w:tcPr>
          <w:p w14:paraId="5BCA90A1"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51B4CBB" w14:textId="77777777" w:rsidR="00000000" w:rsidRDefault="00847163">
            <w:pPr>
              <w:rPr>
                <w:rFonts w:eastAsia="Times New Roman"/>
                <w:sz w:val="20"/>
                <w:szCs w:val="20"/>
              </w:rPr>
            </w:pPr>
            <w:r>
              <w:rPr>
                <w:rFonts w:eastAsia="Times New Roman"/>
                <w:sz w:val="20"/>
                <w:szCs w:val="20"/>
              </w:rPr>
              <w:t> </w:t>
            </w:r>
          </w:p>
        </w:tc>
        <w:tc>
          <w:tcPr>
            <w:tcW w:w="550" w:type="pct"/>
            <w:shd w:val="clear" w:color="auto" w:fill="FFFFFF"/>
            <w:vAlign w:val="bottom"/>
            <w:hideMark/>
          </w:tcPr>
          <w:p w14:paraId="035B460E" w14:textId="77777777" w:rsidR="00000000" w:rsidRDefault="00847163">
            <w:pPr>
              <w:jc w:val="right"/>
              <w:rPr>
                <w:rFonts w:eastAsia="Times New Roman"/>
                <w:sz w:val="20"/>
                <w:szCs w:val="20"/>
              </w:rPr>
            </w:pPr>
            <w:r>
              <w:rPr>
                <w:rFonts w:eastAsia="Times New Roman"/>
                <w:sz w:val="20"/>
                <w:szCs w:val="20"/>
              </w:rPr>
              <w:t>13,648</w:t>
            </w:r>
          </w:p>
        </w:tc>
        <w:tc>
          <w:tcPr>
            <w:tcW w:w="50" w:type="pct"/>
            <w:shd w:val="clear" w:color="auto" w:fill="FFFFFF"/>
            <w:vAlign w:val="bottom"/>
            <w:hideMark/>
          </w:tcPr>
          <w:p w14:paraId="5F9B2954"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E8D55BA"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F1EB515" w14:textId="77777777" w:rsidR="00000000" w:rsidRDefault="00847163">
            <w:pPr>
              <w:rPr>
                <w:rFonts w:eastAsia="Times New Roman"/>
                <w:sz w:val="20"/>
                <w:szCs w:val="20"/>
              </w:rPr>
            </w:pPr>
            <w:r>
              <w:rPr>
                <w:rFonts w:eastAsia="Times New Roman"/>
                <w:sz w:val="20"/>
                <w:szCs w:val="20"/>
              </w:rPr>
              <w:t> </w:t>
            </w:r>
          </w:p>
        </w:tc>
        <w:tc>
          <w:tcPr>
            <w:tcW w:w="550" w:type="pct"/>
            <w:shd w:val="clear" w:color="auto" w:fill="FFFFFF"/>
            <w:vAlign w:val="bottom"/>
            <w:hideMark/>
          </w:tcPr>
          <w:p w14:paraId="0815D1C8" w14:textId="77777777" w:rsidR="00000000" w:rsidRDefault="00847163">
            <w:pPr>
              <w:jc w:val="right"/>
              <w:rPr>
                <w:rFonts w:eastAsia="Times New Roman"/>
                <w:sz w:val="20"/>
                <w:szCs w:val="20"/>
              </w:rPr>
            </w:pPr>
            <w:r>
              <w:rPr>
                <w:rFonts w:eastAsia="Times New Roman"/>
                <w:sz w:val="20"/>
                <w:szCs w:val="20"/>
              </w:rPr>
              <w:t>18,754</w:t>
            </w:r>
          </w:p>
        </w:tc>
        <w:tc>
          <w:tcPr>
            <w:tcW w:w="50" w:type="pct"/>
            <w:shd w:val="clear" w:color="auto" w:fill="FFFFFF"/>
            <w:vAlign w:val="bottom"/>
            <w:hideMark/>
          </w:tcPr>
          <w:p w14:paraId="481D8F8A"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1188F94"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648F091" w14:textId="77777777" w:rsidR="00000000" w:rsidRDefault="00847163">
            <w:pPr>
              <w:rPr>
                <w:rFonts w:eastAsia="Times New Roman"/>
                <w:sz w:val="20"/>
                <w:szCs w:val="20"/>
              </w:rPr>
            </w:pPr>
            <w:r>
              <w:rPr>
                <w:rFonts w:eastAsia="Times New Roman"/>
                <w:sz w:val="20"/>
                <w:szCs w:val="20"/>
              </w:rPr>
              <w:t> </w:t>
            </w:r>
          </w:p>
        </w:tc>
        <w:tc>
          <w:tcPr>
            <w:tcW w:w="550" w:type="pct"/>
            <w:shd w:val="clear" w:color="auto" w:fill="FFFFFF"/>
            <w:vAlign w:val="bottom"/>
            <w:hideMark/>
          </w:tcPr>
          <w:p w14:paraId="0741AF50" w14:textId="77777777" w:rsidR="00000000" w:rsidRDefault="00847163">
            <w:pPr>
              <w:jc w:val="right"/>
              <w:rPr>
                <w:rFonts w:eastAsia="Times New Roman"/>
                <w:sz w:val="20"/>
                <w:szCs w:val="20"/>
              </w:rPr>
            </w:pPr>
            <w:r>
              <w:rPr>
                <w:rFonts w:eastAsia="Times New Roman"/>
                <w:sz w:val="20"/>
                <w:szCs w:val="20"/>
              </w:rPr>
              <w:t>(5,106</w:t>
            </w:r>
          </w:p>
        </w:tc>
        <w:tc>
          <w:tcPr>
            <w:tcW w:w="50" w:type="pct"/>
            <w:shd w:val="clear" w:color="auto" w:fill="FFFFFF"/>
            <w:vAlign w:val="bottom"/>
            <w:hideMark/>
          </w:tcPr>
          <w:p w14:paraId="7DEF5239" w14:textId="77777777" w:rsidR="00000000" w:rsidRDefault="00847163">
            <w:pPr>
              <w:rPr>
                <w:rFonts w:eastAsia="Times New Roman"/>
                <w:sz w:val="20"/>
                <w:szCs w:val="20"/>
              </w:rPr>
            </w:pPr>
            <w:r>
              <w:rPr>
                <w:rFonts w:eastAsia="Times New Roman"/>
                <w:sz w:val="20"/>
                <w:szCs w:val="20"/>
              </w:rPr>
              <w:t>)</w:t>
            </w:r>
          </w:p>
        </w:tc>
      </w:tr>
      <w:tr w:rsidR="00000000" w14:paraId="1BC0DD96" w14:textId="77777777">
        <w:trPr>
          <w:tblCellSpacing w:w="0" w:type="dxa"/>
        </w:trPr>
        <w:tc>
          <w:tcPr>
            <w:tcW w:w="0" w:type="auto"/>
            <w:shd w:val="clear" w:color="auto" w:fill="CCEEFF"/>
            <w:vAlign w:val="bottom"/>
            <w:hideMark/>
          </w:tcPr>
          <w:p w14:paraId="5F6C88F2" w14:textId="77777777" w:rsidR="00000000" w:rsidRDefault="00847163">
            <w:pPr>
              <w:pStyle w:val="a3"/>
              <w:spacing w:before="0" w:beforeAutospacing="0" w:after="0" w:afterAutospacing="0"/>
              <w:ind w:left="360"/>
              <w:rPr>
                <w:sz w:val="20"/>
                <w:szCs w:val="20"/>
              </w:rPr>
            </w:pPr>
            <w:r>
              <w:rPr>
                <w:sz w:val="20"/>
                <w:szCs w:val="20"/>
              </w:rPr>
              <w:t>Equity in income of other real estate investments, net</w:t>
            </w:r>
          </w:p>
        </w:tc>
        <w:tc>
          <w:tcPr>
            <w:tcW w:w="50" w:type="pct"/>
            <w:shd w:val="clear" w:color="auto" w:fill="CCEEFF"/>
            <w:vAlign w:val="bottom"/>
            <w:hideMark/>
          </w:tcPr>
          <w:p w14:paraId="61CE84C7"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AC8B077" w14:textId="77777777" w:rsidR="00000000" w:rsidRDefault="00847163">
            <w:pPr>
              <w:rPr>
                <w:rFonts w:eastAsia="Times New Roman"/>
                <w:sz w:val="20"/>
                <w:szCs w:val="20"/>
              </w:rPr>
            </w:pPr>
            <w:r>
              <w:rPr>
                <w:rFonts w:eastAsia="Times New Roman"/>
                <w:sz w:val="20"/>
                <w:szCs w:val="20"/>
              </w:rPr>
              <w:t> </w:t>
            </w:r>
          </w:p>
        </w:tc>
        <w:tc>
          <w:tcPr>
            <w:tcW w:w="550" w:type="pct"/>
            <w:shd w:val="clear" w:color="auto" w:fill="CCEEFF"/>
            <w:vAlign w:val="bottom"/>
            <w:hideMark/>
          </w:tcPr>
          <w:p w14:paraId="1026ADD5" w14:textId="77777777" w:rsidR="00000000" w:rsidRDefault="00847163">
            <w:pPr>
              <w:jc w:val="right"/>
              <w:rPr>
                <w:rFonts w:eastAsia="Times New Roman"/>
                <w:sz w:val="20"/>
                <w:szCs w:val="20"/>
              </w:rPr>
            </w:pPr>
            <w:r>
              <w:rPr>
                <w:rFonts w:eastAsia="Times New Roman"/>
                <w:sz w:val="20"/>
                <w:szCs w:val="20"/>
              </w:rPr>
              <w:t>10,958</w:t>
            </w:r>
          </w:p>
        </w:tc>
        <w:tc>
          <w:tcPr>
            <w:tcW w:w="50" w:type="pct"/>
            <w:shd w:val="clear" w:color="auto" w:fill="CCEEFF"/>
            <w:vAlign w:val="bottom"/>
            <w:hideMark/>
          </w:tcPr>
          <w:p w14:paraId="36E78DBC"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C353877"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0C41EE5" w14:textId="77777777" w:rsidR="00000000" w:rsidRDefault="00847163">
            <w:pPr>
              <w:rPr>
                <w:rFonts w:eastAsia="Times New Roman"/>
                <w:sz w:val="20"/>
                <w:szCs w:val="20"/>
              </w:rPr>
            </w:pPr>
            <w:r>
              <w:rPr>
                <w:rFonts w:eastAsia="Times New Roman"/>
                <w:sz w:val="20"/>
                <w:szCs w:val="20"/>
              </w:rPr>
              <w:t> </w:t>
            </w:r>
          </w:p>
        </w:tc>
        <w:tc>
          <w:tcPr>
            <w:tcW w:w="550" w:type="pct"/>
            <w:shd w:val="clear" w:color="auto" w:fill="CCEEFF"/>
            <w:vAlign w:val="bottom"/>
            <w:hideMark/>
          </w:tcPr>
          <w:p w14:paraId="0EE2262A" w14:textId="77777777" w:rsidR="00000000" w:rsidRDefault="00847163">
            <w:pPr>
              <w:jc w:val="right"/>
              <w:rPr>
                <w:rFonts w:eastAsia="Times New Roman"/>
                <w:sz w:val="20"/>
                <w:szCs w:val="20"/>
              </w:rPr>
            </w:pPr>
            <w:r>
              <w:rPr>
                <w:rFonts w:eastAsia="Times New Roman"/>
                <w:sz w:val="20"/>
                <w:szCs w:val="20"/>
              </w:rPr>
              <w:t>6,224</w:t>
            </w:r>
          </w:p>
        </w:tc>
        <w:tc>
          <w:tcPr>
            <w:tcW w:w="50" w:type="pct"/>
            <w:shd w:val="clear" w:color="auto" w:fill="CCEEFF"/>
            <w:vAlign w:val="bottom"/>
            <w:hideMark/>
          </w:tcPr>
          <w:p w14:paraId="14DECD1C"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26F7952"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98E29F0" w14:textId="77777777" w:rsidR="00000000" w:rsidRDefault="00847163">
            <w:pPr>
              <w:rPr>
                <w:rFonts w:eastAsia="Times New Roman"/>
                <w:sz w:val="20"/>
                <w:szCs w:val="20"/>
              </w:rPr>
            </w:pPr>
            <w:r>
              <w:rPr>
                <w:rFonts w:eastAsia="Times New Roman"/>
                <w:sz w:val="20"/>
                <w:szCs w:val="20"/>
              </w:rPr>
              <w:t> </w:t>
            </w:r>
          </w:p>
        </w:tc>
        <w:tc>
          <w:tcPr>
            <w:tcW w:w="550" w:type="pct"/>
            <w:shd w:val="clear" w:color="auto" w:fill="CCEEFF"/>
            <w:vAlign w:val="bottom"/>
            <w:hideMark/>
          </w:tcPr>
          <w:p w14:paraId="6DEBAC49" w14:textId="77777777" w:rsidR="00000000" w:rsidRDefault="00847163">
            <w:pPr>
              <w:jc w:val="right"/>
              <w:rPr>
                <w:rFonts w:eastAsia="Times New Roman"/>
                <w:sz w:val="20"/>
                <w:szCs w:val="20"/>
              </w:rPr>
            </w:pPr>
            <w:r>
              <w:rPr>
                <w:rFonts w:eastAsia="Times New Roman"/>
                <w:sz w:val="20"/>
                <w:szCs w:val="20"/>
              </w:rPr>
              <w:t>4,734</w:t>
            </w:r>
          </w:p>
        </w:tc>
        <w:tc>
          <w:tcPr>
            <w:tcW w:w="50" w:type="pct"/>
            <w:shd w:val="clear" w:color="auto" w:fill="CCEEFF"/>
            <w:vAlign w:val="bottom"/>
            <w:hideMark/>
          </w:tcPr>
          <w:p w14:paraId="053D4D08" w14:textId="77777777" w:rsidR="00000000" w:rsidRDefault="00847163">
            <w:pPr>
              <w:rPr>
                <w:rFonts w:eastAsia="Times New Roman"/>
                <w:sz w:val="20"/>
                <w:szCs w:val="20"/>
              </w:rPr>
            </w:pPr>
            <w:r>
              <w:rPr>
                <w:rFonts w:eastAsia="Times New Roman"/>
                <w:sz w:val="20"/>
                <w:szCs w:val="20"/>
              </w:rPr>
              <w:t> </w:t>
            </w:r>
          </w:p>
        </w:tc>
      </w:tr>
      <w:tr w:rsidR="00000000" w14:paraId="33ACEA0C" w14:textId="77777777">
        <w:trPr>
          <w:tblCellSpacing w:w="0" w:type="dxa"/>
        </w:trPr>
        <w:tc>
          <w:tcPr>
            <w:tcW w:w="0" w:type="auto"/>
            <w:shd w:val="clear" w:color="auto" w:fill="FFFFFF"/>
            <w:vAlign w:val="bottom"/>
            <w:hideMark/>
          </w:tcPr>
          <w:p w14:paraId="51018760" w14:textId="77777777" w:rsidR="00000000" w:rsidRDefault="00847163">
            <w:pPr>
              <w:pStyle w:val="a3"/>
              <w:spacing w:before="0" w:beforeAutospacing="0" w:after="0" w:afterAutospacing="0"/>
              <w:ind w:left="360"/>
              <w:rPr>
                <w:sz w:val="20"/>
                <w:szCs w:val="20"/>
              </w:rPr>
            </w:pPr>
            <w:r>
              <w:rPr>
                <w:sz w:val="20"/>
                <w:szCs w:val="20"/>
              </w:rPr>
              <w:t>Net income attributable to noncontrolling interests</w:t>
            </w:r>
          </w:p>
        </w:tc>
        <w:tc>
          <w:tcPr>
            <w:tcW w:w="50" w:type="pct"/>
            <w:shd w:val="clear" w:color="auto" w:fill="FFFFFF"/>
            <w:vAlign w:val="bottom"/>
            <w:hideMark/>
          </w:tcPr>
          <w:p w14:paraId="42B35D72"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614A3A5" w14:textId="77777777" w:rsidR="00000000" w:rsidRDefault="00847163">
            <w:pPr>
              <w:rPr>
                <w:rFonts w:eastAsia="Times New Roman"/>
                <w:sz w:val="20"/>
                <w:szCs w:val="20"/>
              </w:rPr>
            </w:pPr>
            <w:r>
              <w:rPr>
                <w:rFonts w:eastAsia="Times New Roman"/>
                <w:sz w:val="20"/>
                <w:szCs w:val="20"/>
              </w:rPr>
              <w:t> </w:t>
            </w:r>
          </w:p>
        </w:tc>
        <w:tc>
          <w:tcPr>
            <w:tcW w:w="550" w:type="pct"/>
            <w:shd w:val="clear" w:color="auto" w:fill="FFFFFF"/>
            <w:vAlign w:val="bottom"/>
            <w:hideMark/>
          </w:tcPr>
          <w:p w14:paraId="10D6EADA" w14:textId="77777777" w:rsidR="00000000" w:rsidRDefault="00847163">
            <w:pPr>
              <w:jc w:val="right"/>
              <w:rPr>
                <w:rFonts w:eastAsia="Times New Roman"/>
                <w:sz w:val="20"/>
                <w:szCs w:val="20"/>
              </w:rPr>
            </w:pPr>
            <w:r>
              <w:rPr>
                <w:rFonts w:eastAsia="Times New Roman"/>
                <w:sz w:val="20"/>
                <w:szCs w:val="20"/>
              </w:rPr>
              <w:t>(289</w:t>
            </w:r>
          </w:p>
        </w:tc>
        <w:tc>
          <w:tcPr>
            <w:tcW w:w="50" w:type="pct"/>
            <w:shd w:val="clear" w:color="auto" w:fill="FFFFFF"/>
            <w:vAlign w:val="bottom"/>
            <w:hideMark/>
          </w:tcPr>
          <w:p w14:paraId="1FFC750E" w14:textId="77777777" w:rsidR="00000000" w:rsidRDefault="00847163">
            <w:pPr>
              <w:rPr>
                <w:rFonts w:eastAsia="Times New Roman"/>
                <w:sz w:val="20"/>
                <w:szCs w:val="20"/>
              </w:rPr>
            </w:pPr>
            <w:r>
              <w:rPr>
                <w:rFonts w:eastAsia="Times New Roman"/>
                <w:sz w:val="20"/>
                <w:szCs w:val="20"/>
              </w:rPr>
              <w:t>)</w:t>
            </w:r>
          </w:p>
        </w:tc>
        <w:tc>
          <w:tcPr>
            <w:tcW w:w="50" w:type="pct"/>
            <w:shd w:val="clear" w:color="auto" w:fill="FFFFFF"/>
            <w:vAlign w:val="bottom"/>
            <w:hideMark/>
          </w:tcPr>
          <w:p w14:paraId="332354FB"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D7FF22E" w14:textId="77777777" w:rsidR="00000000" w:rsidRDefault="00847163">
            <w:pPr>
              <w:rPr>
                <w:rFonts w:eastAsia="Times New Roman"/>
                <w:sz w:val="20"/>
                <w:szCs w:val="20"/>
              </w:rPr>
            </w:pPr>
            <w:r>
              <w:rPr>
                <w:rFonts w:eastAsia="Times New Roman"/>
                <w:sz w:val="20"/>
                <w:szCs w:val="20"/>
              </w:rPr>
              <w:t> </w:t>
            </w:r>
          </w:p>
        </w:tc>
        <w:tc>
          <w:tcPr>
            <w:tcW w:w="550" w:type="pct"/>
            <w:shd w:val="clear" w:color="auto" w:fill="FFFFFF"/>
            <w:vAlign w:val="bottom"/>
            <w:hideMark/>
          </w:tcPr>
          <w:p w14:paraId="607AB61C" w14:textId="77777777" w:rsidR="00000000" w:rsidRDefault="00847163">
            <w:pPr>
              <w:jc w:val="right"/>
              <w:rPr>
                <w:rFonts w:eastAsia="Times New Roman"/>
                <w:sz w:val="20"/>
                <w:szCs w:val="20"/>
              </w:rPr>
            </w:pPr>
            <w:r>
              <w:rPr>
                <w:rFonts w:eastAsia="Times New Roman"/>
                <w:sz w:val="20"/>
                <w:szCs w:val="20"/>
              </w:rPr>
              <w:t>(509</w:t>
            </w:r>
          </w:p>
        </w:tc>
        <w:tc>
          <w:tcPr>
            <w:tcW w:w="50" w:type="pct"/>
            <w:shd w:val="clear" w:color="auto" w:fill="FFFFFF"/>
            <w:vAlign w:val="bottom"/>
            <w:hideMark/>
          </w:tcPr>
          <w:p w14:paraId="5EA9437C" w14:textId="77777777" w:rsidR="00000000" w:rsidRDefault="00847163">
            <w:pPr>
              <w:rPr>
                <w:rFonts w:eastAsia="Times New Roman"/>
                <w:sz w:val="20"/>
                <w:szCs w:val="20"/>
              </w:rPr>
            </w:pPr>
            <w:r>
              <w:rPr>
                <w:rFonts w:eastAsia="Times New Roman"/>
                <w:sz w:val="20"/>
                <w:szCs w:val="20"/>
              </w:rPr>
              <w:t>)</w:t>
            </w:r>
          </w:p>
        </w:tc>
        <w:tc>
          <w:tcPr>
            <w:tcW w:w="50" w:type="pct"/>
            <w:shd w:val="clear" w:color="auto" w:fill="FFFFFF"/>
            <w:vAlign w:val="bottom"/>
            <w:hideMark/>
          </w:tcPr>
          <w:p w14:paraId="1E8EDACB"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96C630D" w14:textId="77777777" w:rsidR="00000000" w:rsidRDefault="00847163">
            <w:pPr>
              <w:rPr>
                <w:rFonts w:eastAsia="Times New Roman"/>
                <w:sz w:val="20"/>
                <w:szCs w:val="20"/>
              </w:rPr>
            </w:pPr>
            <w:r>
              <w:rPr>
                <w:rFonts w:eastAsia="Times New Roman"/>
                <w:sz w:val="20"/>
                <w:szCs w:val="20"/>
              </w:rPr>
              <w:t> </w:t>
            </w:r>
          </w:p>
        </w:tc>
        <w:tc>
          <w:tcPr>
            <w:tcW w:w="550" w:type="pct"/>
            <w:shd w:val="clear" w:color="auto" w:fill="FFFFFF"/>
            <w:vAlign w:val="bottom"/>
            <w:hideMark/>
          </w:tcPr>
          <w:p w14:paraId="7E20EA99" w14:textId="77777777" w:rsidR="00000000" w:rsidRDefault="00847163">
            <w:pPr>
              <w:jc w:val="right"/>
              <w:rPr>
                <w:rFonts w:eastAsia="Times New Roman"/>
                <w:sz w:val="20"/>
                <w:szCs w:val="20"/>
              </w:rPr>
            </w:pPr>
            <w:r>
              <w:rPr>
                <w:rFonts w:eastAsia="Times New Roman"/>
                <w:sz w:val="20"/>
                <w:szCs w:val="20"/>
              </w:rPr>
              <w:t>220</w:t>
            </w:r>
          </w:p>
        </w:tc>
        <w:tc>
          <w:tcPr>
            <w:tcW w:w="50" w:type="pct"/>
            <w:shd w:val="clear" w:color="auto" w:fill="FFFFFF"/>
            <w:vAlign w:val="bottom"/>
            <w:hideMark/>
          </w:tcPr>
          <w:p w14:paraId="4FD4D99B" w14:textId="77777777" w:rsidR="00000000" w:rsidRDefault="00847163">
            <w:pPr>
              <w:rPr>
                <w:rFonts w:eastAsia="Times New Roman"/>
                <w:sz w:val="20"/>
                <w:szCs w:val="20"/>
              </w:rPr>
            </w:pPr>
            <w:r>
              <w:rPr>
                <w:rFonts w:eastAsia="Times New Roman"/>
                <w:sz w:val="20"/>
                <w:szCs w:val="20"/>
              </w:rPr>
              <w:t> </w:t>
            </w:r>
          </w:p>
        </w:tc>
      </w:tr>
      <w:tr w:rsidR="00000000" w14:paraId="05250BE8" w14:textId="77777777">
        <w:trPr>
          <w:tblCellSpacing w:w="0" w:type="dxa"/>
        </w:trPr>
        <w:tc>
          <w:tcPr>
            <w:tcW w:w="0" w:type="auto"/>
            <w:shd w:val="clear" w:color="auto" w:fill="CCEEFF"/>
            <w:vAlign w:val="bottom"/>
            <w:hideMark/>
          </w:tcPr>
          <w:p w14:paraId="0B9BA6EE" w14:textId="77777777" w:rsidR="00000000" w:rsidRDefault="00847163">
            <w:pPr>
              <w:pStyle w:val="a3"/>
              <w:spacing w:before="0" w:beforeAutospacing="0" w:after="0" w:afterAutospacing="0"/>
              <w:ind w:left="360"/>
              <w:rPr>
                <w:sz w:val="20"/>
                <w:szCs w:val="20"/>
              </w:rPr>
            </w:pPr>
            <w:r>
              <w:rPr>
                <w:sz w:val="20"/>
                <w:szCs w:val="20"/>
              </w:rPr>
              <w:t>Preferred dividends</w:t>
            </w:r>
          </w:p>
        </w:tc>
        <w:tc>
          <w:tcPr>
            <w:tcW w:w="50" w:type="pct"/>
            <w:shd w:val="clear" w:color="auto" w:fill="CCEEFF"/>
            <w:tcMar>
              <w:top w:w="0" w:type="dxa"/>
              <w:left w:w="0" w:type="dxa"/>
              <w:bottom w:w="15" w:type="dxa"/>
              <w:right w:w="0" w:type="dxa"/>
            </w:tcMar>
            <w:vAlign w:val="bottom"/>
            <w:hideMark/>
          </w:tcPr>
          <w:p w14:paraId="6D5FA065" w14:textId="77777777" w:rsidR="00000000" w:rsidRDefault="0084716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08993BC7" w14:textId="77777777" w:rsidR="00000000" w:rsidRDefault="00847163">
            <w:pPr>
              <w:rPr>
                <w:rFonts w:eastAsia="Times New Roman"/>
                <w:sz w:val="20"/>
                <w:szCs w:val="20"/>
              </w:rPr>
            </w:pPr>
            <w:r>
              <w:rPr>
                <w:rFonts w:eastAsia="Times New Roman"/>
                <w:sz w:val="20"/>
                <w:szCs w:val="20"/>
              </w:rPr>
              <w:t> </w:t>
            </w:r>
          </w:p>
        </w:tc>
        <w:tc>
          <w:tcPr>
            <w:tcW w:w="550" w:type="pct"/>
            <w:tcBorders>
              <w:bottom w:val="single" w:sz="6" w:space="0" w:color="000000"/>
            </w:tcBorders>
            <w:shd w:val="clear" w:color="auto" w:fill="CCEEFF"/>
            <w:vAlign w:val="bottom"/>
            <w:hideMark/>
          </w:tcPr>
          <w:p w14:paraId="79970925" w14:textId="77777777" w:rsidR="00000000" w:rsidRDefault="00847163">
            <w:pPr>
              <w:jc w:val="right"/>
              <w:rPr>
                <w:rFonts w:eastAsia="Times New Roman"/>
                <w:sz w:val="20"/>
                <w:szCs w:val="20"/>
              </w:rPr>
            </w:pPr>
            <w:r>
              <w:rPr>
                <w:rFonts w:eastAsia="Times New Roman"/>
                <w:sz w:val="20"/>
                <w:szCs w:val="20"/>
              </w:rPr>
              <w:t>(6,354</w:t>
            </w:r>
          </w:p>
        </w:tc>
        <w:tc>
          <w:tcPr>
            <w:tcW w:w="50" w:type="pct"/>
            <w:shd w:val="clear" w:color="auto" w:fill="CCEEFF"/>
            <w:tcMar>
              <w:top w:w="0" w:type="dxa"/>
              <w:left w:w="0" w:type="dxa"/>
              <w:bottom w:w="15" w:type="dxa"/>
              <w:right w:w="0" w:type="dxa"/>
            </w:tcMar>
            <w:vAlign w:val="bottom"/>
            <w:hideMark/>
          </w:tcPr>
          <w:p w14:paraId="3246D810" w14:textId="77777777" w:rsidR="00000000" w:rsidRDefault="00847163">
            <w:pPr>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62DBAEF5" w14:textId="77777777" w:rsidR="00000000" w:rsidRDefault="0084716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20D3E258" w14:textId="77777777" w:rsidR="00000000" w:rsidRDefault="00847163">
            <w:pPr>
              <w:rPr>
                <w:rFonts w:eastAsia="Times New Roman"/>
                <w:sz w:val="20"/>
                <w:szCs w:val="20"/>
              </w:rPr>
            </w:pPr>
            <w:r>
              <w:rPr>
                <w:rFonts w:eastAsia="Times New Roman"/>
                <w:sz w:val="20"/>
                <w:szCs w:val="20"/>
              </w:rPr>
              <w:t> </w:t>
            </w:r>
          </w:p>
        </w:tc>
        <w:tc>
          <w:tcPr>
            <w:tcW w:w="550" w:type="pct"/>
            <w:tcBorders>
              <w:bottom w:val="single" w:sz="6" w:space="0" w:color="000000"/>
            </w:tcBorders>
            <w:shd w:val="clear" w:color="auto" w:fill="CCEEFF"/>
            <w:vAlign w:val="bottom"/>
            <w:hideMark/>
          </w:tcPr>
          <w:p w14:paraId="7B9F0EAD" w14:textId="77777777" w:rsidR="00000000" w:rsidRDefault="00847163">
            <w:pPr>
              <w:jc w:val="right"/>
              <w:rPr>
                <w:rFonts w:eastAsia="Times New Roman"/>
                <w:sz w:val="20"/>
                <w:szCs w:val="20"/>
              </w:rPr>
            </w:pPr>
            <w:r>
              <w:rPr>
                <w:rFonts w:eastAsia="Times New Roman"/>
                <w:sz w:val="20"/>
                <w:szCs w:val="20"/>
              </w:rPr>
              <w:t>(14,534</w:t>
            </w:r>
          </w:p>
        </w:tc>
        <w:tc>
          <w:tcPr>
            <w:tcW w:w="50" w:type="pct"/>
            <w:shd w:val="clear" w:color="auto" w:fill="CCEEFF"/>
            <w:tcMar>
              <w:top w:w="0" w:type="dxa"/>
              <w:left w:w="0" w:type="dxa"/>
              <w:bottom w:w="15" w:type="dxa"/>
              <w:right w:w="0" w:type="dxa"/>
            </w:tcMar>
            <w:vAlign w:val="bottom"/>
            <w:hideMark/>
          </w:tcPr>
          <w:p w14:paraId="2002F258" w14:textId="77777777" w:rsidR="00000000" w:rsidRDefault="00847163">
            <w:pPr>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2C17D83C" w14:textId="77777777" w:rsidR="00000000" w:rsidRDefault="0084716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29CF4D77" w14:textId="77777777" w:rsidR="00000000" w:rsidRDefault="00847163">
            <w:pPr>
              <w:rPr>
                <w:rFonts w:eastAsia="Times New Roman"/>
                <w:sz w:val="20"/>
                <w:szCs w:val="20"/>
              </w:rPr>
            </w:pPr>
            <w:r>
              <w:rPr>
                <w:rFonts w:eastAsia="Times New Roman"/>
                <w:sz w:val="20"/>
                <w:szCs w:val="20"/>
              </w:rPr>
              <w:t> </w:t>
            </w:r>
          </w:p>
        </w:tc>
        <w:tc>
          <w:tcPr>
            <w:tcW w:w="550" w:type="pct"/>
            <w:tcBorders>
              <w:bottom w:val="single" w:sz="6" w:space="0" w:color="000000"/>
            </w:tcBorders>
            <w:shd w:val="clear" w:color="auto" w:fill="CCEEFF"/>
            <w:vAlign w:val="bottom"/>
            <w:hideMark/>
          </w:tcPr>
          <w:p w14:paraId="10DB95A4" w14:textId="77777777" w:rsidR="00000000" w:rsidRDefault="00847163">
            <w:pPr>
              <w:jc w:val="right"/>
              <w:rPr>
                <w:rFonts w:eastAsia="Times New Roman"/>
                <w:sz w:val="20"/>
                <w:szCs w:val="20"/>
              </w:rPr>
            </w:pPr>
            <w:r>
              <w:rPr>
                <w:rFonts w:eastAsia="Times New Roman"/>
                <w:sz w:val="20"/>
                <w:szCs w:val="20"/>
              </w:rPr>
              <w:t>8,180</w:t>
            </w:r>
          </w:p>
        </w:tc>
        <w:tc>
          <w:tcPr>
            <w:tcW w:w="50" w:type="pct"/>
            <w:shd w:val="clear" w:color="auto" w:fill="CCEEFF"/>
            <w:tcMar>
              <w:top w:w="0" w:type="dxa"/>
              <w:left w:w="0" w:type="dxa"/>
              <w:bottom w:w="15" w:type="dxa"/>
              <w:right w:w="0" w:type="dxa"/>
            </w:tcMar>
            <w:vAlign w:val="bottom"/>
            <w:hideMark/>
          </w:tcPr>
          <w:p w14:paraId="53086C06" w14:textId="77777777" w:rsidR="00000000" w:rsidRDefault="00847163">
            <w:pPr>
              <w:rPr>
                <w:rFonts w:eastAsia="Times New Roman"/>
                <w:sz w:val="20"/>
                <w:szCs w:val="20"/>
              </w:rPr>
            </w:pPr>
            <w:r>
              <w:rPr>
                <w:rFonts w:eastAsia="Times New Roman"/>
                <w:sz w:val="20"/>
                <w:szCs w:val="20"/>
              </w:rPr>
              <w:t> </w:t>
            </w:r>
          </w:p>
        </w:tc>
      </w:tr>
      <w:tr w:rsidR="00000000" w14:paraId="78F2AB2B" w14:textId="77777777">
        <w:trPr>
          <w:tblCellSpacing w:w="0" w:type="dxa"/>
        </w:trPr>
        <w:tc>
          <w:tcPr>
            <w:tcW w:w="0" w:type="auto"/>
            <w:shd w:val="clear" w:color="auto" w:fill="FFFFFF"/>
            <w:vAlign w:val="bottom"/>
            <w:hideMark/>
          </w:tcPr>
          <w:p w14:paraId="79468211" w14:textId="77777777" w:rsidR="00000000" w:rsidRDefault="00847163">
            <w:pPr>
              <w:pStyle w:val="a3"/>
              <w:spacing w:before="0" w:beforeAutospacing="0" w:after="0" w:afterAutospacing="0"/>
              <w:rPr>
                <w:sz w:val="20"/>
                <w:szCs w:val="20"/>
              </w:rPr>
            </w:pPr>
            <w:r>
              <w:rPr>
                <w:sz w:val="20"/>
                <w:szCs w:val="20"/>
              </w:rPr>
              <w:t>Net income available to the Company's common shareholders</w:t>
            </w:r>
          </w:p>
        </w:tc>
        <w:tc>
          <w:tcPr>
            <w:tcW w:w="50" w:type="pct"/>
            <w:shd w:val="clear" w:color="auto" w:fill="FFFFFF"/>
            <w:vAlign w:val="bottom"/>
            <w:hideMark/>
          </w:tcPr>
          <w:p w14:paraId="20F8CE9F" w14:textId="77777777" w:rsidR="00000000" w:rsidRDefault="0084716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041B7AC3" w14:textId="77777777" w:rsidR="00000000" w:rsidRDefault="00847163">
            <w:pPr>
              <w:rPr>
                <w:rFonts w:eastAsia="Times New Roman"/>
                <w:sz w:val="20"/>
                <w:szCs w:val="20"/>
              </w:rPr>
            </w:pPr>
            <w:r>
              <w:rPr>
                <w:rFonts w:eastAsia="Times New Roman"/>
                <w:sz w:val="20"/>
                <w:szCs w:val="20"/>
              </w:rPr>
              <w:t>$</w:t>
            </w:r>
          </w:p>
        </w:tc>
        <w:tc>
          <w:tcPr>
            <w:tcW w:w="550" w:type="pct"/>
            <w:tcBorders>
              <w:bottom w:val="double" w:sz="6" w:space="0" w:color="000000"/>
            </w:tcBorders>
            <w:shd w:val="clear" w:color="auto" w:fill="FFFFFF"/>
            <w:vAlign w:val="bottom"/>
            <w:hideMark/>
          </w:tcPr>
          <w:p w14:paraId="2D414BE1" w14:textId="77777777" w:rsidR="00000000" w:rsidRDefault="00847163">
            <w:pPr>
              <w:jc w:val="right"/>
              <w:rPr>
                <w:rFonts w:eastAsia="Times New Roman"/>
                <w:sz w:val="20"/>
                <w:szCs w:val="20"/>
              </w:rPr>
            </w:pPr>
            <w:r>
              <w:rPr>
                <w:rFonts w:eastAsia="Times New Roman"/>
                <w:sz w:val="20"/>
                <w:szCs w:val="20"/>
              </w:rPr>
              <w:t>83,746</w:t>
            </w:r>
          </w:p>
        </w:tc>
        <w:tc>
          <w:tcPr>
            <w:tcW w:w="50" w:type="pct"/>
            <w:shd w:val="clear" w:color="auto" w:fill="FFFFFF"/>
            <w:tcMar>
              <w:top w:w="0" w:type="dxa"/>
              <w:left w:w="0" w:type="dxa"/>
              <w:bottom w:w="45" w:type="dxa"/>
              <w:right w:w="0" w:type="dxa"/>
            </w:tcMar>
            <w:vAlign w:val="bottom"/>
            <w:hideMark/>
          </w:tcPr>
          <w:p w14:paraId="3D08C3B1"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44825AF" w14:textId="77777777" w:rsidR="00000000" w:rsidRDefault="0084716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2EDA6FE2" w14:textId="77777777" w:rsidR="00000000" w:rsidRDefault="00847163">
            <w:pPr>
              <w:rPr>
                <w:rFonts w:eastAsia="Times New Roman"/>
                <w:sz w:val="20"/>
                <w:szCs w:val="20"/>
              </w:rPr>
            </w:pPr>
            <w:r>
              <w:rPr>
                <w:rFonts w:eastAsia="Times New Roman"/>
                <w:sz w:val="20"/>
                <w:szCs w:val="20"/>
              </w:rPr>
              <w:t>$</w:t>
            </w:r>
          </w:p>
        </w:tc>
        <w:tc>
          <w:tcPr>
            <w:tcW w:w="550" w:type="pct"/>
            <w:tcBorders>
              <w:bottom w:val="double" w:sz="6" w:space="0" w:color="000000"/>
            </w:tcBorders>
            <w:shd w:val="clear" w:color="auto" w:fill="FFFFFF"/>
            <w:vAlign w:val="bottom"/>
            <w:hideMark/>
          </w:tcPr>
          <w:p w14:paraId="0D030B9E" w14:textId="77777777" w:rsidR="00000000" w:rsidRDefault="00847163">
            <w:pPr>
              <w:jc w:val="right"/>
              <w:rPr>
                <w:rFonts w:eastAsia="Times New Roman"/>
                <w:sz w:val="20"/>
                <w:szCs w:val="20"/>
              </w:rPr>
            </w:pPr>
            <w:r>
              <w:rPr>
                <w:rFonts w:eastAsia="Times New Roman"/>
                <w:sz w:val="20"/>
                <w:szCs w:val="20"/>
              </w:rPr>
              <w:t>101,635</w:t>
            </w:r>
          </w:p>
        </w:tc>
        <w:tc>
          <w:tcPr>
            <w:tcW w:w="50" w:type="pct"/>
            <w:shd w:val="clear" w:color="auto" w:fill="FFFFFF"/>
            <w:tcMar>
              <w:top w:w="0" w:type="dxa"/>
              <w:left w:w="0" w:type="dxa"/>
              <w:bottom w:w="45" w:type="dxa"/>
              <w:right w:w="0" w:type="dxa"/>
            </w:tcMar>
            <w:vAlign w:val="bottom"/>
            <w:hideMark/>
          </w:tcPr>
          <w:p w14:paraId="48E1700F"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B94CA1E" w14:textId="77777777" w:rsidR="00000000" w:rsidRDefault="0084716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661A8C21" w14:textId="77777777" w:rsidR="00000000" w:rsidRDefault="00847163">
            <w:pPr>
              <w:rPr>
                <w:rFonts w:eastAsia="Times New Roman"/>
                <w:sz w:val="20"/>
                <w:szCs w:val="20"/>
              </w:rPr>
            </w:pPr>
            <w:r>
              <w:rPr>
                <w:rFonts w:eastAsia="Times New Roman"/>
                <w:sz w:val="20"/>
                <w:szCs w:val="20"/>
              </w:rPr>
              <w:t>$</w:t>
            </w:r>
          </w:p>
        </w:tc>
        <w:tc>
          <w:tcPr>
            <w:tcW w:w="550" w:type="pct"/>
            <w:tcBorders>
              <w:bottom w:val="double" w:sz="6" w:space="0" w:color="000000"/>
            </w:tcBorders>
            <w:shd w:val="clear" w:color="auto" w:fill="FFFFFF"/>
            <w:vAlign w:val="bottom"/>
            <w:hideMark/>
          </w:tcPr>
          <w:p w14:paraId="237EC6C6" w14:textId="77777777" w:rsidR="00000000" w:rsidRDefault="00847163">
            <w:pPr>
              <w:jc w:val="right"/>
              <w:rPr>
                <w:rFonts w:eastAsia="Times New Roman"/>
                <w:sz w:val="20"/>
                <w:szCs w:val="20"/>
              </w:rPr>
            </w:pPr>
            <w:r>
              <w:rPr>
                <w:rFonts w:eastAsia="Times New Roman"/>
                <w:sz w:val="20"/>
                <w:szCs w:val="20"/>
              </w:rPr>
              <w:t>(17,889</w:t>
            </w:r>
          </w:p>
        </w:tc>
        <w:tc>
          <w:tcPr>
            <w:tcW w:w="50" w:type="pct"/>
            <w:shd w:val="clear" w:color="auto" w:fill="FFFFFF"/>
            <w:tcMar>
              <w:top w:w="0" w:type="dxa"/>
              <w:left w:w="0" w:type="dxa"/>
              <w:bottom w:w="45" w:type="dxa"/>
              <w:right w:w="0" w:type="dxa"/>
            </w:tcMar>
            <w:vAlign w:val="bottom"/>
            <w:hideMark/>
          </w:tcPr>
          <w:p w14:paraId="519C6C46" w14:textId="77777777" w:rsidR="00000000" w:rsidRDefault="00847163">
            <w:pPr>
              <w:rPr>
                <w:rFonts w:eastAsia="Times New Roman"/>
                <w:sz w:val="20"/>
                <w:szCs w:val="20"/>
              </w:rPr>
            </w:pPr>
            <w:r>
              <w:rPr>
                <w:rFonts w:eastAsia="Times New Roman"/>
                <w:sz w:val="20"/>
                <w:szCs w:val="20"/>
              </w:rPr>
              <w:t>)</w:t>
            </w:r>
          </w:p>
        </w:tc>
      </w:tr>
      <w:tr w:rsidR="00000000" w14:paraId="109898EA" w14:textId="77777777">
        <w:trPr>
          <w:tblCellSpacing w:w="0" w:type="dxa"/>
        </w:trPr>
        <w:tc>
          <w:tcPr>
            <w:tcW w:w="0" w:type="auto"/>
            <w:shd w:val="clear" w:color="auto" w:fill="CCEEFF"/>
            <w:vAlign w:val="bottom"/>
            <w:hideMark/>
          </w:tcPr>
          <w:p w14:paraId="109D867D" w14:textId="77777777" w:rsidR="00000000" w:rsidRDefault="00847163">
            <w:pPr>
              <w:pStyle w:val="a3"/>
              <w:spacing w:before="0" w:beforeAutospacing="0" w:after="0" w:afterAutospacing="0"/>
              <w:rPr>
                <w:sz w:val="20"/>
                <w:szCs w:val="20"/>
              </w:rPr>
            </w:pPr>
            <w:r>
              <w:rPr>
                <w:sz w:val="20"/>
                <w:szCs w:val="20"/>
              </w:rPr>
              <w:t>Net income available to the Company:</w:t>
            </w:r>
          </w:p>
        </w:tc>
        <w:tc>
          <w:tcPr>
            <w:tcW w:w="0" w:type="auto"/>
            <w:shd w:val="clear" w:color="auto" w:fill="CCEEFF"/>
            <w:vAlign w:val="bottom"/>
            <w:hideMark/>
          </w:tcPr>
          <w:p w14:paraId="063D1240"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FF1D480"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B7215A2"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2B4A751"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83A27E"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FFDB456"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2FC04C3"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94F652F"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5E9ACB1"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092DC5E"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1CC25C"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5936D1" w14:textId="77777777" w:rsidR="00000000" w:rsidRDefault="00847163">
            <w:pPr>
              <w:rPr>
                <w:rFonts w:eastAsia="Times New Roman"/>
                <w:sz w:val="20"/>
                <w:szCs w:val="20"/>
              </w:rPr>
            </w:pPr>
            <w:r>
              <w:rPr>
                <w:rFonts w:eastAsia="Times New Roman"/>
                <w:sz w:val="20"/>
                <w:szCs w:val="20"/>
              </w:rPr>
              <w:t> </w:t>
            </w:r>
          </w:p>
        </w:tc>
      </w:tr>
      <w:tr w:rsidR="00000000" w14:paraId="447E7DC4" w14:textId="77777777">
        <w:trPr>
          <w:tblCellSpacing w:w="0" w:type="dxa"/>
        </w:trPr>
        <w:tc>
          <w:tcPr>
            <w:tcW w:w="0" w:type="auto"/>
            <w:shd w:val="clear" w:color="auto" w:fill="FFFFFF"/>
            <w:vAlign w:val="bottom"/>
            <w:hideMark/>
          </w:tcPr>
          <w:p w14:paraId="492F0A32" w14:textId="77777777" w:rsidR="00000000" w:rsidRDefault="00847163">
            <w:pPr>
              <w:pStyle w:val="a3"/>
              <w:spacing w:before="0" w:beforeAutospacing="0" w:after="0" w:afterAutospacing="0"/>
              <w:ind w:left="360"/>
              <w:rPr>
                <w:sz w:val="20"/>
                <w:szCs w:val="20"/>
              </w:rPr>
            </w:pPr>
            <w:r>
              <w:rPr>
                <w:sz w:val="20"/>
                <w:szCs w:val="20"/>
              </w:rPr>
              <w:t>Diluted per common share</w:t>
            </w:r>
          </w:p>
        </w:tc>
        <w:tc>
          <w:tcPr>
            <w:tcW w:w="50" w:type="pct"/>
            <w:shd w:val="clear" w:color="auto" w:fill="FFFFFF"/>
            <w:vAlign w:val="bottom"/>
            <w:hideMark/>
          </w:tcPr>
          <w:p w14:paraId="2CA6FB0E" w14:textId="77777777" w:rsidR="00000000" w:rsidRDefault="0084716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1CFA083A" w14:textId="77777777" w:rsidR="00000000" w:rsidRDefault="00847163">
            <w:pPr>
              <w:rPr>
                <w:rFonts w:eastAsia="Times New Roman"/>
                <w:sz w:val="20"/>
                <w:szCs w:val="20"/>
              </w:rPr>
            </w:pPr>
            <w:r>
              <w:rPr>
                <w:rFonts w:eastAsia="Times New Roman"/>
                <w:sz w:val="20"/>
                <w:szCs w:val="20"/>
              </w:rPr>
              <w:t>$</w:t>
            </w:r>
          </w:p>
        </w:tc>
        <w:tc>
          <w:tcPr>
            <w:tcW w:w="550" w:type="pct"/>
            <w:tcBorders>
              <w:bottom w:val="double" w:sz="6" w:space="0" w:color="000000"/>
            </w:tcBorders>
            <w:shd w:val="clear" w:color="auto" w:fill="FFFFFF"/>
            <w:vAlign w:val="bottom"/>
            <w:hideMark/>
          </w:tcPr>
          <w:p w14:paraId="3F1A5F21" w14:textId="77777777" w:rsidR="00000000" w:rsidRDefault="00847163">
            <w:pPr>
              <w:jc w:val="right"/>
              <w:rPr>
                <w:rFonts w:eastAsia="Times New Roman"/>
                <w:sz w:val="20"/>
                <w:szCs w:val="20"/>
              </w:rPr>
            </w:pPr>
            <w:r>
              <w:rPr>
                <w:rFonts w:eastAsia="Times New Roman"/>
                <w:sz w:val="20"/>
                <w:szCs w:val="20"/>
              </w:rPr>
              <w:t>0.19</w:t>
            </w:r>
          </w:p>
        </w:tc>
        <w:tc>
          <w:tcPr>
            <w:tcW w:w="50" w:type="pct"/>
            <w:shd w:val="clear" w:color="auto" w:fill="FFFFFF"/>
            <w:tcMar>
              <w:top w:w="0" w:type="dxa"/>
              <w:left w:w="0" w:type="dxa"/>
              <w:bottom w:w="45" w:type="dxa"/>
              <w:right w:w="0" w:type="dxa"/>
            </w:tcMar>
            <w:vAlign w:val="bottom"/>
            <w:hideMark/>
          </w:tcPr>
          <w:p w14:paraId="71C04875"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8A897AD" w14:textId="77777777" w:rsidR="00000000" w:rsidRDefault="0084716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76CFCCB1" w14:textId="77777777" w:rsidR="00000000" w:rsidRDefault="00847163">
            <w:pPr>
              <w:rPr>
                <w:rFonts w:eastAsia="Times New Roman"/>
                <w:sz w:val="20"/>
                <w:szCs w:val="20"/>
              </w:rPr>
            </w:pPr>
            <w:r>
              <w:rPr>
                <w:rFonts w:eastAsia="Times New Roman"/>
                <w:sz w:val="20"/>
                <w:szCs w:val="20"/>
              </w:rPr>
              <w:t>$</w:t>
            </w:r>
          </w:p>
        </w:tc>
        <w:tc>
          <w:tcPr>
            <w:tcW w:w="550" w:type="pct"/>
            <w:tcBorders>
              <w:bottom w:val="double" w:sz="6" w:space="0" w:color="000000"/>
            </w:tcBorders>
            <w:shd w:val="clear" w:color="auto" w:fill="FFFFFF"/>
            <w:vAlign w:val="bottom"/>
            <w:hideMark/>
          </w:tcPr>
          <w:p w14:paraId="1CECA474" w14:textId="77777777" w:rsidR="00000000" w:rsidRDefault="00847163">
            <w:pPr>
              <w:jc w:val="right"/>
              <w:rPr>
                <w:rFonts w:eastAsia="Times New Roman"/>
                <w:sz w:val="20"/>
                <w:szCs w:val="20"/>
              </w:rPr>
            </w:pPr>
            <w:r>
              <w:rPr>
                <w:rFonts w:eastAsia="Times New Roman"/>
                <w:sz w:val="20"/>
                <w:szCs w:val="20"/>
              </w:rPr>
              <w:t>0.24</w:t>
            </w:r>
          </w:p>
        </w:tc>
        <w:tc>
          <w:tcPr>
            <w:tcW w:w="50" w:type="pct"/>
            <w:shd w:val="clear" w:color="auto" w:fill="FFFFFF"/>
            <w:tcMar>
              <w:top w:w="0" w:type="dxa"/>
              <w:left w:w="0" w:type="dxa"/>
              <w:bottom w:w="45" w:type="dxa"/>
              <w:right w:w="0" w:type="dxa"/>
            </w:tcMar>
            <w:vAlign w:val="bottom"/>
            <w:hideMark/>
          </w:tcPr>
          <w:p w14:paraId="3D6DBD40"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6020230" w14:textId="77777777" w:rsidR="00000000" w:rsidRDefault="0084716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061ABF49" w14:textId="77777777" w:rsidR="00000000" w:rsidRDefault="00847163">
            <w:pPr>
              <w:rPr>
                <w:rFonts w:eastAsia="Times New Roman"/>
                <w:sz w:val="20"/>
                <w:szCs w:val="20"/>
              </w:rPr>
            </w:pPr>
            <w:r>
              <w:rPr>
                <w:rFonts w:eastAsia="Times New Roman"/>
                <w:sz w:val="20"/>
                <w:szCs w:val="20"/>
              </w:rPr>
              <w:t>$</w:t>
            </w:r>
          </w:p>
        </w:tc>
        <w:tc>
          <w:tcPr>
            <w:tcW w:w="550" w:type="pct"/>
            <w:tcBorders>
              <w:bottom w:val="double" w:sz="6" w:space="0" w:color="000000"/>
            </w:tcBorders>
            <w:shd w:val="clear" w:color="auto" w:fill="FFFFFF"/>
            <w:vAlign w:val="bottom"/>
            <w:hideMark/>
          </w:tcPr>
          <w:p w14:paraId="4B2910CF" w14:textId="77777777" w:rsidR="00000000" w:rsidRDefault="00847163">
            <w:pPr>
              <w:jc w:val="right"/>
              <w:rPr>
                <w:rFonts w:eastAsia="Times New Roman"/>
                <w:sz w:val="20"/>
                <w:szCs w:val="20"/>
              </w:rPr>
            </w:pPr>
            <w:r>
              <w:rPr>
                <w:rFonts w:eastAsia="Times New Roman"/>
                <w:sz w:val="20"/>
                <w:szCs w:val="20"/>
              </w:rPr>
              <w:t>(0.05</w:t>
            </w:r>
          </w:p>
        </w:tc>
        <w:tc>
          <w:tcPr>
            <w:tcW w:w="50" w:type="pct"/>
            <w:shd w:val="clear" w:color="auto" w:fill="FFFFFF"/>
            <w:tcMar>
              <w:top w:w="0" w:type="dxa"/>
              <w:left w:w="0" w:type="dxa"/>
              <w:bottom w:w="45" w:type="dxa"/>
              <w:right w:w="0" w:type="dxa"/>
            </w:tcMar>
            <w:vAlign w:val="bottom"/>
            <w:hideMark/>
          </w:tcPr>
          <w:p w14:paraId="0176C55F" w14:textId="77777777" w:rsidR="00000000" w:rsidRDefault="00847163">
            <w:pPr>
              <w:rPr>
                <w:rFonts w:eastAsia="Times New Roman"/>
                <w:sz w:val="20"/>
                <w:szCs w:val="20"/>
              </w:rPr>
            </w:pPr>
            <w:r>
              <w:rPr>
                <w:rFonts w:eastAsia="Times New Roman"/>
                <w:sz w:val="20"/>
                <w:szCs w:val="20"/>
              </w:rPr>
              <w:t>)</w:t>
            </w:r>
          </w:p>
        </w:tc>
      </w:tr>
    </w:tbl>
    <w:p w14:paraId="43ABA125" w14:textId="77777777" w:rsidR="00000000" w:rsidRDefault="00847163">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6597DD46" w14:textId="77777777">
        <w:trPr>
          <w:tblCellSpacing w:w="0" w:type="dxa"/>
        </w:trPr>
        <w:tc>
          <w:tcPr>
            <w:tcW w:w="360" w:type="dxa"/>
            <w:hideMark/>
          </w:tcPr>
          <w:p w14:paraId="2A51DEAF" w14:textId="77777777" w:rsidR="00000000" w:rsidRDefault="00847163">
            <w:pPr>
              <w:rPr>
                <w:rFonts w:eastAsia="Times New Roman"/>
              </w:rPr>
            </w:pPr>
            <w:r>
              <w:rPr>
                <w:rFonts w:eastAsia="Times New Roman"/>
              </w:rPr>
              <w:t> </w:t>
            </w:r>
          </w:p>
        </w:tc>
        <w:tc>
          <w:tcPr>
            <w:tcW w:w="360" w:type="dxa"/>
            <w:hideMark/>
          </w:tcPr>
          <w:p w14:paraId="21D8BC0A" w14:textId="77777777" w:rsidR="00000000" w:rsidRDefault="00847163">
            <w:pPr>
              <w:pStyle w:val="a3"/>
              <w:spacing w:before="0" w:beforeAutospacing="0" w:after="0" w:afterAutospacing="0"/>
              <w:jc w:val="both"/>
              <w:rPr>
                <w:sz w:val="20"/>
                <w:szCs w:val="20"/>
              </w:rPr>
            </w:pPr>
            <w:r>
              <w:rPr>
                <w:sz w:val="20"/>
                <w:szCs w:val="20"/>
              </w:rPr>
              <w:t>(1)</w:t>
            </w:r>
          </w:p>
        </w:tc>
        <w:tc>
          <w:tcPr>
            <w:tcW w:w="0" w:type="auto"/>
            <w:hideMark/>
          </w:tcPr>
          <w:p w14:paraId="12B284A8" w14:textId="77777777" w:rsidR="00000000" w:rsidRDefault="00847163">
            <w:pPr>
              <w:pStyle w:val="a3"/>
              <w:spacing w:before="0" w:beforeAutospacing="0" w:after="0" w:afterAutospacing="0"/>
              <w:jc w:val="both"/>
              <w:rPr>
                <w:sz w:val="20"/>
                <w:szCs w:val="20"/>
              </w:rPr>
            </w:pPr>
            <w:r>
              <w:rPr>
                <w:sz w:val="20"/>
                <w:szCs w:val="20"/>
              </w:rPr>
              <w:t>Rent expense relates to ground lease payments for which the Company is the lessee.</w:t>
            </w:r>
          </w:p>
        </w:tc>
      </w:tr>
    </w:tbl>
    <w:p w14:paraId="0E10A1C5" w14:textId="77777777" w:rsidR="00000000" w:rsidRDefault="00847163">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7413BD68" w14:textId="77777777">
        <w:trPr>
          <w:tblCellSpacing w:w="0" w:type="dxa"/>
        </w:trPr>
        <w:tc>
          <w:tcPr>
            <w:tcW w:w="360" w:type="dxa"/>
            <w:hideMark/>
          </w:tcPr>
          <w:p w14:paraId="2F1AC627" w14:textId="77777777" w:rsidR="00000000" w:rsidRDefault="00847163">
            <w:pPr>
              <w:rPr>
                <w:rFonts w:eastAsia="Times New Roman"/>
              </w:rPr>
            </w:pPr>
            <w:r>
              <w:rPr>
                <w:rFonts w:eastAsia="Times New Roman"/>
              </w:rPr>
              <w:t> </w:t>
            </w:r>
          </w:p>
        </w:tc>
        <w:tc>
          <w:tcPr>
            <w:tcW w:w="360" w:type="dxa"/>
            <w:hideMark/>
          </w:tcPr>
          <w:p w14:paraId="313099DD" w14:textId="77777777" w:rsidR="00000000" w:rsidRDefault="00847163">
            <w:pPr>
              <w:pStyle w:val="a3"/>
              <w:spacing w:before="0" w:beforeAutospacing="0" w:after="0" w:afterAutospacing="0"/>
              <w:jc w:val="both"/>
              <w:rPr>
                <w:sz w:val="20"/>
                <w:szCs w:val="20"/>
              </w:rPr>
            </w:pPr>
            <w:r>
              <w:rPr>
                <w:sz w:val="20"/>
                <w:szCs w:val="20"/>
              </w:rPr>
              <w:t>(2)</w:t>
            </w:r>
          </w:p>
        </w:tc>
        <w:tc>
          <w:tcPr>
            <w:tcW w:w="0" w:type="auto"/>
            <w:hideMark/>
          </w:tcPr>
          <w:p w14:paraId="308B8901" w14:textId="77777777" w:rsidR="00000000" w:rsidRDefault="00847163">
            <w:pPr>
              <w:pStyle w:val="a3"/>
              <w:spacing w:before="0" w:beforeAutospacing="0" w:after="0" w:afterAutospacing="0"/>
              <w:ind w:right="720"/>
              <w:jc w:val="both"/>
              <w:rPr>
                <w:sz w:val="20"/>
                <w:szCs w:val="20"/>
              </w:rPr>
            </w:pPr>
            <w:r>
              <w:rPr>
                <w:sz w:val="20"/>
                <w:szCs w:val="20"/>
              </w:rPr>
              <w:t>Operating and maintenance expense consists of property related costs including repairs and maintenance costs, roof repair, landscaping, parking lot repair, snow removal, utilities, property insurance costs, security and various other property related expen</w:t>
            </w:r>
            <w:r>
              <w:rPr>
                <w:sz w:val="20"/>
                <w:szCs w:val="20"/>
              </w:rPr>
              <w:t>ses.</w:t>
            </w:r>
          </w:p>
        </w:tc>
      </w:tr>
    </w:tbl>
    <w:p w14:paraId="34563B03" w14:textId="77777777" w:rsidR="00000000" w:rsidRDefault="00847163">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32E6E806" w14:textId="77777777">
        <w:trPr>
          <w:tblCellSpacing w:w="0" w:type="dxa"/>
        </w:trPr>
        <w:tc>
          <w:tcPr>
            <w:tcW w:w="360" w:type="dxa"/>
            <w:hideMark/>
          </w:tcPr>
          <w:p w14:paraId="6B22C238" w14:textId="77777777" w:rsidR="00000000" w:rsidRDefault="00847163">
            <w:pPr>
              <w:rPr>
                <w:rFonts w:eastAsia="Times New Roman"/>
              </w:rPr>
            </w:pPr>
            <w:r>
              <w:rPr>
                <w:rFonts w:eastAsia="Times New Roman"/>
              </w:rPr>
              <w:t> </w:t>
            </w:r>
          </w:p>
        </w:tc>
        <w:tc>
          <w:tcPr>
            <w:tcW w:w="360" w:type="dxa"/>
            <w:hideMark/>
          </w:tcPr>
          <w:p w14:paraId="2F81E045" w14:textId="77777777" w:rsidR="00000000" w:rsidRDefault="00847163">
            <w:pPr>
              <w:pStyle w:val="a3"/>
              <w:spacing w:before="0" w:beforeAutospacing="0" w:after="0" w:afterAutospacing="0"/>
              <w:jc w:val="both"/>
              <w:rPr>
                <w:sz w:val="20"/>
                <w:szCs w:val="20"/>
              </w:rPr>
            </w:pPr>
            <w:r>
              <w:rPr>
                <w:sz w:val="20"/>
                <w:szCs w:val="20"/>
              </w:rPr>
              <w:t>(3)</w:t>
            </w:r>
          </w:p>
        </w:tc>
        <w:tc>
          <w:tcPr>
            <w:tcW w:w="0" w:type="auto"/>
            <w:hideMark/>
          </w:tcPr>
          <w:p w14:paraId="24858FB5" w14:textId="77777777" w:rsidR="00000000" w:rsidRDefault="00847163">
            <w:pPr>
              <w:pStyle w:val="a3"/>
              <w:spacing w:before="0" w:beforeAutospacing="0" w:after="0" w:afterAutospacing="0"/>
              <w:ind w:right="720"/>
              <w:jc w:val="both"/>
              <w:rPr>
                <w:sz w:val="20"/>
                <w:szCs w:val="20"/>
              </w:rPr>
            </w:pPr>
            <w:r>
              <w:rPr>
                <w:sz w:val="20"/>
                <w:szCs w:val="20"/>
              </w:rPr>
              <w:t>General and administrative expense includes employee-related expenses (including salaries, bonuses, equity awards, benefits, severance costs and payroll taxes), professional fees, office rent, travel expense and other company-specific expenses</w:t>
            </w:r>
            <w:r>
              <w:rPr>
                <w:sz w:val="20"/>
                <w:szCs w:val="20"/>
              </w:rPr>
              <w:t>.</w:t>
            </w:r>
          </w:p>
        </w:tc>
      </w:tr>
    </w:tbl>
    <w:p w14:paraId="5F5FFCC7" w14:textId="77777777" w:rsidR="00000000" w:rsidRDefault="00847163">
      <w:pPr>
        <w:pStyle w:val="a3"/>
        <w:spacing w:before="0" w:beforeAutospacing="0" w:after="0" w:afterAutospacing="0"/>
        <w:jc w:val="both"/>
        <w:rPr>
          <w:sz w:val="20"/>
          <w:szCs w:val="20"/>
        </w:rPr>
      </w:pPr>
      <w:r>
        <w:rPr>
          <w:sz w:val="20"/>
          <w:szCs w:val="20"/>
        </w:rPr>
        <w:t> </w:t>
      </w:r>
    </w:p>
    <w:p w14:paraId="00714CE4" w14:textId="77777777" w:rsidR="00000000" w:rsidRDefault="00847163">
      <w:pPr>
        <w:pStyle w:val="a3"/>
        <w:spacing w:before="0" w:beforeAutospacing="0" w:after="0" w:afterAutospacing="0"/>
        <w:ind w:firstLine="360"/>
        <w:jc w:val="both"/>
        <w:rPr>
          <w:sz w:val="20"/>
          <w:szCs w:val="20"/>
        </w:rPr>
      </w:pPr>
      <w:r>
        <w:rPr>
          <w:sz w:val="20"/>
          <w:szCs w:val="20"/>
        </w:rPr>
        <w:t>Net income available to the Company’s common shareholders was $83.7 million for the three months ended March 31, 2020, as compared to $101.6 million for the comparable period in 2019. On a diluted per common share basis, net income available to the Co</w:t>
      </w:r>
      <w:r>
        <w:rPr>
          <w:sz w:val="20"/>
          <w:szCs w:val="20"/>
        </w:rPr>
        <w:t>mpany for the three months ended March 31, 2020 was $0.19 as compared to $0.24 for the comparable period in 2019.</w:t>
      </w:r>
    </w:p>
    <w:p w14:paraId="159F7E34" w14:textId="77777777" w:rsidR="00000000" w:rsidRDefault="00847163">
      <w:pPr>
        <w:pStyle w:val="a3"/>
        <w:spacing w:before="0" w:beforeAutospacing="0" w:after="0" w:afterAutospacing="0"/>
        <w:jc w:val="both"/>
        <w:rPr>
          <w:sz w:val="20"/>
          <w:szCs w:val="20"/>
        </w:rPr>
      </w:pPr>
      <w:r>
        <w:rPr>
          <w:sz w:val="20"/>
          <w:szCs w:val="20"/>
        </w:rPr>
        <w:t> </w:t>
      </w:r>
    </w:p>
    <w:p w14:paraId="22B94D49" w14:textId="77777777" w:rsidR="00000000" w:rsidRDefault="00847163">
      <w:pPr>
        <w:pStyle w:val="a3"/>
        <w:spacing w:before="0" w:beforeAutospacing="0" w:after="0" w:afterAutospacing="0"/>
        <w:ind w:firstLine="360"/>
        <w:jc w:val="both"/>
        <w:rPr>
          <w:sz w:val="20"/>
          <w:szCs w:val="20"/>
        </w:rPr>
      </w:pPr>
      <w:r>
        <w:rPr>
          <w:sz w:val="20"/>
          <w:szCs w:val="20"/>
        </w:rPr>
        <w:t>The following describes the changes of certain line items included on the Company’s Condensed Consolidated Statements of Income, that the Co</w:t>
      </w:r>
      <w:r>
        <w:rPr>
          <w:sz w:val="20"/>
          <w:szCs w:val="20"/>
        </w:rPr>
        <w:t>mpany believes changed significantly and affected Net income available to the Company's common shareholders during the three months ended March 31, 2020, as compared to the corresponding period in 2019:</w:t>
      </w:r>
    </w:p>
    <w:p w14:paraId="39D6B7EF" w14:textId="77777777" w:rsidR="00000000" w:rsidRDefault="00847163">
      <w:pPr>
        <w:pStyle w:val="a3"/>
        <w:spacing w:before="0" w:beforeAutospacing="0" w:after="0" w:afterAutospacing="0"/>
        <w:ind w:firstLine="450"/>
        <w:jc w:val="both"/>
        <w:rPr>
          <w:sz w:val="20"/>
          <w:szCs w:val="20"/>
        </w:rPr>
      </w:pPr>
      <w:r>
        <w:rPr>
          <w:sz w:val="20"/>
          <w:szCs w:val="20"/>
        </w:rPr>
        <w:t> </w:t>
      </w:r>
    </w:p>
    <w:p w14:paraId="7D5B15D0" w14:textId="77777777" w:rsidR="00000000" w:rsidRDefault="00847163">
      <w:pPr>
        <w:pStyle w:val="a3"/>
        <w:spacing w:before="0" w:beforeAutospacing="0" w:after="0" w:afterAutospacing="0"/>
        <w:jc w:val="both"/>
        <w:rPr>
          <w:sz w:val="20"/>
          <w:szCs w:val="20"/>
        </w:rPr>
      </w:pPr>
      <w:r>
        <w:rPr>
          <w:i/>
          <w:iCs/>
          <w:sz w:val="20"/>
          <w:szCs w:val="20"/>
        </w:rPr>
        <w:t>Revenue from rental properties, net –</w:t>
      </w:r>
    </w:p>
    <w:p w14:paraId="2A60C7BF" w14:textId="77777777" w:rsidR="00000000" w:rsidRDefault="00847163">
      <w:pPr>
        <w:pStyle w:val="a3"/>
        <w:spacing w:before="0" w:beforeAutospacing="0" w:after="0" w:afterAutospacing="0"/>
        <w:jc w:val="both"/>
        <w:rPr>
          <w:sz w:val="20"/>
          <w:szCs w:val="20"/>
        </w:rPr>
      </w:pPr>
      <w:r>
        <w:rPr>
          <w:sz w:val="20"/>
          <w:szCs w:val="20"/>
        </w:rPr>
        <w:t> </w:t>
      </w:r>
    </w:p>
    <w:p w14:paraId="5DDBB58A" w14:textId="77777777" w:rsidR="00000000" w:rsidRDefault="00847163">
      <w:pPr>
        <w:pStyle w:val="a3"/>
        <w:spacing w:before="0" w:beforeAutospacing="0" w:after="0" w:afterAutospacing="0"/>
        <w:ind w:firstLine="360"/>
        <w:jc w:val="both"/>
        <w:rPr>
          <w:sz w:val="20"/>
          <w:szCs w:val="20"/>
        </w:rPr>
      </w:pPr>
      <w:r>
        <w:rPr>
          <w:sz w:val="20"/>
          <w:szCs w:val="20"/>
        </w:rPr>
        <w:t xml:space="preserve">The decrease in Revenues from rental properties, net of $4.6 million is primarily from (i) a decrease in revenues of $13.1 million due to properties sold during 2020 and 2019, partially offset by (ii) the completion </w:t>
      </w:r>
      <w:r>
        <w:rPr>
          <w:sz w:val="20"/>
          <w:szCs w:val="20"/>
        </w:rPr>
        <w:t>of certain redevelopment and development projects included in the Company’s Signature Series™, which provided incremental revenues for the three months ended March 31, 2020 of $4.5 million, as compared to the corresponding period in 2019 and (iii) acquisit</w:t>
      </w:r>
      <w:r>
        <w:rPr>
          <w:sz w:val="20"/>
          <w:szCs w:val="20"/>
        </w:rPr>
        <w:t>ions, tenant buyouts and net growth in the current portfolio, which provided incremental revenues for the three months ended March 31, 2020 of $4.0 million, as compared to the corresponding period in 2019.</w:t>
      </w:r>
    </w:p>
    <w:p w14:paraId="50D05017" w14:textId="77777777" w:rsidR="00000000" w:rsidRDefault="00847163">
      <w:pPr>
        <w:pStyle w:val="a3"/>
        <w:spacing w:before="0" w:beforeAutospacing="0" w:after="0" w:afterAutospacing="0"/>
        <w:ind w:firstLine="360"/>
        <w:jc w:val="both"/>
        <w:rPr>
          <w:sz w:val="20"/>
          <w:szCs w:val="20"/>
        </w:rPr>
      </w:pPr>
      <w:r>
        <w:rPr>
          <w:sz w:val="20"/>
          <w:szCs w:val="20"/>
        </w:rPr>
        <w:t> </w:t>
      </w:r>
    </w:p>
    <w:p w14:paraId="629D5DD7" w14:textId="77777777" w:rsidR="00000000" w:rsidRDefault="00847163">
      <w:pPr>
        <w:pStyle w:val="a3"/>
        <w:spacing w:before="0" w:beforeAutospacing="0" w:after="0" w:afterAutospacing="0"/>
        <w:jc w:val="both"/>
        <w:rPr>
          <w:sz w:val="20"/>
          <w:szCs w:val="20"/>
        </w:rPr>
      </w:pPr>
      <w:r>
        <w:rPr>
          <w:i/>
          <w:iCs/>
          <w:sz w:val="20"/>
          <w:szCs w:val="20"/>
        </w:rPr>
        <w:t xml:space="preserve">General and administrative – </w:t>
      </w:r>
    </w:p>
    <w:p w14:paraId="4A25F8FE" w14:textId="77777777" w:rsidR="00000000" w:rsidRDefault="00847163">
      <w:pPr>
        <w:pStyle w:val="a3"/>
        <w:spacing w:before="0" w:beforeAutospacing="0" w:after="0" w:afterAutospacing="0"/>
        <w:ind w:firstLine="360"/>
        <w:jc w:val="both"/>
        <w:rPr>
          <w:sz w:val="20"/>
          <w:szCs w:val="20"/>
        </w:rPr>
      </w:pPr>
      <w:r>
        <w:rPr>
          <w:sz w:val="20"/>
          <w:szCs w:val="20"/>
        </w:rPr>
        <w:t> </w:t>
      </w:r>
    </w:p>
    <w:p w14:paraId="2DCDF3BA" w14:textId="77777777" w:rsidR="00000000" w:rsidRDefault="00847163">
      <w:pPr>
        <w:pStyle w:val="a3"/>
        <w:spacing w:before="0" w:beforeAutospacing="0" w:after="0" w:afterAutospacing="0"/>
        <w:ind w:firstLine="360"/>
        <w:jc w:val="both"/>
        <w:rPr>
          <w:sz w:val="20"/>
          <w:szCs w:val="20"/>
        </w:rPr>
      </w:pPr>
      <w:r>
        <w:rPr>
          <w:sz w:val="20"/>
          <w:szCs w:val="20"/>
        </w:rPr>
        <w:t xml:space="preserve">The decrease in </w:t>
      </w:r>
      <w:r>
        <w:rPr>
          <w:sz w:val="20"/>
          <w:szCs w:val="20"/>
        </w:rPr>
        <w:t>General and administrative expense of $4.8 million is primarily due to (i) a reduction of $2.6 million primarily due to the fluctuations in value of various directors’ deferred stock during the three months ended March 31, 2020, as compared to the correspo</w:t>
      </w:r>
      <w:r>
        <w:rPr>
          <w:sz w:val="20"/>
          <w:szCs w:val="20"/>
        </w:rPr>
        <w:t>nding period in 2019, (ii) a reduction in salary and severance expense for the three months ended March 31, 2020 of $1.8 million, as compared to the corresponding period in 2019, and (iii) a reduction in office rent expense of $0.4 million as compared to t</w:t>
      </w:r>
      <w:r>
        <w:rPr>
          <w:sz w:val="20"/>
          <w:szCs w:val="20"/>
        </w:rPr>
        <w:t>he corresponding period in 2019.</w:t>
      </w:r>
    </w:p>
    <w:p w14:paraId="510BFD09" w14:textId="77777777" w:rsidR="00000000" w:rsidRDefault="00847163">
      <w:pPr>
        <w:pStyle w:val="a3"/>
        <w:spacing w:before="0" w:beforeAutospacing="0" w:after="0" w:afterAutospacing="0"/>
        <w:jc w:val="both"/>
        <w:rPr>
          <w:sz w:val="20"/>
          <w:szCs w:val="20"/>
        </w:rPr>
      </w:pPr>
      <w:r>
        <w:rPr>
          <w:sz w:val="20"/>
          <w:szCs w:val="20"/>
        </w:rPr>
        <w:t> </w:t>
      </w:r>
    </w:p>
    <w:p w14:paraId="53F733A3" w14:textId="77777777" w:rsidR="00000000" w:rsidRDefault="00847163">
      <w:pPr>
        <w:jc w:val="center"/>
        <w:divId w:val="190919315"/>
        <w:rPr>
          <w:rFonts w:eastAsia="Times New Roman"/>
          <w:sz w:val="20"/>
          <w:szCs w:val="20"/>
        </w:rPr>
      </w:pPr>
      <w:r>
        <w:rPr>
          <w:rFonts w:eastAsia="Times New Roman"/>
          <w:sz w:val="20"/>
          <w:szCs w:val="20"/>
        </w:rPr>
        <w:t xml:space="preserve">21 </w:t>
      </w:r>
    </w:p>
    <w:p w14:paraId="4D84C73C" w14:textId="77777777" w:rsidR="00000000" w:rsidRDefault="00847163">
      <w:pPr>
        <w:divId w:val="825246222"/>
        <w:rPr>
          <w:rFonts w:eastAsia="Times New Roman"/>
          <w:sz w:val="20"/>
          <w:szCs w:val="20"/>
        </w:rPr>
      </w:pPr>
      <w:r>
        <w:rPr>
          <w:rFonts w:eastAsia="Times New Roman"/>
          <w:sz w:val="20"/>
          <w:szCs w:val="20"/>
        </w:rPr>
        <w:pict w14:anchorId="5C7D60F3">
          <v:rect id="_x0000_i1049" style="width:0;height:1.5pt" o:hralign="center" o:hrstd="t" o:hr="t" fillcolor="#a0a0a0" stroked="f"/>
        </w:pict>
      </w:r>
    </w:p>
    <w:p w14:paraId="79DC2C86" w14:textId="77777777" w:rsidR="00000000" w:rsidRDefault="00847163">
      <w:pPr>
        <w:divId w:val="943072683"/>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0EA507D2" w14:textId="77777777" w:rsidR="00000000" w:rsidRDefault="00847163">
      <w:pPr>
        <w:pStyle w:val="a3"/>
        <w:spacing w:before="0" w:beforeAutospacing="0" w:after="0" w:afterAutospacing="0"/>
        <w:rPr>
          <w:sz w:val="20"/>
          <w:szCs w:val="20"/>
        </w:rPr>
      </w:pPr>
      <w:r>
        <w:rPr>
          <w:sz w:val="20"/>
          <w:szCs w:val="20"/>
        </w:rPr>
        <w:t> </w:t>
      </w:r>
    </w:p>
    <w:p w14:paraId="6C29AF92" w14:textId="77777777" w:rsidR="00000000" w:rsidRDefault="00847163">
      <w:pPr>
        <w:pStyle w:val="a3"/>
        <w:spacing w:before="0" w:beforeAutospacing="0" w:after="0" w:afterAutospacing="0"/>
        <w:jc w:val="both"/>
        <w:rPr>
          <w:sz w:val="20"/>
          <w:szCs w:val="20"/>
        </w:rPr>
      </w:pPr>
      <w:r>
        <w:rPr>
          <w:i/>
          <w:iCs/>
          <w:sz w:val="20"/>
          <w:szCs w:val="20"/>
        </w:rPr>
        <w:t xml:space="preserve">Gain on sale of properties – </w:t>
      </w:r>
    </w:p>
    <w:p w14:paraId="16415B4B" w14:textId="77777777" w:rsidR="00000000" w:rsidRDefault="00847163">
      <w:pPr>
        <w:pStyle w:val="a3"/>
        <w:spacing w:before="0" w:beforeAutospacing="0" w:after="0" w:afterAutospacing="0"/>
        <w:ind w:firstLine="360"/>
        <w:jc w:val="both"/>
        <w:rPr>
          <w:sz w:val="20"/>
          <w:szCs w:val="20"/>
        </w:rPr>
      </w:pPr>
      <w:r>
        <w:rPr>
          <w:i/>
          <w:iCs/>
          <w:sz w:val="20"/>
          <w:szCs w:val="20"/>
        </w:rPr>
        <w:t> </w:t>
      </w:r>
    </w:p>
    <w:p w14:paraId="64580B69" w14:textId="77777777" w:rsidR="00000000" w:rsidRDefault="00847163">
      <w:pPr>
        <w:pStyle w:val="a3"/>
        <w:spacing w:before="0" w:beforeAutospacing="0" w:after="0" w:afterAutospacing="0"/>
        <w:ind w:firstLine="360"/>
        <w:jc w:val="both"/>
        <w:rPr>
          <w:sz w:val="20"/>
          <w:szCs w:val="20"/>
        </w:rPr>
      </w:pPr>
      <w:r>
        <w:rPr>
          <w:sz w:val="20"/>
          <w:szCs w:val="20"/>
        </w:rPr>
        <w:t>During the three months ended March 31, 2020, the Company disposed of an operating property for a sal</w:t>
      </w:r>
      <w:r>
        <w:rPr>
          <w:sz w:val="20"/>
          <w:szCs w:val="20"/>
        </w:rPr>
        <w:t>es price of $13.5 million, which resulted in a gain of $3.8 million.</w:t>
      </w:r>
    </w:p>
    <w:p w14:paraId="20BA99B5" w14:textId="77777777" w:rsidR="00000000" w:rsidRDefault="00847163">
      <w:pPr>
        <w:pStyle w:val="a3"/>
        <w:spacing w:before="0" w:beforeAutospacing="0" w:after="0" w:afterAutospacing="0"/>
        <w:ind w:firstLine="360"/>
        <w:jc w:val="both"/>
        <w:rPr>
          <w:sz w:val="20"/>
          <w:szCs w:val="20"/>
        </w:rPr>
      </w:pPr>
      <w:r>
        <w:rPr>
          <w:sz w:val="20"/>
          <w:szCs w:val="20"/>
        </w:rPr>
        <w:t> </w:t>
      </w:r>
    </w:p>
    <w:p w14:paraId="31A77113" w14:textId="77777777" w:rsidR="00000000" w:rsidRDefault="00847163">
      <w:pPr>
        <w:pStyle w:val="a3"/>
        <w:spacing w:before="0" w:beforeAutospacing="0" w:after="0" w:afterAutospacing="0"/>
        <w:ind w:firstLine="360"/>
        <w:jc w:val="both"/>
        <w:rPr>
          <w:sz w:val="20"/>
          <w:szCs w:val="20"/>
        </w:rPr>
      </w:pPr>
      <w:r>
        <w:rPr>
          <w:sz w:val="20"/>
          <w:szCs w:val="20"/>
        </w:rPr>
        <w:t>During the three months ended March 31, 2019, the Company disposed of five operating properties and two out-parcels, in separate transactions, for an aggregate sales price of $74.2 mill</w:t>
      </w:r>
      <w:r>
        <w:rPr>
          <w:sz w:val="20"/>
          <w:szCs w:val="20"/>
        </w:rPr>
        <w:t>ion. These transactions resulted in aggregate gains of $23.6 million.</w:t>
      </w:r>
    </w:p>
    <w:p w14:paraId="7FA9A1D7" w14:textId="77777777" w:rsidR="00000000" w:rsidRDefault="00847163">
      <w:pPr>
        <w:pStyle w:val="a3"/>
        <w:spacing w:before="0" w:beforeAutospacing="0" w:after="0" w:afterAutospacing="0"/>
        <w:ind w:firstLine="360"/>
        <w:jc w:val="both"/>
        <w:rPr>
          <w:sz w:val="20"/>
          <w:szCs w:val="20"/>
        </w:rPr>
      </w:pPr>
      <w:r>
        <w:rPr>
          <w:sz w:val="20"/>
          <w:szCs w:val="20"/>
        </w:rPr>
        <w:t> </w:t>
      </w:r>
    </w:p>
    <w:p w14:paraId="29B2C14C" w14:textId="77777777" w:rsidR="00000000" w:rsidRDefault="00847163">
      <w:pPr>
        <w:pStyle w:val="a3"/>
        <w:spacing w:before="0" w:beforeAutospacing="0" w:after="0" w:afterAutospacing="0"/>
        <w:jc w:val="both"/>
        <w:rPr>
          <w:sz w:val="20"/>
          <w:szCs w:val="20"/>
        </w:rPr>
      </w:pPr>
      <w:r>
        <w:rPr>
          <w:i/>
          <w:iCs/>
          <w:sz w:val="20"/>
          <w:szCs w:val="20"/>
        </w:rPr>
        <w:t xml:space="preserve">Other (expense)/income, net – </w:t>
      </w:r>
    </w:p>
    <w:p w14:paraId="49AE54C1" w14:textId="77777777" w:rsidR="00000000" w:rsidRDefault="00847163">
      <w:pPr>
        <w:pStyle w:val="a3"/>
        <w:spacing w:before="0" w:beforeAutospacing="0" w:after="0" w:afterAutospacing="0"/>
        <w:jc w:val="both"/>
        <w:rPr>
          <w:sz w:val="20"/>
          <w:szCs w:val="20"/>
        </w:rPr>
      </w:pPr>
      <w:r>
        <w:rPr>
          <w:i/>
          <w:iCs/>
          <w:sz w:val="20"/>
          <w:szCs w:val="20"/>
        </w:rPr>
        <w:t> </w:t>
      </w:r>
    </w:p>
    <w:p w14:paraId="3FF64947" w14:textId="77777777" w:rsidR="00000000" w:rsidRDefault="00847163">
      <w:pPr>
        <w:pStyle w:val="a3"/>
        <w:spacing w:before="0" w:beforeAutospacing="0" w:after="0" w:afterAutospacing="0"/>
        <w:ind w:firstLine="360"/>
        <w:jc w:val="both"/>
        <w:rPr>
          <w:sz w:val="20"/>
          <w:szCs w:val="20"/>
        </w:rPr>
      </w:pPr>
      <w:r>
        <w:rPr>
          <w:sz w:val="20"/>
          <w:szCs w:val="20"/>
        </w:rPr>
        <w:t>The change in Other (expense)/income, net of $6.0 million is primarily due to changes in the fair value of available-for-sale marketable securities.</w:t>
      </w:r>
    </w:p>
    <w:p w14:paraId="66660879" w14:textId="77777777" w:rsidR="00000000" w:rsidRDefault="00847163">
      <w:pPr>
        <w:pStyle w:val="a3"/>
        <w:spacing w:before="0" w:beforeAutospacing="0" w:after="0" w:afterAutospacing="0"/>
        <w:jc w:val="both"/>
        <w:rPr>
          <w:sz w:val="20"/>
          <w:szCs w:val="20"/>
        </w:rPr>
      </w:pPr>
      <w:r>
        <w:rPr>
          <w:sz w:val="20"/>
          <w:szCs w:val="20"/>
        </w:rPr>
        <w:t> </w:t>
      </w:r>
    </w:p>
    <w:p w14:paraId="7360086F" w14:textId="77777777" w:rsidR="00000000" w:rsidRDefault="00847163">
      <w:pPr>
        <w:pStyle w:val="a3"/>
        <w:spacing w:before="0" w:beforeAutospacing="0" w:after="0" w:afterAutospacing="0"/>
        <w:jc w:val="both"/>
        <w:rPr>
          <w:sz w:val="20"/>
          <w:szCs w:val="20"/>
        </w:rPr>
      </w:pPr>
      <w:r>
        <w:rPr>
          <w:i/>
          <w:iCs/>
          <w:sz w:val="20"/>
          <w:szCs w:val="20"/>
        </w:rPr>
        <w:t xml:space="preserve">Equity in income of joint ventures, net – </w:t>
      </w:r>
    </w:p>
    <w:p w14:paraId="46307B8A" w14:textId="77777777" w:rsidR="00000000" w:rsidRDefault="00847163">
      <w:pPr>
        <w:pStyle w:val="a3"/>
        <w:spacing w:before="0" w:beforeAutospacing="0" w:after="0" w:afterAutospacing="0"/>
        <w:ind w:firstLine="360"/>
        <w:jc w:val="both"/>
        <w:rPr>
          <w:sz w:val="20"/>
          <w:szCs w:val="20"/>
        </w:rPr>
      </w:pPr>
      <w:r>
        <w:rPr>
          <w:i/>
          <w:iCs/>
          <w:sz w:val="20"/>
          <w:szCs w:val="20"/>
        </w:rPr>
        <w:t> </w:t>
      </w:r>
    </w:p>
    <w:p w14:paraId="4D0048A8" w14:textId="77777777" w:rsidR="00000000" w:rsidRDefault="00847163">
      <w:pPr>
        <w:pStyle w:val="a3"/>
        <w:spacing w:before="0" w:beforeAutospacing="0" w:after="0" w:afterAutospacing="0"/>
        <w:ind w:firstLine="360"/>
        <w:jc w:val="both"/>
        <w:rPr>
          <w:sz w:val="20"/>
          <w:szCs w:val="20"/>
        </w:rPr>
      </w:pPr>
      <w:r>
        <w:rPr>
          <w:sz w:val="20"/>
          <w:szCs w:val="20"/>
        </w:rPr>
        <w:t>The decrease in Equity in income of joint ventures, net of $5.1 million is primarily due to (i) the recognition of net gains of $3.7 million resulting from the sale of properties within various joint venture inv</w:t>
      </w:r>
      <w:r>
        <w:rPr>
          <w:sz w:val="20"/>
          <w:szCs w:val="20"/>
        </w:rPr>
        <w:t>estments during the three months ended March 31, 2019 and (ii) lower equity in income of $1.4 million within various joint venture investments during 2020, as compared to the corresponding period in 2019, resulting from the sale of properties within variou</w:t>
      </w:r>
      <w:r>
        <w:rPr>
          <w:sz w:val="20"/>
          <w:szCs w:val="20"/>
        </w:rPr>
        <w:t>s joint venture investments during 2019.</w:t>
      </w:r>
    </w:p>
    <w:p w14:paraId="1EF0219C" w14:textId="77777777" w:rsidR="00000000" w:rsidRDefault="00847163">
      <w:pPr>
        <w:pStyle w:val="a3"/>
        <w:spacing w:before="0" w:beforeAutospacing="0" w:after="0" w:afterAutospacing="0"/>
        <w:ind w:firstLine="360"/>
        <w:jc w:val="both"/>
        <w:rPr>
          <w:sz w:val="20"/>
          <w:szCs w:val="20"/>
        </w:rPr>
      </w:pPr>
      <w:r>
        <w:rPr>
          <w:sz w:val="20"/>
          <w:szCs w:val="20"/>
        </w:rPr>
        <w:t> </w:t>
      </w:r>
    </w:p>
    <w:p w14:paraId="7D462992" w14:textId="77777777" w:rsidR="00000000" w:rsidRDefault="00847163">
      <w:pPr>
        <w:pStyle w:val="a3"/>
        <w:spacing w:before="0" w:beforeAutospacing="0" w:after="0" w:afterAutospacing="0"/>
        <w:jc w:val="both"/>
        <w:rPr>
          <w:sz w:val="20"/>
          <w:szCs w:val="20"/>
        </w:rPr>
      </w:pPr>
      <w:r>
        <w:rPr>
          <w:i/>
          <w:iCs/>
          <w:sz w:val="20"/>
          <w:szCs w:val="20"/>
        </w:rPr>
        <w:t xml:space="preserve">Equity in income of other real estate investments, net – </w:t>
      </w:r>
    </w:p>
    <w:p w14:paraId="07B5C652" w14:textId="77777777" w:rsidR="00000000" w:rsidRDefault="00847163">
      <w:pPr>
        <w:pStyle w:val="a3"/>
        <w:spacing w:before="0" w:beforeAutospacing="0" w:after="0" w:afterAutospacing="0"/>
        <w:ind w:firstLine="360"/>
        <w:jc w:val="both"/>
        <w:rPr>
          <w:sz w:val="20"/>
          <w:szCs w:val="20"/>
        </w:rPr>
      </w:pPr>
      <w:r>
        <w:rPr>
          <w:i/>
          <w:iCs/>
          <w:sz w:val="20"/>
          <w:szCs w:val="20"/>
        </w:rPr>
        <w:t> </w:t>
      </w:r>
    </w:p>
    <w:p w14:paraId="6385EA10" w14:textId="77777777" w:rsidR="00000000" w:rsidRDefault="00847163">
      <w:pPr>
        <w:pStyle w:val="a3"/>
        <w:spacing w:before="0" w:beforeAutospacing="0" w:after="0" w:afterAutospacing="0"/>
        <w:ind w:firstLine="360"/>
        <w:jc w:val="both"/>
        <w:rPr>
          <w:sz w:val="20"/>
          <w:szCs w:val="20"/>
        </w:rPr>
      </w:pPr>
      <w:r>
        <w:rPr>
          <w:sz w:val="20"/>
          <w:szCs w:val="20"/>
        </w:rPr>
        <w:t>The increase in Equity in income of other real estate investments, net of $4.7 million is primarily due to a net increase in profit participation from th</w:t>
      </w:r>
      <w:r>
        <w:rPr>
          <w:sz w:val="20"/>
          <w:szCs w:val="20"/>
        </w:rPr>
        <w:t>e sale of properties within the Company’s Preferred Equity Program during 2020, as compared to the corresponding period in 2019.</w:t>
      </w:r>
    </w:p>
    <w:p w14:paraId="23716372" w14:textId="77777777" w:rsidR="00000000" w:rsidRDefault="00847163">
      <w:pPr>
        <w:pStyle w:val="a3"/>
        <w:spacing w:before="0" w:beforeAutospacing="0" w:after="0" w:afterAutospacing="0"/>
        <w:ind w:firstLine="360"/>
        <w:jc w:val="both"/>
        <w:rPr>
          <w:sz w:val="20"/>
          <w:szCs w:val="20"/>
        </w:rPr>
      </w:pPr>
      <w:r>
        <w:rPr>
          <w:sz w:val="20"/>
          <w:szCs w:val="20"/>
        </w:rPr>
        <w:t> </w:t>
      </w:r>
    </w:p>
    <w:p w14:paraId="5000DB03" w14:textId="77777777" w:rsidR="00000000" w:rsidRDefault="00847163">
      <w:pPr>
        <w:pStyle w:val="a3"/>
        <w:spacing w:before="0" w:beforeAutospacing="0" w:after="0" w:afterAutospacing="0"/>
        <w:jc w:val="both"/>
        <w:rPr>
          <w:sz w:val="20"/>
          <w:szCs w:val="20"/>
        </w:rPr>
      </w:pPr>
      <w:r>
        <w:rPr>
          <w:i/>
          <w:iCs/>
          <w:sz w:val="20"/>
          <w:szCs w:val="20"/>
        </w:rPr>
        <w:t xml:space="preserve">Preferred dividends – </w:t>
      </w:r>
    </w:p>
    <w:p w14:paraId="4BDEF0AF" w14:textId="77777777" w:rsidR="00000000" w:rsidRDefault="00847163">
      <w:pPr>
        <w:pStyle w:val="a3"/>
        <w:spacing w:before="0" w:beforeAutospacing="0" w:after="0" w:afterAutospacing="0"/>
        <w:ind w:firstLine="360"/>
        <w:jc w:val="both"/>
        <w:rPr>
          <w:sz w:val="20"/>
          <w:szCs w:val="20"/>
        </w:rPr>
      </w:pPr>
      <w:r>
        <w:rPr>
          <w:i/>
          <w:iCs/>
          <w:sz w:val="20"/>
          <w:szCs w:val="20"/>
        </w:rPr>
        <w:t> </w:t>
      </w:r>
    </w:p>
    <w:p w14:paraId="42C4474F" w14:textId="77777777" w:rsidR="00000000" w:rsidRDefault="00847163">
      <w:pPr>
        <w:pStyle w:val="a3"/>
        <w:spacing w:before="0" w:beforeAutospacing="0" w:after="0" w:afterAutospacing="0"/>
        <w:ind w:firstLine="360"/>
        <w:jc w:val="both"/>
        <w:rPr>
          <w:sz w:val="20"/>
          <w:szCs w:val="20"/>
        </w:rPr>
      </w:pPr>
      <w:r>
        <w:rPr>
          <w:sz w:val="20"/>
          <w:szCs w:val="20"/>
        </w:rPr>
        <w:t>The decrease in Preferred dividends of $8.2 million is primarily due the redemption of preferred sha</w:t>
      </w:r>
      <w:r>
        <w:rPr>
          <w:sz w:val="20"/>
          <w:szCs w:val="20"/>
        </w:rPr>
        <w:t>res (Classes I, J and K) during 2019.</w:t>
      </w:r>
    </w:p>
    <w:p w14:paraId="7EF08474" w14:textId="77777777" w:rsidR="00000000" w:rsidRDefault="00847163">
      <w:pPr>
        <w:pStyle w:val="a3"/>
        <w:spacing w:before="0" w:beforeAutospacing="0" w:after="0" w:afterAutospacing="0"/>
        <w:jc w:val="both"/>
        <w:rPr>
          <w:sz w:val="20"/>
          <w:szCs w:val="20"/>
        </w:rPr>
      </w:pPr>
      <w:r>
        <w:rPr>
          <w:sz w:val="20"/>
          <w:szCs w:val="20"/>
        </w:rPr>
        <w:t> </w:t>
      </w:r>
    </w:p>
    <w:p w14:paraId="6C163F6A" w14:textId="77777777" w:rsidR="00000000" w:rsidRDefault="00847163">
      <w:pPr>
        <w:pStyle w:val="a3"/>
        <w:spacing w:before="0" w:beforeAutospacing="0" w:after="0" w:afterAutospacing="0"/>
        <w:jc w:val="both"/>
        <w:rPr>
          <w:sz w:val="20"/>
          <w:szCs w:val="20"/>
        </w:rPr>
      </w:pPr>
      <w:r>
        <w:rPr>
          <w:sz w:val="20"/>
          <w:szCs w:val="20"/>
          <w:u w:val="single"/>
        </w:rPr>
        <w:t>Tenant Concentration</w:t>
      </w:r>
    </w:p>
    <w:p w14:paraId="2C8BA74A" w14:textId="77777777" w:rsidR="00000000" w:rsidRDefault="00847163">
      <w:pPr>
        <w:pStyle w:val="a3"/>
        <w:spacing w:before="0" w:beforeAutospacing="0" w:after="0" w:afterAutospacing="0"/>
        <w:jc w:val="both"/>
        <w:rPr>
          <w:sz w:val="20"/>
          <w:szCs w:val="20"/>
        </w:rPr>
      </w:pPr>
      <w:r>
        <w:rPr>
          <w:sz w:val="20"/>
          <w:szCs w:val="20"/>
        </w:rPr>
        <w:t> </w:t>
      </w:r>
    </w:p>
    <w:p w14:paraId="049D9D60" w14:textId="77777777" w:rsidR="00000000" w:rsidRDefault="00847163">
      <w:pPr>
        <w:pStyle w:val="a3"/>
        <w:spacing w:before="0" w:beforeAutospacing="0" w:after="0" w:afterAutospacing="0"/>
        <w:ind w:firstLine="360"/>
        <w:jc w:val="both"/>
        <w:rPr>
          <w:sz w:val="20"/>
          <w:szCs w:val="20"/>
        </w:rPr>
      </w:pPr>
      <w:r>
        <w:rPr>
          <w:sz w:val="20"/>
          <w:szCs w:val="20"/>
        </w:rPr>
        <w:t>The Company seeks to reduce its operating and leasing risks through diversification achieved by the geographic distribution of its properties and a large tenant base. At March 31, 2020, the Com</w:t>
      </w:r>
      <w:r>
        <w:rPr>
          <w:sz w:val="20"/>
          <w:szCs w:val="20"/>
        </w:rPr>
        <w:t>pany’s five largest tenants were TJX Companies, Home Depot, Ahold Delhaize USA, Albertsons and Ross Stores, which represented 3.9%, 2.5%, 2.1%, 2.0% and 1.8%, respectively, of the Company’s annualized base rental revenues, including the proportionate share</w:t>
      </w:r>
      <w:r>
        <w:rPr>
          <w:sz w:val="20"/>
          <w:szCs w:val="20"/>
        </w:rPr>
        <w:t xml:space="preserve"> of base rental revenues from properties in which the Company has less than a 100% economic interest. As discussed above, as a result of the COVID-19 pandemic, the Company has observed a substantial increase in the number of tenants that have made late or </w:t>
      </w:r>
      <w:r>
        <w:rPr>
          <w:sz w:val="20"/>
          <w:szCs w:val="20"/>
        </w:rPr>
        <w:t>partial rent payments, requested a deferral of rent payments, or defaulted on rent payments, and it is likely that more of our tenants will be similarly impacted in the future.</w:t>
      </w:r>
    </w:p>
    <w:p w14:paraId="2DAB1709" w14:textId="77777777" w:rsidR="00000000" w:rsidRDefault="00847163">
      <w:pPr>
        <w:divId w:val="764227399"/>
        <w:rPr>
          <w:rFonts w:eastAsia="Times New Roman"/>
          <w:sz w:val="20"/>
          <w:szCs w:val="20"/>
        </w:rPr>
      </w:pPr>
      <w:r>
        <w:rPr>
          <w:rFonts w:eastAsia="Times New Roman"/>
          <w:sz w:val="20"/>
          <w:szCs w:val="20"/>
        </w:rPr>
        <w:t xml:space="preserve">  </w:t>
      </w:r>
    </w:p>
    <w:p w14:paraId="179F7FBA" w14:textId="77777777" w:rsidR="00000000" w:rsidRDefault="00847163">
      <w:pPr>
        <w:pStyle w:val="a3"/>
        <w:spacing w:before="0" w:beforeAutospacing="0" w:after="0" w:afterAutospacing="0"/>
        <w:jc w:val="both"/>
        <w:rPr>
          <w:sz w:val="20"/>
          <w:szCs w:val="20"/>
        </w:rPr>
      </w:pPr>
      <w:r>
        <w:rPr>
          <w:sz w:val="20"/>
          <w:szCs w:val="20"/>
        </w:rPr>
        <w:t> </w:t>
      </w:r>
    </w:p>
    <w:p w14:paraId="5CF3B2AC" w14:textId="77777777" w:rsidR="00000000" w:rsidRDefault="00847163">
      <w:pPr>
        <w:pStyle w:val="a3"/>
        <w:spacing w:before="0" w:beforeAutospacing="0" w:after="0" w:afterAutospacing="0"/>
        <w:jc w:val="both"/>
        <w:rPr>
          <w:sz w:val="20"/>
          <w:szCs w:val="20"/>
        </w:rPr>
      </w:pPr>
      <w:r>
        <w:rPr>
          <w:sz w:val="20"/>
          <w:szCs w:val="20"/>
          <w:u w:val="single"/>
        </w:rPr>
        <w:t>Liquidity and Capital Resources</w:t>
      </w:r>
    </w:p>
    <w:p w14:paraId="0C1A61DB" w14:textId="77777777" w:rsidR="00000000" w:rsidRDefault="00847163">
      <w:pPr>
        <w:pStyle w:val="a3"/>
        <w:spacing w:before="0" w:beforeAutospacing="0" w:after="0" w:afterAutospacing="0"/>
        <w:jc w:val="both"/>
        <w:rPr>
          <w:sz w:val="20"/>
          <w:szCs w:val="20"/>
        </w:rPr>
      </w:pPr>
      <w:r>
        <w:rPr>
          <w:sz w:val="20"/>
          <w:szCs w:val="20"/>
        </w:rPr>
        <w:t> </w:t>
      </w:r>
    </w:p>
    <w:p w14:paraId="6B28BB37" w14:textId="77777777" w:rsidR="00000000" w:rsidRDefault="00847163">
      <w:pPr>
        <w:pStyle w:val="a3"/>
        <w:spacing w:before="0" w:beforeAutospacing="0" w:after="0" w:afterAutospacing="0"/>
        <w:ind w:firstLine="360"/>
        <w:jc w:val="both"/>
        <w:rPr>
          <w:sz w:val="20"/>
          <w:szCs w:val="20"/>
        </w:rPr>
      </w:pPr>
      <w:r>
        <w:rPr>
          <w:sz w:val="20"/>
          <w:szCs w:val="20"/>
        </w:rPr>
        <w:t xml:space="preserve">The Company’s capital resources include </w:t>
      </w:r>
      <w:r>
        <w:rPr>
          <w:sz w:val="20"/>
          <w:szCs w:val="20"/>
        </w:rPr>
        <w:t>accessing the public debt and equity capital markets, term loan, mortgages and construction loan financing, and immediate access to the Credit Facility with bank commitments of $2.0 billion which can be increased to $2.75 billion through an accordion featu</w:t>
      </w:r>
      <w:r>
        <w:rPr>
          <w:sz w:val="20"/>
          <w:szCs w:val="20"/>
        </w:rPr>
        <w:t>re.</w:t>
      </w:r>
    </w:p>
    <w:p w14:paraId="14A310B7" w14:textId="77777777" w:rsidR="00000000" w:rsidRDefault="00847163">
      <w:pPr>
        <w:pStyle w:val="a3"/>
        <w:spacing w:before="0" w:beforeAutospacing="0" w:after="0" w:afterAutospacing="0"/>
        <w:jc w:val="both"/>
        <w:rPr>
          <w:sz w:val="20"/>
          <w:szCs w:val="20"/>
        </w:rPr>
      </w:pPr>
      <w:r>
        <w:rPr>
          <w:sz w:val="20"/>
          <w:szCs w:val="20"/>
        </w:rPr>
        <w:t> </w:t>
      </w:r>
    </w:p>
    <w:p w14:paraId="4EC4E6F7" w14:textId="77777777" w:rsidR="00000000" w:rsidRDefault="00847163">
      <w:pPr>
        <w:pStyle w:val="a3"/>
        <w:spacing w:before="0" w:beforeAutospacing="0" w:after="0" w:afterAutospacing="0"/>
        <w:ind w:firstLine="360"/>
        <w:jc w:val="both"/>
        <w:rPr>
          <w:sz w:val="20"/>
          <w:szCs w:val="20"/>
        </w:rPr>
      </w:pPr>
      <w:r>
        <w:rPr>
          <w:sz w:val="20"/>
          <w:szCs w:val="20"/>
        </w:rPr>
        <w:t>The Company’s cash flow activities are summarized as follows (in thousands): </w:t>
      </w:r>
    </w:p>
    <w:p w14:paraId="72DD6B31" w14:textId="77777777" w:rsidR="00000000" w:rsidRDefault="00847163">
      <w:pPr>
        <w:pStyle w:val="a3"/>
        <w:spacing w:before="0" w:beforeAutospacing="0" w:after="0" w:afterAutospacing="0"/>
        <w:ind w:firstLine="360"/>
        <w:jc w:val="both"/>
        <w:rPr>
          <w:sz w:val="20"/>
          <w:szCs w:val="20"/>
        </w:rPr>
      </w:pPr>
      <w:r>
        <w:rPr>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4638"/>
        <w:gridCol w:w="52"/>
        <w:gridCol w:w="100"/>
        <w:gridCol w:w="784"/>
        <w:gridCol w:w="67"/>
        <w:gridCol w:w="53"/>
        <w:gridCol w:w="100"/>
        <w:gridCol w:w="784"/>
        <w:gridCol w:w="67"/>
      </w:tblGrid>
      <w:tr w:rsidR="00000000" w14:paraId="17E0C4D8" w14:textId="77777777">
        <w:trPr>
          <w:tblCellSpacing w:w="0" w:type="dxa"/>
        </w:trPr>
        <w:tc>
          <w:tcPr>
            <w:tcW w:w="0" w:type="auto"/>
            <w:vAlign w:val="bottom"/>
            <w:hideMark/>
          </w:tcPr>
          <w:p w14:paraId="3366325C"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72A6BB20" w14:textId="77777777" w:rsidR="00000000" w:rsidRDefault="00847163">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14:paraId="0165B450" w14:textId="77777777" w:rsidR="00000000" w:rsidRDefault="00847163">
            <w:pPr>
              <w:pStyle w:val="a3"/>
              <w:spacing w:before="0" w:beforeAutospacing="0" w:after="0" w:afterAutospacing="0"/>
              <w:jc w:val="center"/>
              <w:rPr>
                <w:sz w:val="20"/>
                <w:szCs w:val="20"/>
              </w:rPr>
            </w:pPr>
            <w:r>
              <w:rPr>
                <w:b/>
                <w:bCs/>
                <w:sz w:val="20"/>
                <w:szCs w:val="20"/>
              </w:rPr>
              <w:t>Three months Ended March 31,</w:t>
            </w:r>
          </w:p>
        </w:tc>
        <w:tc>
          <w:tcPr>
            <w:tcW w:w="0" w:type="auto"/>
            <w:tcMar>
              <w:top w:w="0" w:type="dxa"/>
              <w:left w:w="0" w:type="dxa"/>
              <w:bottom w:w="15" w:type="dxa"/>
              <w:right w:w="0" w:type="dxa"/>
            </w:tcMar>
            <w:vAlign w:val="bottom"/>
            <w:hideMark/>
          </w:tcPr>
          <w:p w14:paraId="35C313F1" w14:textId="77777777" w:rsidR="00000000" w:rsidRDefault="00847163">
            <w:pPr>
              <w:rPr>
                <w:rFonts w:eastAsia="Times New Roman"/>
                <w:sz w:val="20"/>
                <w:szCs w:val="20"/>
              </w:rPr>
            </w:pPr>
            <w:r>
              <w:rPr>
                <w:rFonts w:eastAsia="Times New Roman"/>
                <w:sz w:val="20"/>
                <w:szCs w:val="20"/>
              </w:rPr>
              <w:t> </w:t>
            </w:r>
          </w:p>
        </w:tc>
      </w:tr>
      <w:tr w:rsidR="00000000" w14:paraId="06CB91B2" w14:textId="77777777">
        <w:trPr>
          <w:tblCellSpacing w:w="0" w:type="dxa"/>
        </w:trPr>
        <w:tc>
          <w:tcPr>
            <w:tcW w:w="0" w:type="auto"/>
            <w:vAlign w:val="bottom"/>
            <w:hideMark/>
          </w:tcPr>
          <w:p w14:paraId="24EC4B91"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181BBCE4" w14:textId="77777777" w:rsidR="00000000" w:rsidRDefault="0084716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7B2A27AE" w14:textId="77777777" w:rsidR="00000000" w:rsidRDefault="00847163">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14:paraId="1B412889"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2DBCE005" w14:textId="77777777" w:rsidR="00000000" w:rsidRDefault="0084716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41EAE7E6" w14:textId="77777777" w:rsidR="00000000" w:rsidRDefault="00847163">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6BCF325A" w14:textId="77777777" w:rsidR="00000000" w:rsidRDefault="00847163">
            <w:pPr>
              <w:rPr>
                <w:rFonts w:eastAsia="Times New Roman"/>
                <w:sz w:val="20"/>
                <w:szCs w:val="20"/>
              </w:rPr>
            </w:pPr>
            <w:r>
              <w:rPr>
                <w:rFonts w:eastAsia="Times New Roman"/>
                <w:sz w:val="20"/>
                <w:szCs w:val="20"/>
              </w:rPr>
              <w:t> </w:t>
            </w:r>
          </w:p>
        </w:tc>
      </w:tr>
      <w:tr w:rsidR="00000000" w14:paraId="2263AC83" w14:textId="77777777">
        <w:trPr>
          <w:tblCellSpacing w:w="0" w:type="dxa"/>
        </w:trPr>
        <w:tc>
          <w:tcPr>
            <w:tcW w:w="3500" w:type="pct"/>
            <w:shd w:val="clear" w:color="auto" w:fill="CCEEFF"/>
            <w:vAlign w:val="bottom"/>
            <w:hideMark/>
          </w:tcPr>
          <w:p w14:paraId="4AA11BD3" w14:textId="77777777" w:rsidR="00000000" w:rsidRDefault="00847163">
            <w:pPr>
              <w:pStyle w:val="a3"/>
              <w:spacing w:before="0" w:beforeAutospacing="0" w:after="0" w:afterAutospacing="0"/>
              <w:rPr>
                <w:sz w:val="20"/>
                <w:szCs w:val="20"/>
              </w:rPr>
            </w:pPr>
            <w:r>
              <w:rPr>
                <w:sz w:val="20"/>
                <w:szCs w:val="20"/>
              </w:rPr>
              <w:t>Cash and cash equivalents, beginning of the period</w:t>
            </w:r>
          </w:p>
        </w:tc>
        <w:tc>
          <w:tcPr>
            <w:tcW w:w="50" w:type="pct"/>
            <w:shd w:val="clear" w:color="auto" w:fill="CCEEFF"/>
            <w:vAlign w:val="bottom"/>
            <w:hideMark/>
          </w:tcPr>
          <w:p w14:paraId="21B55667" w14:textId="77777777" w:rsidR="00000000" w:rsidRDefault="0084716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44C084B6" w14:textId="77777777" w:rsidR="00000000" w:rsidRDefault="00847163">
            <w:pPr>
              <w:rPr>
                <w:rFonts w:eastAsia="Times New Roman"/>
                <w:sz w:val="20"/>
                <w:szCs w:val="20"/>
              </w:rPr>
            </w:pPr>
            <w:r>
              <w:rPr>
                <w:rFonts w:eastAsia="Times New Roman"/>
                <w:sz w:val="20"/>
                <w:szCs w:val="20"/>
              </w:rPr>
              <w:t>$</w:t>
            </w:r>
          </w:p>
        </w:tc>
        <w:tc>
          <w:tcPr>
            <w:tcW w:w="600" w:type="pct"/>
            <w:tcBorders>
              <w:bottom w:val="single" w:sz="6" w:space="0" w:color="000000"/>
            </w:tcBorders>
            <w:shd w:val="clear" w:color="auto" w:fill="CCEEFF"/>
            <w:vAlign w:val="bottom"/>
            <w:hideMark/>
          </w:tcPr>
          <w:p w14:paraId="28B0050C" w14:textId="77777777" w:rsidR="00000000" w:rsidRDefault="00847163">
            <w:pPr>
              <w:jc w:val="right"/>
              <w:rPr>
                <w:rFonts w:eastAsia="Times New Roman"/>
                <w:sz w:val="20"/>
                <w:szCs w:val="20"/>
              </w:rPr>
            </w:pPr>
            <w:r>
              <w:rPr>
                <w:rFonts w:eastAsia="Times New Roman"/>
                <w:sz w:val="20"/>
                <w:szCs w:val="20"/>
              </w:rPr>
              <w:t>123,947</w:t>
            </w:r>
          </w:p>
        </w:tc>
        <w:tc>
          <w:tcPr>
            <w:tcW w:w="50" w:type="pct"/>
            <w:shd w:val="clear" w:color="auto" w:fill="CCEEFF"/>
            <w:tcMar>
              <w:top w:w="0" w:type="dxa"/>
              <w:left w:w="0" w:type="dxa"/>
              <w:bottom w:w="15" w:type="dxa"/>
              <w:right w:w="0" w:type="dxa"/>
            </w:tcMar>
            <w:vAlign w:val="bottom"/>
            <w:hideMark/>
          </w:tcPr>
          <w:p w14:paraId="03BE696A"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ADEC8FF" w14:textId="77777777" w:rsidR="00000000" w:rsidRDefault="0084716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0FD1AF0A" w14:textId="77777777" w:rsidR="00000000" w:rsidRDefault="00847163">
            <w:pPr>
              <w:rPr>
                <w:rFonts w:eastAsia="Times New Roman"/>
                <w:sz w:val="20"/>
                <w:szCs w:val="20"/>
              </w:rPr>
            </w:pPr>
            <w:r>
              <w:rPr>
                <w:rFonts w:eastAsia="Times New Roman"/>
                <w:sz w:val="20"/>
                <w:szCs w:val="20"/>
              </w:rPr>
              <w:t>$</w:t>
            </w:r>
          </w:p>
        </w:tc>
        <w:tc>
          <w:tcPr>
            <w:tcW w:w="600" w:type="pct"/>
            <w:tcBorders>
              <w:bottom w:val="single" w:sz="6" w:space="0" w:color="000000"/>
            </w:tcBorders>
            <w:shd w:val="clear" w:color="auto" w:fill="CCEEFF"/>
            <w:vAlign w:val="bottom"/>
            <w:hideMark/>
          </w:tcPr>
          <w:p w14:paraId="7A34C249" w14:textId="77777777" w:rsidR="00000000" w:rsidRDefault="00847163">
            <w:pPr>
              <w:jc w:val="right"/>
              <w:rPr>
                <w:rFonts w:eastAsia="Times New Roman"/>
                <w:sz w:val="20"/>
                <w:szCs w:val="20"/>
              </w:rPr>
            </w:pPr>
            <w:r>
              <w:rPr>
                <w:rFonts w:eastAsia="Times New Roman"/>
                <w:sz w:val="20"/>
                <w:szCs w:val="20"/>
              </w:rPr>
              <w:t>143,581</w:t>
            </w:r>
          </w:p>
        </w:tc>
        <w:tc>
          <w:tcPr>
            <w:tcW w:w="50" w:type="pct"/>
            <w:shd w:val="clear" w:color="auto" w:fill="CCEEFF"/>
            <w:tcMar>
              <w:top w:w="0" w:type="dxa"/>
              <w:left w:w="0" w:type="dxa"/>
              <w:bottom w:w="15" w:type="dxa"/>
              <w:right w:w="0" w:type="dxa"/>
            </w:tcMar>
            <w:vAlign w:val="bottom"/>
            <w:hideMark/>
          </w:tcPr>
          <w:p w14:paraId="550E5870" w14:textId="77777777" w:rsidR="00000000" w:rsidRDefault="00847163">
            <w:pPr>
              <w:rPr>
                <w:rFonts w:eastAsia="Times New Roman"/>
                <w:sz w:val="20"/>
                <w:szCs w:val="20"/>
              </w:rPr>
            </w:pPr>
            <w:r>
              <w:rPr>
                <w:rFonts w:eastAsia="Times New Roman"/>
                <w:sz w:val="20"/>
                <w:szCs w:val="20"/>
              </w:rPr>
              <w:t> </w:t>
            </w:r>
          </w:p>
        </w:tc>
      </w:tr>
      <w:tr w:rsidR="00000000" w14:paraId="047742B0" w14:textId="77777777">
        <w:trPr>
          <w:tblCellSpacing w:w="0" w:type="dxa"/>
        </w:trPr>
        <w:tc>
          <w:tcPr>
            <w:tcW w:w="0" w:type="auto"/>
            <w:shd w:val="clear" w:color="auto" w:fill="FFFFFF"/>
            <w:vAlign w:val="bottom"/>
            <w:hideMark/>
          </w:tcPr>
          <w:p w14:paraId="64DDDFAD" w14:textId="77777777" w:rsidR="00000000" w:rsidRDefault="00847163">
            <w:pPr>
              <w:pStyle w:val="a3"/>
              <w:spacing w:before="0" w:beforeAutospacing="0" w:after="0" w:afterAutospacing="0"/>
              <w:ind w:left="180"/>
              <w:rPr>
                <w:sz w:val="20"/>
                <w:szCs w:val="20"/>
              </w:rPr>
            </w:pPr>
            <w:r>
              <w:rPr>
                <w:sz w:val="20"/>
                <w:szCs w:val="20"/>
              </w:rPr>
              <w:t>Net cash flow provided by operating activities</w:t>
            </w:r>
          </w:p>
        </w:tc>
        <w:tc>
          <w:tcPr>
            <w:tcW w:w="50" w:type="pct"/>
            <w:shd w:val="clear" w:color="auto" w:fill="FFFFFF"/>
            <w:vAlign w:val="bottom"/>
            <w:hideMark/>
          </w:tcPr>
          <w:p w14:paraId="2EDAD1A1"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BA8E8E7" w14:textId="77777777" w:rsidR="00000000" w:rsidRDefault="00847163">
            <w:pPr>
              <w:rPr>
                <w:rFonts w:eastAsia="Times New Roman"/>
                <w:sz w:val="20"/>
                <w:szCs w:val="20"/>
              </w:rPr>
            </w:pPr>
            <w:r>
              <w:rPr>
                <w:rFonts w:eastAsia="Times New Roman"/>
                <w:sz w:val="20"/>
                <w:szCs w:val="20"/>
              </w:rPr>
              <w:t> </w:t>
            </w:r>
          </w:p>
        </w:tc>
        <w:tc>
          <w:tcPr>
            <w:tcW w:w="600" w:type="pct"/>
            <w:shd w:val="clear" w:color="auto" w:fill="FFFFFF"/>
            <w:vAlign w:val="bottom"/>
            <w:hideMark/>
          </w:tcPr>
          <w:p w14:paraId="39FBB079" w14:textId="77777777" w:rsidR="00000000" w:rsidRDefault="00847163">
            <w:pPr>
              <w:jc w:val="right"/>
              <w:rPr>
                <w:rFonts w:eastAsia="Times New Roman"/>
                <w:sz w:val="20"/>
                <w:szCs w:val="20"/>
              </w:rPr>
            </w:pPr>
            <w:r>
              <w:rPr>
                <w:rFonts w:eastAsia="Times New Roman"/>
                <w:sz w:val="20"/>
                <w:szCs w:val="20"/>
              </w:rPr>
              <w:t>155,249</w:t>
            </w:r>
          </w:p>
        </w:tc>
        <w:tc>
          <w:tcPr>
            <w:tcW w:w="50" w:type="pct"/>
            <w:shd w:val="clear" w:color="auto" w:fill="FFFFFF"/>
            <w:vAlign w:val="bottom"/>
            <w:hideMark/>
          </w:tcPr>
          <w:p w14:paraId="07ADE189"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4B1F480"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9FDA107" w14:textId="77777777" w:rsidR="00000000" w:rsidRDefault="00847163">
            <w:pPr>
              <w:rPr>
                <w:rFonts w:eastAsia="Times New Roman"/>
                <w:sz w:val="20"/>
                <w:szCs w:val="20"/>
              </w:rPr>
            </w:pPr>
            <w:r>
              <w:rPr>
                <w:rFonts w:eastAsia="Times New Roman"/>
                <w:sz w:val="20"/>
                <w:szCs w:val="20"/>
              </w:rPr>
              <w:t> </w:t>
            </w:r>
          </w:p>
        </w:tc>
        <w:tc>
          <w:tcPr>
            <w:tcW w:w="600" w:type="pct"/>
            <w:shd w:val="clear" w:color="auto" w:fill="FFFFFF"/>
            <w:vAlign w:val="bottom"/>
            <w:hideMark/>
          </w:tcPr>
          <w:p w14:paraId="02174ACF" w14:textId="77777777" w:rsidR="00000000" w:rsidRDefault="00847163">
            <w:pPr>
              <w:jc w:val="right"/>
              <w:rPr>
                <w:rFonts w:eastAsia="Times New Roman"/>
                <w:sz w:val="20"/>
                <w:szCs w:val="20"/>
              </w:rPr>
            </w:pPr>
            <w:r>
              <w:rPr>
                <w:rFonts w:eastAsia="Times New Roman"/>
                <w:sz w:val="20"/>
                <w:szCs w:val="20"/>
              </w:rPr>
              <w:t>155,258</w:t>
            </w:r>
          </w:p>
        </w:tc>
        <w:tc>
          <w:tcPr>
            <w:tcW w:w="50" w:type="pct"/>
            <w:shd w:val="clear" w:color="auto" w:fill="FFFFFF"/>
            <w:vAlign w:val="bottom"/>
            <w:hideMark/>
          </w:tcPr>
          <w:p w14:paraId="529DA2B1" w14:textId="77777777" w:rsidR="00000000" w:rsidRDefault="00847163">
            <w:pPr>
              <w:rPr>
                <w:rFonts w:eastAsia="Times New Roman"/>
                <w:sz w:val="20"/>
                <w:szCs w:val="20"/>
              </w:rPr>
            </w:pPr>
            <w:r>
              <w:rPr>
                <w:rFonts w:eastAsia="Times New Roman"/>
                <w:sz w:val="20"/>
                <w:szCs w:val="20"/>
              </w:rPr>
              <w:t> </w:t>
            </w:r>
          </w:p>
        </w:tc>
      </w:tr>
      <w:tr w:rsidR="00000000" w14:paraId="2AB341D8" w14:textId="77777777">
        <w:trPr>
          <w:tblCellSpacing w:w="0" w:type="dxa"/>
        </w:trPr>
        <w:tc>
          <w:tcPr>
            <w:tcW w:w="0" w:type="auto"/>
            <w:shd w:val="clear" w:color="auto" w:fill="CCEEFF"/>
            <w:vAlign w:val="bottom"/>
            <w:hideMark/>
          </w:tcPr>
          <w:p w14:paraId="6E461102" w14:textId="77777777" w:rsidR="00000000" w:rsidRDefault="00847163">
            <w:pPr>
              <w:pStyle w:val="a3"/>
              <w:spacing w:before="0" w:beforeAutospacing="0" w:after="0" w:afterAutospacing="0"/>
              <w:ind w:left="180"/>
              <w:rPr>
                <w:sz w:val="20"/>
                <w:szCs w:val="20"/>
              </w:rPr>
            </w:pPr>
            <w:r>
              <w:rPr>
                <w:sz w:val="20"/>
                <w:szCs w:val="20"/>
              </w:rPr>
              <w:t>Net cash flow used for investing activities</w:t>
            </w:r>
          </w:p>
        </w:tc>
        <w:tc>
          <w:tcPr>
            <w:tcW w:w="50" w:type="pct"/>
            <w:shd w:val="clear" w:color="auto" w:fill="CCEEFF"/>
            <w:vAlign w:val="bottom"/>
            <w:hideMark/>
          </w:tcPr>
          <w:p w14:paraId="110766FA"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4063200" w14:textId="77777777" w:rsidR="00000000" w:rsidRDefault="0084716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5CB91825" w14:textId="77777777" w:rsidR="00000000" w:rsidRDefault="00847163">
            <w:pPr>
              <w:jc w:val="right"/>
              <w:rPr>
                <w:rFonts w:eastAsia="Times New Roman"/>
                <w:sz w:val="20"/>
                <w:szCs w:val="20"/>
              </w:rPr>
            </w:pPr>
            <w:r>
              <w:rPr>
                <w:rFonts w:eastAsia="Times New Roman"/>
                <w:sz w:val="20"/>
                <w:szCs w:val="20"/>
              </w:rPr>
              <w:t>(66,553</w:t>
            </w:r>
          </w:p>
        </w:tc>
        <w:tc>
          <w:tcPr>
            <w:tcW w:w="50" w:type="pct"/>
            <w:shd w:val="clear" w:color="auto" w:fill="CCEEFF"/>
            <w:vAlign w:val="bottom"/>
            <w:hideMark/>
          </w:tcPr>
          <w:p w14:paraId="43E01DBB" w14:textId="77777777" w:rsidR="00000000" w:rsidRDefault="00847163">
            <w:pPr>
              <w:rPr>
                <w:rFonts w:eastAsia="Times New Roman"/>
                <w:sz w:val="20"/>
                <w:szCs w:val="20"/>
              </w:rPr>
            </w:pPr>
            <w:r>
              <w:rPr>
                <w:rFonts w:eastAsia="Times New Roman"/>
                <w:sz w:val="20"/>
                <w:szCs w:val="20"/>
              </w:rPr>
              <w:t>)</w:t>
            </w:r>
          </w:p>
        </w:tc>
        <w:tc>
          <w:tcPr>
            <w:tcW w:w="50" w:type="pct"/>
            <w:shd w:val="clear" w:color="auto" w:fill="CCEEFF"/>
            <w:vAlign w:val="bottom"/>
            <w:hideMark/>
          </w:tcPr>
          <w:p w14:paraId="07E1640E"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CC82DBF" w14:textId="77777777" w:rsidR="00000000" w:rsidRDefault="0084716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568FEF39" w14:textId="77777777" w:rsidR="00000000" w:rsidRDefault="00847163">
            <w:pPr>
              <w:jc w:val="right"/>
              <w:rPr>
                <w:rFonts w:eastAsia="Times New Roman"/>
                <w:sz w:val="20"/>
                <w:szCs w:val="20"/>
              </w:rPr>
            </w:pPr>
            <w:r>
              <w:rPr>
                <w:rFonts w:eastAsia="Times New Roman"/>
                <w:sz w:val="20"/>
                <w:szCs w:val="20"/>
              </w:rPr>
              <w:t>(15,542</w:t>
            </w:r>
          </w:p>
        </w:tc>
        <w:tc>
          <w:tcPr>
            <w:tcW w:w="50" w:type="pct"/>
            <w:shd w:val="clear" w:color="auto" w:fill="CCEEFF"/>
            <w:vAlign w:val="bottom"/>
            <w:hideMark/>
          </w:tcPr>
          <w:p w14:paraId="6AD93AD7" w14:textId="77777777" w:rsidR="00000000" w:rsidRDefault="00847163">
            <w:pPr>
              <w:rPr>
                <w:rFonts w:eastAsia="Times New Roman"/>
                <w:sz w:val="20"/>
                <w:szCs w:val="20"/>
              </w:rPr>
            </w:pPr>
            <w:r>
              <w:rPr>
                <w:rFonts w:eastAsia="Times New Roman"/>
                <w:sz w:val="20"/>
                <w:szCs w:val="20"/>
              </w:rPr>
              <w:t>)</w:t>
            </w:r>
          </w:p>
        </w:tc>
      </w:tr>
      <w:tr w:rsidR="00000000" w14:paraId="21AB117F" w14:textId="77777777">
        <w:trPr>
          <w:tblCellSpacing w:w="0" w:type="dxa"/>
        </w:trPr>
        <w:tc>
          <w:tcPr>
            <w:tcW w:w="0" w:type="auto"/>
            <w:shd w:val="clear" w:color="auto" w:fill="FFFFFF"/>
            <w:vAlign w:val="bottom"/>
            <w:hideMark/>
          </w:tcPr>
          <w:p w14:paraId="39F1B923" w14:textId="77777777" w:rsidR="00000000" w:rsidRDefault="00847163">
            <w:pPr>
              <w:pStyle w:val="a3"/>
              <w:spacing w:before="0" w:beforeAutospacing="0" w:after="0" w:afterAutospacing="0"/>
              <w:ind w:left="180"/>
              <w:rPr>
                <w:sz w:val="20"/>
                <w:szCs w:val="20"/>
              </w:rPr>
            </w:pPr>
            <w:r>
              <w:rPr>
                <w:sz w:val="20"/>
                <w:szCs w:val="20"/>
              </w:rPr>
              <w:t>Net cash flow provided by/(used for) financing activities</w:t>
            </w:r>
          </w:p>
        </w:tc>
        <w:tc>
          <w:tcPr>
            <w:tcW w:w="50" w:type="pct"/>
            <w:shd w:val="clear" w:color="auto" w:fill="FFFFFF"/>
            <w:vAlign w:val="bottom"/>
            <w:hideMark/>
          </w:tcPr>
          <w:p w14:paraId="09583A00" w14:textId="77777777" w:rsidR="00000000" w:rsidRDefault="0084716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18B5D404" w14:textId="77777777" w:rsidR="00000000" w:rsidRDefault="00847163">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129351E8" w14:textId="77777777" w:rsidR="00000000" w:rsidRDefault="00847163">
            <w:pPr>
              <w:jc w:val="right"/>
              <w:rPr>
                <w:rFonts w:eastAsia="Times New Roman"/>
                <w:sz w:val="20"/>
                <w:szCs w:val="20"/>
              </w:rPr>
            </w:pPr>
            <w:r>
              <w:rPr>
                <w:rFonts w:eastAsia="Times New Roman"/>
                <w:sz w:val="20"/>
                <w:szCs w:val="20"/>
              </w:rPr>
              <w:t>239,153</w:t>
            </w:r>
          </w:p>
        </w:tc>
        <w:tc>
          <w:tcPr>
            <w:tcW w:w="50" w:type="pct"/>
            <w:shd w:val="clear" w:color="auto" w:fill="FFFFFF"/>
            <w:tcMar>
              <w:top w:w="0" w:type="dxa"/>
              <w:left w:w="0" w:type="dxa"/>
              <w:bottom w:w="15" w:type="dxa"/>
              <w:right w:w="0" w:type="dxa"/>
            </w:tcMar>
            <w:vAlign w:val="bottom"/>
            <w:hideMark/>
          </w:tcPr>
          <w:p w14:paraId="38B9EA74"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F642E52" w14:textId="77777777" w:rsidR="00000000" w:rsidRDefault="0084716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5151D2E2" w14:textId="77777777" w:rsidR="00000000" w:rsidRDefault="00847163">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4B1412CD" w14:textId="77777777" w:rsidR="00000000" w:rsidRDefault="00847163">
            <w:pPr>
              <w:jc w:val="right"/>
              <w:rPr>
                <w:rFonts w:eastAsia="Times New Roman"/>
                <w:sz w:val="20"/>
                <w:szCs w:val="20"/>
              </w:rPr>
            </w:pPr>
            <w:r>
              <w:rPr>
                <w:rFonts w:eastAsia="Times New Roman"/>
                <w:sz w:val="20"/>
                <w:szCs w:val="20"/>
              </w:rPr>
              <w:t>(139,624</w:t>
            </w:r>
          </w:p>
        </w:tc>
        <w:tc>
          <w:tcPr>
            <w:tcW w:w="50" w:type="pct"/>
            <w:shd w:val="clear" w:color="auto" w:fill="FFFFFF"/>
            <w:tcMar>
              <w:top w:w="0" w:type="dxa"/>
              <w:left w:w="0" w:type="dxa"/>
              <w:bottom w:w="15" w:type="dxa"/>
              <w:right w:w="0" w:type="dxa"/>
            </w:tcMar>
            <w:vAlign w:val="bottom"/>
            <w:hideMark/>
          </w:tcPr>
          <w:p w14:paraId="5C220F1F" w14:textId="77777777" w:rsidR="00000000" w:rsidRDefault="00847163">
            <w:pPr>
              <w:rPr>
                <w:rFonts w:eastAsia="Times New Roman"/>
                <w:sz w:val="20"/>
                <w:szCs w:val="20"/>
              </w:rPr>
            </w:pPr>
            <w:r>
              <w:rPr>
                <w:rFonts w:eastAsia="Times New Roman"/>
                <w:sz w:val="20"/>
                <w:szCs w:val="20"/>
              </w:rPr>
              <w:t>)</w:t>
            </w:r>
          </w:p>
        </w:tc>
      </w:tr>
      <w:tr w:rsidR="00000000" w14:paraId="74ADAA63" w14:textId="77777777">
        <w:trPr>
          <w:tblCellSpacing w:w="0" w:type="dxa"/>
        </w:trPr>
        <w:tc>
          <w:tcPr>
            <w:tcW w:w="0" w:type="auto"/>
            <w:shd w:val="clear" w:color="auto" w:fill="CCEEFF"/>
            <w:vAlign w:val="bottom"/>
            <w:hideMark/>
          </w:tcPr>
          <w:p w14:paraId="3ACB0AEE" w14:textId="77777777" w:rsidR="00000000" w:rsidRDefault="00847163">
            <w:pPr>
              <w:pStyle w:val="a3"/>
              <w:spacing w:before="0" w:beforeAutospacing="0" w:after="0" w:afterAutospacing="0"/>
              <w:ind w:left="360"/>
              <w:rPr>
                <w:sz w:val="20"/>
                <w:szCs w:val="20"/>
              </w:rPr>
            </w:pPr>
            <w:r>
              <w:rPr>
                <w:sz w:val="20"/>
                <w:szCs w:val="20"/>
              </w:rPr>
              <w:t>Net change in cash and cash equivalents</w:t>
            </w:r>
          </w:p>
        </w:tc>
        <w:tc>
          <w:tcPr>
            <w:tcW w:w="50" w:type="pct"/>
            <w:shd w:val="clear" w:color="auto" w:fill="CCEEFF"/>
            <w:tcMar>
              <w:top w:w="0" w:type="dxa"/>
              <w:left w:w="0" w:type="dxa"/>
              <w:bottom w:w="15" w:type="dxa"/>
              <w:right w:w="0" w:type="dxa"/>
            </w:tcMar>
            <w:vAlign w:val="bottom"/>
            <w:hideMark/>
          </w:tcPr>
          <w:p w14:paraId="1A6F257A" w14:textId="77777777" w:rsidR="00000000" w:rsidRDefault="0084716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34FD8B11" w14:textId="77777777" w:rsidR="00000000" w:rsidRDefault="00847163">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7DCCEB88" w14:textId="77777777" w:rsidR="00000000" w:rsidRDefault="00847163">
            <w:pPr>
              <w:jc w:val="right"/>
              <w:rPr>
                <w:rFonts w:eastAsia="Times New Roman"/>
                <w:sz w:val="20"/>
                <w:szCs w:val="20"/>
              </w:rPr>
            </w:pPr>
            <w:r>
              <w:rPr>
                <w:rFonts w:eastAsia="Times New Roman"/>
                <w:sz w:val="20"/>
                <w:szCs w:val="20"/>
              </w:rPr>
              <w:t>327,849</w:t>
            </w:r>
          </w:p>
        </w:tc>
        <w:tc>
          <w:tcPr>
            <w:tcW w:w="50" w:type="pct"/>
            <w:shd w:val="clear" w:color="auto" w:fill="CCEEFF"/>
            <w:tcMar>
              <w:top w:w="0" w:type="dxa"/>
              <w:left w:w="0" w:type="dxa"/>
              <w:bottom w:w="15" w:type="dxa"/>
              <w:right w:w="0" w:type="dxa"/>
            </w:tcMar>
            <w:vAlign w:val="bottom"/>
            <w:hideMark/>
          </w:tcPr>
          <w:p w14:paraId="3974B0E0"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14:paraId="4CB24D94" w14:textId="77777777" w:rsidR="00000000" w:rsidRDefault="0084716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6F56F630" w14:textId="77777777" w:rsidR="00000000" w:rsidRDefault="00847163">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762F7DF4" w14:textId="77777777" w:rsidR="00000000" w:rsidRDefault="00847163">
            <w:pPr>
              <w:jc w:val="right"/>
              <w:rPr>
                <w:rFonts w:eastAsia="Times New Roman"/>
                <w:sz w:val="20"/>
                <w:szCs w:val="20"/>
              </w:rPr>
            </w:pPr>
            <w:r>
              <w:rPr>
                <w:rFonts w:eastAsia="Times New Roman"/>
                <w:sz w:val="20"/>
                <w:szCs w:val="20"/>
              </w:rPr>
              <w:t>92</w:t>
            </w:r>
          </w:p>
        </w:tc>
        <w:tc>
          <w:tcPr>
            <w:tcW w:w="50" w:type="pct"/>
            <w:shd w:val="clear" w:color="auto" w:fill="CCEEFF"/>
            <w:tcMar>
              <w:top w:w="0" w:type="dxa"/>
              <w:left w:w="0" w:type="dxa"/>
              <w:bottom w:w="15" w:type="dxa"/>
              <w:right w:w="0" w:type="dxa"/>
            </w:tcMar>
            <w:vAlign w:val="bottom"/>
            <w:hideMark/>
          </w:tcPr>
          <w:p w14:paraId="16FFF6D9" w14:textId="77777777" w:rsidR="00000000" w:rsidRDefault="00847163">
            <w:pPr>
              <w:rPr>
                <w:rFonts w:eastAsia="Times New Roman"/>
                <w:sz w:val="20"/>
                <w:szCs w:val="20"/>
              </w:rPr>
            </w:pPr>
            <w:r>
              <w:rPr>
                <w:rFonts w:eastAsia="Times New Roman"/>
                <w:sz w:val="20"/>
                <w:szCs w:val="20"/>
              </w:rPr>
              <w:t> </w:t>
            </w:r>
          </w:p>
        </w:tc>
      </w:tr>
      <w:tr w:rsidR="00000000" w14:paraId="6FE8C759" w14:textId="77777777">
        <w:trPr>
          <w:tblCellSpacing w:w="0" w:type="dxa"/>
        </w:trPr>
        <w:tc>
          <w:tcPr>
            <w:tcW w:w="0" w:type="auto"/>
            <w:shd w:val="clear" w:color="auto" w:fill="FFFFFF"/>
            <w:vAlign w:val="bottom"/>
            <w:hideMark/>
          </w:tcPr>
          <w:p w14:paraId="456E83B6" w14:textId="77777777" w:rsidR="00000000" w:rsidRDefault="00847163">
            <w:pPr>
              <w:pStyle w:val="a3"/>
              <w:spacing w:before="0" w:beforeAutospacing="0" w:after="0" w:afterAutospacing="0"/>
              <w:rPr>
                <w:sz w:val="20"/>
                <w:szCs w:val="20"/>
              </w:rPr>
            </w:pPr>
            <w:r>
              <w:rPr>
                <w:sz w:val="20"/>
                <w:szCs w:val="20"/>
              </w:rPr>
              <w:t>Cash and cash equivalents, end of the period</w:t>
            </w:r>
          </w:p>
        </w:tc>
        <w:tc>
          <w:tcPr>
            <w:tcW w:w="50" w:type="pct"/>
            <w:shd w:val="clear" w:color="auto" w:fill="FFFFFF"/>
            <w:vAlign w:val="bottom"/>
            <w:hideMark/>
          </w:tcPr>
          <w:p w14:paraId="3BBFBEC0" w14:textId="77777777" w:rsidR="00000000" w:rsidRDefault="0084716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4605993A" w14:textId="77777777" w:rsidR="00000000" w:rsidRDefault="00847163">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14:paraId="5FD418DD" w14:textId="77777777" w:rsidR="00000000" w:rsidRDefault="00847163">
            <w:pPr>
              <w:jc w:val="right"/>
              <w:rPr>
                <w:rFonts w:eastAsia="Times New Roman"/>
                <w:sz w:val="20"/>
                <w:szCs w:val="20"/>
              </w:rPr>
            </w:pPr>
            <w:r>
              <w:rPr>
                <w:rFonts w:eastAsia="Times New Roman"/>
                <w:sz w:val="20"/>
                <w:szCs w:val="20"/>
              </w:rPr>
              <w:t>451,796</w:t>
            </w:r>
          </w:p>
        </w:tc>
        <w:tc>
          <w:tcPr>
            <w:tcW w:w="50" w:type="pct"/>
            <w:shd w:val="clear" w:color="auto" w:fill="FFFFFF"/>
            <w:tcMar>
              <w:top w:w="0" w:type="dxa"/>
              <w:left w:w="0" w:type="dxa"/>
              <w:bottom w:w="45" w:type="dxa"/>
              <w:right w:w="0" w:type="dxa"/>
            </w:tcMar>
            <w:vAlign w:val="bottom"/>
            <w:hideMark/>
          </w:tcPr>
          <w:p w14:paraId="66CACB79"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CECBE19" w14:textId="77777777" w:rsidR="00000000" w:rsidRDefault="0084716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71457017" w14:textId="77777777" w:rsidR="00000000" w:rsidRDefault="00847163">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14:paraId="0FEA063D" w14:textId="77777777" w:rsidR="00000000" w:rsidRDefault="00847163">
            <w:pPr>
              <w:jc w:val="right"/>
              <w:rPr>
                <w:rFonts w:eastAsia="Times New Roman"/>
                <w:sz w:val="20"/>
                <w:szCs w:val="20"/>
              </w:rPr>
            </w:pPr>
            <w:r>
              <w:rPr>
                <w:rFonts w:eastAsia="Times New Roman"/>
                <w:sz w:val="20"/>
                <w:szCs w:val="20"/>
              </w:rPr>
              <w:t>143,673</w:t>
            </w:r>
          </w:p>
        </w:tc>
        <w:tc>
          <w:tcPr>
            <w:tcW w:w="50" w:type="pct"/>
            <w:shd w:val="clear" w:color="auto" w:fill="FFFFFF"/>
            <w:tcMar>
              <w:top w:w="0" w:type="dxa"/>
              <w:left w:w="0" w:type="dxa"/>
              <w:bottom w:w="45" w:type="dxa"/>
              <w:right w:w="0" w:type="dxa"/>
            </w:tcMar>
            <w:vAlign w:val="bottom"/>
            <w:hideMark/>
          </w:tcPr>
          <w:p w14:paraId="1FFE0A95" w14:textId="77777777" w:rsidR="00000000" w:rsidRDefault="00847163">
            <w:pPr>
              <w:rPr>
                <w:rFonts w:eastAsia="Times New Roman"/>
                <w:sz w:val="20"/>
                <w:szCs w:val="20"/>
              </w:rPr>
            </w:pPr>
            <w:r>
              <w:rPr>
                <w:rFonts w:eastAsia="Times New Roman"/>
                <w:sz w:val="20"/>
                <w:szCs w:val="20"/>
              </w:rPr>
              <w:t> </w:t>
            </w:r>
          </w:p>
        </w:tc>
      </w:tr>
    </w:tbl>
    <w:p w14:paraId="50349DA3" w14:textId="77777777" w:rsidR="00000000" w:rsidRDefault="00847163">
      <w:pPr>
        <w:pStyle w:val="a3"/>
        <w:spacing w:before="0" w:beforeAutospacing="0" w:after="0" w:afterAutospacing="0"/>
        <w:jc w:val="both"/>
        <w:rPr>
          <w:sz w:val="20"/>
          <w:szCs w:val="20"/>
        </w:rPr>
      </w:pPr>
      <w:r>
        <w:rPr>
          <w:sz w:val="20"/>
          <w:szCs w:val="20"/>
        </w:rPr>
        <w:t> </w:t>
      </w:r>
    </w:p>
    <w:p w14:paraId="0D905D3F" w14:textId="77777777" w:rsidR="00000000" w:rsidRDefault="00847163">
      <w:pPr>
        <w:jc w:val="center"/>
        <w:divId w:val="170144601"/>
        <w:rPr>
          <w:rFonts w:eastAsia="Times New Roman"/>
          <w:sz w:val="20"/>
          <w:szCs w:val="20"/>
        </w:rPr>
      </w:pPr>
      <w:r>
        <w:rPr>
          <w:rFonts w:eastAsia="Times New Roman"/>
          <w:sz w:val="20"/>
          <w:szCs w:val="20"/>
        </w:rPr>
        <w:t xml:space="preserve">22 </w:t>
      </w:r>
    </w:p>
    <w:p w14:paraId="7655E3FE" w14:textId="77777777" w:rsidR="00000000" w:rsidRDefault="00847163">
      <w:pPr>
        <w:divId w:val="1007293638"/>
        <w:rPr>
          <w:rFonts w:eastAsia="Times New Roman"/>
          <w:sz w:val="20"/>
          <w:szCs w:val="20"/>
        </w:rPr>
      </w:pPr>
      <w:r>
        <w:rPr>
          <w:rFonts w:eastAsia="Times New Roman"/>
          <w:sz w:val="20"/>
          <w:szCs w:val="20"/>
        </w:rPr>
        <w:pict w14:anchorId="50FD40BD">
          <v:rect id="_x0000_i1050" style="width:0;height:1.5pt" o:hralign="center" o:hrstd="t" o:hr="t" fillcolor="#a0a0a0" stroked="f"/>
        </w:pict>
      </w:r>
    </w:p>
    <w:p w14:paraId="58188A9F" w14:textId="77777777" w:rsidR="00000000" w:rsidRDefault="00847163">
      <w:pPr>
        <w:divId w:val="1808859231"/>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408ADFA3" w14:textId="77777777" w:rsidR="00000000" w:rsidRDefault="00847163">
      <w:pPr>
        <w:pStyle w:val="a3"/>
        <w:spacing w:before="0" w:beforeAutospacing="0" w:after="0" w:afterAutospacing="0"/>
        <w:rPr>
          <w:sz w:val="20"/>
          <w:szCs w:val="20"/>
        </w:rPr>
      </w:pPr>
      <w:r>
        <w:rPr>
          <w:sz w:val="20"/>
          <w:szCs w:val="20"/>
        </w:rPr>
        <w:t> </w:t>
      </w:r>
    </w:p>
    <w:p w14:paraId="2AB23CF1" w14:textId="77777777" w:rsidR="00000000" w:rsidRDefault="00847163">
      <w:pPr>
        <w:pStyle w:val="a3"/>
        <w:spacing w:before="0" w:beforeAutospacing="0" w:after="0" w:afterAutospacing="0"/>
        <w:rPr>
          <w:sz w:val="20"/>
          <w:szCs w:val="20"/>
        </w:rPr>
      </w:pPr>
      <w:r>
        <w:rPr>
          <w:sz w:val="20"/>
          <w:szCs w:val="20"/>
          <w:u w:val="single"/>
        </w:rPr>
        <w:t>Operating Activities</w:t>
      </w:r>
    </w:p>
    <w:p w14:paraId="12D8C365" w14:textId="77777777" w:rsidR="00000000" w:rsidRDefault="00847163">
      <w:pPr>
        <w:pStyle w:val="a3"/>
        <w:spacing w:before="0" w:beforeAutospacing="0" w:after="0" w:afterAutospacing="0"/>
        <w:jc w:val="both"/>
        <w:rPr>
          <w:sz w:val="20"/>
          <w:szCs w:val="20"/>
        </w:rPr>
      </w:pPr>
      <w:r>
        <w:rPr>
          <w:sz w:val="20"/>
          <w:szCs w:val="20"/>
        </w:rPr>
        <w:t> </w:t>
      </w:r>
    </w:p>
    <w:p w14:paraId="20CCA501" w14:textId="77777777" w:rsidR="00000000" w:rsidRDefault="00847163">
      <w:pPr>
        <w:pStyle w:val="a3"/>
        <w:spacing w:before="0" w:beforeAutospacing="0" w:after="0" w:afterAutospacing="0"/>
        <w:ind w:firstLine="360"/>
        <w:jc w:val="both"/>
        <w:rPr>
          <w:sz w:val="20"/>
          <w:szCs w:val="20"/>
        </w:rPr>
      </w:pPr>
      <w:r>
        <w:rPr>
          <w:sz w:val="20"/>
          <w:szCs w:val="20"/>
        </w:rPr>
        <w:t>The Company anticipates that cash on hand, net cash flow provided by operating activities, borrowings under its Credit Facility and Term Loan and the issuance of equity and public debt, as well as other debt and equity alternatives, will provide the necess</w:t>
      </w:r>
      <w:r>
        <w:rPr>
          <w:sz w:val="20"/>
          <w:szCs w:val="20"/>
        </w:rPr>
        <w:t>ary capital required by the Company. The Company will continue to evaluate its capital requirements for both its short-term and long-term liquidity needs, all of which are highly uncertain and cannot be predicted, could be affected by various risks and unc</w:t>
      </w:r>
      <w:r>
        <w:rPr>
          <w:sz w:val="20"/>
          <w:szCs w:val="20"/>
        </w:rPr>
        <w:t>ertainties, including, but not limited to, the effects of the COVID-19 pandemic and other risks detailed in Part II, Item 1A. Risk Factors. See further discussion relating to the effects of the COVID-19 pandemic in the “COVID-19 Pandemic”, “Investing Activ</w:t>
      </w:r>
      <w:r>
        <w:rPr>
          <w:sz w:val="20"/>
          <w:szCs w:val="20"/>
        </w:rPr>
        <w:t>ities” and “Financing Activities” sections within this Item 2.</w:t>
      </w:r>
    </w:p>
    <w:p w14:paraId="65E2CA63" w14:textId="77777777" w:rsidR="00000000" w:rsidRDefault="00847163">
      <w:pPr>
        <w:pStyle w:val="a3"/>
        <w:spacing w:before="0" w:beforeAutospacing="0" w:after="0" w:afterAutospacing="0"/>
        <w:ind w:firstLine="360"/>
        <w:jc w:val="both"/>
        <w:rPr>
          <w:sz w:val="20"/>
          <w:szCs w:val="20"/>
        </w:rPr>
      </w:pPr>
      <w:r>
        <w:rPr>
          <w:sz w:val="20"/>
          <w:szCs w:val="20"/>
        </w:rPr>
        <w:t> </w:t>
      </w:r>
    </w:p>
    <w:p w14:paraId="487B2C8E" w14:textId="77777777" w:rsidR="00000000" w:rsidRDefault="00847163">
      <w:pPr>
        <w:pStyle w:val="a3"/>
        <w:spacing w:before="0" w:beforeAutospacing="0" w:after="0" w:afterAutospacing="0"/>
        <w:ind w:firstLine="360"/>
        <w:jc w:val="both"/>
        <w:rPr>
          <w:sz w:val="20"/>
          <w:szCs w:val="20"/>
        </w:rPr>
      </w:pPr>
      <w:r>
        <w:rPr>
          <w:sz w:val="20"/>
          <w:szCs w:val="20"/>
        </w:rPr>
        <w:t xml:space="preserve">Net cash flow provided by operating activities for the three months ended March 31, 2020, was $155.2 million, as compared to $155.3 million for the comparable period in 2019. The decrease of </w:t>
      </w:r>
      <w:r>
        <w:rPr>
          <w:sz w:val="20"/>
          <w:szCs w:val="20"/>
        </w:rPr>
        <w:t>$0.1 million is primarily attributable to:</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0004109D" w14:textId="77777777">
        <w:trPr>
          <w:tblCellSpacing w:w="0" w:type="dxa"/>
        </w:trPr>
        <w:tc>
          <w:tcPr>
            <w:tcW w:w="720" w:type="dxa"/>
            <w:hideMark/>
          </w:tcPr>
          <w:p w14:paraId="38690F57" w14:textId="77777777" w:rsidR="00000000" w:rsidRDefault="00847163">
            <w:pPr>
              <w:rPr>
                <w:rFonts w:eastAsia="Times New Roman"/>
              </w:rPr>
            </w:pPr>
            <w:r>
              <w:rPr>
                <w:rFonts w:eastAsia="Times New Roman"/>
              </w:rPr>
              <w:t> </w:t>
            </w:r>
          </w:p>
        </w:tc>
        <w:tc>
          <w:tcPr>
            <w:tcW w:w="360" w:type="dxa"/>
            <w:hideMark/>
          </w:tcPr>
          <w:p w14:paraId="317E4895" w14:textId="77777777" w:rsidR="00000000" w:rsidRDefault="00847163">
            <w:pPr>
              <w:pStyle w:val="a3"/>
              <w:spacing w:before="0" w:beforeAutospacing="0" w:after="0" w:afterAutospacing="0"/>
              <w:jc w:val="both"/>
              <w:rPr>
                <w:sz w:val="20"/>
                <w:szCs w:val="20"/>
              </w:rPr>
            </w:pPr>
            <w:r>
              <w:rPr>
                <w:sz w:val="20"/>
                <w:szCs w:val="20"/>
              </w:rPr>
              <w:t>●</w:t>
            </w:r>
          </w:p>
        </w:tc>
        <w:tc>
          <w:tcPr>
            <w:tcW w:w="0" w:type="auto"/>
            <w:hideMark/>
          </w:tcPr>
          <w:p w14:paraId="54B35D03" w14:textId="77777777" w:rsidR="00000000" w:rsidRDefault="00847163">
            <w:pPr>
              <w:pStyle w:val="a3"/>
              <w:spacing w:before="0" w:beforeAutospacing="0" w:after="0" w:afterAutospacing="0"/>
              <w:jc w:val="both"/>
              <w:rPr>
                <w:sz w:val="20"/>
                <w:szCs w:val="20"/>
              </w:rPr>
            </w:pPr>
            <w:r>
              <w:rPr>
                <w:sz w:val="20"/>
                <w:szCs w:val="20"/>
              </w:rPr>
              <w:t>the disposition of operating properties in 2020 and 2019; partially offset by</w:t>
            </w:r>
          </w:p>
        </w:tc>
      </w:tr>
    </w:tbl>
    <w:p w14:paraId="36FE0651" w14:textId="77777777" w:rsidR="00000000" w:rsidRDefault="00847163">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538901C1" w14:textId="77777777">
        <w:trPr>
          <w:tblCellSpacing w:w="0" w:type="dxa"/>
        </w:trPr>
        <w:tc>
          <w:tcPr>
            <w:tcW w:w="720" w:type="dxa"/>
            <w:hideMark/>
          </w:tcPr>
          <w:p w14:paraId="4A451C81" w14:textId="77777777" w:rsidR="00000000" w:rsidRDefault="00847163">
            <w:pPr>
              <w:rPr>
                <w:rFonts w:eastAsia="Times New Roman"/>
              </w:rPr>
            </w:pPr>
            <w:r>
              <w:rPr>
                <w:rFonts w:eastAsia="Times New Roman"/>
              </w:rPr>
              <w:t> </w:t>
            </w:r>
          </w:p>
        </w:tc>
        <w:tc>
          <w:tcPr>
            <w:tcW w:w="360" w:type="dxa"/>
            <w:hideMark/>
          </w:tcPr>
          <w:p w14:paraId="586368B6" w14:textId="77777777" w:rsidR="00000000" w:rsidRDefault="00847163">
            <w:pPr>
              <w:pStyle w:val="a3"/>
              <w:spacing w:before="0" w:beforeAutospacing="0" w:after="0" w:afterAutospacing="0"/>
              <w:jc w:val="both"/>
              <w:rPr>
                <w:sz w:val="20"/>
                <w:szCs w:val="20"/>
              </w:rPr>
            </w:pPr>
            <w:r>
              <w:rPr>
                <w:sz w:val="20"/>
                <w:szCs w:val="20"/>
              </w:rPr>
              <w:t>●</w:t>
            </w:r>
          </w:p>
        </w:tc>
        <w:tc>
          <w:tcPr>
            <w:tcW w:w="0" w:type="auto"/>
            <w:hideMark/>
          </w:tcPr>
          <w:p w14:paraId="78B504E0" w14:textId="77777777" w:rsidR="00000000" w:rsidRDefault="00847163">
            <w:pPr>
              <w:pStyle w:val="a3"/>
              <w:spacing w:before="0" w:beforeAutospacing="0" w:after="0" w:afterAutospacing="0"/>
              <w:jc w:val="both"/>
              <w:rPr>
                <w:sz w:val="20"/>
                <w:szCs w:val="20"/>
              </w:rPr>
            </w:pPr>
            <w:r>
              <w:rPr>
                <w:sz w:val="20"/>
                <w:szCs w:val="20"/>
              </w:rPr>
              <w:t>an increase in distributions from the Company’s joint venture programs;</w:t>
            </w:r>
          </w:p>
        </w:tc>
      </w:tr>
    </w:tbl>
    <w:p w14:paraId="4A153708" w14:textId="77777777" w:rsidR="00000000" w:rsidRDefault="00847163">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45877ACB" w14:textId="77777777">
        <w:trPr>
          <w:tblCellSpacing w:w="0" w:type="dxa"/>
        </w:trPr>
        <w:tc>
          <w:tcPr>
            <w:tcW w:w="720" w:type="dxa"/>
            <w:hideMark/>
          </w:tcPr>
          <w:p w14:paraId="2AED19A8" w14:textId="77777777" w:rsidR="00000000" w:rsidRDefault="00847163">
            <w:pPr>
              <w:rPr>
                <w:rFonts w:eastAsia="Times New Roman"/>
              </w:rPr>
            </w:pPr>
            <w:r>
              <w:rPr>
                <w:rFonts w:eastAsia="Times New Roman"/>
              </w:rPr>
              <w:t> </w:t>
            </w:r>
          </w:p>
        </w:tc>
        <w:tc>
          <w:tcPr>
            <w:tcW w:w="360" w:type="dxa"/>
            <w:hideMark/>
          </w:tcPr>
          <w:p w14:paraId="64FDFD26" w14:textId="77777777" w:rsidR="00000000" w:rsidRDefault="00847163">
            <w:pPr>
              <w:pStyle w:val="a3"/>
              <w:spacing w:before="0" w:beforeAutospacing="0" w:after="0" w:afterAutospacing="0"/>
              <w:jc w:val="both"/>
              <w:rPr>
                <w:sz w:val="20"/>
                <w:szCs w:val="20"/>
              </w:rPr>
            </w:pPr>
            <w:r>
              <w:rPr>
                <w:sz w:val="20"/>
                <w:szCs w:val="20"/>
              </w:rPr>
              <w:t>●</w:t>
            </w:r>
          </w:p>
        </w:tc>
        <w:tc>
          <w:tcPr>
            <w:tcW w:w="0" w:type="auto"/>
            <w:hideMark/>
          </w:tcPr>
          <w:p w14:paraId="7EE580B4" w14:textId="77777777" w:rsidR="00000000" w:rsidRDefault="00847163">
            <w:pPr>
              <w:pStyle w:val="a3"/>
              <w:spacing w:before="0" w:beforeAutospacing="0" w:after="0" w:afterAutospacing="0"/>
              <w:jc w:val="both"/>
              <w:rPr>
                <w:sz w:val="20"/>
                <w:szCs w:val="20"/>
              </w:rPr>
            </w:pPr>
            <w:r>
              <w:rPr>
                <w:sz w:val="20"/>
                <w:szCs w:val="20"/>
              </w:rPr>
              <w:t>new leasing, expansion and re-tenanting of core</w:t>
            </w:r>
            <w:r>
              <w:rPr>
                <w:sz w:val="20"/>
                <w:szCs w:val="20"/>
              </w:rPr>
              <w:t xml:space="preserve"> portfolio properties;</w:t>
            </w:r>
          </w:p>
        </w:tc>
      </w:tr>
    </w:tbl>
    <w:p w14:paraId="797E8BE5" w14:textId="77777777" w:rsidR="00000000" w:rsidRDefault="00847163">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5FF50060" w14:textId="77777777">
        <w:trPr>
          <w:tblCellSpacing w:w="0" w:type="dxa"/>
        </w:trPr>
        <w:tc>
          <w:tcPr>
            <w:tcW w:w="720" w:type="dxa"/>
            <w:hideMark/>
          </w:tcPr>
          <w:p w14:paraId="06C9BB58" w14:textId="77777777" w:rsidR="00000000" w:rsidRDefault="00847163">
            <w:pPr>
              <w:rPr>
                <w:rFonts w:eastAsia="Times New Roman"/>
              </w:rPr>
            </w:pPr>
            <w:r>
              <w:rPr>
                <w:rFonts w:eastAsia="Times New Roman"/>
              </w:rPr>
              <w:t> </w:t>
            </w:r>
          </w:p>
        </w:tc>
        <w:tc>
          <w:tcPr>
            <w:tcW w:w="360" w:type="dxa"/>
            <w:hideMark/>
          </w:tcPr>
          <w:p w14:paraId="0424C8DC" w14:textId="77777777" w:rsidR="00000000" w:rsidRDefault="00847163">
            <w:pPr>
              <w:pStyle w:val="a3"/>
              <w:spacing w:before="0" w:beforeAutospacing="0" w:after="0" w:afterAutospacing="0"/>
              <w:jc w:val="both"/>
              <w:rPr>
                <w:sz w:val="20"/>
                <w:szCs w:val="20"/>
              </w:rPr>
            </w:pPr>
            <w:r>
              <w:rPr>
                <w:sz w:val="20"/>
                <w:szCs w:val="20"/>
              </w:rPr>
              <w:t>●</w:t>
            </w:r>
          </w:p>
        </w:tc>
        <w:tc>
          <w:tcPr>
            <w:tcW w:w="0" w:type="auto"/>
            <w:hideMark/>
          </w:tcPr>
          <w:p w14:paraId="123A41A5" w14:textId="77777777" w:rsidR="00000000" w:rsidRDefault="00847163">
            <w:pPr>
              <w:pStyle w:val="a3"/>
              <w:spacing w:before="0" w:beforeAutospacing="0" w:after="0" w:afterAutospacing="0"/>
              <w:jc w:val="both"/>
              <w:rPr>
                <w:sz w:val="20"/>
                <w:szCs w:val="20"/>
              </w:rPr>
            </w:pPr>
            <w:r>
              <w:rPr>
                <w:sz w:val="20"/>
                <w:szCs w:val="20"/>
              </w:rPr>
              <w:t>changes in operating assets and liabilities due to timing of receipts and payments; and</w:t>
            </w:r>
          </w:p>
        </w:tc>
      </w:tr>
    </w:tbl>
    <w:p w14:paraId="551C4DDF" w14:textId="77777777" w:rsidR="00000000" w:rsidRDefault="00847163">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0110289B" w14:textId="77777777">
        <w:trPr>
          <w:tblCellSpacing w:w="0" w:type="dxa"/>
        </w:trPr>
        <w:tc>
          <w:tcPr>
            <w:tcW w:w="720" w:type="dxa"/>
            <w:hideMark/>
          </w:tcPr>
          <w:p w14:paraId="39E44C8A" w14:textId="77777777" w:rsidR="00000000" w:rsidRDefault="00847163">
            <w:pPr>
              <w:rPr>
                <w:rFonts w:eastAsia="Times New Roman"/>
              </w:rPr>
            </w:pPr>
            <w:r>
              <w:rPr>
                <w:rFonts w:eastAsia="Times New Roman"/>
              </w:rPr>
              <w:t> </w:t>
            </w:r>
          </w:p>
        </w:tc>
        <w:tc>
          <w:tcPr>
            <w:tcW w:w="360" w:type="dxa"/>
            <w:hideMark/>
          </w:tcPr>
          <w:p w14:paraId="06590C86" w14:textId="77777777" w:rsidR="00000000" w:rsidRDefault="00847163">
            <w:pPr>
              <w:pStyle w:val="a3"/>
              <w:spacing w:before="0" w:beforeAutospacing="0" w:after="0" w:afterAutospacing="0"/>
              <w:jc w:val="both"/>
              <w:rPr>
                <w:sz w:val="20"/>
                <w:szCs w:val="20"/>
              </w:rPr>
            </w:pPr>
            <w:r>
              <w:rPr>
                <w:sz w:val="20"/>
                <w:szCs w:val="20"/>
              </w:rPr>
              <w:t>●</w:t>
            </w:r>
          </w:p>
        </w:tc>
        <w:tc>
          <w:tcPr>
            <w:tcW w:w="0" w:type="auto"/>
            <w:hideMark/>
          </w:tcPr>
          <w:p w14:paraId="2142219C" w14:textId="77777777" w:rsidR="00000000" w:rsidRDefault="00847163">
            <w:pPr>
              <w:pStyle w:val="a3"/>
              <w:spacing w:before="0" w:beforeAutospacing="0" w:after="0" w:afterAutospacing="0"/>
              <w:jc w:val="both"/>
              <w:rPr>
                <w:sz w:val="20"/>
                <w:szCs w:val="20"/>
              </w:rPr>
            </w:pPr>
            <w:r>
              <w:rPr>
                <w:sz w:val="20"/>
                <w:szCs w:val="20"/>
              </w:rPr>
              <w:t>the acquisition of an operating property during 2020.</w:t>
            </w:r>
          </w:p>
        </w:tc>
      </w:tr>
    </w:tbl>
    <w:p w14:paraId="63F267FF" w14:textId="77777777" w:rsidR="00000000" w:rsidRDefault="00847163">
      <w:pPr>
        <w:pStyle w:val="a3"/>
        <w:spacing w:before="0" w:beforeAutospacing="0" w:after="0" w:afterAutospacing="0"/>
        <w:jc w:val="both"/>
        <w:rPr>
          <w:sz w:val="20"/>
          <w:szCs w:val="20"/>
        </w:rPr>
      </w:pPr>
      <w:r>
        <w:rPr>
          <w:sz w:val="20"/>
          <w:szCs w:val="20"/>
        </w:rPr>
        <w:t> </w:t>
      </w:r>
    </w:p>
    <w:p w14:paraId="658C897D" w14:textId="77777777" w:rsidR="00000000" w:rsidRDefault="00847163">
      <w:pPr>
        <w:pStyle w:val="a3"/>
        <w:spacing w:before="0" w:beforeAutospacing="0" w:after="0" w:afterAutospacing="0"/>
        <w:ind w:firstLine="360"/>
        <w:jc w:val="both"/>
        <w:rPr>
          <w:sz w:val="20"/>
          <w:szCs w:val="20"/>
        </w:rPr>
      </w:pPr>
      <w:r>
        <w:rPr>
          <w:sz w:val="20"/>
          <w:szCs w:val="20"/>
        </w:rPr>
        <w:t>Due to the current economic uncertainty resulting from the COVID-19 pandemic, the Company has been working with its tenants to potentially grant rent deferrals on a tenant-by-tenant basis relating to April rents. The deferrals are anticipated to be paid wi</w:t>
      </w:r>
      <w:r>
        <w:rPr>
          <w:sz w:val="20"/>
          <w:szCs w:val="20"/>
        </w:rPr>
        <w:t>thin a period of one year or less.</w:t>
      </w:r>
    </w:p>
    <w:p w14:paraId="5B835C45" w14:textId="77777777" w:rsidR="00000000" w:rsidRDefault="00847163">
      <w:pPr>
        <w:pStyle w:val="a3"/>
        <w:spacing w:before="0" w:beforeAutospacing="0" w:after="0" w:afterAutospacing="0"/>
        <w:ind w:firstLine="360"/>
        <w:jc w:val="both"/>
        <w:rPr>
          <w:sz w:val="20"/>
          <w:szCs w:val="20"/>
        </w:rPr>
      </w:pPr>
      <w:r>
        <w:rPr>
          <w:sz w:val="20"/>
          <w:szCs w:val="20"/>
        </w:rPr>
        <w:t> </w:t>
      </w:r>
    </w:p>
    <w:p w14:paraId="5977B76E" w14:textId="77777777" w:rsidR="00000000" w:rsidRDefault="00847163">
      <w:pPr>
        <w:pStyle w:val="a3"/>
        <w:spacing w:before="0" w:beforeAutospacing="0" w:after="0" w:afterAutospacing="0"/>
        <w:ind w:firstLine="360"/>
        <w:jc w:val="both"/>
        <w:rPr>
          <w:sz w:val="20"/>
          <w:szCs w:val="20"/>
        </w:rPr>
      </w:pPr>
      <w:r>
        <w:rPr>
          <w:sz w:val="20"/>
          <w:szCs w:val="20"/>
        </w:rPr>
        <w:t>In addition, during April 2020, the Company began piloting a Tenant Assistance Program to assist small business tenants in identifying and applying for federal and state aid to help support their businesses during the C</w:t>
      </w:r>
      <w:r>
        <w:rPr>
          <w:sz w:val="20"/>
          <w:szCs w:val="20"/>
        </w:rPr>
        <w:t>OVID-19 pandemic. The Company is working in partnership with law firms to provide assistance with the application process at the Company’s expense. Legal professionals will assist tenants in identifying suitable loan programs, identifying potential lending</w:t>
      </w:r>
      <w:r>
        <w:rPr>
          <w:sz w:val="20"/>
          <w:szCs w:val="20"/>
        </w:rPr>
        <w:t xml:space="preserve"> institutions, and preparing and submitting applications.</w:t>
      </w:r>
    </w:p>
    <w:p w14:paraId="60C4D42C" w14:textId="77777777" w:rsidR="00000000" w:rsidRDefault="00847163">
      <w:pPr>
        <w:pStyle w:val="a3"/>
        <w:spacing w:before="0" w:beforeAutospacing="0" w:after="0" w:afterAutospacing="0"/>
        <w:ind w:firstLine="360"/>
        <w:jc w:val="both"/>
        <w:rPr>
          <w:sz w:val="20"/>
          <w:szCs w:val="20"/>
        </w:rPr>
      </w:pPr>
      <w:r>
        <w:rPr>
          <w:sz w:val="20"/>
          <w:szCs w:val="20"/>
        </w:rPr>
        <w:t> </w:t>
      </w:r>
    </w:p>
    <w:p w14:paraId="7A0C7452" w14:textId="77777777" w:rsidR="00000000" w:rsidRDefault="00847163">
      <w:pPr>
        <w:pStyle w:val="a3"/>
        <w:spacing w:before="0" w:beforeAutospacing="0" w:after="0" w:afterAutospacing="0"/>
        <w:jc w:val="both"/>
        <w:rPr>
          <w:sz w:val="20"/>
          <w:szCs w:val="20"/>
        </w:rPr>
      </w:pPr>
      <w:r>
        <w:rPr>
          <w:sz w:val="20"/>
          <w:szCs w:val="20"/>
          <w:u w:val="single"/>
        </w:rPr>
        <w:t>Investing Activities</w:t>
      </w:r>
    </w:p>
    <w:p w14:paraId="4AD773E9" w14:textId="77777777" w:rsidR="00000000" w:rsidRDefault="00847163">
      <w:pPr>
        <w:pStyle w:val="a3"/>
        <w:spacing w:before="0" w:beforeAutospacing="0" w:after="0" w:afterAutospacing="0"/>
        <w:ind w:firstLine="360"/>
        <w:jc w:val="both"/>
        <w:rPr>
          <w:sz w:val="20"/>
          <w:szCs w:val="20"/>
        </w:rPr>
      </w:pPr>
      <w:r>
        <w:rPr>
          <w:sz w:val="20"/>
          <w:szCs w:val="20"/>
        </w:rPr>
        <w:t> </w:t>
      </w:r>
    </w:p>
    <w:p w14:paraId="468690E1" w14:textId="77777777" w:rsidR="00000000" w:rsidRDefault="00847163">
      <w:pPr>
        <w:pStyle w:val="a3"/>
        <w:spacing w:before="0" w:beforeAutospacing="0" w:after="0" w:afterAutospacing="0"/>
        <w:ind w:firstLine="360"/>
        <w:jc w:val="both"/>
        <w:rPr>
          <w:sz w:val="20"/>
          <w:szCs w:val="20"/>
        </w:rPr>
      </w:pPr>
      <w:r>
        <w:rPr>
          <w:sz w:val="20"/>
          <w:szCs w:val="20"/>
        </w:rPr>
        <w:t>Net cash flow used for investing activities was $66.6 million for the three months ended March 31, 2020, as compared to $15.5 million for the comparable period in 2019.</w:t>
      </w:r>
    </w:p>
    <w:p w14:paraId="3370DC69" w14:textId="77777777" w:rsidR="00000000" w:rsidRDefault="00847163">
      <w:pPr>
        <w:pStyle w:val="a3"/>
        <w:spacing w:before="0" w:beforeAutospacing="0" w:after="0" w:afterAutospacing="0"/>
        <w:ind w:firstLine="360"/>
        <w:jc w:val="both"/>
        <w:rPr>
          <w:sz w:val="20"/>
          <w:szCs w:val="20"/>
        </w:rPr>
      </w:pPr>
      <w:r>
        <w:rPr>
          <w:sz w:val="20"/>
          <w:szCs w:val="20"/>
        </w:rPr>
        <w:t> </w:t>
      </w:r>
    </w:p>
    <w:p w14:paraId="0BC4655D" w14:textId="77777777" w:rsidR="00000000" w:rsidRDefault="00847163">
      <w:pPr>
        <w:pStyle w:val="a3"/>
        <w:spacing w:before="0" w:beforeAutospacing="0" w:after="0" w:afterAutospacing="0"/>
        <w:ind w:firstLine="360"/>
        <w:jc w:val="both"/>
        <w:rPr>
          <w:sz w:val="20"/>
          <w:szCs w:val="20"/>
        </w:rPr>
      </w:pPr>
      <w:r>
        <w:rPr>
          <w:sz w:val="20"/>
          <w:szCs w:val="20"/>
        </w:rPr>
        <w:t>In</w:t>
      </w:r>
      <w:r>
        <w:rPr>
          <w:sz w:val="20"/>
          <w:szCs w:val="20"/>
        </w:rPr>
        <w:t>vesting activities during 2020 primarily consisted of:</w:t>
      </w:r>
    </w:p>
    <w:p w14:paraId="087163A0" w14:textId="77777777" w:rsidR="00000000" w:rsidRDefault="00847163">
      <w:pPr>
        <w:pStyle w:val="a3"/>
        <w:spacing w:before="0" w:beforeAutospacing="0" w:after="0" w:afterAutospacing="0"/>
        <w:ind w:firstLine="540"/>
        <w:jc w:val="both"/>
        <w:rPr>
          <w:sz w:val="20"/>
          <w:szCs w:val="20"/>
        </w:rPr>
      </w:pPr>
      <w:r>
        <w:rPr>
          <w:sz w:val="20"/>
          <w:szCs w:val="20"/>
        </w:rPr>
        <w:t> </w:t>
      </w:r>
    </w:p>
    <w:p w14:paraId="0107A581" w14:textId="77777777" w:rsidR="00000000" w:rsidRDefault="00847163">
      <w:pPr>
        <w:pStyle w:val="a3"/>
        <w:spacing w:before="0" w:beforeAutospacing="0" w:after="0" w:afterAutospacing="0"/>
        <w:ind w:firstLine="540"/>
        <w:jc w:val="both"/>
        <w:rPr>
          <w:sz w:val="20"/>
          <w:szCs w:val="20"/>
        </w:rPr>
      </w:pPr>
      <w:r>
        <w:rPr>
          <w:sz w:val="20"/>
          <w:szCs w:val="20"/>
        </w:rPr>
        <w:t>Cash inflows: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2C4EFAF7" w14:textId="77777777">
        <w:trPr>
          <w:tblCellSpacing w:w="0" w:type="dxa"/>
        </w:trPr>
        <w:tc>
          <w:tcPr>
            <w:tcW w:w="720" w:type="dxa"/>
            <w:vAlign w:val="center"/>
            <w:hideMark/>
          </w:tcPr>
          <w:p w14:paraId="1D64F811" w14:textId="77777777" w:rsidR="00000000" w:rsidRDefault="00847163">
            <w:pPr>
              <w:rPr>
                <w:rFonts w:eastAsia="Times New Roman"/>
                <w:sz w:val="20"/>
                <w:szCs w:val="20"/>
              </w:rPr>
            </w:pPr>
            <w:r>
              <w:rPr>
                <w:rFonts w:eastAsia="Times New Roman"/>
                <w:sz w:val="20"/>
                <w:szCs w:val="20"/>
              </w:rPr>
              <w:t> </w:t>
            </w:r>
          </w:p>
        </w:tc>
        <w:tc>
          <w:tcPr>
            <w:tcW w:w="360" w:type="dxa"/>
            <w:hideMark/>
          </w:tcPr>
          <w:p w14:paraId="458D727A" w14:textId="77777777" w:rsidR="00000000" w:rsidRDefault="00847163">
            <w:pPr>
              <w:pStyle w:val="a3"/>
              <w:spacing w:before="0" w:beforeAutospacing="0" w:after="0" w:afterAutospacing="0"/>
              <w:jc w:val="both"/>
              <w:rPr>
                <w:sz w:val="20"/>
                <w:szCs w:val="20"/>
              </w:rPr>
            </w:pPr>
            <w:r>
              <w:rPr>
                <w:sz w:val="20"/>
                <w:szCs w:val="20"/>
              </w:rPr>
              <w:t>●</w:t>
            </w:r>
          </w:p>
        </w:tc>
        <w:tc>
          <w:tcPr>
            <w:tcW w:w="0" w:type="auto"/>
            <w:hideMark/>
          </w:tcPr>
          <w:p w14:paraId="5E6D908B" w14:textId="77777777" w:rsidR="00000000" w:rsidRDefault="00847163">
            <w:pPr>
              <w:pStyle w:val="a3"/>
              <w:spacing w:before="0" w:beforeAutospacing="0" w:after="0" w:afterAutospacing="0"/>
              <w:jc w:val="both"/>
              <w:rPr>
                <w:sz w:val="20"/>
                <w:szCs w:val="20"/>
              </w:rPr>
            </w:pPr>
            <w:r>
              <w:rPr>
                <w:sz w:val="20"/>
                <w:szCs w:val="20"/>
              </w:rPr>
              <w:t>$13.3 million in proceeds from the sale of a consolidated operating property; and</w:t>
            </w:r>
          </w:p>
        </w:tc>
      </w:tr>
    </w:tbl>
    <w:p w14:paraId="6CFEA0BB" w14:textId="77777777" w:rsidR="00000000" w:rsidRDefault="00847163">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5FC1AFC7" w14:textId="77777777">
        <w:trPr>
          <w:tblCellSpacing w:w="0" w:type="dxa"/>
        </w:trPr>
        <w:tc>
          <w:tcPr>
            <w:tcW w:w="720" w:type="dxa"/>
            <w:vAlign w:val="center"/>
            <w:hideMark/>
          </w:tcPr>
          <w:p w14:paraId="7F691F50" w14:textId="77777777" w:rsidR="00000000" w:rsidRDefault="00847163">
            <w:pPr>
              <w:rPr>
                <w:rFonts w:eastAsia="Times New Roman"/>
                <w:sz w:val="20"/>
                <w:szCs w:val="20"/>
              </w:rPr>
            </w:pPr>
            <w:r>
              <w:rPr>
                <w:rFonts w:eastAsia="Times New Roman"/>
                <w:sz w:val="20"/>
                <w:szCs w:val="20"/>
              </w:rPr>
              <w:t> </w:t>
            </w:r>
          </w:p>
        </w:tc>
        <w:tc>
          <w:tcPr>
            <w:tcW w:w="360" w:type="dxa"/>
            <w:hideMark/>
          </w:tcPr>
          <w:p w14:paraId="7EE34A27" w14:textId="77777777" w:rsidR="00000000" w:rsidRDefault="00847163">
            <w:pPr>
              <w:pStyle w:val="a3"/>
              <w:spacing w:before="0" w:beforeAutospacing="0" w:after="0" w:afterAutospacing="0"/>
              <w:jc w:val="both"/>
              <w:rPr>
                <w:sz w:val="20"/>
                <w:szCs w:val="20"/>
              </w:rPr>
            </w:pPr>
            <w:r>
              <w:rPr>
                <w:sz w:val="20"/>
                <w:szCs w:val="20"/>
              </w:rPr>
              <w:t>●</w:t>
            </w:r>
          </w:p>
        </w:tc>
        <w:tc>
          <w:tcPr>
            <w:tcW w:w="0" w:type="auto"/>
            <w:hideMark/>
          </w:tcPr>
          <w:p w14:paraId="70A0B160" w14:textId="77777777" w:rsidR="00000000" w:rsidRDefault="00847163">
            <w:pPr>
              <w:pStyle w:val="a3"/>
              <w:spacing w:before="0" w:beforeAutospacing="0" w:after="0" w:afterAutospacing="0"/>
              <w:jc w:val="both"/>
              <w:rPr>
                <w:sz w:val="20"/>
                <w:szCs w:val="20"/>
              </w:rPr>
            </w:pPr>
            <w:r>
              <w:rPr>
                <w:sz w:val="20"/>
                <w:szCs w:val="20"/>
              </w:rPr>
              <w:t>$2.5 million in proceeds from insurance casualty claims.</w:t>
            </w:r>
          </w:p>
        </w:tc>
      </w:tr>
    </w:tbl>
    <w:p w14:paraId="24814188" w14:textId="77777777" w:rsidR="00000000" w:rsidRDefault="00847163">
      <w:pPr>
        <w:pStyle w:val="a3"/>
        <w:spacing w:before="0" w:beforeAutospacing="0" w:after="0" w:afterAutospacing="0"/>
        <w:ind w:left="1080"/>
        <w:jc w:val="both"/>
        <w:rPr>
          <w:sz w:val="20"/>
          <w:szCs w:val="20"/>
        </w:rPr>
      </w:pPr>
      <w:r>
        <w:rPr>
          <w:sz w:val="20"/>
          <w:szCs w:val="20"/>
        </w:rPr>
        <w:t> </w:t>
      </w:r>
    </w:p>
    <w:p w14:paraId="0DBBC8E3" w14:textId="77777777" w:rsidR="00000000" w:rsidRDefault="00847163">
      <w:pPr>
        <w:pStyle w:val="a3"/>
        <w:spacing w:before="0" w:beforeAutospacing="0" w:after="0" w:afterAutospacing="0"/>
        <w:ind w:firstLine="540"/>
        <w:jc w:val="both"/>
        <w:rPr>
          <w:sz w:val="20"/>
          <w:szCs w:val="20"/>
        </w:rPr>
      </w:pPr>
      <w:r>
        <w:rPr>
          <w:sz w:val="20"/>
          <w:szCs w:val="20"/>
        </w:rPr>
        <w:t>Cash outflows: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2B44BC7D" w14:textId="77777777">
        <w:trPr>
          <w:tblCellSpacing w:w="0" w:type="dxa"/>
        </w:trPr>
        <w:tc>
          <w:tcPr>
            <w:tcW w:w="720" w:type="dxa"/>
            <w:vAlign w:val="center"/>
            <w:hideMark/>
          </w:tcPr>
          <w:p w14:paraId="78167511" w14:textId="77777777" w:rsidR="00000000" w:rsidRDefault="00847163">
            <w:pPr>
              <w:rPr>
                <w:rFonts w:eastAsia="Times New Roman"/>
                <w:sz w:val="20"/>
                <w:szCs w:val="20"/>
              </w:rPr>
            </w:pPr>
            <w:r>
              <w:rPr>
                <w:rFonts w:eastAsia="Times New Roman"/>
                <w:sz w:val="20"/>
                <w:szCs w:val="20"/>
              </w:rPr>
              <w:t> </w:t>
            </w:r>
          </w:p>
        </w:tc>
        <w:tc>
          <w:tcPr>
            <w:tcW w:w="360" w:type="dxa"/>
            <w:hideMark/>
          </w:tcPr>
          <w:p w14:paraId="10960DC2" w14:textId="77777777" w:rsidR="00000000" w:rsidRDefault="00847163">
            <w:pPr>
              <w:pStyle w:val="a3"/>
              <w:spacing w:before="0" w:beforeAutospacing="0" w:after="0" w:afterAutospacing="0"/>
              <w:jc w:val="both"/>
              <w:rPr>
                <w:sz w:val="20"/>
                <w:szCs w:val="20"/>
              </w:rPr>
            </w:pPr>
            <w:r>
              <w:rPr>
                <w:sz w:val="20"/>
                <w:szCs w:val="20"/>
              </w:rPr>
              <w:t>●</w:t>
            </w:r>
          </w:p>
        </w:tc>
        <w:tc>
          <w:tcPr>
            <w:tcW w:w="0" w:type="auto"/>
            <w:hideMark/>
          </w:tcPr>
          <w:p w14:paraId="679A7343" w14:textId="77777777" w:rsidR="00000000" w:rsidRDefault="00847163">
            <w:pPr>
              <w:pStyle w:val="a3"/>
              <w:spacing w:before="0" w:beforeAutospacing="0" w:after="0" w:afterAutospacing="0"/>
              <w:jc w:val="both"/>
              <w:rPr>
                <w:sz w:val="20"/>
                <w:szCs w:val="20"/>
              </w:rPr>
            </w:pPr>
            <w:r>
              <w:rPr>
                <w:sz w:val="20"/>
                <w:szCs w:val="20"/>
              </w:rPr>
              <w:t>$71.6 million for improvements to operating real estate primarily related to the Company’s active redevelopment pipeline and improvements to real estate under development;</w:t>
            </w:r>
          </w:p>
        </w:tc>
      </w:tr>
    </w:tbl>
    <w:p w14:paraId="06FFD783" w14:textId="77777777" w:rsidR="00000000" w:rsidRDefault="00847163">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352E95FB" w14:textId="77777777">
        <w:trPr>
          <w:tblCellSpacing w:w="0" w:type="dxa"/>
        </w:trPr>
        <w:tc>
          <w:tcPr>
            <w:tcW w:w="720" w:type="dxa"/>
            <w:vAlign w:val="center"/>
            <w:hideMark/>
          </w:tcPr>
          <w:p w14:paraId="1FFB76BD" w14:textId="77777777" w:rsidR="00000000" w:rsidRDefault="00847163">
            <w:pPr>
              <w:rPr>
                <w:rFonts w:eastAsia="Times New Roman"/>
                <w:sz w:val="20"/>
                <w:szCs w:val="20"/>
              </w:rPr>
            </w:pPr>
            <w:r>
              <w:rPr>
                <w:rFonts w:eastAsia="Times New Roman"/>
                <w:sz w:val="20"/>
                <w:szCs w:val="20"/>
              </w:rPr>
              <w:t> </w:t>
            </w:r>
          </w:p>
        </w:tc>
        <w:tc>
          <w:tcPr>
            <w:tcW w:w="360" w:type="dxa"/>
            <w:hideMark/>
          </w:tcPr>
          <w:p w14:paraId="0D06E257" w14:textId="77777777" w:rsidR="00000000" w:rsidRDefault="00847163">
            <w:pPr>
              <w:pStyle w:val="a3"/>
              <w:spacing w:before="0" w:beforeAutospacing="0" w:after="0" w:afterAutospacing="0"/>
              <w:jc w:val="both"/>
              <w:rPr>
                <w:sz w:val="20"/>
                <w:szCs w:val="20"/>
              </w:rPr>
            </w:pPr>
            <w:r>
              <w:rPr>
                <w:sz w:val="20"/>
                <w:szCs w:val="20"/>
              </w:rPr>
              <w:t>●</w:t>
            </w:r>
          </w:p>
        </w:tc>
        <w:tc>
          <w:tcPr>
            <w:tcW w:w="0" w:type="auto"/>
            <w:hideMark/>
          </w:tcPr>
          <w:p w14:paraId="5C25E77D" w14:textId="77777777" w:rsidR="00000000" w:rsidRDefault="00847163">
            <w:pPr>
              <w:pStyle w:val="a3"/>
              <w:spacing w:before="0" w:beforeAutospacing="0" w:after="0" w:afterAutospacing="0"/>
              <w:jc w:val="both"/>
              <w:rPr>
                <w:sz w:val="20"/>
                <w:szCs w:val="20"/>
              </w:rPr>
            </w:pPr>
            <w:r>
              <w:rPr>
                <w:sz w:val="20"/>
                <w:szCs w:val="20"/>
              </w:rPr>
              <w:t>$7.1 million for the acquisition of operating real estate; and</w:t>
            </w:r>
          </w:p>
        </w:tc>
      </w:tr>
    </w:tbl>
    <w:p w14:paraId="573C836B" w14:textId="77777777" w:rsidR="00000000" w:rsidRDefault="00847163">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2EEF7B20" w14:textId="77777777">
        <w:trPr>
          <w:tblCellSpacing w:w="0" w:type="dxa"/>
        </w:trPr>
        <w:tc>
          <w:tcPr>
            <w:tcW w:w="720" w:type="dxa"/>
            <w:vAlign w:val="center"/>
            <w:hideMark/>
          </w:tcPr>
          <w:p w14:paraId="478A736A" w14:textId="77777777" w:rsidR="00000000" w:rsidRDefault="00847163">
            <w:pPr>
              <w:rPr>
                <w:rFonts w:eastAsia="Times New Roman"/>
                <w:sz w:val="20"/>
                <w:szCs w:val="20"/>
              </w:rPr>
            </w:pPr>
            <w:r>
              <w:rPr>
                <w:rFonts w:eastAsia="Times New Roman"/>
                <w:sz w:val="20"/>
                <w:szCs w:val="20"/>
              </w:rPr>
              <w:t> </w:t>
            </w:r>
          </w:p>
        </w:tc>
        <w:tc>
          <w:tcPr>
            <w:tcW w:w="360" w:type="dxa"/>
            <w:hideMark/>
          </w:tcPr>
          <w:p w14:paraId="257A97A8" w14:textId="77777777" w:rsidR="00000000" w:rsidRDefault="00847163">
            <w:pPr>
              <w:pStyle w:val="a3"/>
              <w:spacing w:before="0" w:beforeAutospacing="0" w:after="0" w:afterAutospacing="0"/>
              <w:jc w:val="both"/>
              <w:rPr>
                <w:sz w:val="20"/>
                <w:szCs w:val="20"/>
              </w:rPr>
            </w:pPr>
            <w:r>
              <w:rPr>
                <w:sz w:val="20"/>
                <w:szCs w:val="20"/>
              </w:rPr>
              <w:t>●</w:t>
            </w:r>
          </w:p>
        </w:tc>
        <w:tc>
          <w:tcPr>
            <w:tcW w:w="0" w:type="auto"/>
            <w:hideMark/>
          </w:tcPr>
          <w:p w14:paraId="6B18BBF4" w14:textId="77777777" w:rsidR="00000000" w:rsidRDefault="00847163">
            <w:pPr>
              <w:pStyle w:val="a3"/>
              <w:spacing w:before="0" w:beforeAutospacing="0" w:after="0" w:afterAutospacing="0"/>
              <w:jc w:val="both"/>
              <w:rPr>
                <w:sz w:val="20"/>
                <w:szCs w:val="20"/>
              </w:rPr>
            </w:pPr>
            <w:r>
              <w:rPr>
                <w:sz w:val="20"/>
                <w:szCs w:val="20"/>
              </w:rPr>
              <w:t>$5.8 million for investments in and advances to real estate joint ventures, primarily related to a redevelopment project within the Company’s joint venture portfolio, and investments in other real estate investments, primarily related to repayment of a mor</w:t>
            </w:r>
            <w:r>
              <w:rPr>
                <w:sz w:val="20"/>
                <w:szCs w:val="20"/>
              </w:rPr>
              <w:t>tgage within the Company’s Preferred Equity Program.</w:t>
            </w:r>
          </w:p>
        </w:tc>
      </w:tr>
    </w:tbl>
    <w:p w14:paraId="34533B4A" w14:textId="77777777" w:rsidR="00000000" w:rsidRDefault="00847163">
      <w:pPr>
        <w:pStyle w:val="a3"/>
        <w:spacing w:before="0" w:beforeAutospacing="0" w:after="0" w:afterAutospacing="0"/>
        <w:ind w:left="720"/>
        <w:jc w:val="both"/>
        <w:rPr>
          <w:sz w:val="20"/>
          <w:szCs w:val="20"/>
        </w:rPr>
      </w:pPr>
      <w:r>
        <w:rPr>
          <w:sz w:val="20"/>
          <w:szCs w:val="20"/>
        </w:rPr>
        <w:t> </w:t>
      </w:r>
    </w:p>
    <w:p w14:paraId="7816565A" w14:textId="77777777" w:rsidR="00000000" w:rsidRDefault="00847163">
      <w:pPr>
        <w:pStyle w:val="a3"/>
        <w:spacing w:before="0" w:beforeAutospacing="0" w:after="0" w:afterAutospacing="0"/>
        <w:ind w:firstLine="360"/>
        <w:jc w:val="both"/>
        <w:rPr>
          <w:sz w:val="20"/>
          <w:szCs w:val="20"/>
        </w:rPr>
      </w:pPr>
      <w:r>
        <w:rPr>
          <w:sz w:val="20"/>
          <w:szCs w:val="20"/>
        </w:rPr>
        <w:t>Investing activities during 2019 primarily consisted of:</w:t>
      </w:r>
    </w:p>
    <w:p w14:paraId="0BFBBE0C" w14:textId="77777777" w:rsidR="00000000" w:rsidRDefault="00847163">
      <w:pPr>
        <w:pStyle w:val="a3"/>
        <w:spacing w:before="0" w:beforeAutospacing="0" w:after="0" w:afterAutospacing="0"/>
        <w:ind w:firstLine="540"/>
        <w:jc w:val="both"/>
        <w:rPr>
          <w:sz w:val="20"/>
          <w:szCs w:val="20"/>
        </w:rPr>
      </w:pPr>
      <w:r>
        <w:rPr>
          <w:sz w:val="20"/>
          <w:szCs w:val="20"/>
        </w:rPr>
        <w:t> </w:t>
      </w:r>
    </w:p>
    <w:p w14:paraId="53B695DE" w14:textId="77777777" w:rsidR="00000000" w:rsidRDefault="00847163">
      <w:pPr>
        <w:pStyle w:val="a3"/>
        <w:spacing w:before="0" w:beforeAutospacing="0" w:after="0" w:afterAutospacing="0"/>
        <w:ind w:firstLine="540"/>
        <w:jc w:val="both"/>
        <w:rPr>
          <w:sz w:val="20"/>
          <w:szCs w:val="20"/>
        </w:rPr>
      </w:pPr>
      <w:r>
        <w:rPr>
          <w:sz w:val="20"/>
          <w:szCs w:val="20"/>
        </w:rPr>
        <w:t>Cash inflows: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2864B560" w14:textId="77777777">
        <w:trPr>
          <w:tblCellSpacing w:w="0" w:type="dxa"/>
        </w:trPr>
        <w:tc>
          <w:tcPr>
            <w:tcW w:w="720" w:type="dxa"/>
            <w:vAlign w:val="center"/>
            <w:hideMark/>
          </w:tcPr>
          <w:p w14:paraId="1EA058BE" w14:textId="77777777" w:rsidR="00000000" w:rsidRDefault="00847163">
            <w:pPr>
              <w:rPr>
                <w:rFonts w:eastAsia="Times New Roman"/>
                <w:sz w:val="20"/>
                <w:szCs w:val="20"/>
              </w:rPr>
            </w:pPr>
            <w:r>
              <w:rPr>
                <w:rFonts w:eastAsia="Times New Roman"/>
                <w:sz w:val="20"/>
                <w:szCs w:val="20"/>
              </w:rPr>
              <w:t> </w:t>
            </w:r>
          </w:p>
        </w:tc>
        <w:tc>
          <w:tcPr>
            <w:tcW w:w="360" w:type="dxa"/>
            <w:hideMark/>
          </w:tcPr>
          <w:p w14:paraId="08792481" w14:textId="77777777" w:rsidR="00000000" w:rsidRDefault="00847163">
            <w:pPr>
              <w:pStyle w:val="a3"/>
              <w:spacing w:before="0" w:beforeAutospacing="0" w:after="0" w:afterAutospacing="0"/>
              <w:jc w:val="both"/>
              <w:rPr>
                <w:sz w:val="20"/>
                <w:szCs w:val="20"/>
              </w:rPr>
            </w:pPr>
            <w:r>
              <w:rPr>
                <w:sz w:val="20"/>
                <w:szCs w:val="20"/>
              </w:rPr>
              <w:t>●</w:t>
            </w:r>
          </w:p>
        </w:tc>
        <w:tc>
          <w:tcPr>
            <w:tcW w:w="0" w:type="auto"/>
            <w:hideMark/>
          </w:tcPr>
          <w:p w14:paraId="2A7A142C" w14:textId="77777777" w:rsidR="00000000" w:rsidRDefault="00847163">
            <w:pPr>
              <w:pStyle w:val="a3"/>
              <w:spacing w:before="0" w:beforeAutospacing="0" w:after="0" w:afterAutospacing="0"/>
              <w:jc w:val="both"/>
              <w:rPr>
                <w:sz w:val="20"/>
                <w:szCs w:val="20"/>
              </w:rPr>
            </w:pPr>
            <w:r>
              <w:rPr>
                <w:sz w:val="20"/>
                <w:szCs w:val="20"/>
              </w:rPr>
              <w:t>$72.1 million in proceeds from the sale of five consolidated operating properties and two out-parcels.</w:t>
            </w:r>
          </w:p>
        </w:tc>
      </w:tr>
    </w:tbl>
    <w:p w14:paraId="3A8EF21A" w14:textId="77777777" w:rsidR="00000000" w:rsidRDefault="00847163">
      <w:pPr>
        <w:pStyle w:val="a3"/>
        <w:spacing w:before="0" w:beforeAutospacing="0" w:after="0" w:afterAutospacing="0"/>
        <w:ind w:left="1080"/>
        <w:jc w:val="both"/>
        <w:rPr>
          <w:sz w:val="20"/>
          <w:szCs w:val="20"/>
        </w:rPr>
      </w:pPr>
      <w:r>
        <w:rPr>
          <w:sz w:val="20"/>
          <w:szCs w:val="20"/>
        </w:rPr>
        <w:t> </w:t>
      </w:r>
    </w:p>
    <w:p w14:paraId="18EA9B33" w14:textId="77777777" w:rsidR="00000000" w:rsidRDefault="00847163">
      <w:pPr>
        <w:pStyle w:val="a3"/>
        <w:spacing w:before="0" w:beforeAutospacing="0" w:after="0" w:afterAutospacing="0"/>
        <w:ind w:firstLine="540"/>
        <w:jc w:val="both"/>
        <w:rPr>
          <w:sz w:val="20"/>
          <w:szCs w:val="20"/>
        </w:rPr>
      </w:pPr>
      <w:r>
        <w:rPr>
          <w:sz w:val="20"/>
          <w:szCs w:val="20"/>
        </w:rPr>
        <w:t>Cash outflows: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298998CC" w14:textId="77777777">
        <w:trPr>
          <w:tblCellSpacing w:w="0" w:type="dxa"/>
        </w:trPr>
        <w:tc>
          <w:tcPr>
            <w:tcW w:w="720" w:type="dxa"/>
            <w:vAlign w:val="center"/>
            <w:hideMark/>
          </w:tcPr>
          <w:p w14:paraId="7B50BF80" w14:textId="77777777" w:rsidR="00000000" w:rsidRDefault="00847163">
            <w:pPr>
              <w:rPr>
                <w:rFonts w:eastAsia="Times New Roman"/>
                <w:sz w:val="20"/>
                <w:szCs w:val="20"/>
              </w:rPr>
            </w:pPr>
            <w:r>
              <w:rPr>
                <w:rFonts w:eastAsia="Times New Roman"/>
                <w:sz w:val="20"/>
                <w:szCs w:val="20"/>
              </w:rPr>
              <w:t> </w:t>
            </w:r>
          </w:p>
        </w:tc>
        <w:tc>
          <w:tcPr>
            <w:tcW w:w="360" w:type="dxa"/>
            <w:hideMark/>
          </w:tcPr>
          <w:p w14:paraId="63CF98BE" w14:textId="77777777" w:rsidR="00000000" w:rsidRDefault="00847163">
            <w:pPr>
              <w:pStyle w:val="a3"/>
              <w:spacing w:before="0" w:beforeAutospacing="0" w:after="0" w:afterAutospacing="0"/>
              <w:jc w:val="both"/>
              <w:rPr>
                <w:sz w:val="20"/>
                <w:szCs w:val="20"/>
              </w:rPr>
            </w:pPr>
            <w:r>
              <w:rPr>
                <w:sz w:val="20"/>
                <w:szCs w:val="20"/>
              </w:rPr>
              <w:t>●</w:t>
            </w:r>
          </w:p>
        </w:tc>
        <w:tc>
          <w:tcPr>
            <w:tcW w:w="0" w:type="auto"/>
            <w:hideMark/>
          </w:tcPr>
          <w:p w14:paraId="2E23ABFB" w14:textId="77777777" w:rsidR="00000000" w:rsidRDefault="00847163">
            <w:pPr>
              <w:pStyle w:val="a3"/>
              <w:spacing w:before="0" w:beforeAutospacing="0" w:after="0" w:afterAutospacing="0"/>
              <w:jc w:val="both"/>
              <w:rPr>
                <w:sz w:val="20"/>
                <w:szCs w:val="20"/>
              </w:rPr>
            </w:pPr>
            <w:r>
              <w:rPr>
                <w:sz w:val="20"/>
                <w:szCs w:val="20"/>
              </w:rPr>
              <w:t>$77.6 million for improvements to operating real estate primarily related to the Company’s active redevelopment pipeline and improvements to real estate under development; and</w:t>
            </w:r>
          </w:p>
        </w:tc>
      </w:tr>
    </w:tbl>
    <w:p w14:paraId="1EB79112" w14:textId="77777777" w:rsidR="00000000" w:rsidRDefault="00847163">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50C40317" w14:textId="77777777">
        <w:trPr>
          <w:tblCellSpacing w:w="0" w:type="dxa"/>
        </w:trPr>
        <w:tc>
          <w:tcPr>
            <w:tcW w:w="720" w:type="dxa"/>
            <w:vAlign w:val="center"/>
            <w:hideMark/>
          </w:tcPr>
          <w:p w14:paraId="0345138B" w14:textId="77777777" w:rsidR="00000000" w:rsidRDefault="00847163">
            <w:pPr>
              <w:rPr>
                <w:rFonts w:eastAsia="Times New Roman"/>
                <w:sz w:val="20"/>
                <w:szCs w:val="20"/>
              </w:rPr>
            </w:pPr>
            <w:r>
              <w:rPr>
                <w:rFonts w:eastAsia="Times New Roman"/>
                <w:sz w:val="20"/>
                <w:szCs w:val="20"/>
              </w:rPr>
              <w:t> </w:t>
            </w:r>
          </w:p>
        </w:tc>
        <w:tc>
          <w:tcPr>
            <w:tcW w:w="360" w:type="dxa"/>
            <w:hideMark/>
          </w:tcPr>
          <w:p w14:paraId="0C0B7139" w14:textId="77777777" w:rsidR="00000000" w:rsidRDefault="00847163">
            <w:pPr>
              <w:pStyle w:val="a3"/>
              <w:spacing w:before="0" w:beforeAutospacing="0" w:after="0" w:afterAutospacing="0"/>
              <w:jc w:val="both"/>
              <w:rPr>
                <w:sz w:val="20"/>
                <w:szCs w:val="20"/>
              </w:rPr>
            </w:pPr>
            <w:r>
              <w:rPr>
                <w:sz w:val="20"/>
                <w:szCs w:val="20"/>
              </w:rPr>
              <w:t>●</w:t>
            </w:r>
          </w:p>
        </w:tc>
        <w:tc>
          <w:tcPr>
            <w:tcW w:w="0" w:type="auto"/>
            <w:hideMark/>
          </w:tcPr>
          <w:p w14:paraId="2E035441" w14:textId="77777777" w:rsidR="00000000" w:rsidRDefault="00847163">
            <w:pPr>
              <w:pStyle w:val="a3"/>
              <w:spacing w:before="0" w:beforeAutospacing="0" w:after="0" w:afterAutospacing="0"/>
              <w:jc w:val="both"/>
              <w:rPr>
                <w:sz w:val="20"/>
                <w:szCs w:val="20"/>
              </w:rPr>
            </w:pPr>
            <w:r>
              <w:rPr>
                <w:sz w:val="20"/>
                <w:szCs w:val="20"/>
              </w:rPr>
              <w:t>$12.4 million for investments in and advances to real e</w:t>
            </w:r>
            <w:r>
              <w:rPr>
                <w:sz w:val="20"/>
                <w:szCs w:val="20"/>
              </w:rPr>
              <w:t>state joint ventures, primarily related to a redevelopment project within the Company’s joint venture portfolio, and investments in other real estate investments, primarily related to repayment of a mortgage within the Company’s Preferred Equity Program.</w:t>
            </w:r>
          </w:p>
        </w:tc>
      </w:tr>
    </w:tbl>
    <w:p w14:paraId="0AB770DF" w14:textId="77777777" w:rsidR="00000000" w:rsidRDefault="00847163">
      <w:pPr>
        <w:pStyle w:val="a3"/>
        <w:spacing w:before="0" w:beforeAutospacing="0" w:after="0" w:afterAutospacing="0"/>
        <w:jc w:val="both"/>
        <w:rPr>
          <w:sz w:val="20"/>
          <w:szCs w:val="20"/>
        </w:rPr>
      </w:pPr>
      <w:r>
        <w:rPr>
          <w:i/>
          <w:iCs/>
          <w:sz w:val="20"/>
          <w:szCs w:val="20"/>
        </w:rPr>
        <w:t> </w:t>
      </w:r>
    </w:p>
    <w:p w14:paraId="3A71DF32" w14:textId="77777777" w:rsidR="00000000" w:rsidRDefault="00847163">
      <w:pPr>
        <w:jc w:val="center"/>
        <w:divId w:val="803237395"/>
        <w:rPr>
          <w:rFonts w:eastAsia="Times New Roman"/>
          <w:sz w:val="20"/>
          <w:szCs w:val="20"/>
        </w:rPr>
      </w:pPr>
      <w:r>
        <w:rPr>
          <w:rFonts w:eastAsia="Times New Roman"/>
          <w:sz w:val="20"/>
          <w:szCs w:val="20"/>
        </w:rPr>
        <w:t xml:space="preserve">23 </w:t>
      </w:r>
    </w:p>
    <w:p w14:paraId="3D8C663E" w14:textId="77777777" w:rsidR="00000000" w:rsidRDefault="00847163">
      <w:pPr>
        <w:divId w:val="368189992"/>
        <w:rPr>
          <w:rFonts w:eastAsia="Times New Roman"/>
          <w:sz w:val="20"/>
          <w:szCs w:val="20"/>
        </w:rPr>
      </w:pPr>
      <w:r>
        <w:rPr>
          <w:rFonts w:eastAsia="Times New Roman"/>
          <w:sz w:val="20"/>
          <w:szCs w:val="20"/>
        </w:rPr>
        <w:pict w14:anchorId="1EA9732C">
          <v:rect id="_x0000_i1051" style="width:0;height:1.5pt" o:hralign="center" o:hrstd="t" o:hr="t" fillcolor="#a0a0a0" stroked="f"/>
        </w:pict>
      </w:r>
    </w:p>
    <w:p w14:paraId="4E3B33A3" w14:textId="77777777" w:rsidR="00000000" w:rsidRDefault="00847163">
      <w:pPr>
        <w:divId w:val="1056477"/>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5038C942" w14:textId="77777777" w:rsidR="00000000" w:rsidRDefault="00847163">
      <w:pPr>
        <w:pStyle w:val="a3"/>
        <w:spacing w:before="0" w:beforeAutospacing="0" w:after="0" w:afterAutospacing="0"/>
        <w:rPr>
          <w:sz w:val="20"/>
          <w:szCs w:val="20"/>
        </w:rPr>
      </w:pPr>
      <w:r>
        <w:rPr>
          <w:sz w:val="20"/>
          <w:szCs w:val="20"/>
        </w:rPr>
        <w:t> </w:t>
      </w:r>
    </w:p>
    <w:p w14:paraId="2D8DC909" w14:textId="77777777" w:rsidR="00000000" w:rsidRDefault="00847163">
      <w:pPr>
        <w:pStyle w:val="a3"/>
        <w:spacing w:before="0" w:beforeAutospacing="0" w:after="0" w:afterAutospacing="0"/>
        <w:jc w:val="both"/>
        <w:rPr>
          <w:sz w:val="20"/>
          <w:szCs w:val="20"/>
        </w:rPr>
      </w:pPr>
      <w:r>
        <w:rPr>
          <w:i/>
          <w:iCs/>
          <w:sz w:val="20"/>
          <w:szCs w:val="20"/>
        </w:rPr>
        <w:t>Acquisition of Operating Real Estate –</w:t>
      </w:r>
    </w:p>
    <w:p w14:paraId="336632DD" w14:textId="77777777" w:rsidR="00000000" w:rsidRDefault="00847163">
      <w:pPr>
        <w:pStyle w:val="a3"/>
        <w:spacing w:before="0" w:beforeAutospacing="0" w:after="0" w:afterAutospacing="0"/>
        <w:jc w:val="both"/>
        <w:rPr>
          <w:sz w:val="20"/>
          <w:szCs w:val="20"/>
        </w:rPr>
      </w:pPr>
      <w:r>
        <w:rPr>
          <w:i/>
          <w:iCs/>
          <w:sz w:val="20"/>
          <w:szCs w:val="20"/>
        </w:rPr>
        <w:t> </w:t>
      </w:r>
    </w:p>
    <w:p w14:paraId="72BA24E5" w14:textId="77777777" w:rsidR="00000000" w:rsidRDefault="00847163">
      <w:pPr>
        <w:pStyle w:val="a3"/>
        <w:spacing w:before="0" w:beforeAutospacing="0" w:after="0" w:afterAutospacing="0"/>
        <w:ind w:firstLine="360"/>
        <w:jc w:val="both"/>
        <w:rPr>
          <w:sz w:val="20"/>
          <w:szCs w:val="20"/>
        </w:rPr>
      </w:pPr>
      <w:r>
        <w:rPr>
          <w:sz w:val="20"/>
          <w:szCs w:val="20"/>
        </w:rPr>
        <w:t>During the three months ended March 31, 2020 and 2019, the Company expended $7.1 million and $0 million (after use of Internal Revenue Code Section 1031 proceeds of $31.0 million in 2019), respectively, towards the acquisition of an operating real estate p</w:t>
      </w:r>
      <w:r>
        <w:rPr>
          <w:sz w:val="20"/>
          <w:szCs w:val="20"/>
        </w:rPr>
        <w:t>roperty adjacent to an existing operating real estate property. The Company anticipates spending approximately up to $75.0 million towards the acquisition of operating properties for the remainder of 2020. The Company intends to fund these acquisitions wit</w:t>
      </w:r>
      <w:r>
        <w:rPr>
          <w:sz w:val="20"/>
          <w:szCs w:val="20"/>
        </w:rPr>
        <w:t>h net cash flow provided by operating activities, proceeds from property dispositions and availability under the Company's Credit Facility and Term Loan.</w:t>
      </w:r>
    </w:p>
    <w:p w14:paraId="6A265282" w14:textId="77777777" w:rsidR="00000000" w:rsidRDefault="00847163">
      <w:pPr>
        <w:pStyle w:val="a3"/>
        <w:spacing w:before="0" w:beforeAutospacing="0" w:after="0" w:afterAutospacing="0"/>
        <w:ind w:firstLine="360"/>
        <w:jc w:val="both"/>
        <w:rPr>
          <w:sz w:val="20"/>
          <w:szCs w:val="20"/>
        </w:rPr>
      </w:pPr>
      <w:r>
        <w:rPr>
          <w:sz w:val="20"/>
          <w:szCs w:val="20"/>
        </w:rPr>
        <w:t> </w:t>
      </w:r>
    </w:p>
    <w:p w14:paraId="5B384607" w14:textId="77777777" w:rsidR="00000000" w:rsidRDefault="00847163">
      <w:pPr>
        <w:pStyle w:val="a3"/>
        <w:spacing w:before="0" w:beforeAutospacing="0" w:after="0" w:afterAutospacing="0"/>
        <w:jc w:val="both"/>
        <w:rPr>
          <w:sz w:val="20"/>
          <w:szCs w:val="20"/>
        </w:rPr>
      </w:pPr>
      <w:r>
        <w:rPr>
          <w:i/>
          <w:iCs/>
          <w:sz w:val="20"/>
          <w:szCs w:val="20"/>
        </w:rPr>
        <w:t>Improvements to Operating Real Estate –</w:t>
      </w:r>
    </w:p>
    <w:p w14:paraId="18E35D9A" w14:textId="77777777" w:rsidR="00000000" w:rsidRDefault="00847163">
      <w:pPr>
        <w:pStyle w:val="a3"/>
        <w:spacing w:before="0" w:beforeAutospacing="0" w:after="0" w:afterAutospacing="0"/>
        <w:jc w:val="both"/>
        <w:rPr>
          <w:sz w:val="20"/>
          <w:szCs w:val="20"/>
        </w:rPr>
      </w:pPr>
      <w:r>
        <w:rPr>
          <w:sz w:val="20"/>
          <w:szCs w:val="20"/>
        </w:rPr>
        <w:t> </w:t>
      </w:r>
    </w:p>
    <w:p w14:paraId="658A955D" w14:textId="77777777" w:rsidR="00000000" w:rsidRDefault="00847163">
      <w:pPr>
        <w:pStyle w:val="a3"/>
        <w:spacing w:before="0" w:beforeAutospacing="0" w:after="0" w:afterAutospacing="0"/>
        <w:ind w:firstLine="360"/>
        <w:jc w:val="both"/>
        <w:rPr>
          <w:sz w:val="20"/>
          <w:szCs w:val="20"/>
        </w:rPr>
      </w:pPr>
      <w:r>
        <w:rPr>
          <w:sz w:val="20"/>
          <w:szCs w:val="20"/>
        </w:rPr>
        <w:t>During the three months ended March 31, 2020 and 2019, the</w:t>
      </w:r>
      <w:r>
        <w:rPr>
          <w:sz w:val="20"/>
          <w:szCs w:val="20"/>
        </w:rPr>
        <w:t xml:space="preserve"> Company expended $55.0 million and $51.3 million, respectively, towards improvements to operating real estate. These amounts consist of the following (in thousands):</w:t>
      </w:r>
    </w:p>
    <w:p w14:paraId="10910860" w14:textId="77777777" w:rsidR="00000000" w:rsidRDefault="00847163">
      <w:pPr>
        <w:pStyle w:val="a3"/>
        <w:spacing w:before="0" w:beforeAutospacing="0" w:after="0" w:afterAutospacing="0"/>
        <w:ind w:firstLine="720"/>
        <w:jc w:val="both"/>
        <w:rPr>
          <w:sz w:val="20"/>
          <w:szCs w:val="20"/>
        </w:rPr>
      </w:pPr>
      <w:r>
        <w:rPr>
          <w:sz w:val="20"/>
          <w:szCs w:val="20"/>
        </w:rPr>
        <w:t> </w:t>
      </w:r>
    </w:p>
    <w:tbl>
      <w:tblPr>
        <w:tblW w:w="4500" w:type="pct"/>
        <w:tblCellSpacing w:w="0" w:type="dxa"/>
        <w:tblInd w:w="5" w:type="dxa"/>
        <w:tblCellMar>
          <w:left w:w="0" w:type="dxa"/>
          <w:right w:w="0" w:type="dxa"/>
        </w:tblCellMar>
        <w:tblLook w:val="04A0" w:firstRow="1" w:lastRow="0" w:firstColumn="1" w:lastColumn="0" w:noHBand="0" w:noVBand="1"/>
      </w:tblPr>
      <w:tblGrid>
        <w:gridCol w:w="5225"/>
        <w:gridCol w:w="67"/>
        <w:gridCol w:w="100"/>
        <w:gridCol w:w="889"/>
        <w:gridCol w:w="68"/>
        <w:gridCol w:w="68"/>
        <w:gridCol w:w="100"/>
        <w:gridCol w:w="890"/>
        <w:gridCol w:w="68"/>
      </w:tblGrid>
      <w:tr w:rsidR="00000000" w14:paraId="7F286CFC" w14:textId="77777777">
        <w:trPr>
          <w:tblCellSpacing w:w="0" w:type="dxa"/>
        </w:trPr>
        <w:tc>
          <w:tcPr>
            <w:tcW w:w="0" w:type="auto"/>
            <w:vAlign w:val="bottom"/>
            <w:hideMark/>
          </w:tcPr>
          <w:p w14:paraId="26FAFA75"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05671B19" w14:textId="77777777" w:rsidR="00000000" w:rsidRDefault="00847163">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14:paraId="5F873139" w14:textId="77777777" w:rsidR="00000000" w:rsidRDefault="00847163">
            <w:pPr>
              <w:pStyle w:val="a3"/>
              <w:spacing w:before="0" w:beforeAutospacing="0" w:after="0" w:afterAutospacing="0"/>
              <w:jc w:val="center"/>
              <w:rPr>
                <w:sz w:val="20"/>
                <w:szCs w:val="20"/>
              </w:rPr>
            </w:pPr>
            <w:r>
              <w:rPr>
                <w:b/>
                <w:bCs/>
                <w:sz w:val="20"/>
                <w:szCs w:val="20"/>
              </w:rPr>
              <w:t>Three months Ended March 31,</w:t>
            </w:r>
          </w:p>
        </w:tc>
        <w:tc>
          <w:tcPr>
            <w:tcW w:w="0" w:type="auto"/>
            <w:tcMar>
              <w:top w:w="0" w:type="dxa"/>
              <w:left w:w="0" w:type="dxa"/>
              <w:bottom w:w="15" w:type="dxa"/>
              <w:right w:w="0" w:type="dxa"/>
            </w:tcMar>
            <w:vAlign w:val="bottom"/>
            <w:hideMark/>
          </w:tcPr>
          <w:p w14:paraId="607838D0" w14:textId="77777777" w:rsidR="00000000" w:rsidRDefault="00847163">
            <w:pPr>
              <w:rPr>
                <w:rFonts w:eastAsia="Times New Roman"/>
                <w:sz w:val="20"/>
                <w:szCs w:val="20"/>
              </w:rPr>
            </w:pPr>
            <w:r>
              <w:rPr>
                <w:rFonts w:eastAsia="Times New Roman"/>
                <w:sz w:val="20"/>
                <w:szCs w:val="20"/>
              </w:rPr>
              <w:t> </w:t>
            </w:r>
          </w:p>
        </w:tc>
      </w:tr>
      <w:tr w:rsidR="00000000" w14:paraId="28AFA076" w14:textId="77777777">
        <w:trPr>
          <w:tblCellSpacing w:w="0" w:type="dxa"/>
        </w:trPr>
        <w:tc>
          <w:tcPr>
            <w:tcW w:w="0" w:type="auto"/>
            <w:vAlign w:val="bottom"/>
            <w:hideMark/>
          </w:tcPr>
          <w:p w14:paraId="4CE9EF31"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4589F727" w14:textId="77777777" w:rsidR="00000000" w:rsidRDefault="0084716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58DB7087" w14:textId="77777777" w:rsidR="00000000" w:rsidRDefault="00847163">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14:paraId="7578D151"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37030E4E" w14:textId="77777777" w:rsidR="00000000" w:rsidRDefault="0084716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0B48A62C" w14:textId="77777777" w:rsidR="00000000" w:rsidRDefault="00847163">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7D1BA5AC" w14:textId="77777777" w:rsidR="00000000" w:rsidRDefault="00847163">
            <w:pPr>
              <w:rPr>
                <w:rFonts w:eastAsia="Times New Roman"/>
                <w:sz w:val="20"/>
                <w:szCs w:val="20"/>
              </w:rPr>
            </w:pPr>
            <w:r>
              <w:rPr>
                <w:rFonts w:eastAsia="Times New Roman"/>
                <w:sz w:val="20"/>
                <w:szCs w:val="20"/>
              </w:rPr>
              <w:t> </w:t>
            </w:r>
          </w:p>
        </w:tc>
      </w:tr>
      <w:tr w:rsidR="00000000" w14:paraId="2E5919CE" w14:textId="77777777">
        <w:trPr>
          <w:tblCellSpacing w:w="0" w:type="dxa"/>
        </w:trPr>
        <w:tc>
          <w:tcPr>
            <w:tcW w:w="3500" w:type="pct"/>
            <w:shd w:val="clear" w:color="auto" w:fill="CCEEFF"/>
            <w:vAlign w:val="bottom"/>
            <w:hideMark/>
          </w:tcPr>
          <w:p w14:paraId="74AB94C6" w14:textId="77777777" w:rsidR="00000000" w:rsidRDefault="00847163">
            <w:pPr>
              <w:pStyle w:val="a3"/>
              <w:spacing w:before="0" w:beforeAutospacing="0" w:after="0" w:afterAutospacing="0"/>
              <w:rPr>
                <w:sz w:val="20"/>
                <w:szCs w:val="20"/>
              </w:rPr>
            </w:pPr>
            <w:r>
              <w:rPr>
                <w:sz w:val="20"/>
                <w:szCs w:val="20"/>
              </w:rPr>
              <w:t>Redevelopment and renovations</w:t>
            </w:r>
          </w:p>
        </w:tc>
        <w:tc>
          <w:tcPr>
            <w:tcW w:w="50" w:type="pct"/>
            <w:shd w:val="clear" w:color="auto" w:fill="CCEEFF"/>
            <w:vAlign w:val="bottom"/>
            <w:hideMark/>
          </w:tcPr>
          <w:p w14:paraId="75775BD3"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F0A9D11" w14:textId="77777777" w:rsidR="00000000" w:rsidRDefault="00847163">
            <w:pPr>
              <w:rPr>
                <w:rFonts w:eastAsia="Times New Roman"/>
                <w:sz w:val="20"/>
                <w:szCs w:val="20"/>
              </w:rPr>
            </w:pPr>
            <w:r>
              <w:rPr>
                <w:rFonts w:eastAsia="Times New Roman"/>
                <w:sz w:val="20"/>
                <w:szCs w:val="20"/>
              </w:rPr>
              <w:t>$</w:t>
            </w:r>
          </w:p>
        </w:tc>
        <w:tc>
          <w:tcPr>
            <w:tcW w:w="600" w:type="pct"/>
            <w:shd w:val="clear" w:color="auto" w:fill="CCEEFF"/>
            <w:vAlign w:val="bottom"/>
            <w:hideMark/>
          </w:tcPr>
          <w:p w14:paraId="55389946" w14:textId="77777777" w:rsidR="00000000" w:rsidRDefault="00847163">
            <w:pPr>
              <w:jc w:val="right"/>
              <w:rPr>
                <w:rFonts w:eastAsia="Times New Roman"/>
                <w:sz w:val="20"/>
                <w:szCs w:val="20"/>
              </w:rPr>
            </w:pPr>
            <w:r>
              <w:rPr>
                <w:rFonts w:eastAsia="Times New Roman"/>
                <w:sz w:val="20"/>
                <w:szCs w:val="20"/>
              </w:rPr>
              <w:t>43,871</w:t>
            </w:r>
          </w:p>
        </w:tc>
        <w:tc>
          <w:tcPr>
            <w:tcW w:w="50" w:type="pct"/>
            <w:shd w:val="clear" w:color="auto" w:fill="CCEEFF"/>
            <w:vAlign w:val="bottom"/>
            <w:hideMark/>
          </w:tcPr>
          <w:p w14:paraId="775CF542"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439D538"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9B5A313" w14:textId="77777777" w:rsidR="00000000" w:rsidRDefault="00847163">
            <w:pPr>
              <w:rPr>
                <w:rFonts w:eastAsia="Times New Roman"/>
                <w:sz w:val="20"/>
                <w:szCs w:val="20"/>
              </w:rPr>
            </w:pPr>
            <w:r>
              <w:rPr>
                <w:rFonts w:eastAsia="Times New Roman"/>
                <w:sz w:val="20"/>
                <w:szCs w:val="20"/>
              </w:rPr>
              <w:t>$</w:t>
            </w:r>
          </w:p>
        </w:tc>
        <w:tc>
          <w:tcPr>
            <w:tcW w:w="600" w:type="pct"/>
            <w:shd w:val="clear" w:color="auto" w:fill="CCEEFF"/>
            <w:vAlign w:val="bottom"/>
            <w:hideMark/>
          </w:tcPr>
          <w:p w14:paraId="483E1905" w14:textId="77777777" w:rsidR="00000000" w:rsidRDefault="00847163">
            <w:pPr>
              <w:jc w:val="right"/>
              <w:rPr>
                <w:rFonts w:eastAsia="Times New Roman"/>
                <w:sz w:val="20"/>
                <w:szCs w:val="20"/>
              </w:rPr>
            </w:pPr>
            <w:r>
              <w:rPr>
                <w:rFonts w:eastAsia="Times New Roman"/>
                <w:sz w:val="20"/>
                <w:szCs w:val="20"/>
              </w:rPr>
              <w:t>36,357</w:t>
            </w:r>
          </w:p>
        </w:tc>
        <w:tc>
          <w:tcPr>
            <w:tcW w:w="50" w:type="pct"/>
            <w:shd w:val="clear" w:color="auto" w:fill="CCEEFF"/>
            <w:vAlign w:val="bottom"/>
            <w:hideMark/>
          </w:tcPr>
          <w:p w14:paraId="1152BE3E" w14:textId="77777777" w:rsidR="00000000" w:rsidRDefault="00847163">
            <w:pPr>
              <w:rPr>
                <w:rFonts w:eastAsia="Times New Roman"/>
                <w:sz w:val="20"/>
                <w:szCs w:val="20"/>
              </w:rPr>
            </w:pPr>
            <w:r>
              <w:rPr>
                <w:rFonts w:eastAsia="Times New Roman"/>
                <w:sz w:val="20"/>
                <w:szCs w:val="20"/>
              </w:rPr>
              <w:t> </w:t>
            </w:r>
          </w:p>
        </w:tc>
      </w:tr>
      <w:tr w:rsidR="00000000" w14:paraId="50C573CA" w14:textId="77777777">
        <w:trPr>
          <w:tblCellSpacing w:w="0" w:type="dxa"/>
        </w:trPr>
        <w:tc>
          <w:tcPr>
            <w:tcW w:w="0" w:type="auto"/>
            <w:shd w:val="clear" w:color="auto" w:fill="FFFFFF"/>
            <w:vAlign w:val="bottom"/>
            <w:hideMark/>
          </w:tcPr>
          <w:p w14:paraId="2B3FC00A" w14:textId="77777777" w:rsidR="00000000" w:rsidRDefault="00847163">
            <w:pPr>
              <w:pStyle w:val="a3"/>
              <w:spacing w:before="0" w:beforeAutospacing="0" w:after="0" w:afterAutospacing="0"/>
              <w:rPr>
                <w:sz w:val="20"/>
                <w:szCs w:val="20"/>
              </w:rPr>
            </w:pPr>
            <w:r>
              <w:rPr>
                <w:sz w:val="20"/>
                <w:szCs w:val="20"/>
              </w:rPr>
              <w:t>Tenant improvements and tenant allowances</w:t>
            </w:r>
          </w:p>
        </w:tc>
        <w:tc>
          <w:tcPr>
            <w:tcW w:w="50" w:type="pct"/>
            <w:shd w:val="clear" w:color="auto" w:fill="FFFFFF"/>
            <w:vAlign w:val="bottom"/>
            <w:hideMark/>
          </w:tcPr>
          <w:p w14:paraId="47B70F0F"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4C97A9B" w14:textId="77777777" w:rsidR="00000000" w:rsidRDefault="00847163">
            <w:pPr>
              <w:rPr>
                <w:rFonts w:eastAsia="Times New Roman"/>
                <w:sz w:val="20"/>
                <w:szCs w:val="20"/>
              </w:rPr>
            </w:pPr>
            <w:r>
              <w:rPr>
                <w:rFonts w:eastAsia="Times New Roman"/>
                <w:sz w:val="20"/>
                <w:szCs w:val="20"/>
              </w:rPr>
              <w:t> </w:t>
            </w:r>
          </w:p>
        </w:tc>
        <w:tc>
          <w:tcPr>
            <w:tcW w:w="600" w:type="pct"/>
            <w:shd w:val="clear" w:color="auto" w:fill="FFFFFF"/>
            <w:vAlign w:val="bottom"/>
            <w:hideMark/>
          </w:tcPr>
          <w:p w14:paraId="50716313" w14:textId="77777777" w:rsidR="00000000" w:rsidRDefault="00847163">
            <w:pPr>
              <w:jc w:val="right"/>
              <w:rPr>
                <w:rFonts w:eastAsia="Times New Roman"/>
                <w:sz w:val="20"/>
                <w:szCs w:val="20"/>
              </w:rPr>
            </w:pPr>
            <w:r>
              <w:rPr>
                <w:rFonts w:eastAsia="Times New Roman"/>
                <w:sz w:val="20"/>
                <w:szCs w:val="20"/>
              </w:rPr>
              <w:t>11,102</w:t>
            </w:r>
          </w:p>
        </w:tc>
        <w:tc>
          <w:tcPr>
            <w:tcW w:w="50" w:type="pct"/>
            <w:shd w:val="clear" w:color="auto" w:fill="FFFFFF"/>
            <w:vAlign w:val="bottom"/>
            <w:hideMark/>
          </w:tcPr>
          <w:p w14:paraId="28F2B6C8"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25AD932"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24B1207" w14:textId="77777777" w:rsidR="00000000" w:rsidRDefault="00847163">
            <w:pPr>
              <w:rPr>
                <w:rFonts w:eastAsia="Times New Roman"/>
                <w:sz w:val="20"/>
                <w:szCs w:val="20"/>
              </w:rPr>
            </w:pPr>
            <w:r>
              <w:rPr>
                <w:rFonts w:eastAsia="Times New Roman"/>
                <w:sz w:val="20"/>
                <w:szCs w:val="20"/>
              </w:rPr>
              <w:t> </w:t>
            </w:r>
          </w:p>
        </w:tc>
        <w:tc>
          <w:tcPr>
            <w:tcW w:w="600" w:type="pct"/>
            <w:shd w:val="clear" w:color="auto" w:fill="FFFFFF"/>
            <w:vAlign w:val="bottom"/>
            <w:hideMark/>
          </w:tcPr>
          <w:p w14:paraId="44FF7F98" w14:textId="77777777" w:rsidR="00000000" w:rsidRDefault="00847163">
            <w:pPr>
              <w:jc w:val="right"/>
              <w:rPr>
                <w:rFonts w:eastAsia="Times New Roman"/>
                <w:sz w:val="20"/>
                <w:szCs w:val="20"/>
              </w:rPr>
            </w:pPr>
            <w:r>
              <w:rPr>
                <w:rFonts w:eastAsia="Times New Roman"/>
                <w:sz w:val="20"/>
                <w:szCs w:val="20"/>
              </w:rPr>
              <w:t>11,937</w:t>
            </w:r>
          </w:p>
        </w:tc>
        <w:tc>
          <w:tcPr>
            <w:tcW w:w="50" w:type="pct"/>
            <w:shd w:val="clear" w:color="auto" w:fill="FFFFFF"/>
            <w:vAlign w:val="bottom"/>
            <w:hideMark/>
          </w:tcPr>
          <w:p w14:paraId="18CECE1A" w14:textId="77777777" w:rsidR="00000000" w:rsidRDefault="00847163">
            <w:pPr>
              <w:rPr>
                <w:rFonts w:eastAsia="Times New Roman"/>
                <w:sz w:val="20"/>
                <w:szCs w:val="20"/>
              </w:rPr>
            </w:pPr>
            <w:r>
              <w:rPr>
                <w:rFonts w:eastAsia="Times New Roman"/>
                <w:sz w:val="20"/>
                <w:szCs w:val="20"/>
              </w:rPr>
              <w:t> </w:t>
            </w:r>
          </w:p>
        </w:tc>
      </w:tr>
      <w:tr w:rsidR="00000000" w14:paraId="6A116708" w14:textId="77777777">
        <w:trPr>
          <w:tblCellSpacing w:w="0" w:type="dxa"/>
        </w:trPr>
        <w:tc>
          <w:tcPr>
            <w:tcW w:w="0" w:type="auto"/>
            <w:shd w:val="clear" w:color="auto" w:fill="CCEEFF"/>
            <w:vAlign w:val="bottom"/>
            <w:hideMark/>
          </w:tcPr>
          <w:p w14:paraId="41F7FD00" w14:textId="77777777" w:rsidR="00000000" w:rsidRDefault="00847163">
            <w:pPr>
              <w:pStyle w:val="a3"/>
              <w:spacing w:before="0" w:beforeAutospacing="0" w:after="0" w:afterAutospacing="0"/>
              <w:rPr>
                <w:sz w:val="20"/>
                <w:szCs w:val="20"/>
              </w:rPr>
            </w:pPr>
            <w:r>
              <w:rPr>
                <w:sz w:val="20"/>
                <w:szCs w:val="20"/>
              </w:rPr>
              <w:t>Other</w:t>
            </w:r>
          </w:p>
        </w:tc>
        <w:tc>
          <w:tcPr>
            <w:tcW w:w="50" w:type="pct"/>
            <w:shd w:val="clear" w:color="auto" w:fill="CCEEFF"/>
            <w:vAlign w:val="bottom"/>
            <w:hideMark/>
          </w:tcPr>
          <w:p w14:paraId="61B1C310" w14:textId="77777777" w:rsidR="00000000" w:rsidRDefault="0084716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7B952363" w14:textId="77777777" w:rsidR="00000000" w:rsidRDefault="00847163">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237B805B" w14:textId="77777777" w:rsidR="00000000" w:rsidRDefault="00847163">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53F7F268"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A1B6754" w14:textId="77777777" w:rsidR="00000000" w:rsidRDefault="0084716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385802C5" w14:textId="77777777" w:rsidR="00000000" w:rsidRDefault="00847163">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236EFFB5" w14:textId="77777777" w:rsidR="00000000" w:rsidRDefault="00847163">
            <w:pPr>
              <w:jc w:val="right"/>
              <w:rPr>
                <w:rFonts w:eastAsia="Times New Roman"/>
                <w:sz w:val="20"/>
                <w:szCs w:val="20"/>
              </w:rPr>
            </w:pPr>
            <w:r>
              <w:rPr>
                <w:rFonts w:eastAsia="Times New Roman"/>
                <w:sz w:val="20"/>
                <w:szCs w:val="20"/>
              </w:rPr>
              <w:t>3,051</w:t>
            </w:r>
          </w:p>
        </w:tc>
        <w:tc>
          <w:tcPr>
            <w:tcW w:w="50" w:type="pct"/>
            <w:shd w:val="clear" w:color="auto" w:fill="CCEEFF"/>
            <w:tcMar>
              <w:top w:w="0" w:type="dxa"/>
              <w:left w:w="0" w:type="dxa"/>
              <w:bottom w:w="15" w:type="dxa"/>
              <w:right w:w="0" w:type="dxa"/>
            </w:tcMar>
            <w:vAlign w:val="bottom"/>
            <w:hideMark/>
          </w:tcPr>
          <w:p w14:paraId="745488CF" w14:textId="77777777" w:rsidR="00000000" w:rsidRDefault="00847163">
            <w:pPr>
              <w:rPr>
                <w:rFonts w:eastAsia="Times New Roman"/>
                <w:sz w:val="20"/>
                <w:szCs w:val="20"/>
              </w:rPr>
            </w:pPr>
            <w:r>
              <w:rPr>
                <w:rFonts w:eastAsia="Times New Roman"/>
                <w:sz w:val="20"/>
                <w:szCs w:val="20"/>
              </w:rPr>
              <w:t> </w:t>
            </w:r>
          </w:p>
        </w:tc>
      </w:tr>
      <w:tr w:rsidR="00000000" w14:paraId="0792F733" w14:textId="77777777">
        <w:trPr>
          <w:tblCellSpacing w:w="0" w:type="dxa"/>
        </w:trPr>
        <w:tc>
          <w:tcPr>
            <w:tcW w:w="0" w:type="auto"/>
            <w:shd w:val="clear" w:color="auto" w:fill="FFFFFF"/>
            <w:vAlign w:val="bottom"/>
            <w:hideMark/>
          </w:tcPr>
          <w:p w14:paraId="38AA853C" w14:textId="77777777" w:rsidR="00000000" w:rsidRDefault="00847163">
            <w:pPr>
              <w:pStyle w:val="a3"/>
              <w:spacing w:before="0" w:beforeAutospacing="0" w:after="0" w:afterAutospacing="0"/>
              <w:ind w:left="180"/>
              <w:rPr>
                <w:sz w:val="20"/>
                <w:szCs w:val="20"/>
              </w:rPr>
            </w:pPr>
            <w:r>
              <w:rPr>
                <w:sz w:val="20"/>
                <w:szCs w:val="20"/>
              </w:rPr>
              <w:t>Total improvements (1)</w:t>
            </w:r>
          </w:p>
        </w:tc>
        <w:tc>
          <w:tcPr>
            <w:tcW w:w="50" w:type="pct"/>
            <w:shd w:val="clear" w:color="auto" w:fill="FFFFFF"/>
            <w:vAlign w:val="bottom"/>
            <w:hideMark/>
          </w:tcPr>
          <w:p w14:paraId="00C614C9" w14:textId="77777777" w:rsidR="00000000" w:rsidRDefault="0084716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4A180928" w14:textId="77777777" w:rsidR="00000000" w:rsidRDefault="00847163">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14:paraId="17242ED5" w14:textId="77777777" w:rsidR="00000000" w:rsidRDefault="00847163">
            <w:pPr>
              <w:jc w:val="right"/>
              <w:rPr>
                <w:rFonts w:eastAsia="Times New Roman"/>
                <w:sz w:val="20"/>
                <w:szCs w:val="20"/>
              </w:rPr>
            </w:pPr>
            <w:r>
              <w:rPr>
                <w:rFonts w:eastAsia="Times New Roman"/>
                <w:sz w:val="20"/>
                <w:szCs w:val="20"/>
              </w:rPr>
              <w:t>54,973</w:t>
            </w:r>
          </w:p>
        </w:tc>
        <w:tc>
          <w:tcPr>
            <w:tcW w:w="50" w:type="pct"/>
            <w:shd w:val="clear" w:color="auto" w:fill="FFFFFF"/>
            <w:tcMar>
              <w:top w:w="0" w:type="dxa"/>
              <w:left w:w="0" w:type="dxa"/>
              <w:bottom w:w="45" w:type="dxa"/>
              <w:right w:w="0" w:type="dxa"/>
            </w:tcMar>
            <w:vAlign w:val="bottom"/>
            <w:hideMark/>
          </w:tcPr>
          <w:p w14:paraId="62256483"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F8DEC33" w14:textId="77777777" w:rsidR="00000000" w:rsidRDefault="0084716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12AB4EFA" w14:textId="77777777" w:rsidR="00000000" w:rsidRDefault="00847163">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14:paraId="51017641" w14:textId="77777777" w:rsidR="00000000" w:rsidRDefault="00847163">
            <w:pPr>
              <w:jc w:val="right"/>
              <w:rPr>
                <w:rFonts w:eastAsia="Times New Roman"/>
                <w:sz w:val="20"/>
                <w:szCs w:val="20"/>
              </w:rPr>
            </w:pPr>
            <w:r>
              <w:rPr>
                <w:rFonts w:eastAsia="Times New Roman"/>
                <w:sz w:val="20"/>
                <w:szCs w:val="20"/>
              </w:rPr>
              <w:t>51,345</w:t>
            </w:r>
          </w:p>
        </w:tc>
        <w:tc>
          <w:tcPr>
            <w:tcW w:w="50" w:type="pct"/>
            <w:shd w:val="clear" w:color="auto" w:fill="FFFFFF"/>
            <w:tcMar>
              <w:top w:w="0" w:type="dxa"/>
              <w:left w:w="0" w:type="dxa"/>
              <w:bottom w:w="45" w:type="dxa"/>
              <w:right w:w="0" w:type="dxa"/>
            </w:tcMar>
            <w:vAlign w:val="bottom"/>
            <w:hideMark/>
          </w:tcPr>
          <w:p w14:paraId="4022869C" w14:textId="77777777" w:rsidR="00000000" w:rsidRDefault="00847163">
            <w:pPr>
              <w:rPr>
                <w:rFonts w:eastAsia="Times New Roman"/>
                <w:sz w:val="20"/>
                <w:szCs w:val="20"/>
              </w:rPr>
            </w:pPr>
            <w:r>
              <w:rPr>
                <w:rFonts w:eastAsia="Times New Roman"/>
                <w:sz w:val="20"/>
                <w:szCs w:val="20"/>
              </w:rPr>
              <w:t> </w:t>
            </w:r>
          </w:p>
        </w:tc>
      </w:tr>
    </w:tbl>
    <w:p w14:paraId="2C2221EA" w14:textId="77777777" w:rsidR="00000000" w:rsidRDefault="00847163">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7D72A3F1" w14:textId="77777777">
        <w:trPr>
          <w:tblCellSpacing w:w="0" w:type="dxa"/>
        </w:trPr>
        <w:tc>
          <w:tcPr>
            <w:tcW w:w="360" w:type="dxa"/>
            <w:hideMark/>
          </w:tcPr>
          <w:p w14:paraId="347BE54D" w14:textId="77777777" w:rsidR="00000000" w:rsidRDefault="00847163">
            <w:pPr>
              <w:rPr>
                <w:rFonts w:eastAsia="Times New Roman"/>
              </w:rPr>
            </w:pPr>
            <w:r>
              <w:rPr>
                <w:rFonts w:eastAsia="Times New Roman"/>
              </w:rPr>
              <w:t> </w:t>
            </w:r>
          </w:p>
        </w:tc>
        <w:tc>
          <w:tcPr>
            <w:tcW w:w="360" w:type="dxa"/>
            <w:hideMark/>
          </w:tcPr>
          <w:p w14:paraId="101885E7" w14:textId="77777777" w:rsidR="00000000" w:rsidRDefault="00847163">
            <w:pPr>
              <w:pStyle w:val="a3"/>
              <w:spacing w:before="0" w:beforeAutospacing="0" w:after="0" w:afterAutospacing="0"/>
              <w:jc w:val="both"/>
              <w:rPr>
                <w:sz w:val="20"/>
                <w:szCs w:val="20"/>
              </w:rPr>
            </w:pPr>
            <w:r>
              <w:rPr>
                <w:sz w:val="20"/>
                <w:szCs w:val="20"/>
              </w:rPr>
              <w:t>(1)</w:t>
            </w:r>
          </w:p>
        </w:tc>
        <w:tc>
          <w:tcPr>
            <w:tcW w:w="0" w:type="auto"/>
            <w:hideMark/>
          </w:tcPr>
          <w:p w14:paraId="17D5BAF9" w14:textId="77777777" w:rsidR="00000000" w:rsidRDefault="00847163">
            <w:pPr>
              <w:pStyle w:val="a3"/>
              <w:spacing w:before="0" w:beforeAutospacing="0" w:after="0" w:afterAutospacing="0"/>
              <w:jc w:val="both"/>
              <w:rPr>
                <w:sz w:val="20"/>
                <w:szCs w:val="20"/>
              </w:rPr>
            </w:pPr>
            <w:r>
              <w:rPr>
                <w:sz w:val="20"/>
                <w:szCs w:val="20"/>
              </w:rPr>
              <w:t>During the three months ended March 31, 2020 and 2019, the Company capitalized payroll of $2.6 million and $1.1 million, respectively, and capitalized interest of $2.4 million and $1.2 million, respectively, in connection with the Company’s improvements to</w:t>
            </w:r>
            <w:r>
              <w:rPr>
                <w:sz w:val="20"/>
                <w:szCs w:val="20"/>
              </w:rPr>
              <w:t xml:space="preserve"> operating real estate.</w:t>
            </w:r>
          </w:p>
        </w:tc>
      </w:tr>
    </w:tbl>
    <w:p w14:paraId="32084B50" w14:textId="77777777" w:rsidR="00000000" w:rsidRDefault="00847163">
      <w:pPr>
        <w:pStyle w:val="a3"/>
        <w:spacing w:before="0" w:beforeAutospacing="0" w:after="0" w:afterAutospacing="0"/>
        <w:jc w:val="both"/>
        <w:rPr>
          <w:sz w:val="20"/>
          <w:szCs w:val="20"/>
        </w:rPr>
      </w:pPr>
      <w:r>
        <w:rPr>
          <w:sz w:val="20"/>
          <w:szCs w:val="20"/>
        </w:rPr>
        <w:t> </w:t>
      </w:r>
    </w:p>
    <w:p w14:paraId="033E1229" w14:textId="77777777" w:rsidR="00000000" w:rsidRDefault="00847163">
      <w:pPr>
        <w:pStyle w:val="a3"/>
        <w:spacing w:before="0" w:beforeAutospacing="0" w:after="0" w:afterAutospacing="0"/>
        <w:ind w:firstLine="360"/>
        <w:jc w:val="both"/>
        <w:rPr>
          <w:sz w:val="20"/>
          <w:szCs w:val="20"/>
        </w:rPr>
      </w:pPr>
      <w:r>
        <w:rPr>
          <w:sz w:val="20"/>
          <w:szCs w:val="20"/>
        </w:rPr>
        <w:t>The Company has an ongoing program to redevelop and re-tenant its properties to maintain or enhance its competitive position in the marketplace. The Company is actively pursuing redevelopment opportunities within its operating po</w:t>
      </w:r>
      <w:r>
        <w:rPr>
          <w:sz w:val="20"/>
          <w:szCs w:val="20"/>
        </w:rPr>
        <w:t>rtfolio which it believes will increase the overall value by bringing in new tenants and improving the assets’ value. The Company has identified three categories of redevelopment, (i) large scale redevelopment, which involves demolishing and building new s</w:t>
      </w:r>
      <w:r>
        <w:rPr>
          <w:sz w:val="20"/>
          <w:szCs w:val="20"/>
        </w:rPr>
        <w:t>quare footage, (ii) value creation redevelopment, which includes the subdivision of large anchor spaces into multiple tenant layouts, and (iii) creation of out-parcels and pads located in the front of the shopping center properties.</w:t>
      </w:r>
    </w:p>
    <w:p w14:paraId="7F4B570D" w14:textId="77777777" w:rsidR="00000000" w:rsidRDefault="00847163">
      <w:pPr>
        <w:pStyle w:val="a3"/>
        <w:spacing w:before="0" w:beforeAutospacing="0" w:after="0" w:afterAutospacing="0"/>
        <w:ind w:firstLine="360"/>
        <w:jc w:val="both"/>
        <w:rPr>
          <w:sz w:val="20"/>
          <w:szCs w:val="20"/>
        </w:rPr>
      </w:pPr>
      <w:r>
        <w:rPr>
          <w:sz w:val="20"/>
          <w:szCs w:val="20"/>
        </w:rPr>
        <w:t> </w:t>
      </w:r>
    </w:p>
    <w:p w14:paraId="08579BB8" w14:textId="77777777" w:rsidR="00000000" w:rsidRDefault="00847163">
      <w:pPr>
        <w:pStyle w:val="a3"/>
        <w:spacing w:before="0" w:beforeAutospacing="0" w:after="0" w:afterAutospacing="0"/>
        <w:ind w:firstLine="360"/>
        <w:jc w:val="both"/>
        <w:rPr>
          <w:sz w:val="20"/>
          <w:szCs w:val="20"/>
        </w:rPr>
      </w:pPr>
      <w:r>
        <w:rPr>
          <w:sz w:val="20"/>
          <w:szCs w:val="20"/>
        </w:rPr>
        <w:t>Due to the recent COV</w:t>
      </w:r>
      <w:r>
        <w:rPr>
          <w:sz w:val="20"/>
          <w:szCs w:val="20"/>
        </w:rPr>
        <w:t xml:space="preserve">ID-19 pandemic mentioned above, the Company is re-evaluating its current redevelopment and re-tenanting projects and will only move forward with the projects it feels are necessary. The Company anticipates its capital commitment toward these redevelopment </w:t>
      </w:r>
      <w:r>
        <w:rPr>
          <w:sz w:val="20"/>
          <w:szCs w:val="20"/>
        </w:rPr>
        <w:t>projects and re-tenanting efforts for the remainder of 2020 will be approximately $80.0 million to $130.0 million. The funding of these capital requirements will be provided by proceeds from property dispositions, net cash flow provided by operating activi</w:t>
      </w:r>
      <w:r>
        <w:rPr>
          <w:sz w:val="20"/>
          <w:szCs w:val="20"/>
        </w:rPr>
        <w:t>ties and availability under the Company’s Credit Facility.</w:t>
      </w:r>
    </w:p>
    <w:p w14:paraId="23FD8DFB" w14:textId="77777777" w:rsidR="00000000" w:rsidRDefault="00847163">
      <w:pPr>
        <w:pStyle w:val="a3"/>
        <w:spacing w:before="0" w:beforeAutospacing="0" w:after="0" w:afterAutospacing="0"/>
        <w:ind w:left="720"/>
        <w:jc w:val="both"/>
        <w:rPr>
          <w:sz w:val="20"/>
          <w:szCs w:val="20"/>
        </w:rPr>
      </w:pPr>
      <w:r>
        <w:rPr>
          <w:sz w:val="20"/>
          <w:szCs w:val="20"/>
        </w:rPr>
        <w:t> </w:t>
      </w:r>
    </w:p>
    <w:p w14:paraId="513C8922" w14:textId="77777777" w:rsidR="00000000" w:rsidRDefault="00847163">
      <w:pPr>
        <w:pStyle w:val="a3"/>
        <w:spacing w:before="0" w:beforeAutospacing="0" w:after="0" w:afterAutospacing="0"/>
        <w:jc w:val="both"/>
        <w:rPr>
          <w:sz w:val="20"/>
          <w:szCs w:val="20"/>
        </w:rPr>
      </w:pPr>
      <w:r>
        <w:rPr>
          <w:i/>
          <w:iCs/>
          <w:sz w:val="20"/>
          <w:szCs w:val="20"/>
        </w:rPr>
        <w:t>Real Estate Under Development –</w:t>
      </w:r>
    </w:p>
    <w:p w14:paraId="1A65CAF9" w14:textId="77777777" w:rsidR="00000000" w:rsidRDefault="00847163">
      <w:pPr>
        <w:pStyle w:val="a3"/>
        <w:spacing w:before="0" w:beforeAutospacing="0" w:after="0" w:afterAutospacing="0"/>
        <w:ind w:firstLine="720"/>
        <w:jc w:val="both"/>
        <w:rPr>
          <w:sz w:val="20"/>
          <w:szCs w:val="20"/>
        </w:rPr>
      </w:pPr>
      <w:r>
        <w:rPr>
          <w:sz w:val="20"/>
          <w:szCs w:val="20"/>
        </w:rPr>
        <w:t> </w:t>
      </w:r>
    </w:p>
    <w:p w14:paraId="4E288254" w14:textId="77777777" w:rsidR="00000000" w:rsidRDefault="00847163">
      <w:pPr>
        <w:pStyle w:val="a3"/>
        <w:spacing w:before="0" w:beforeAutospacing="0" w:after="0" w:afterAutospacing="0"/>
        <w:ind w:firstLine="360"/>
        <w:jc w:val="both"/>
        <w:rPr>
          <w:sz w:val="20"/>
          <w:szCs w:val="20"/>
        </w:rPr>
      </w:pPr>
      <w:r>
        <w:rPr>
          <w:sz w:val="20"/>
          <w:szCs w:val="20"/>
        </w:rPr>
        <w:t>The Company is engaged in select real estate development projects, which are expected to be held as long-term investments. As of March 31, 2020, the Company had one active real estate development project in progress. During the three months ended March 31,</w:t>
      </w:r>
      <w:r>
        <w:rPr>
          <w:sz w:val="20"/>
          <w:szCs w:val="20"/>
        </w:rPr>
        <w:t xml:space="preserve"> 2020 and 2019, the Company expended $16.6 million and $26.3 million, respectively, towards improvements to real estate under development. The Company capitalized (i) interest of $2.0 million and $1.9 million, (ii) real estate taxes, insurance and legal co</w:t>
      </w:r>
      <w:r>
        <w:rPr>
          <w:sz w:val="20"/>
          <w:szCs w:val="20"/>
        </w:rPr>
        <w:t>sts of $0.4 million and $0.3 million and (iii) payroll of $0.5 million and $0.5 million during the three months ended March 31, 2020 and 2019, respectively, in connection with its real estate development project. The Company anticipates the total remaining</w:t>
      </w:r>
      <w:r>
        <w:rPr>
          <w:sz w:val="20"/>
          <w:szCs w:val="20"/>
        </w:rPr>
        <w:t xml:space="preserve"> costs to complete this active project to be approximately $25.0 million to $50.0 million. The Company anticipates its capital commitment toward this development project for the remainder of 2020 will be approximately $20.0 million to $40.0 million. The fu</w:t>
      </w:r>
      <w:r>
        <w:rPr>
          <w:sz w:val="20"/>
          <w:szCs w:val="20"/>
        </w:rPr>
        <w:t>nding of these capital requirements will be provided by proceeds from property dispositions, net cash flow provided by operating activities, construction financing, where applicable, and availability under the Company’s Credit Facility.</w:t>
      </w:r>
    </w:p>
    <w:p w14:paraId="031CC27C" w14:textId="77777777" w:rsidR="00000000" w:rsidRDefault="00847163">
      <w:pPr>
        <w:pStyle w:val="a3"/>
        <w:spacing w:before="0" w:beforeAutospacing="0" w:after="0" w:afterAutospacing="0"/>
        <w:jc w:val="both"/>
        <w:rPr>
          <w:sz w:val="20"/>
          <w:szCs w:val="20"/>
        </w:rPr>
      </w:pPr>
      <w:r>
        <w:rPr>
          <w:sz w:val="20"/>
          <w:szCs w:val="20"/>
        </w:rPr>
        <w:t> </w:t>
      </w:r>
    </w:p>
    <w:p w14:paraId="015DCD17" w14:textId="77777777" w:rsidR="00000000" w:rsidRDefault="00847163">
      <w:pPr>
        <w:pStyle w:val="a3"/>
        <w:spacing w:before="0" w:beforeAutospacing="0" w:after="0" w:afterAutospacing="0"/>
        <w:jc w:val="both"/>
        <w:rPr>
          <w:sz w:val="20"/>
          <w:szCs w:val="20"/>
        </w:rPr>
      </w:pPr>
      <w:r>
        <w:rPr>
          <w:sz w:val="20"/>
          <w:szCs w:val="20"/>
          <w:u w:val="single"/>
        </w:rPr>
        <w:t>Financing Activit</w:t>
      </w:r>
      <w:r>
        <w:rPr>
          <w:sz w:val="20"/>
          <w:szCs w:val="20"/>
          <w:u w:val="single"/>
        </w:rPr>
        <w:t>ies</w:t>
      </w:r>
    </w:p>
    <w:p w14:paraId="0691AE1F" w14:textId="77777777" w:rsidR="00000000" w:rsidRDefault="00847163">
      <w:pPr>
        <w:pStyle w:val="a3"/>
        <w:spacing w:before="0" w:beforeAutospacing="0" w:after="0" w:afterAutospacing="0"/>
        <w:jc w:val="both"/>
        <w:rPr>
          <w:sz w:val="20"/>
          <w:szCs w:val="20"/>
        </w:rPr>
      </w:pPr>
      <w:r>
        <w:rPr>
          <w:sz w:val="20"/>
          <w:szCs w:val="20"/>
        </w:rPr>
        <w:t> </w:t>
      </w:r>
    </w:p>
    <w:p w14:paraId="1DD19FAB" w14:textId="77777777" w:rsidR="00000000" w:rsidRDefault="00847163">
      <w:pPr>
        <w:pStyle w:val="a3"/>
        <w:spacing w:before="0" w:beforeAutospacing="0" w:after="0" w:afterAutospacing="0"/>
        <w:ind w:firstLine="360"/>
        <w:jc w:val="both"/>
        <w:rPr>
          <w:sz w:val="20"/>
          <w:szCs w:val="20"/>
        </w:rPr>
      </w:pPr>
      <w:r>
        <w:rPr>
          <w:sz w:val="20"/>
          <w:szCs w:val="20"/>
        </w:rPr>
        <w:t>Net cash flow provided by financing activities was $239.2 million for the three months ended March 31, 2020, as compared to net cash flow used for financing activities of $139.6 million for the comparable period in 2019.</w:t>
      </w:r>
    </w:p>
    <w:p w14:paraId="0DE7239E" w14:textId="77777777" w:rsidR="00000000" w:rsidRDefault="00847163">
      <w:pPr>
        <w:pStyle w:val="a3"/>
        <w:spacing w:before="0" w:beforeAutospacing="0" w:after="0" w:afterAutospacing="0"/>
        <w:ind w:firstLine="360"/>
        <w:jc w:val="both"/>
        <w:rPr>
          <w:sz w:val="20"/>
          <w:szCs w:val="20"/>
        </w:rPr>
      </w:pPr>
      <w:r>
        <w:rPr>
          <w:sz w:val="20"/>
          <w:szCs w:val="20"/>
        </w:rPr>
        <w:t> </w:t>
      </w:r>
    </w:p>
    <w:p w14:paraId="774E2ECD" w14:textId="77777777" w:rsidR="00000000" w:rsidRDefault="00847163">
      <w:pPr>
        <w:pStyle w:val="a3"/>
        <w:spacing w:before="0" w:beforeAutospacing="0" w:after="0" w:afterAutospacing="0"/>
        <w:ind w:firstLine="360"/>
        <w:jc w:val="both"/>
        <w:rPr>
          <w:sz w:val="20"/>
          <w:szCs w:val="20"/>
        </w:rPr>
      </w:pPr>
      <w:r>
        <w:rPr>
          <w:sz w:val="20"/>
          <w:szCs w:val="20"/>
        </w:rPr>
        <w:t>Financing activities during</w:t>
      </w:r>
      <w:r>
        <w:rPr>
          <w:sz w:val="20"/>
          <w:szCs w:val="20"/>
        </w:rPr>
        <w:t xml:space="preserve"> 2020 primarily consisted of:</w:t>
      </w:r>
    </w:p>
    <w:p w14:paraId="0D66567A" w14:textId="77777777" w:rsidR="00000000" w:rsidRDefault="00847163">
      <w:pPr>
        <w:pStyle w:val="a3"/>
        <w:spacing w:before="0" w:beforeAutospacing="0" w:after="0" w:afterAutospacing="0"/>
        <w:jc w:val="both"/>
        <w:rPr>
          <w:sz w:val="20"/>
          <w:szCs w:val="20"/>
        </w:rPr>
      </w:pPr>
      <w:r>
        <w:rPr>
          <w:i/>
          <w:iCs/>
          <w:sz w:val="20"/>
          <w:szCs w:val="20"/>
        </w:rPr>
        <w:t> </w:t>
      </w:r>
    </w:p>
    <w:p w14:paraId="2A103E4B" w14:textId="77777777" w:rsidR="00000000" w:rsidRDefault="00847163">
      <w:pPr>
        <w:pStyle w:val="a3"/>
        <w:spacing w:before="0" w:beforeAutospacing="0" w:after="0" w:afterAutospacing="0"/>
        <w:ind w:firstLine="540"/>
        <w:jc w:val="both"/>
        <w:rPr>
          <w:sz w:val="20"/>
          <w:szCs w:val="20"/>
        </w:rPr>
      </w:pPr>
      <w:r>
        <w:rPr>
          <w:i/>
          <w:iCs/>
          <w:sz w:val="20"/>
          <w:szCs w:val="20"/>
        </w:rPr>
        <w:t>Cash inflows: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4C070C62" w14:textId="77777777">
        <w:trPr>
          <w:tblCellSpacing w:w="0" w:type="dxa"/>
        </w:trPr>
        <w:tc>
          <w:tcPr>
            <w:tcW w:w="720" w:type="dxa"/>
            <w:vAlign w:val="center"/>
            <w:hideMark/>
          </w:tcPr>
          <w:p w14:paraId="4C329105" w14:textId="77777777" w:rsidR="00000000" w:rsidRDefault="00847163">
            <w:pPr>
              <w:rPr>
                <w:rFonts w:eastAsia="Times New Roman"/>
                <w:sz w:val="20"/>
                <w:szCs w:val="20"/>
              </w:rPr>
            </w:pPr>
            <w:r>
              <w:rPr>
                <w:rFonts w:eastAsia="Times New Roman"/>
                <w:sz w:val="20"/>
                <w:szCs w:val="20"/>
              </w:rPr>
              <w:t> </w:t>
            </w:r>
          </w:p>
        </w:tc>
        <w:tc>
          <w:tcPr>
            <w:tcW w:w="360" w:type="dxa"/>
            <w:hideMark/>
          </w:tcPr>
          <w:p w14:paraId="4AF25B7C" w14:textId="77777777" w:rsidR="00000000" w:rsidRDefault="00847163">
            <w:pPr>
              <w:pStyle w:val="a3"/>
              <w:spacing w:before="0" w:beforeAutospacing="0" w:after="0" w:afterAutospacing="0"/>
              <w:jc w:val="both"/>
              <w:rPr>
                <w:sz w:val="20"/>
                <w:szCs w:val="20"/>
              </w:rPr>
            </w:pPr>
            <w:r>
              <w:rPr>
                <w:sz w:val="20"/>
                <w:szCs w:val="20"/>
              </w:rPr>
              <w:t>●</w:t>
            </w:r>
          </w:p>
        </w:tc>
        <w:tc>
          <w:tcPr>
            <w:tcW w:w="0" w:type="auto"/>
            <w:hideMark/>
          </w:tcPr>
          <w:p w14:paraId="4EAC88C0" w14:textId="77777777" w:rsidR="00000000" w:rsidRDefault="00847163">
            <w:pPr>
              <w:pStyle w:val="a3"/>
              <w:spacing w:before="0" w:beforeAutospacing="0" w:after="0" w:afterAutospacing="0"/>
              <w:jc w:val="both"/>
              <w:rPr>
                <w:sz w:val="20"/>
                <w:szCs w:val="20"/>
              </w:rPr>
            </w:pPr>
            <w:r>
              <w:rPr>
                <w:sz w:val="20"/>
                <w:szCs w:val="20"/>
              </w:rPr>
              <w:t>$475.0 million in proceeds from borrowings under the Company’s unsecured revolving Credit Facility, net.</w:t>
            </w:r>
          </w:p>
        </w:tc>
      </w:tr>
    </w:tbl>
    <w:p w14:paraId="4572F540" w14:textId="77777777" w:rsidR="00000000" w:rsidRDefault="00847163">
      <w:pPr>
        <w:pStyle w:val="a3"/>
        <w:spacing w:before="0" w:beforeAutospacing="0" w:after="0" w:afterAutospacing="0"/>
        <w:ind w:firstLine="540"/>
        <w:jc w:val="both"/>
        <w:rPr>
          <w:sz w:val="20"/>
          <w:szCs w:val="20"/>
        </w:rPr>
      </w:pPr>
      <w:r>
        <w:rPr>
          <w:i/>
          <w:iCs/>
          <w:sz w:val="20"/>
          <w:szCs w:val="20"/>
        </w:rPr>
        <w:t> </w:t>
      </w:r>
    </w:p>
    <w:p w14:paraId="6637766F" w14:textId="77777777" w:rsidR="00000000" w:rsidRDefault="00847163">
      <w:pPr>
        <w:pStyle w:val="a3"/>
        <w:spacing w:before="0" w:beforeAutospacing="0" w:after="0" w:afterAutospacing="0"/>
        <w:ind w:firstLine="540"/>
        <w:jc w:val="both"/>
        <w:rPr>
          <w:sz w:val="20"/>
          <w:szCs w:val="20"/>
        </w:rPr>
      </w:pPr>
      <w:r>
        <w:rPr>
          <w:i/>
          <w:iCs/>
          <w:sz w:val="20"/>
          <w:szCs w:val="20"/>
        </w:rPr>
        <w:t>Cash outflows: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59535FBF" w14:textId="77777777">
        <w:trPr>
          <w:tblCellSpacing w:w="0" w:type="dxa"/>
        </w:trPr>
        <w:tc>
          <w:tcPr>
            <w:tcW w:w="720" w:type="dxa"/>
            <w:vAlign w:val="center"/>
            <w:hideMark/>
          </w:tcPr>
          <w:p w14:paraId="78C76686" w14:textId="77777777" w:rsidR="00000000" w:rsidRDefault="00847163">
            <w:pPr>
              <w:rPr>
                <w:rFonts w:eastAsia="Times New Roman"/>
                <w:sz w:val="20"/>
                <w:szCs w:val="20"/>
              </w:rPr>
            </w:pPr>
            <w:r>
              <w:rPr>
                <w:rFonts w:eastAsia="Times New Roman"/>
                <w:sz w:val="20"/>
                <w:szCs w:val="20"/>
              </w:rPr>
              <w:t> </w:t>
            </w:r>
          </w:p>
        </w:tc>
        <w:tc>
          <w:tcPr>
            <w:tcW w:w="360" w:type="dxa"/>
            <w:hideMark/>
          </w:tcPr>
          <w:p w14:paraId="14B51998" w14:textId="77777777" w:rsidR="00000000" w:rsidRDefault="00847163">
            <w:pPr>
              <w:pStyle w:val="a3"/>
              <w:spacing w:before="0" w:beforeAutospacing="0" w:after="0" w:afterAutospacing="0"/>
              <w:jc w:val="both"/>
              <w:rPr>
                <w:sz w:val="20"/>
                <w:szCs w:val="20"/>
              </w:rPr>
            </w:pPr>
            <w:r>
              <w:rPr>
                <w:sz w:val="20"/>
                <w:szCs w:val="20"/>
              </w:rPr>
              <w:t>●</w:t>
            </w:r>
          </w:p>
        </w:tc>
        <w:tc>
          <w:tcPr>
            <w:tcW w:w="0" w:type="auto"/>
            <w:hideMark/>
          </w:tcPr>
          <w:p w14:paraId="02A399E4" w14:textId="77777777" w:rsidR="00000000" w:rsidRDefault="00847163">
            <w:pPr>
              <w:pStyle w:val="a3"/>
              <w:spacing w:before="0" w:beforeAutospacing="0" w:after="0" w:afterAutospacing="0"/>
              <w:jc w:val="both"/>
              <w:rPr>
                <w:sz w:val="20"/>
                <w:szCs w:val="20"/>
              </w:rPr>
            </w:pPr>
            <w:r>
              <w:rPr>
                <w:sz w:val="20"/>
                <w:szCs w:val="20"/>
              </w:rPr>
              <w:t>$127.3 million of dividends paid;</w:t>
            </w:r>
          </w:p>
        </w:tc>
      </w:tr>
    </w:tbl>
    <w:p w14:paraId="6E8D0AC3" w14:textId="77777777" w:rsidR="00000000" w:rsidRDefault="00847163">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17D75DC7" w14:textId="77777777">
        <w:trPr>
          <w:tblCellSpacing w:w="0" w:type="dxa"/>
        </w:trPr>
        <w:tc>
          <w:tcPr>
            <w:tcW w:w="720" w:type="dxa"/>
            <w:vAlign w:val="center"/>
            <w:hideMark/>
          </w:tcPr>
          <w:p w14:paraId="33E2CCA8" w14:textId="77777777" w:rsidR="00000000" w:rsidRDefault="00847163">
            <w:pPr>
              <w:rPr>
                <w:rFonts w:eastAsia="Times New Roman"/>
                <w:sz w:val="20"/>
                <w:szCs w:val="20"/>
              </w:rPr>
            </w:pPr>
            <w:r>
              <w:rPr>
                <w:rFonts w:eastAsia="Times New Roman"/>
                <w:sz w:val="20"/>
                <w:szCs w:val="20"/>
              </w:rPr>
              <w:t> </w:t>
            </w:r>
          </w:p>
        </w:tc>
        <w:tc>
          <w:tcPr>
            <w:tcW w:w="360" w:type="dxa"/>
            <w:hideMark/>
          </w:tcPr>
          <w:p w14:paraId="1ED21F93" w14:textId="77777777" w:rsidR="00000000" w:rsidRDefault="00847163">
            <w:pPr>
              <w:pStyle w:val="a3"/>
              <w:spacing w:before="0" w:beforeAutospacing="0" w:after="0" w:afterAutospacing="0"/>
              <w:jc w:val="both"/>
              <w:rPr>
                <w:sz w:val="20"/>
                <w:szCs w:val="20"/>
              </w:rPr>
            </w:pPr>
            <w:r>
              <w:rPr>
                <w:sz w:val="20"/>
                <w:szCs w:val="20"/>
              </w:rPr>
              <w:t>●</w:t>
            </w:r>
          </w:p>
        </w:tc>
        <w:tc>
          <w:tcPr>
            <w:tcW w:w="0" w:type="auto"/>
            <w:hideMark/>
          </w:tcPr>
          <w:p w14:paraId="7E121C5F" w14:textId="77777777" w:rsidR="00000000" w:rsidRDefault="00847163">
            <w:pPr>
              <w:pStyle w:val="a3"/>
              <w:spacing w:before="0" w:beforeAutospacing="0" w:after="0" w:afterAutospacing="0"/>
              <w:jc w:val="both"/>
              <w:rPr>
                <w:sz w:val="20"/>
                <w:szCs w:val="20"/>
              </w:rPr>
            </w:pPr>
            <w:r>
              <w:rPr>
                <w:sz w:val="20"/>
                <w:szCs w:val="20"/>
              </w:rPr>
              <w:t>$78.4 million for principal payments on debt (primarily related to the repayment of debt on an encumbered property and the payoff of a construction loan), including normal amortization on rental property debt;</w:t>
            </w:r>
          </w:p>
        </w:tc>
      </w:tr>
    </w:tbl>
    <w:p w14:paraId="3C35591C" w14:textId="77777777" w:rsidR="00000000" w:rsidRDefault="00847163">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005EF975" w14:textId="77777777">
        <w:trPr>
          <w:tblCellSpacing w:w="0" w:type="dxa"/>
        </w:trPr>
        <w:tc>
          <w:tcPr>
            <w:tcW w:w="720" w:type="dxa"/>
            <w:vAlign w:val="center"/>
            <w:hideMark/>
          </w:tcPr>
          <w:p w14:paraId="65A85B64" w14:textId="77777777" w:rsidR="00000000" w:rsidRDefault="00847163">
            <w:pPr>
              <w:rPr>
                <w:rFonts w:eastAsia="Times New Roman"/>
                <w:sz w:val="20"/>
                <w:szCs w:val="20"/>
              </w:rPr>
            </w:pPr>
            <w:r>
              <w:rPr>
                <w:rFonts w:eastAsia="Times New Roman"/>
                <w:sz w:val="20"/>
                <w:szCs w:val="20"/>
              </w:rPr>
              <w:t> </w:t>
            </w:r>
          </w:p>
        </w:tc>
        <w:tc>
          <w:tcPr>
            <w:tcW w:w="360" w:type="dxa"/>
            <w:hideMark/>
          </w:tcPr>
          <w:p w14:paraId="06C6EB77" w14:textId="77777777" w:rsidR="00000000" w:rsidRDefault="00847163">
            <w:pPr>
              <w:pStyle w:val="a3"/>
              <w:spacing w:before="0" w:beforeAutospacing="0" w:after="0" w:afterAutospacing="0"/>
              <w:jc w:val="both"/>
              <w:rPr>
                <w:sz w:val="20"/>
                <w:szCs w:val="20"/>
              </w:rPr>
            </w:pPr>
            <w:r>
              <w:rPr>
                <w:sz w:val="20"/>
                <w:szCs w:val="20"/>
              </w:rPr>
              <w:t>●</w:t>
            </w:r>
          </w:p>
        </w:tc>
        <w:tc>
          <w:tcPr>
            <w:tcW w:w="0" w:type="auto"/>
            <w:hideMark/>
          </w:tcPr>
          <w:p w14:paraId="1843E96F" w14:textId="77777777" w:rsidR="00000000" w:rsidRDefault="00847163">
            <w:pPr>
              <w:pStyle w:val="a3"/>
              <w:spacing w:before="0" w:beforeAutospacing="0" w:after="0" w:afterAutospacing="0"/>
              <w:jc w:val="both"/>
              <w:rPr>
                <w:sz w:val="20"/>
                <w:szCs w:val="20"/>
              </w:rPr>
            </w:pPr>
            <w:r>
              <w:rPr>
                <w:sz w:val="20"/>
                <w:szCs w:val="20"/>
              </w:rPr>
              <w:t>$20.9 million for the redemption/distrib</w:t>
            </w:r>
            <w:r>
              <w:rPr>
                <w:sz w:val="20"/>
                <w:szCs w:val="20"/>
              </w:rPr>
              <w:t>ution of noncontrolling interests, primarily related to the redemption of certain partnership interests by consolidated subsidiaries; and</w:t>
            </w:r>
          </w:p>
        </w:tc>
      </w:tr>
    </w:tbl>
    <w:p w14:paraId="56949E79" w14:textId="77777777" w:rsidR="00000000" w:rsidRDefault="00847163">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176D677C" w14:textId="77777777">
        <w:trPr>
          <w:tblCellSpacing w:w="0" w:type="dxa"/>
        </w:trPr>
        <w:tc>
          <w:tcPr>
            <w:tcW w:w="720" w:type="dxa"/>
            <w:vAlign w:val="center"/>
            <w:hideMark/>
          </w:tcPr>
          <w:p w14:paraId="1E905ECE" w14:textId="77777777" w:rsidR="00000000" w:rsidRDefault="00847163">
            <w:pPr>
              <w:rPr>
                <w:rFonts w:eastAsia="Times New Roman"/>
                <w:sz w:val="20"/>
                <w:szCs w:val="20"/>
              </w:rPr>
            </w:pPr>
            <w:r>
              <w:rPr>
                <w:rFonts w:eastAsia="Times New Roman"/>
                <w:sz w:val="20"/>
                <w:szCs w:val="20"/>
              </w:rPr>
              <w:t> </w:t>
            </w:r>
          </w:p>
        </w:tc>
        <w:tc>
          <w:tcPr>
            <w:tcW w:w="360" w:type="dxa"/>
            <w:hideMark/>
          </w:tcPr>
          <w:p w14:paraId="2391B458" w14:textId="77777777" w:rsidR="00000000" w:rsidRDefault="00847163">
            <w:pPr>
              <w:pStyle w:val="a3"/>
              <w:spacing w:before="0" w:beforeAutospacing="0" w:after="0" w:afterAutospacing="0"/>
              <w:jc w:val="both"/>
              <w:rPr>
                <w:sz w:val="20"/>
                <w:szCs w:val="20"/>
              </w:rPr>
            </w:pPr>
            <w:r>
              <w:rPr>
                <w:sz w:val="20"/>
                <w:szCs w:val="20"/>
              </w:rPr>
              <w:t>●</w:t>
            </w:r>
          </w:p>
        </w:tc>
        <w:tc>
          <w:tcPr>
            <w:tcW w:w="0" w:type="auto"/>
            <w:hideMark/>
          </w:tcPr>
          <w:p w14:paraId="27C04D97" w14:textId="77777777" w:rsidR="00000000" w:rsidRDefault="00847163">
            <w:pPr>
              <w:pStyle w:val="a3"/>
              <w:spacing w:before="0" w:beforeAutospacing="0" w:after="0" w:afterAutospacing="0"/>
              <w:jc w:val="both"/>
              <w:rPr>
                <w:sz w:val="20"/>
                <w:szCs w:val="20"/>
              </w:rPr>
            </w:pPr>
            <w:r>
              <w:rPr>
                <w:sz w:val="20"/>
                <w:szCs w:val="20"/>
              </w:rPr>
              <w:t>$5.1 million for financing origination costs, primarily related to the new unsecured revolving credit facility.</w:t>
            </w:r>
          </w:p>
        </w:tc>
      </w:tr>
    </w:tbl>
    <w:p w14:paraId="5B27BA6A" w14:textId="77777777" w:rsidR="00000000" w:rsidRDefault="00847163">
      <w:pPr>
        <w:pStyle w:val="a3"/>
        <w:spacing w:before="0" w:beforeAutospacing="0" w:after="0" w:afterAutospacing="0"/>
        <w:jc w:val="both"/>
        <w:rPr>
          <w:sz w:val="20"/>
          <w:szCs w:val="20"/>
        </w:rPr>
      </w:pPr>
      <w:r>
        <w:rPr>
          <w:sz w:val="20"/>
          <w:szCs w:val="20"/>
        </w:rPr>
        <w:t> </w:t>
      </w:r>
    </w:p>
    <w:p w14:paraId="1E276175" w14:textId="77777777" w:rsidR="00000000" w:rsidRDefault="00847163">
      <w:pPr>
        <w:jc w:val="center"/>
        <w:divId w:val="266432350"/>
        <w:rPr>
          <w:rFonts w:eastAsia="Times New Roman"/>
          <w:sz w:val="20"/>
          <w:szCs w:val="20"/>
        </w:rPr>
      </w:pPr>
      <w:r>
        <w:rPr>
          <w:rFonts w:eastAsia="Times New Roman"/>
          <w:sz w:val="20"/>
          <w:szCs w:val="20"/>
        </w:rPr>
        <w:t xml:space="preserve">24 </w:t>
      </w:r>
    </w:p>
    <w:p w14:paraId="67D27D06" w14:textId="77777777" w:rsidR="00000000" w:rsidRDefault="00847163">
      <w:pPr>
        <w:divId w:val="1831021192"/>
        <w:rPr>
          <w:rFonts w:eastAsia="Times New Roman"/>
          <w:sz w:val="20"/>
          <w:szCs w:val="20"/>
        </w:rPr>
      </w:pPr>
      <w:r>
        <w:rPr>
          <w:rFonts w:eastAsia="Times New Roman"/>
          <w:sz w:val="20"/>
          <w:szCs w:val="20"/>
        </w:rPr>
        <w:pict w14:anchorId="65B410A9">
          <v:rect id="_x0000_i1052" style="width:0;height:1.5pt" o:hralign="center" o:hrstd="t" o:hr="t" fillcolor="#a0a0a0" stroked="f"/>
        </w:pict>
      </w:r>
    </w:p>
    <w:p w14:paraId="11133FE0" w14:textId="77777777" w:rsidR="00000000" w:rsidRDefault="00847163">
      <w:pPr>
        <w:divId w:val="606500401"/>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2A862F0C" w14:textId="77777777" w:rsidR="00000000" w:rsidRDefault="00847163">
      <w:pPr>
        <w:pStyle w:val="a3"/>
        <w:spacing w:before="0" w:beforeAutospacing="0" w:after="0" w:afterAutospacing="0"/>
        <w:rPr>
          <w:sz w:val="20"/>
          <w:szCs w:val="20"/>
        </w:rPr>
      </w:pPr>
      <w:r>
        <w:rPr>
          <w:sz w:val="20"/>
          <w:szCs w:val="20"/>
        </w:rPr>
        <w:t> </w:t>
      </w:r>
    </w:p>
    <w:p w14:paraId="78C79B73" w14:textId="77777777" w:rsidR="00000000" w:rsidRDefault="00847163">
      <w:pPr>
        <w:pStyle w:val="a3"/>
        <w:spacing w:before="0" w:beforeAutospacing="0" w:after="0" w:afterAutospacing="0"/>
        <w:ind w:firstLine="360"/>
        <w:jc w:val="both"/>
        <w:rPr>
          <w:sz w:val="20"/>
          <w:szCs w:val="20"/>
        </w:rPr>
      </w:pPr>
      <w:r>
        <w:rPr>
          <w:sz w:val="20"/>
          <w:szCs w:val="20"/>
        </w:rPr>
        <w:t>Financing activities during 2019 primarily consisted of:</w:t>
      </w:r>
    </w:p>
    <w:p w14:paraId="1CA37E8B" w14:textId="77777777" w:rsidR="00000000" w:rsidRDefault="00847163">
      <w:pPr>
        <w:pStyle w:val="a3"/>
        <w:spacing w:before="0" w:beforeAutospacing="0" w:after="0" w:afterAutospacing="0"/>
        <w:ind w:firstLine="540"/>
        <w:jc w:val="both"/>
        <w:rPr>
          <w:sz w:val="20"/>
          <w:szCs w:val="20"/>
        </w:rPr>
      </w:pPr>
      <w:r>
        <w:rPr>
          <w:i/>
          <w:iCs/>
          <w:sz w:val="20"/>
          <w:szCs w:val="20"/>
        </w:rPr>
        <w:t> </w:t>
      </w:r>
    </w:p>
    <w:p w14:paraId="473A6666" w14:textId="77777777" w:rsidR="00000000" w:rsidRDefault="00847163">
      <w:pPr>
        <w:pStyle w:val="a3"/>
        <w:spacing w:before="0" w:beforeAutospacing="0" w:after="0" w:afterAutospacing="0"/>
        <w:ind w:firstLine="540"/>
        <w:jc w:val="both"/>
        <w:rPr>
          <w:sz w:val="20"/>
          <w:szCs w:val="20"/>
        </w:rPr>
      </w:pPr>
      <w:r>
        <w:rPr>
          <w:i/>
          <w:iCs/>
          <w:sz w:val="20"/>
          <w:szCs w:val="20"/>
        </w:rPr>
        <w:t>Cash inflows: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40BF6847" w14:textId="77777777">
        <w:trPr>
          <w:tblCellSpacing w:w="0" w:type="dxa"/>
        </w:trPr>
        <w:tc>
          <w:tcPr>
            <w:tcW w:w="720" w:type="dxa"/>
            <w:vAlign w:val="center"/>
            <w:hideMark/>
          </w:tcPr>
          <w:p w14:paraId="267730F8" w14:textId="77777777" w:rsidR="00000000" w:rsidRDefault="00847163">
            <w:pPr>
              <w:rPr>
                <w:rFonts w:eastAsia="Times New Roman"/>
                <w:sz w:val="20"/>
                <w:szCs w:val="20"/>
              </w:rPr>
            </w:pPr>
            <w:r>
              <w:rPr>
                <w:rFonts w:eastAsia="Times New Roman"/>
                <w:sz w:val="20"/>
                <w:szCs w:val="20"/>
              </w:rPr>
              <w:t> </w:t>
            </w:r>
          </w:p>
        </w:tc>
        <w:tc>
          <w:tcPr>
            <w:tcW w:w="360" w:type="dxa"/>
            <w:hideMark/>
          </w:tcPr>
          <w:p w14:paraId="459E72BC" w14:textId="77777777" w:rsidR="00000000" w:rsidRDefault="00847163">
            <w:pPr>
              <w:pStyle w:val="a3"/>
              <w:spacing w:before="0" w:beforeAutospacing="0" w:after="0" w:afterAutospacing="0"/>
              <w:jc w:val="both"/>
              <w:rPr>
                <w:sz w:val="20"/>
                <w:szCs w:val="20"/>
              </w:rPr>
            </w:pPr>
            <w:r>
              <w:rPr>
                <w:sz w:val="20"/>
                <w:szCs w:val="20"/>
              </w:rPr>
              <w:t>●</w:t>
            </w:r>
          </w:p>
        </w:tc>
        <w:tc>
          <w:tcPr>
            <w:tcW w:w="0" w:type="auto"/>
            <w:hideMark/>
          </w:tcPr>
          <w:p w14:paraId="6AA46B90" w14:textId="77777777" w:rsidR="00000000" w:rsidRDefault="00847163">
            <w:pPr>
              <w:pStyle w:val="a3"/>
              <w:spacing w:before="0" w:beforeAutospacing="0" w:after="0" w:afterAutospacing="0"/>
              <w:jc w:val="both"/>
              <w:rPr>
                <w:sz w:val="20"/>
                <w:szCs w:val="20"/>
              </w:rPr>
            </w:pPr>
            <w:r>
              <w:rPr>
                <w:sz w:val="20"/>
                <w:szCs w:val="20"/>
              </w:rPr>
              <w:t>$3.3 million in proceeds from construction loan financing at one development project.</w:t>
            </w:r>
          </w:p>
        </w:tc>
      </w:tr>
    </w:tbl>
    <w:p w14:paraId="0A103407" w14:textId="77777777" w:rsidR="00000000" w:rsidRDefault="00847163">
      <w:pPr>
        <w:pStyle w:val="a3"/>
        <w:spacing w:before="0" w:beforeAutospacing="0" w:after="0" w:afterAutospacing="0"/>
        <w:ind w:firstLine="540"/>
        <w:jc w:val="both"/>
        <w:rPr>
          <w:sz w:val="20"/>
          <w:szCs w:val="20"/>
        </w:rPr>
      </w:pPr>
      <w:r>
        <w:rPr>
          <w:i/>
          <w:iCs/>
          <w:sz w:val="20"/>
          <w:szCs w:val="20"/>
        </w:rPr>
        <w:t> </w:t>
      </w:r>
    </w:p>
    <w:p w14:paraId="2AA8A7EB" w14:textId="77777777" w:rsidR="00000000" w:rsidRDefault="00847163">
      <w:pPr>
        <w:pStyle w:val="a3"/>
        <w:spacing w:before="0" w:beforeAutospacing="0" w:after="0" w:afterAutospacing="0"/>
        <w:ind w:firstLine="540"/>
        <w:jc w:val="both"/>
        <w:rPr>
          <w:sz w:val="20"/>
          <w:szCs w:val="20"/>
        </w:rPr>
      </w:pPr>
      <w:r>
        <w:rPr>
          <w:i/>
          <w:iCs/>
          <w:sz w:val="20"/>
          <w:szCs w:val="20"/>
        </w:rPr>
        <w:t>Cash outflows: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21CBF8F8" w14:textId="77777777">
        <w:trPr>
          <w:tblCellSpacing w:w="0" w:type="dxa"/>
        </w:trPr>
        <w:tc>
          <w:tcPr>
            <w:tcW w:w="720" w:type="dxa"/>
            <w:vAlign w:val="center"/>
            <w:hideMark/>
          </w:tcPr>
          <w:p w14:paraId="233E9EC4" w14:textId="77777777" w:rsidR="00000000" w:rsidRDefault="00847163">
            <w:pPr>
              <w:rPr>
                <w:rFonts w:eastAsia="Times New Roman"/>
                <w:sz w:val="20"/>
                <w:szCs w:val="20"/>
              </w:rPr>
            </w:pPr>
            <w:r>
              <w:rPr>
                <w:rFonts w:eastAsia="Times New Roman"/>
                <w:sz w:val="20"/>
                <w:szCs w:val="20"/>
              </w:rPr>
              <w:t> </w:t>
            </w:r>
          </w:p>
        </w:tc>
        <w:tc>
          <w:tcPr>
            <w:tcW w:w="360" w:type="dxa"/>
            <w:hideMark/>
          </w:tcPr>
          <w:p w14:paraId="345D881D" w14:textId="77777777" w:rsidR="00000000" w:rsidRDefault="00847163">
            <w:pPr>
              <w:pStyle w:val="a3"/>
              <w:spacing w:before="0" w:beforeAutospacing="0" w:after="0" w:afterAutospacing="0"/>
              <w:jc w:val="both"/>
              <w:rPr>
                <w:sz w:val="20"/>
                <w:szCs w:val="20"/>
              </w:rPr>
            </w:pPr>
            <w:r>
              <w:rPr>
                <w:sz w:val="20"/>
                <w:szCs w:val="20"/>
              </w:rPr>
              <w:t>●</w:t>
            </w:r>
          </w:p>
        </w:tc>
        <w:tc>
          <w:tcPr>
            <w:tcW w:w="0" w:type="auto"/>
            <w:hideMark/>
          </w:tcPr>
          <w:p w14:paraId="033BA23F" w14:textId="77777777" w:rsidR="00000000" w:rsidRDefault="00847163">
            <w:pPr>
              <w:pStyle w:val="a3"/>
              <w:spacing w:before="0" w:beforeAutospacing="0" w:after="0" w:afterAutospacing="0"/>
              <w:jc w:val="both"/>
              <w:rPr>
                <w:sz w:val="20"/>
                <w:szCs w:val="20"/>
              </w:rPr>
            </w:pPr>
            <w:r>
              <w:rPr>
                <w:sz w:val="20"/>
                <w:szCs w:val="20"/>
              </w:rPr>
              <w:t>$132.5 million of dividends paid; and</w:t>
            </w:r>
          </w:p>
        </w:tc>
      </w:tr>
    </w:tbl>
    <w:p w14:paraId="291B10C6" w14:textId="77777777" w:rsidR="00000000" w:rsidRDefault="00847163">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0DFA1A3E" w14:textId="77777777">
        <w:trPr>
          <w:tblCellSpacing w:w="0" w:type="dxa"/>
        </w:trPr>
        <w:tc>
          <w:tcPr>
            <w:tcW w:w="720" w:type="dxa"/>
            <w:vAlign w:val="center"/>
            <w:hideMark/>
          </w:tcPr>
          <w:p w14:paraId="0E5F3BC6" w14:textId="77777777" w:rsidR="00000000" w:rsidRDefault="00847163">
            <w:pPr>
              <w:rPr>
                <w:rFonts w:eastAsia="Times New Roman"/>
                <w:sz w:val="20"/>
                <w:szCs w:val="20"/>
              </w:rPr>
            </w:pPr>
            <w:r>
              <w:rPr>
                <w:rFonts w:eastAsia="Times New Roman"/>
                <w:sz w:val="20"/>
                <w:szCs w:val="20"/>
              </w:rPr>
              <w:t> </w:t>
            </w:r>
          </w:p>
        </w:tc>
        <w:tc>
          <w:tcPr>
            <w:tcW w:w="360" w:type="dxa"/>
            <w:hideMark/>
          </w:tcPr>
          <w:p w14:paraId="7684C51C" w14:textId="77777777" w:rsidR="00000000" w:rsidRDefault="00847163">
            <w:pPr>
              <w:pStyle w:val="a3"/>
              <w:spacing w:before="0" w:beforeAutospacing="0" w:after="0" w:afterAutospacing="0"/>
              <w:jc w:val="both"/>
              <w:rPr>
                <w:sz w:val="20"/>
                <w:szCs w:val="20"/>
              </w:rPr>
            </w:pPr>
            <w:r>
              <w:rPr>
                <w:sz w:val="20"/>
                <w:szCs w:val="20"/>
              </w:rPr>
              <w:t>●</w:t>
            </w:r>
          </w:p>
        </w:tc>
        <w:tc>
          <w:tcPr>
            <w:tcW w:w="0" w:type="auto"/>
            <w:hideMark/>
          </w:tcPr>
          <w:p w14:paraId="5E8ACD7D" w14:textId="77777777" w:rsidR="00000000" w:rsidRDefault="00847163">
            <w:pPr>
              <w:pStyle w:val="a3"/>
              <w:spacing w:before="0" w:beforeAutospacing="0" w:after="0" w:afterAutospacing="0"/>
              <w:jc w:val="both"/>
              <w:rPr>
                <w:sz w:val="20"/>
                <w:szCs w:val="20"/>
              </w:rPr>
            </w:pPr>
            <w:r>
              <w:rPr>
                <w:sz w:val="20"/>
                <w:szCs w:val="20"/>
              </w:rPr>
              <w:t>$6.4 million for principal payments on debt (primarily related to the repayment of debt on an encumbered property), including normal amortization on rental property debt.</w:t>
            </w:r>
          </w:p>
        </w:tc>
      </w:tr>
    </w:tbl>
    <w:p w14:paraId="4ECD6A3B" w14:textId="77777777" w:rsidR="00000000" w:rsidRDefault="00847163">
      <w:pPr>
        <w:pStyle w:val="a3"/>
        <w:spacing w:before="0" w:beforeAutospacing="0" w:after="0" w:afterAutospacing="0"/>
        <w:ind w:left="720"/>
        <w:rPr>
          <w:sz w:val="20"/>
          <w:szCs w:val="20"/>
        </w:rPr>
      </w:pPr>
      <w:r>
        <w:rPr>
          <w:sz w:val="20"/>
          <w:szCs w:val="20"/>
        </w:rPr>
        <w:t> </w:t>
      </w:r>
    </w:p>
    <w:p w14:paraId="39712BA1" w14:textId="77777777" w:rsidR="00000000" w:rsidRDefault="00847163">
      <w:pPr>
        <w:pStyle w:val="a3"/>
        <w:spacing w:before="0" w:beforeAutospacing="0" w:after="0" w:afterAutospacing="0"/>
        <w:ind w:firstLine="360"/>
        <w:jc w:val="both"/>
        <w:rPr>
          <w:sz w:val="20"/>
          <w:szCs w:val="20"/>
        </w:rPr>
      </w:pPr>
      <w:r>
        <w:rPr>
          <w:sz w:val="20"/>
          <w:szCs w:val="20"/>
        </w:rPr>
        <w:t xml:space="preserve">The Company continually evaluates its debt maturities, and, based on management’s </w:t>
      </w:r>
      <w:r>
        <w:rPr>
          <w:sz w:val="20"/>
          <w:szCs w:val="20"/>
        </w:rPr>
        <w:t>current assessment, believes it has viable financing and refinancing alternatives that will not materially adversely impact its expected financial results. The Company continues to pursue borrowing opportunities with large commercial U.S. and global banks,</w:t>
      </w:r>
      <w:r>
        <w:rPr>
          <w:sz w:val="20"/>
          <w:szCs w:val="20"/>
        </w:rPr>
        <w:t xml:space="preserve"> select life insurance companies and certain regional and local banks. Due to the recent COVID-19 pandemic mentioned above, the Company has noticed a continuing trend that, although pricing remains dependent on specific deal terms, generally spreads for no</w:t>
      </w:r>
      <w:r>
        <w:rPr>
          <w:sz w:val="20"/>
          <w:szCs w:val="20"/>
        </w:rPr>
        <w:t>n-recourse mortgage and construction loan financing have been widening, and the unsecured debt markets are available with elevated credit spreads.</w:t>
      </w:r>
    </w:p>
    <w:p w14:paraId="45A3A34B" w14:textId="77777777" w:rsidR="00000000" w:rsidRDefault="00847163">
      <w:pPr>
        <w:pStyle w:val="a3"/>
        <w:spacing w:before="0" w:beforeAutospacing="0" w:after="0" w:afterAutospacing="0"/>
        <w:ind w:firstLine="360"/>
        <w:jc w:val="both"/>
        <w:rPr>
          <w:sz w:val="20"/>
          <w:szCs w:val="20"/>
        </w:rPr>
      </w:pPr>
      <w:r>
        <w:rPr>
          <w:sz w:val="20"/>
          <w:szCs w:val="20"/>
        </w:rPr>
        <w:t> </w:t>
      </w:r>
    </w:p>
    <w:p w14:paraId="31BC4BFD" w14:textId="77777777" w:rsidR="00000000" w:rsidRDefault="00847163">
      <w:pPr>
        <w:pStyle w:val="a3"/>
        <w:spacing w:before="0" w:beforeAutospacing="0" w:after="0" w:afterAutospacing="0"/>
        <w:ind w:firstLine="360"/>
        <w:jc w:val="both"/>
        <w:rPr>
          <w:sz w:val="20"/>
          <w:szCs w:val="20"/>
        </w:rPr>
      </w:pPr>
      <w:r>
        <w:rPr>
          <w:sz w:val="20"/>
          <w:szCs w:val="20"/>
        </w:rPr>
        <w:t>Debt maturities for 2020 consist of: $83.6 million of consolidated debt, $111.6 million of unconsolidated j</w:t>
      </w:r>
      <w:r>
        <w:rPr>
          <w:sz w:val="20"/>
          <w:szCs w:val="20"/>
        </w:rPr>
        <w:t>oint venture debt and $61.9 million of debt included in the Company’s Preferred Equity Program, assuming the utilization of extension options where available. The 2020 consolidated debt maturities are anticipated to be repaid with operating cash flows, bor</w:t>
      </w:r>
      <w:r>
        <w:rPr>
          <w:sz w:val="20"/>
          <w:szCs w:val="20"/>
        </w:rPr>
        <w:t>rowings from the Company’s Credit Facility and debt refinancing where applicable. The Company intends to maintain strong debt service coverage and fixed charge coverage ratios as part of its commitment to maintain its investment-grade senior, unsecured deb</w:t>
      </w:r>
      <w:r>
        <w:rPr>
          <w:sz w:val="20"/>
          <w:szCs w:val="20"/>
        </w:rPr>
        <w:t>t ratings.  The Company may, from time-to-time, seek to obtain funds through additional common and preferred equity offerings, unsecured debt financings, mortgages and/or construction loan financing and other capital alternatives.</w:t>
      </w:r>
    </w:p>
    <w:p w14:paraId="1FBBF74A" w14:textId="77777777" w:rsidR="00000000" w:rsidRDefault="00847163">
      <w:pPr>
        <w:pStyle w:val="a3"/>
        <w:spacing w:before="0" w:beforeAutospacing="0" w:after="0" w:afterAutospacing="0"/>
        <w:ind w:firstLine="360"/>
        <w:jc w:val="both"/>
        <w:rPr>
          <w:sz w:val="20"/>
          <w:szCs w:val="20"/>
        </w:rPr>
      </w:pPr>
      <w:r>
        <w:rPr>
          <w:sz w:val="20"/>
          <w:szCs w:val="20"/>
        </w:rPr>
        <w:t> </w:t>
      </w:r>
    </w:p>
    <w:p w14:paraId="090A8536" w14:textId="77777777" w:rsidR="00000000" w:rsidRDefault="00847163">
      <w:pPr>
        <w:pStyle w:val="a3"/>
        <w:spacing w:before="0" w:beforeAutospacing="0" w:after="0" w:afterAutospacing="0"/>
        <w:ind w:firstLine="360"/>
        <w:jc w:val="both"/>
        <w:rPr>
          <w:sz w:val="20"/>
          <w:szCs w:val="20"/>
        </w:rPr>
      </w:pPr>
      <w:r>
        <w:rPr>
          <w:sz w:val="20"/>
          <w:szCs w:val="20"/>
        </w:rPr>
        <w:t>Since the completion of</w:t>
      </w:r>
      <w:r>
        <w:rPr>
          <w:sz w:val="20"/>
          <w:szCs w:val="20"/>
        </w:rPr>
        <w:t xml:space="preserve"> the Company’s IPO in 1991, the Company has utilized the public debt and equity markets as its principal source of capital for its expansion needs. Since the IPO, the Company has completed additional offerings of its public unsecured debt and equity, raisi</w:t>
      </w:r>
      <w:r>
        <w:rPr>
          <w:sz w:val="20"/>
          <w:szCs w:val="20"/>
        </w:rPr>
        <w:t xml:space="preserve">ng in the aggregate over $14.5 billion.  Proceeds from public capital market activities have been used for the purposes of, among other things, repaying indebtedness, acquiring interests in open-air, grocery-anchored shopping centers and mixed-use assets, </w:t>
      </w:r>
      <w:r>
        <w:rPr>
          <w:sz w:val="20"/>
          <w:szCs w:val="20"/>
        </w:rPr>
        <w:t>funding real estate under development projects, expanding and improving properties in the portfolio and other investments.</w:t>
      </w:r>
    </w:p>
    <w:p w14:paraId="73A52C59" w14:textId="77777777" w:rsidR="00000000" w:rsidRDefault="00847163">
      <w:pPr>
        <w:pStyle w:val="a3"/>
        <w:spacing w:before="0" w:beforeAutospacing="0" w:after="0" w:afterAutospacing="0"/>
        <w:ind w:firstLine="360"/>
        <w:jc w:val="both"/>
        <w:rPr>
          <w:sz w:val="20"/>
          <w:szCs w:val="20"/>
        </w:rPr>
      </w:pPr>
      <w:r>
        <w:rPr>
          <w:sz w:val="20"/>
          <w:szCs w:val="20"/>
        </w:rPr>
        <w:t> </w:t>
      </w:r>
    </w:p>
    <w:p w14:paraId="22A35A54" w14:textId="77777777" w:rsidR="00000000" w:rsidRDefault="00847163">
      <w:pPr>
        <w:pStyle w:val="a3"/>
        <w:spacing w:before="0" w:beforeAutospacing="0" w:after="0" w:afterAutospacing="0"/>
        <w:ind w:firstLine="360"/>
        <w:jc w:val="both"/>
        <w:rPr>
          <w:sz w:val="20"/>
          <w:szCs w:val="20"/>
        </w:rPr>
      </w:pPr>
      <w:r>
        <w:rPr>
          <w:sz w:val="20"/>
          <w:szCs w:val="20"/>
        </w:rPr>
        <w:t>During February 2018, the Company filed a shelf registration statement on Form S-3, which is effective for a term of three years, f</w:t>
      </w:r>
      <w:r>
        <w:rPr>
          <w:sz w:val="20"/>
          <w:szCs w:val="20"/>
        </w:rPr>
        <w:t>or the future unlimited offerings, from time-to-time, of debt securities, preferred stock, depositary shares, common stock and common stock warrants. The Company, pursuant to this shelf registration statement may, from time-to-time, offer for sale its seni</w:t>
      </w:r>
      <w:r>
        <w:rPr>
          <w:sz w:val="20"/>
          <w:szCs w:val="20"/>
        </w:rPr>
        <w:t>or unsecured debt for any general corporate purposes, including (i) funding specific liquidity requirements in its business, including property acquisitions, development and redevelopment costs and (ii) managing the Company’s debt maturities.</w:t>
      </w:r>
    </w:p>
    <w:p w14:paraId="6FCD1610" w14:textId="77777777" w:rsidR="00000000" w:rsidRDefault="00847163">
      <w:pPr>
        <w:pStyle w:val="a3"/>
        <w:spacing w:before="0" w:beforeAutospacing="0" w:after="0" w:afterAutospacing="0"/>
        <w:jc w:val="both"/>
        <w:rPr>
          <w:sz w:val="20"/>
          <w:szCs w:val="20"/>
        </w:rPr>
      </w:pPr>
      <w:r>
        <w:rPr>
          <w:sz w:val="20"/>
          <w:szCs w:val="20"/>
        </w:rPr>
        <w:t> </w:t>
      </w:r>
    </w:p>
    <w:p w14:paraId="29D463F1" w14:textId="77777777" w:rsidR="00000000" w:rsidRDefault="00847163">
      <w:pPr>
        <w:pStyle w:val="a3"/>
        <w:spacing w:before="0" w:beforeAutospacing="0" w:after="0" w:afterAutospacing="0"/>
        <w:jc w:val="both"/>
        <w:rPr>
          <w:sz w:val="20"/>
          <w:szCs w:val="20"/>
        </w:rPr>
      </w:pPr>
      <w:r>
        <w:rPr>
          <w:i/>
          <w:iCs/>
          <w:sz w:val="20"/>
          <w:szCs w:val="20"/>
        </w:rPr>
        <w:t>Common Stoc</w:t>
      </w:r>
      <w:r>
        <w:rPr>
          <w:i/>
          <w:iCs/>
          <w:sz w:val="20"/>
          <w:szCs w:val="20"/>
        </w:rPr>
        <w:t>k –</w:t>
      </w:r>
    </w:p>
    <w:p w14:paraId="540ADF67" w14:textId="77777777" w:rsidR="00000000" w:rsidRDefault="00847163">
      <w:pPr>
        <w:pStyle w:val="a3"/>
        <w:spacing w:before="0" w:beforeAutospacing="0" w:after="0" w:afterAutospacing="0"/>
        <w:jc w:val="both"/>
        <w:rPr>
          <w:sz w:val="20"/>
          <w:szCs w:val="20"/>
        </w:rPr>
      </w:pPr>
      <w:r>
        <w:rPr>
          <w:i/>
          <w:iCs/>
          <w:sz w:val="20"/>
          <w:szCs w:val="20"/>
        </w:rPr>
        <w:t> </w:t>
      </w:r>
    </w:p>
    <w:p w14:paraId="40295DDE" w14:textId="77777777" w:rsidR="00000000" w:rsidRDefault="00847163">
      <w:pPr>
        <w:pStyle w:val="a3"/>
        <w:spacing w:before="0" w:beforeAutospacing="0" w:after="0" w:afterAutospacing="0"/>
        <w:ind w:firstLine="360"/>
        <w:jc w:val="both"/>
        <w:rPr>
          <w:sz w:val="20"/>
          <w:szCs w:val="20"/>
        </w:rPr>
      </w:pPr>
      <w:r>
        <w:rPr>
          <w:sz w:val="20"/>
          <w:szCs w:val="20"/>
        </w:rPr>
        <w:t>During September 2019, the Company established an at the market continuous offering program (the “ATM program"), pursuant to which the Company may offer and sell from time to time shares of its common stock, par value $0.01 per share, with an aggrega</w:t>
      </w:r>
      <w:r>
        <w:rPr>
          <w:sz w:val="20"/>
          <w:szCs w:val="20"/>
        </w:rPr>
        <w:t>te gross sales price of up to $500.0 million through a consortium of banks acting as sales agents. Sales of the shares of common stock may be made, as needed, from time to time in “at the market” offerings as defined in Rule 415 of the Securities Act of 19</w:t>
      </w:r>
      <w:r>
        <w:rPr>
          <w:sz w:val="20"/>
          <w:szCs w:val="20"/>
        </w:rPr>
        <w:t>33, including by means of ordinary brokers’ transactions on the New York Stock Exchange or otherwise (i) at market prices prevailing at the time of sale, (ii) at prices related to prevailing market prices or (iii) as otherwise agreed to with the applicable</w:t>
      </w:r>
      <w:r>
        <w:rPr>
          <w:sz w:val="20"/>
          <w:szCs w:val="20"/>
        </w:rPr>
        <w:t xml:space="preserve"> sales agent. The Company did not offer for sale any shares of common stock under the ATM program during the three months ended March 31, 2020.</w:t>
      </w:r>
    </w:p>
    <w:p w14:paraId="0E02D343" w14:textId="77777777" w:rsidR="00000000" w:rsidRDefault="00847163">
      <w:pPr>
        <w:pStyle w:val="a3"/>
        <w:spacing w:before="0" w:beforeAutospacing="0" w:after="0" w:afterAutospacing="0"/>
        <w:jc w:val="both"/>
        <w:rPr>
          <w:sz w:val="20"/>
          <w:szCs w:val="20"/>
        </w:rPr>
      </w:pPr>
      <w:r>
        <w:rPr>
          <w:i/>
          <w:iCs/>
          <w:sz w:val="20"/>
          <w:szCs w:val="20"/>
        </w:rPr>
        <w:t> </w:t>
      </w:r>
    </w:p>
    <w:p w14:paraId="1D6F5B01" w14:textId="77777777" w:rsidR="00000000" w:rsidRDefault="00847163">
      <w:pPr>
        <w:pStyle w:val="a3"/>
        <w:spacing w:before="0" w:beforeAutospacing="0" w:after="0" w:afterAutospacing="0"/>
        <w:ind w:firstLine="360"/>
        <w:jc w:val="both"/>
        <w:rPr>
          <w:sz w:val="20"/>
          <w:szCs w:val="20"/>
        </w:rPr>
      </w:pPr>
      <w:r>
        <w:rPr>
          <w:sz w:val="20"/>
          <w:szCs w:val="20"/>
        </w:rPr>
        <w:t>During February 2020, the Company extended its share repurchase program for a term of two years, which will expire in February 2022, pursuant to which the Company may repurchase shares of its common stock, par value $0.01 per share, with an aggregate gross</w:t>
      </w:r>
      <w:r>
        <w:rPr>
          <w:sz w:val="20"/>
          <w:szCs w:val="20"/>
        </w:rPr>
        <w:t xml:space="preserve"> purchase price of up to $300.0 million. The Company did not repurchase any shares under the share repurchase program during the three months ended March 31, 2020. As of March 31, 2020, the Company had $224.9 million available under this share repurchase p</w:t>
      </w:r>
      <w:r>
        <w:rPr>
          <w:sz w:val="20"/>
          <w:szCs w:val="20"/>
        </w:rPr>
        <w:t>rogram.</w:t>
      </w:r>
    </w:p>
    <w:p w14:paraId="5402E88A" w14:textId="77777777" w:rsidR="00000000" w:rsidRDefault="00847163">
      <w:pPr>
        <w:pStyle w:val="a3"/>
        <w:spacing w:before="0" w:beforeAutospacing="0" w:after="0" w:afterAutospacing="0"/>
        <w:ind w:firstLine="360"/>
        <w:jc w:val="both"/>
        <w:rPr>
          <w:sz w:val="20"/>
          <w:szCs w:val="20"/>
        </w:rPr>
      </w:pPr>
      <w:r>
        <w:rPr>
          <w:i/>
          <w:iCs/>
          <w:sz w:val="20"/>
          <w:szCs w:val="20"/>
        </w:rPr>
        <w:t> </w:t>
      </w:r>
    </w:p>
    <w:p w14:paraId="0E9FD24C" w14:textId="77777777" w:rsidR="00000000" w:rsidRDefault="00847163">
      <w:pPr>
        <w:jc w:val="center"/>
        <w:divId w:val="950360623"/>
        <w:rPr>
          <w:rFonts w:eastAsia="Times New Roman"/>
          <w:sz w:val="20"/>
          <w:szCs w:val="20"/>
        </w:rPr>
      </w:pPr>
      <w:r>
        <w:rPr>
          <w:rFonts w:eastAsia="Times New Roman"/>
          <w:sz w:val="20"/>
          <w:szCs w:val="20"/>
        </w:rPr>
        <w:t xml:space="preserve">25 </w:t>
      </w:r>
    </w:p>
    <w:p w14:paraId="2453711F" w14:textId="77777777" w:rsidR="00000000" w:rsidRDefault="00847163">
      <w:pPr>
        <w:divId w:val="1991783464"/>
        <w:rPr>
          <w:rFonts w:eastAsia="Times New Roman"/>
          <w:sz w:val="20"/>
          <w:szCs w:val="20"/>
        </w:rPr>
      </w:pPr>
      <w:r>
        <w:rPr>
          <w:rFonts w:eastAsia="Times New Roman"/>
          <w:sz w:val="20"/>
          <w:szCs w:val="20"/>
        </w:rPr>
        <w:pict w14:anchorId="47F00DA5">
          <v:rect id="_x0000_i1053" style="width:0;height:1.5pt" o:hralign="center" o:hrstd="t" o:hr="t" fillcolor="#a0a0a0" stroked="f"/>
        </w:pict>
      </w:r>
    </w:p>
    <w:p w14:paraId="30277EFD" w14:textId="77777777" w:rsidR="00000000" w:rsidRDefault="00847163">
      <w:pPr>
        <w:divId w:val="1801150110"/>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763F89BF" w14:textId="77777777" w:rsidR="00000000" w:rsidRDefault="00847163">
      <w:pPr>
        <w:pStyle w:val="a3"/>
        <w:spacing w:before="0" w:beforeAutospacing="0" w:after="0" w:afterAutospacing="0"/>
        <w:rPr>
          <w:sz w:val="20"/>
          <w:szCs w:val="20"/>
        </w:rPr>
      </w:pPr>
      <w:r>
        <w:rPr>
          <w:i/>
          <w:iCs/>
          <w:sz w:val="20"/>
          <w:szCs w:val="20"/>
        </w:rPr>
        <w:t> </w:t>
      </w:r>
    </w:p>
    <w:p w14:paraId="7E945C6B" w14:textId="77777777" w:rsidR="00000000" w:rsidRDefault="00847163">
      <w:pPr>
        <w:pStyle w:val="a3"/>
        <w:spacing w:before="0" w:beforeAutospacing="0" w:after="0" w:afterAutospacing="0"/>
        <w:jc w:val="both"/>
        <w:rPr>
          <w:sz w:val="20"/>
          <w:szCs w:val="20"/>
        </w:rPr>
      </w:pPr>
      <w:r>
        <w:rPr>
          <w:i/>
          <w:iCs/>
          <w:sz w:val="20"/>
          <w:szCs w:val="20"/>
        </w:rPr>
        <w:t>Senior Notes –</w:t>
      </w:r>
    </w:p>
    <w:p w14:paraId="1CAA74C7" w14:textId="77777777" w:rsidR="00000000" w:rsidRDefault="00847163">
      <w:pPr>
        <w:pStyle w:val="a3"/>
        <w:spacing w:before="0" w:beforeAutospacing="0" w:after="0" w:afterAutospacing="0"/>
        <w:jc w:val="both"/>
        <w:rPr>
          <w:sz w:val="20"/>
          <w:szCs w:val="20"/>
        </w:rPr>
      </w:pPr>
      <w:r>
        <w:rPr>
          <w:sz w:val="20"/>
          <w:szCs w:val="20"/>
        </w:rPr>
        <w:t> </w:t>
      </w:r>
    </w:p>
    <w:p w14:paraId="524EAC2A" w14:textId="77777777" w:rsidR="00000000" w:rsidRDefault="00847163">
      <w:pPr>
        <w:pStyle w:val="a3"/>
        <w:spacing w:before="0" w:beforeAutospacing="0" w:after="0" w:afterAutospacing="0"/>
        <w:ind w:firstLine="360"/>
        <w:jc w:val="both"/>
        <w:rPr>
          <w:sz w:val="20"/>
          <w:szCs w:val="20"/>
        </w:rPr>
      </w:pPr>
      <w:r>
        <w:rPr>
          <w:sz w:val="20"/>
          <w:szCs w:val="20"/>
        </w:rPr>
        <w:t>The Company’s supplemental indenture governing its senior notes contains the following covenants, all of which the Company is compliant with:</w:t>
      </w:r>
    </w:p>
    <w:p w14:paraId="2F2FB81A" w14:textId="77777777" w:rsidR="00000000" w:rsidRDefault="00847163">
      <w:pPr>
        <w:pStyle w:val="a3"/>
        <w:spacing w:before="0" w:beforeAutospacing="0" w:after="0" w:afterAutospacing="0"/>
        <w:ind w:firstLine="360"/>
        <w:rPr>
          <w:sz w:val="20"/>
          <w:szCs w:val="20"/>
        </w:rPr>
      </w:pPr>
      <w:r>
        <w:rPr>
          <w:sz w:val="20"/>
          <w:szCs w:val="20"/>
        </w:rPr>
        <w:t> </w:t>
      </w:r>
    </w:p>
    <w:tbl>
      <w:tblPr>
        <w:tblW w:w="4750" w:type="pct"/>
        <w:tblCellSpacing w:w="0" w:type="dxa"/>
        <w:tblInd w:w="2" w:type="dxa"/>
        <w:tblCellMar>
          <w:left w:w="0" w:type="dxa"/>
          <w:right w:w="0" w:type="dxa"/>
        </w:tblCellMar>
        <w:tblLook w:val="04A0" w:firstRow="1" w:lastRow="0" w:firstColumn="1" w:lastColumn="0" w:noHBand="0" w:noVBand="1"/>
      </w:tblPr>
      <w:tblGrid>
        <w:gridCol w:w="4971"/>
        <w:gridCol w:w="158"/>
        <w:gridCol w:w="868"/>
        <w:gridCol w:w="158"/>
        <w:gridCol w:w="1736"/>
      </w:tblGrid>
      <w:tr w:rsidR="00000000" w14:paraId="2083ED00" w14:textId="77777777">
        <w:trPr>
          <w:tblCellSpacing w:w="0" w:type="dxa"/>
        </w:trPr>
        <w:tc>
          <w:tcPr>
            <w:tcW w:w="3150" w:type="pct"/>
            <w:tcBorders>
              <w:bottom w:val="single" w:sz="6" w:space="0" w:color="000000"/>
            </w:tcBorders>
            <w:hideMark/>
          </w:tcPr>
          <w:p w14:paraId="54B6860D" w14:textId="77777777" w:rsidR="00000000" w:rsidRDefault="00847163">
            <w:pPr>
              <w:pStyle w:val="a3"/>
              <w:spacing w:before="0" w:beforeAutospacing="0" w:after="0" w:afterAutospacing="0"/>
              <w:jc w:val="center"/>
              <w:rPr>
                <w:sz w:val="20"/>
                <w:szCs w:val="20"/>
              </w:rPr>
            </w:pPr>
            <w:r>
              <w:rPr>
                <w:b/>
                <w:bCs/>
                <w:sz w:val="20"/>
                <w:szCs w:val="20"/>
              </w:rPr>
              <w:t>Covenant</w:t>
            </w:r>
          </w:p>
        </w:tc>
        <w:tc>
          <w:tcPr>
            <w:tcW w:w="100" w:type="pct"/>
            <w:hideMark/>
          </w:tcPr>
          <w:p w14:paraId="79417AEF" w14:textId="77777777" w:rsidR="00000000" w:rsidRDefault="00847163">
            <w:pPr>
              <w:rPr>
                <w:rFonts w:eastAsia="Times New Roman"/>
                <w:sz w:val="20"/>
                <w:szCs w:val="20"/>
              </w:rPr>
            </w:pPr>
            <w:r>
              <w:rPr>
                <w:rFonts w:eastAsia="Times New Roman"/>
                <w:sz w:val="20"/>
                <w:szCs w:val="20"/>
              </w:rPr>
              <w:t> </w:t>
            </w:r>
          </w:p>
        </w:tc>
        <w:tc>
          <w:tcPr>
            <w:tcW w:w="550" w:type="pct"/>
            <w:tcBorders>
              <w:bottom w:val="single" w:sz="6" w:space="0" w:color="000000"/>
            </w:tcBorders>
            <w:hideMark/>
          </w:tcPr>
          <w:p w14:paraId="60161756" w14:textId="77777777" w:rsidR="00000000" w:rsidRDefault="00847163">
            <w:pPr>
              <w:pStyle w:val="a3"/>
              <w:spacing w:before="0" w:beforeAutospacing="0" w:after="0" w:afterAutospacing="0"/>
              <w:jc w:val="center"/>
              <w:rPr>
                <w:sz w:val="20"/>
                <w:szCs w:val="20"/>
              </w:rPr>
            </w:pPr>
            <w:r>
              <w:rPr>
                <w:b/>
                <w:bCs/>
                <w:sz w:val="20"/>
                <w:szCs w:val="20"/>
              </w:rPr>
              <w:t>Must Be</w:t>
            </w:r>
          </w:p>
        </w:tc>
        <w:tc>
          <w:tcPr>
            <w:tcW w:w="100" w:type="pct"/>
            <w:hideMark/>
          </w:tcPr>
          <w:p w14:paraId="4A8A2977" w14:textId="77777777" w:rsidR="00000000" w:rsidRDefault="00847163">
            <w:pPr>
              <w:rPr>
                <w:rFonts w:eastAsia="Times New Roman"/>
                <w:sz w:val="20"/>
                <w:szCs w:val="20"/>
              </w:rPr>
            </w:pPr>
            <w:r>
              <w:rPr>
                <w:rFonts w:eastAsia="Times New Roman"/>
                <w:sz w:val="20"/>
                <w:szCs w:val="20"/>
              </w:rPr>
              <w:t> </w:t>
            </w:r>
          </w:p>
        </w:tc>
        <w:tc>
          <w:tcPr>
            <w:tcW w:w="1100" w:type="pct"/>
            <w:tcBorders>
              <w:bottom w:val="single" w:sz="6" w:space="0" w:color="000000"/>
            </w:tcBorders>
            <w:hideMark/>
          </w:tcPr>
          <w:p w14:paraId="3165914C" w14:textId="77777777" w:rsidR="00000000" w:rsidRDefault="00847163">
            <w:pPr>
              <w:pStyle w:val="a3"/>
              <w:spacing w:before="0" w:beforeAutospacing="0" w:after="0" w:afterAutospacing="0"/>
              <w:jc w:val="center"/>
              <w:rPr>
                <w:sz w:val="20"/>
                <w:szCs w:val="20"/>
              </w:rPr>
            </w:pPr>
            <w:r>
              <w:rPr>
                <w:b/>
                <w:bCs/>
                <w:sz w:val="20"/>
                <w:szCs w:val="20"/>
              </w:rPr>
              <w:t>As of March 31, 2020</w:t>
            </w:r>
          </w:p>
        </w:tc>
      </w:tr>
      <w:tr w:rsidR="00000000" w14:paraId="6AF0B347" w14:textId="77777777">
        <w:trPr>
          <w:tblCellSpacing w:w="0" w:type="dxa"/>
        </w:trPr>
        <w:tc>
          <w:tcPr>
            <w:tcW w:w="3150" w:type="pct"/>
            <w:shd w:val="clear" w:color="auto" w:fill="CCEEFF"/>
            <w:hideMark/>
          </w:tcPr>
          <w:p w14:paraId="0027CB0E" w14:textId="77777777" w:rsidR="00000000" w:rsidRDefault="00847163">
            <w:pPr>
              <w:pStyle w:val="a3"/>
              <w:spacing w:before="0" w:beforeAutospacing="0" w:after="0" w:afterAutospacing="0"/>
              <w:ind w:left="168" w:hanging="168"/>
              <w:rPr>
                <w:sz w:val="20"/>
                <w:szCs w:val="20"/>
              </w:rPr>
            </w:pPr>
            <w:r>
              <w:rPr>
                <w:sz w:val="20"/>
                <w:szCs w:val="20"/>
              </w:rPr>
              <w:t>Consolidated Indebtedness to Total Assets</w:t>
            </w:r>
          </w:p>
        </w:tc>
        <w:tc>
          <w:tcPr>
            <w:tcW w:w="100" w:type="pct"/>
            <w:shd w:val="clear" w:color="auto" w:fill="CCEEFF"/>
            <w:vAlign w:val="bottom"/>
            <w:hideMark/>
          </w:tcPr>
          <w:p w14:paraId="11A59874" w14:textId="77777777" w:rsidR="00000000" w:rsidRDefault="00847163">
            <w:pPr>
              <w:rPr>
                <w:rFonts w:eastAsia="Times New Roman"/>
                <w:sz w:val="20"/>
                <w:szCs w:val="20"/>
              </w:rPr>
            </w:pPr>
            <w:r>
              <w:rPr>
                <w:rFonts w:eastAsia="Times New Roman"/>
                <w:sz w:val="20"/>
                <w:szCs w:val="20"/>
              </w:rPr>
              <w:t> </w:t>
            </w:r>
          </w:p>
        </w:tc>
        <w:tc>
          <w:tcPr>
            <w:tcW w:w="550" w:type="pct"/>
            <w:shd w:val="clear" w:color="auto" w:fill="CCEEFF"/>
            <w:vAlign w:val="bottom"/>
            <w:hideMark/>
          </w:tcPr>
          <w:p w14:paraId="18D64EBF" w14:textId="77777777" w:rsidR="00000000" w:rsidRDefault="00847163">
            <w:pPr>
              <w:pStyle w:val="a3"/>
              <w:spacing w:before="0" w:beforeAutospacing="0" w:after="0" w:afterAutospacing="0"/>
              <w:jc w:val="center"/>
              <w:rPr>
                <w:sz w:val="20"/>
                <w:szCs w:val="20"/>
              </w:rPr>
            </w:pPr>
            <w:r>
              <w:rPr>
                <w:sz w:val="20"/>
                <w:szCs w:val="20"/>
              </w:rPr>
              <w:t>&lt;65%</w:t>
            </w:r>
          </w:p>
        </w:tc>
        <w:tc>
          <w:tcPr>
            <w:tcW w:w="100" w:type="pct"/>
            <w:shd w:val="clear" w:color="auto" w:fill="CCEEFF"/>
            <w:vAlign w:val="bottom"/>
            <w:hideMark/>
          </w:tcPr>
          <w:p w14:paraId="7097A47F" w14:textId="77777777" w:rsidR="00000000" w:rsidRDefault="00847163">
            <w:pPr>
              <w:rPr>
                <w:rFonts w:eastAsia="Times New Roman"/>
                <w:sz w:val="20"/>
                <w:szCs w:val="20"/>
              </w:rPr>
            </w:pPr>
            <w:r>
              <w:rPr>
                <w:rFonts w:eastAsia="Times New Roman"/>
                <w:sz w:val="20"/>
                <w:szCs w:val="20"/>
              </w:rPr>
              <w:t> </w:t>
            </w:r>
          </w:p>
        </w:tc>
        <w:tc>
          <w:tcPr>
            <w:tcW w:w="1100" w:type="pct"/>
            <w:shd w:val="clear" w:color="auto" w:fill="CCEEFF"/>
            <w:vAlign w:val="bottom"/>
            <w:hideMark/>
          </w:tcPr>
          <w:p w14:paraId="048E877F" w14:textId="77777777" w:rsidR="00000000" w:rsidRDefault="00847163">
            <w:pPr>
              <w:pStyle w:val="a3"/>
              <w:spacing w:before="0" w:beforeAutospacing="0" w:after="0" w:afterAutospacing="0"/>
              <w:jc w:val="center"/>
              <w:rPr>
                <w:sz w:val="20"/>
                <w:szCs w:val="20"/>
              </w:rPr>
            </w:pPr>
            <w:r>
              <w:rPr>
                <w:sz w:val="20"/>
                <w:szCs w:val="20"/>
              </w:rPr>
              <w:t>43%</w:t>
            </w:r>
          </w:p>
        </w:tc>
      </w:tr>
      <w:tr w:rsidR="00000000" w14:paraId="7F5D55B9" w14:textId="77777777">
        <w:trPr>
          <w:tblCellSpacing w:w="0" w:type="dxa"/>
        </w:trPr>
        <w:tc>
          <w:tcPr>
            <w:tcW w:w="3150" w:type="pct"/>
            <w:shd w:val="clear" w:color="auto" w:fill="FFFFFF"/>
            <w:hideMark/>
          </w:tcPr>
          <w:p w14:paraId="2F1AA813" w14:textId="77777777" w:rsidR="00000000" w:rsidRDefault="00847163">
            <w:pPr>
              <w:pStyle w:val="a3"/>
              <w:spacing w:before="0" w:beforeAutospacing="0" w:after="0" w:afterAutospacing="0"/>
              <w:ind w:left="168" w:hanging="168"/>
              <w:rPr>
                <w:sz w:val="20"/>
                <w:szCs w:val="20"/>
              </w:rPr>
            </w:pPr>
            <w:r>
              <w:rPr>
                <w:sz w:val="20"/>
                <w:szCs w:val="20"/>
              </w:rPr>
              <w:t>Consolidated Secured Indebtedness to Total Assets</w:t>
            </w:r>
          </w:p>
        </w:tc>
        <w:tc>
          <w:tcPr>
            <w:tcW w:w="100" w:type="pct"/>
            <w:shd w:val="clear" w:color="auto" w:fill="FFFFFF"/>
            <w:vAlign w:val="bottom"/>
            <w:hideMark/>
          </w:tcPr>
          <w:p w14:paraId="2CAEAF5B" w14:textId="77777777" w:rsidR="00000000" w:rsidRDefault="00847163">
            <w:pPr>
              <w:rPr>
                <w:rFonts w:eastAsia="Times New Roman"/>
                <w:sz w:val="20"/>
                <w:szCs w:val="20"/>
              </w:rPr>
            </w:pPr>
            <w:r>
              <w:rPr>
                <w:rFonts w:eastAsia="Times New Roman"/>
                <w:sz w:val="20"/>
                <w:szCs w:val="20"/>
              </w:rPr>
              <w:t> </w:t>
            </w:r>
          </w:p>
        </w:tc>
        <w:tc>
          <w:tcPr>
            <w:tcW w:w="550" w:type="pct"/>
            <w:shd w:val="clear" w:color="auto" w:fill="FFFFFF"/>
            <w:vAlign w:val="bottom"/>
            <w:hideMark/>
          </w:tcPr>
          <w:p w14:paraId="4489F05A" w14:textId="77777777" w:rsidR="00000000" w:rsidRDefault="00847163">
            <w:pPr>
              <w:pStyle w:val="a3"/>
              <w:spacing w:before="0" w:beforeAutospacing="0" w:after="0" w:afterAutospacing="0"/>
              <w:jc w:val="center"/>
              <w:rPr>
                <w:sz w:val="20"/>
                <w:szCs w:val="20"/>
              </w:rPr>
            </w:pPr>
            <w:r>
              <w:rPr>
                <w:sz w:val="20"/>
                <w:szCs w:val="20"/>
              </w:rPr>
              <w:t>&lt;40%</w:t>
            </w:r>
          </w:p>
        </w:tc>
        <w:tc>
          <w:tcPr>
            <w:tcW w:w="100" w:type="pct"/>
            <w:shd w:val="clear" w:color="auto" w:fill="FFFFFF"/>
            <w:vAlign w:val="bottom"/>
            <w:hideMark/>
          </w:tcPr>
          <w:p w14:paraId="7AD692AB" w14:textId="77777777" w:rsidR="00000000" w:rsidRDefault="00847163">
            <w:pPr>
              <w:rPr>
                <w:rFonts w:eastAsia="Times New Roman"/>
                <w:sz w:val="20"/>
                <w:szCs w:val="20"/>
              </w:rPr>
            </w:pPr>
            <w:r>
              <w:rPr>
                <w:rFonts w:eastAsia="Times New Roman"/>
                <w:sz w:val="20"/>
                <w:szCs w:val="20"/>
              </w:rPr>
              <w:t> </w:t>
            </w:r>
          </w:p>
        </w:tc>
        <w:tc>
          <w:tcPr>
            <w:tcW w:w="1100" w:type="pct"/>
            <w:shd w:val="clear" w:color="auto" w:fill="FFFFFF"/>
            <w:vAlign w:val="bottom"/>
            <w:hideMark/>
          </w:tcPr>
          <w:p w14:paraId="14C5B27E" w14:textId="77777777" w:rsidR="00000000" w:rsidRDefault="00847163">
            <w:pPr>
              <w:pStyle w:val="a3"/>
              <w:spacing w:before="0" w:beforeAutospacing="0" w:after="0" w:afterAutospacing="0"/>
              <w:jc w:val="center"/>
              <w:rPr>
                <w:sz w:val="20"/>
                <w:szCs w:val="20"/>
              </w:rPr>
            </w:pPr>
            <w:r>
              <w:rPr>
                <w:sz w:val="20"/>
                <w:szCs w:val="20"/>
              </w:rPr>
              <w:t>3%</w:t>
            </w:r>
          </w:p>
        </w:tc>
      </w:tr>
      <w:tr w:rsidR="00000000" w14:paraId="05251293" w14:textId="77777777">
        <w:trPr>
          <w:tblCellSpacing w:w="0" w:type="dxa"/>
        </w:trPr>
        <w:tc>
          <w:tcPr>
            <w:tcW w:w="3150" w:type="pct"/>
            <w:shd w:val="clear" w:color="auto" w:fill="CCEEFF"/>
            <w:hideMark/>
          </w:tcPr>
          <w:p w14:paraId="3AAEA520" w14:textId="77777777" w:rsidR="00000000" w:rsidRDefault="00847163">
            <w:pPr>
              <w:pStyle w:val="a3"/>
              <w:spacing w:before="0" w:beforeAutospacing="0" w:after="0" w:afterAutospacing="0"/>
              <w:ind w:left="168" w:hanging="168"/>
              <w:rPr>
                <w:sz w:val="20"/>
                <w:szCs w:val="20"/>
              </w:rPr>
            </w:pPr>
            <w:r>
              <w:rPr>
                <w:sz w:val="20"/>
                <w:szCs w:val="20"/>
              </w:rPr>
              <w:t>Consolidated Income Available for Debt Service to Maximum Annual Service Charge</w:t>
            </w:r>
          </w:p>
        </w:tc>
        <w:tc>
          <w:tcPr>
            <w:tcW w:w="100" w:type="pct"/>
            <w:shd w:val="clear" w:color="auto" w:fill="CCEEFF"/>
            <w:vAlign w:val="bottom"/>
            <w:hideMark/>
          </w:tcPr>
          <w:p w14:paraId="59018D79" w14:textId="77777777" w:rsidR="00000000" w:rsidRDefault="00847163">
            <w:pPr>
              <w:rPr>
                <w:rFonts w:eastAsia="Times New Roman"/>
                <w:sz w:val="20"/>
                <w:szCs w:val="20"/>
              </w:rPr>
            </w:pPr>
            <w:r>
              <w:rPr>
                <w:rFonts w:eastAsia="Times New Roman"/>
                <w:sz w:val="20"/>
                <w:szCs w:val="20"/>
              </w:rPr>
              <w:t> </w:t>
            </w:r>
          </w:p>
        </w:tc>
        <w:tc>
          <w:tcPr>
            <w:tcW w:w="550" w:type="pct"/>
            <w:shd w:val="clear" w:color="auto" w:fill="CCEEFF"/>
            <w:vAlign w:val="bottom"/>
            <w:hideMark/>
          </w:tcPr>
          <w:p w14:paraId="2B9D346C" w14:textId="77777777" w:rsidR="00000000" w:rsidRDefault="00847163">
            <w:pPr>
              <w:pStyle w:val="a3"/>
              <w:spacing w:before="0" w:beforeAutospacing="0" w:after="0" w:afterAutospacing="0"/>
              <w:jc w:val="center"/>
              <w:rPr>
                <w:sz w:val="20"/>
                <w:szCs w:val="20"/>
              </w:rPr>
            </w:pPr>
            <w:r>
              <w:rPr>
                <w:sz w:val="20"/>
                <w:szCs w:val="20"/>
              </w:rPr>
              <w:t>&gt;1.50x</w:t>
            </w:r>
          </w:p>
        </w:tc>
        <w:tc>
          <w:tcPr>
            <w:tcW w:w="100" w:type="pct"/>
            <w:shd w:val="clear" w:color="auto" w:fill="CCEEFF"/>
            <w:vAlign w:val="bottom"/>
            <w:hideMark/>
          </w:tcPr>
          <w:p w14:paraId="48F0E86D" w14:textId="77777777" w:rsidR="00000000" w:rsidRDefault="00847163">
            <w:pPr>
              <w:rPr>
                <w:rFonts w:eastAsia="Times New Roman"/>
                <w:sz w:val="20"/>
                <w:szCs w:val="20"/>
              </w:rPr>
            </w:pPr>
            <w:r>
              <w:rPr>
                <w:rFonts w:eastAsia="Times New Roman"/>
                <w:sz w:val="20"/>
                <w:szCs w:val="20"/>
              </w:rPr>
              <w:t> </w:t>
            </w:r>
          </w:p>
        </w:tc>
        <w:tc>
          <w:tcPr>
            <w:tcW w:w="1100" w:type="pct"/>
            <w:shd w:val="clear" w:color="auto" w:fill="CCEEFF"/>
            <w:vAlign w:val="bottom"/>
            <w:hideMark/>
          </w:tcPr>
          <w:p w14:paraId="5D118B97" w14:textId="77777777" w:rsidR="00000000" w:rsidRDefault="00847163">
            <w:pPr>
              <w:pStyle w:val="a3"/>
              <w:spacing w:before="0" w:beforeAutospacing="0" w:after="0" w:afterAutospacing="0"/>
              <w:jc w:val="center"/>
              <w:rPr>
                <w:sz w:val="20"/>
                <w:szCs w:val="20"/>
              </w:rPr>
            </w:pPr>
            <w:r>
              <w:rPr>
                <w:sz w:val="20"/>
                <w:szCs w:val="20"/>
              </w:rPr>
              <w:t>4.7x</w:t>
            </w:r>
          </w:p>
        </w:tc>
      </w:tr>
      <w:tr w:rsidR="00000000" w14:paraId="5945F800" w14:textId="77777777">
        <w:trPr>
          <w:tblCellSpacing w:w="0" w:type="dxa"/>
        </w:trPr>
        <w:tc>
          <w:tcPr>
            <w:tcW w:w="3150" w:type="pct"/>
            <w:shd w:val="clear" w:color="auto" w:fill="FFFFFF"/>
            <w:hideMark/>
          </w:tcPr>
          <w:p w14:paraId="7A464865" w14:textId="77777777" w:rsidR="00000000" w:rsidRDefault="00847163">
            <w:pPr>
              <w:pStyle w:val="a3"/>
              <w:spacing w:before="0" w:beforeAutospacing="0" w:after="0" w:afterAutospacing="0"/>
              <w:ind w:left="168" w:hanging="168"/>
              <w:rPr>
                <w:sz w:val="20"/>
                <w:szCs w:val="20"/>
              </w:rPr>
            </w:pPr>
            <w:r>
              <w:rPr>
                <w:sz w:val="20"/>
                <w:szCs w:val="20"/>
              </w:rPr>
              <w:t>Unencumbered Total Asset Value to Consolidated Unsecured Indebtedness</w:t>
            </w:r>
          </w:p>
        </w:tc>
        <w:tc>
          <w:tcPr>
            <w:tcW w:w="100" w:type="pct"/>
            <w:shd w:val="clear" w:color="auto" w:fill="FFFFFF"/>
            <w:vAlign w:val="bottom"/>
            <w:hideMark/>
          </w:tcPr>
          <w:p w14:paraId="75545754" w14:textId="77777777" w:rsidR="00000000" w:rsidRDefault="00847163">
            <w:pPr>
              <w:rPr>
                <w:rFonts w:eastAsia="Times New Roman"/>
                <w:sz w:val="20"/>
                <w:szCs w:val="20"/>
              </w:rPr>
            </w:pPr>
            <w:r>
              <w:rPr>
                <w:rFonts w:eastAsia="Times New Roman"/>
                <w:sz w:val="20"/>
                <w:szCs w:val="20"/>
              </w:rPr>
              <w:t> </w:t>
            </w:r>
          </w:p>
        </w:tc>
        <w:tc>
          <w:tcPr>
            <w:tcW w:w="550" w:type="pct"/>
            <w:shd w:val="clear" w:color="auto" w:fill="FFFFFF"/>
            <w:vAlign w:val="bottom"/>
            <w:hideMark/>
          </w:tcPr>
          <w:p w14:paraId="3FA72F78" w14:textId="77777777" w:rsidR="00000000" w:rsidRDefault="00847163">
            <w:pPr>
              <w:pStyle w:val="a3"/>
              <w:spacing w:before="0" w:beforeAutospacing="0" w:after="0" w:afterAutospacing="0"/>
              <w:jc w:val="center"/>
              <w:rPr>
                <w:sz w:val="20"/>
                <w:szCs w:val="20"/>
              </w:rPr>
            </w:pPr>
            <w:r>
              <w:rPr>
                <w:sz w:val="20"/>
                <w:szCs w:val="20"/>
              </w:rPr>
              <w:t>&gt;1.50x</w:t>
            </w:r>
          </w:p>
        </w:tc>
        <w:tc>
          <w:tcPr>
            <w:tcW w:w="100" w:type="pct"/>
            <w:shd w:val="clear" w:color="auto" w:fill="FFFFFF"/>
            <w:vAlign w:val="bottom"/>
            <w:hideMark/>
          </w:tcPr>
          <w:p w14:paraId="0BD4F579" w14:textId="77777777" w:rsidR="00000000" w:rsidRDefault="00847163">
            <w:pPr>
              <w:rPr>
                <w:rFonts w:eastAsia="Times New Roman"/>
                <w:sz w:val="20"/>
                <w:szCs w:val="20"/>
              </w:rPr>
            </w:pPr>
            <w:r>
              <w:rPr>
                <w:rFonts w:eastAsia="Times New Roman"/>
                <w:sz w:val="20"/>
                <w:szCs w:val="20"/>
              </w:rPr>
              <w:t> </w:t>
            </w:r>
          </w:p>
        </w:tc>
        <w:tc>
          <w:tcPr>
            <w:tcW w:w="1100" w:type="pct"/>
            <w:shd w:val="clear" w:color="auto" w:fill="FFFFFF"/>
            <w:vAlign w:val="bottom"/>
            <w:hideMark/>
          </w:tcPr>
          <w:p w14:paraId="03D9E57F" w14:textId="77777777" w:rsidR="00000000" w:rsidRDefault="00847163">
            <w:pPr>
              <w:pStyle w:val="a3"/>
              <w:spacing w:before="0" w:beforeAutospacing="0" w:after="0" w:afterAutospacing="0"/>
              <w:jc w:val="center"/>
              <w:rPr>
                <w:sz w:val="20"/>
                <w:szCs w:val="20"/>
              </w:rPr>
            </w:pPr>
            <w:r>
              <w:rPr>
                <w:sz w:val="20"/>
                <w:szCs w:val="20"/>
              </w:rPr>
              <w:t>2.3x</w:t>
            </w:r>
          </w:p>
        </w:tc>
      </w:tr>
    </w:tbl>
    <w:p w14:paraId="6C48010C" w14:textId="77777777" w:rsidR="00000000" w:rsidRDefault="00847163">
      <w:pPr>
        <w:pStyle w:val="a3"/>
        <w:spacing w:before="0" w:beforeAutospacing="0" w:after="0" w:afterAutospacing="0"/>
        <w:ind w:firstLine="360"/>
        <w:jc w:val="both"/>
        <w:rPr>
          <w:sz w:val="20"/>
          <w:szCs w:val="20"/>
        </w:rPr>
      </w:pPr>
      <w:r>
        <w:rPr>
          <w:sz w:val="20"/>
          <w:szCs w:val="20"/>
        </w:rPr>
        <w:t> </w:t>
      </w:r>
    </w:p>
    <w:p w14:paraId="215D1C87" w14:textId="77777777" w:rsidR="00000000" w:rsidRDefault="00847163">
      <w:pPr>
        <w:pStyle w:val="a3"/>
        <w:spacing w:before="0" w:beforeAutospacing="0" w:after="0" w:afterAutospacing="0"/>
        <w:ind w:firstLine="360"/>
        <w:jc w:val="both"/>
        <w:rPr>
          <w:sz w:val="20"/>
          <w:szCs w:val="20"/>
        </w:rPr>
      </w:pPr>
      <w:r>
        <w:rPr>
          <w:sz w:val="20"/>
          <w:szCs w:val="20"/>
        </w:rPr>
        <w:t xml:space="preserve">For a full description of the various indenture covenants, refer to the Indenture dated September 1, 1993; the First Supplemental Indenture dated August 4, 1994; the Second Supplemental Indenture dated April 7, 1995; the Third Supplemental Indenture dated </w:t>
      </w:r>
      <w:r>
        <w:rPr>
          <w:sz w:val="20"/>
          <w:szCs w:val="20"/>
        </w:rPr>
        <w:t>June 2, 2006; the Fourth Supplemental Indenture dated April 26, 2007; the Fifth Supplemental Indenture dated as of September 24, 2009; the Sixth Supplemental Indenture dated as of May 23, 2013; and the Seventh Supplemental Indenture dated as of April 24, 2</w:t>
      </w:r>
      <w:r>
        <w:rPr>
          <w:sz w:val="20"/>
          <w:szCs w:val="20"/>
        </w:rPr>
        <w:t>014, each as filed with the SEC. See the Exhibits Index to our Annual Report on Form 10-K for the year ended December 31, 2019 for specific filing information.</w:t>
      </w:r>
    </w:p>
    <w:p w14:paraId="0C1C2191" w14:textId="77777777" w:rsidR="00000000" w:rsidRDefault="00847163">
      <w:pPr>
        <w:pStyle w:val="a3"/>
        <w:spacing w:before="0" w:beforeAutospacing="0" w:after="0" w:afterAutospacing="0"/>
        <w:ind w:firstLine="360"/>
        <w:jc w:val="both"/>
        <w:rPr>
          <w:sz w:val="20"/>
          <w:szCs w:val="20"/>
        </w:rPr>
      </w:pPr>
      <w:r>
        <w:rPr>
          <w:sz w:val="20"/>
          <w:szCs w:val="20"/>
        </w:rPr>
        <w:t> </w:t>
      </w:r>
    </w:p>
    <w:p w14:paraId="2E4065D5" w14:textId="77777777" w:rsidR="00000000" w:rsidRDefault="00847163">
      <w:pPr>
        <w:pStyle w:val="a3"/>
        <w:spacing w:before="0" w:beforeAutospacing="0" w:after="0" w:afterAutospacing="0"/>
        <w:jc w:val="both"/>
        <w:rPr>
          <w:sz w:val="20"/>
          <w:szCs w:val="20"/>
        </w:rPr>
      </w:pPr>
      <w:r>
        <w:rPr>
          <w:i/>
          <w:iCs/>
          <w:sz w:val="20"/>
          <w:szCs w:val="20"/>
        </w:rPr>
        <w:t>Credit Facility –</w:t>
      </w:r>
    </w:p>
    <w:p w14:paraId="778F7205" w14:textId="77777777" w:rsidR="00000000" w:rsidRDefault="00847163">
      <w:pPr>
        <w:pStyle w:val="a3"/>
        <w:spacing w:before="0" w:beforeAutospacing="0" w:after="0" w:afterAutospacing="0"/>
        <w:ind w:firstLine="360"/>
        <w:jc w:val="both"/>
        <w:rPr>
          <w:sz w:val="20"/>
          <w:szCs w:val="20"/>
        </w:rPr>
      </w:pPr>
      <w:r>
        <w:rPr>
          <w:sz w:val="20"/>
          <w:szCs w:val="20"/>
        </w:rPr>
        <w:t> </w:t>
      </w:r>
    </w:p>
    <w:p w14:paraId="55161B42" w14:textId="77777777" w:rsidR="00000000" w:rsidRDefault="00847163">
      <w:pPr>
        <w:pStyle w:val="a3"/>
        <w:spacing w:before="0" w:beforeAutospacing="0" w:after="0" w:afterAutospacing="0"/>
        <w:ind w:firstLine="360"/>
        <w:jc w:val="both"/>
        <w:rPr>
          <w:sz w:val="20"/>
          <w:szCs w:val="20"/>
        </w:rPr>
      </w:pPr>
      <w:r>
        <w:rPr>
          <w:sz w:val="20"/>
          <w:szCs w:val="20"/>
        </w:rPr>
        <w:t>In February 2020, the Company closed on a new $2.0 billion Credit Facility</w:t>
      </w:r>
      <w:r>
        <w:rPr>
          <w:sz w:val="20"/>
          <w:szCs w:val="20"/>
        </w:rPr>
        <w:t> with a group of banks, which replaced the Company’s existing $2.25 billion unsecured revolving credit facility. The Credit Facility is scheduled to expire in March 2024, with two additional six-month options to extend the maturity date, at the Company’s d</w:t>
      </w:r>
      <w:r>
        <w:rPr>
          <w:sz w:val="20"/>
          <w:szCs w:val="20"/>
        </w:rPr>
        <w:t xml:space="preserve">iscretion, to March 2025. The Credit Facility, which accrues interest at a rate of LIBOR plus 77.5 basis points (1.76% as of March 31, 2020), can be increased to $2.75 billion through an accordion feature. Pursuant to the terms of the Credit Facility, the </w:t>
      </w:r>
      <w:r>
        <w:rPr>
          <w:sz w:val="20"/>
          <w:szCs w:val="20"/>
        </w:rPr>
        <w:t>Company, among other things, is subject to covenants requiring the maintenance of (i) maximum indebtedness ratios and (ii) minimum interest and fixed charge coverage ratios. As of March 31, 2020, the Credit Facility had an outstanding balance of $675.0 mil</w:t>
      </w:r>
      <w:r>
        <w:rPr>
          <w:sz w:val="20"/>
          <w:szCs w:val="20"/>
        </w:rPr>
        <w:t>lion and $0.3 million appropriated for letters of credit.</w:t>
      </w:r>
    </w:p>
    <w:p w14:paraId="4C208D1D" w14:textId="77777777" w:rsidR="00000000" w:rsidRDefault="00847163">
      <w:pPr>
        <w:pStyle w:val="a3"/>
        <w:spacing w:before="0" w:beforeAutospacing="0" w:after="0" w:afterAutospacing="0"/>
        <w:ind w:firstLine="360"/>
        <w:jc w:val="both"/>
        <w:rPr>
          <w:sz w:val="20"/>
          <w:szCs w:val="20"/>
        </w:rPr>
      </w:pPr>
      <w:r>
        <w:rPr>
          <w:sz w:val="20"/>
          <w:szCs w:val="20"/>
        </w:rPr>
        <w:t> </w:t>
      </w:r>
    </w:p>
    <w:p w14:paraId="17D27F15" w14:textId="77777777" w:rsidR="00000000" w:rsidRDefault="00847163">
      <w:pPr>
        <w:pStyle w:val="a3"/>
        <w:spacing w:before="0" w:beforeAutospacing="0" w:after="0" w:afterAutospacing="0"/>
        <w:ind w:firstLine="360"/>
        <w:jc w:val="both"/>
        <w:rPr>
          <w:sz w:val="20"/>
          <w:szCs w:val="20"/>
        </w:rPr>
      </w:pPr>
      <w:r>
        <w:rPr>
          <w:sz w:val="20"/>
          <w:szCs w:val="20"/>
        </w:rPr>
        <w:t>Pursuant to the terms of the Credit Facility, the Company, among other things, is subject to maintenance of various covenants. The Company is currently in compliance with these covenants. The fina</w:t>
      </w:r>
      <w:r>
        <w:rPr>
          <w:sz w:val="20"/>
          <w:szCs w:val="20"/>
        </w:rPr>
        <w:t>ncial covenants for the Credit Facility are as follows:</w:t>
      </w:r>
    </w:p>
    <w:p w14:paraId="0162118A" w14:textId="77777777" w:rsidR="00000000" w:rsidRDefault="00847163">
      <w:pPr>
        <w:pStyle w:val="a3"/>
        <w:spacing w:before="0" w:beforeAutospacing="0" w:after="0" w:afterAutospacing="0"/>
        <w:ind w:firstLine="360"/>
        <w:rPr>
          <w:sz w:val="20"/>
          <w:szCs w:val="20"/>
        </w:rPr>
      </w:pPr>
      <w:r>
        <w:rPr>
          <w:sz w:val="20"/>
          <w:szCs w:val="20"/>
        </w:rPr>
        <w:t> </w:t>
      </w:r>
    </w:p>
    <w:tbl>
      <w:tblPr>
        <w:tblW w:w="4750" w:type="pct"/>
        <w:tblCellSpacing w:w="0" w:type="dxa"/>
        <w:tblInd w:w="2" w:type="dxa"/>
        <w:tblCellMar>
          <w:left w:w="0" w:type="dxa"/>
          <w:right w:w="0" w:type="dxa"/>
        </w:tblCellMar>
        <w:tblLook w:val="04A0" w:firstRow="1" w:lastRow="0" w:firstColumn="1" w:lastColumn="0" w:noHBand="0" w:noVBand="1"/>
      </w:tblPr>
      <w:tblGrid>
        <w:gridCol w:w="4971"/>
        <w:gridCol w:w="158"/>
        <w:gridCol w:w="868"/>
        <w:gridCol w:w="158"/>
        <w:gridCol w:w="1736"/>
      </w:tblGrid>
      <w:tr w:rsidR="00000000" w14:paraId="24B25A2F" w14:textId="77777777">
        <w:trPr>
          <w:tblCellSpacing w:w="0" w:type="dxa"/>
        </w:trPr>
        <w:tc>
          <w:tcPr>
            <w:tcW w:w="3150" w:type="pct"/>
            <w:tcBorders>
              <w:bottom w:val="single" w:sz="6" w:space="0" w:color="000000"/>
            </w:tcBorders>
            <w:hideMark/>
          </w:tcPr>
          <w:p w14:paraId="2A47847F" w14:textId="77777777" w:rsidR="00000000" w:rsidRDefault="00847163">
            <w:pPr>
              <w:pStyle w:val="a3"/>
              <w:spacing w:before="0" w:beforeAutospacing="0" w:after="0" w:afterAutospacing="0"/>
              <w:jc w:val="center"/>
              <w:rPr>
                <w:sz w:val="20"/>
                <w:szCs w:val="20"/>
              </w:rPr>
            </w:pPr>
            <w:r>
              <w:rPr>
                <w:b/>
                <w:bCs/>
                <w:sz w:val="20"/>
                <w:szCs w:val="20"/>
              </w:rPr>
              <w:t>Covenant</w:t>
            </w:r>
          </w:p>
        </w:tc>
        <w:tc>
          <w:tcPr>
            <w:tcW w:w="100" w:type="pct"/>
            <w:hideMark/>
          </w:tcPr>
          <w:p w14:paraId="14B2B9CF" w14:textId="77777777" w:rsidR="00000000" w:rsidRDefault="00847163">
            <w:pPr>
              <w:rPr>
                <w:rFonts w:eastAsia="Times New Roman"/>
                <w:sz w:val="20"/>
                <w:szCs w:val="20"/>
              </w:rPr>
            </w:pPr>
            <w:r>
              <w:rPr>
                <w:rFonts w:eastAsia="Times New Roman"/>
                <w:sz w:val="20"/>
                <w:szCs w:val="20"/>
              </w:rPr>
              <w:t> </w:t>
            </w:r>
          </w:p>
        </w:tc>
        <w:tc>
          <w:tcPr>
            <w:tcW w:w="550" w:type="pct"/>
            <w:tcBorders>
              <w:bottom w:val="single" w:sz="6" w:space="0" w:color="000000"/>
            </w:tcBorders>
            <w:hideMark/>
          </w:tcPr>
          <w:p w14:paraId="278EE59F" w14:textId="77777777" w:rsidR="00000000" w:rsidRDefault="00847163">
            <w:pPr>
              <w:pStyle w:val="a3"/>
              <w:spacing w:before="0" w:beforeAutospacing="0" w:after="0" w:afterAutospacing="0"/>
              <w:jc w:val="center"/>
              <w:rPr>
                <w:sz w:val="20"/>
                <w:szCs w:val="20"/>
              </w:rPr>
            </w:pPr>
            <w:r>
              <w:rPr>
                <w:b/>
                <w:bCs/>
                <w:sz w:val="20"/>
                <w:szCs w:val="20"/>
              </w:rPr>
              <w:t>Must Be</w:t>
            </w:r>
          </w:p>
        </w:tc>
        <w:tc>
          <w:tcPr>
            <w:tcW w:w="100" w:type="pct"/>
            <w:hideMark/>
          </w:tcPr>
          <w:p w14:paraId="300BD56C" w14:textId="77777777" w:rsidR="00000000" w:rsidRDefault="00847163">
            <w:pPr>
              <w:rPr>
                <w:rFonts w:eastAsia="Times New Roman"/>
                <w:sz w:val="20"/>
                <w:szCs w:val="20"/>
              </w:rPr>
            </w:pPr>
            <w:r>
              <w:rPr>
                <w:rFonts w:eastAsia="Times New Roman"/>
                <w:sz w:val="20"/>
                <w:szCs w:val="20"/>
              </w:rPr>
              <w:t> </w:t>
            </w:r>
          </w:p>
        </w:tc>
        <w:tc>
          <w:tcPr>
            <w:tcW w:w="1100" w:type="pct"/>
            <w:tcBorders>
              <w:bottom w:val="single" w:sz="6" w:space="0" w:color="000000"/>
            </w:tcBorders>
            <w:hideMark/>
          </w:tcPr>
          <w:p w14:paraId="51076B75" w14:textId="77777777" w:rsidR="00000000" w:rsidRDefault="00847163">
            <w:pPr>
              <w:pStyle w:val="a3"/>
              <w:spacing w:before="0" w:beforeAutospacing="0" w:after="0" w:afterAutospacing="0"/>
              <w:jc w:val="center"/>
              <w:rPr>
                <w:sz w:val="20"/>
                <w:szCs w:val="20"/>
              </w:rPr>
            </w:pPr>
            <w:r>
              <w:rPr>
                <w:b/>
                <w:bCs/>
                <w:sz w:val="20"/>
                <w:szCs w:val="20"/>
              </w:rPr>
              <w:t>As of March 31, 2020</w:t>
            </w:r>
          </w:p>
        </w:tc>
      </w:tr>
      <w:tr w:rsidR="00000000" w14:paraId="2E9CDE7F" w14:textId="77777777">
        <w:trPr>
          <w:tblCellSpacing w:w="0" w:type="dxa"/>
        </w:trPr>
        <w:tc>
          <w:tcPr>
            <w:tcW w:w="3150" w:type="pct"/>
            <w:shd w:val="clear" w:color="auto" w:fill="CCEEFF"/>
            <w:hideMark/>
          </w:tcPr>
          <w:p w14:paraId="693A83CE" w14:textId="77777777" w:rsidR="00000000" w:rsidRDefault="00847163">
            <w:pPr>
              <w:pStyle w:val="a3"/>
              <w:spacing w:before="0" w:beforeAutospacing="0" w:after="0" w:afterAutospacing="0"/>
              <w:ind w:left="220" w:hanging="220"/>
              <w:rPr>
                <w:sz w:val="20"/>
                <w:szCs w:val="20"/>
              </w:rPr>
            </w:pPr>
            <w:r>
              <w:rPr>
                <w:sz w:val="20"/>
                <w:szCs w:val="20"/>
              </w:rPr>
              <w:t>Total Indebtedness to Gross Asset Value (“GAV”)</w:t>
            </w:r>
          </w:p>
        </w:tc>
        <w:tc>
          <w:tcPr>
            <w:tcW w:w="100" w:type="pct"/>
            <w:shd w:val="clear" w:color="auto" w:fill="CCEEFF"/>
            <w:vAlign w:val="bottom"/>
            <w:hideMark/>
          </w:tcPr>
          <w:p w14:paraId="04DF61A9" w14:textId="77777777" w:rsidR="00000000" w:rsidRDefault="00847163">
            <w:pPr>
              <w:rPr>
                <w:rFonts w:eastAsia="Times New Roman"/>
                <w:sz w:val="20"/>
                <w:szCs w:val="20"/>
              </w:rPr>
            </w:pPr>
            <w:r>
              <w:rPr>
                <w:rFonts w:eastAsia="Times New Roman"/>
                <w:sz w:val="20"/>
                <w:szCs w:val="20"/>
              </w:rPr>
              <w:t> </w:t>
            </w:r>
          </w:p>
        </w:tc>
        <w:tc>
          <w:tcPr>
            <w:tcW w:w="550" w:type="pct"/>
            <w:shd w:val="clear" w:color="auto" w:fill="CCEEFF"/>
            <w:vAlign w:val="bottom"/>
            <w:hideMark/>
          </w:tcPr>
          <w:p w14:paraId="08B2527C" w14:textId="77777777" w:rsidR="00000000" w:rsidRDefault="00847163">
            <w:pPr>
              <w:pStyle w:val="a3"/>
              <w:spacing w:before="0" w:beforeAutospacing="0" w:after="0" w:afterAutospacing="0"/>
              <w:jc w:val="center"/>
              <w:rPr>
                <w:sz w:val="20"/>
                <w:szCs w:val="20"/>
              </w:rPr>
            </w:pPr>
            <w:r>
              <w:rPr>
                <w:sz w:val="20"/>
                <w:szCs w:val="20"/>
              </w:rPr>
              <w:t>&lt;60%</w:t>
            </w:r>
          </w:p>
        </w:tc>
        <w:tc>
          <w:tcPr>
            <w:tcW w:w="100" w:type="pct"/>
            <w:shd w:val="clear" w:color="auto" w:fill="CCEEFF"/>
            <w:vAlign w:val="bottom"/>
            <w:hideMark/>
          </w:tcPr>
          <w:p w14:paraId="3C131A77" w14:textId="77777777" w:rsidR="00000000" w:rsidRDefault="00847163">
            <w:pPr>
              <w:rPr>
                <w:rFonts w:eastAsia="Times New Roman"/>
                <w:sz w:val="20"/>
                <w:szCs w:val="20"/>
              </w:rPr>
            </w:pPr>
            <w:r>
              <w:rPr>
                <w:rFonts w:eastAsia="Times New Roman"/>
                <w:sz w:val="20"/>
                <w:szCs w:val="20"/>
              </w:rPr>
              <w:t> </w:t>
            </w:r>
          </w:p>
        </w:tc>
        <w:tc>
          <w:tcPr>
            <w:tcW w:w="1100" w:type="pct"/>
            <w:shd w:val="clear" w:color="auto" w:fill="CCEEFF"/>
            <w:vAlign w:val="bottom"/>
            <w:hideMark/>
          </w:tcPr>
          <w:p w14:paraId="43EB22A5" w14:textId="77777777" w:rsidR="00000000" w:rsidRDefault="00847163">
            <w:pPr>
              <w:pStyle w:val="a3"/>
              <w:spacing w:before="0" w:beforeAutospacing="0" w:after="0" w:afterAutospacing="0"/>
              <w:jc w:val="center"/>
              <w:rPr>
                <w:sz w:val="20"/>
                <w:szCs w:val="20"/>
              </w:rPr>
            </w:pPr>
            <w:r>
              <w:rPr>
                <w:sz w:val="20"/>
                <w:szCs w:val="20"/>
              </w:rPr>
              <w:t>43%</w:t>
            </w:r>
          </w:p>
        </w:tc>
      </w:tr>
      <w:tr w:rsidR="00000000" w14:paraId="0EB7A145" w14:textId="77777777">
        <w:trPr>
          <w:tblCellSpacing w:w="0" w:type="dxa"/>
        </w:trPr>
        <w:tc>
          <w:tcPr>
            <w:tcW w:w="3150" w:type="pct"/>
            <w:shd w:val="clear" w:color="auto" w:fill="FFFFFF"/>
            <w:hideMark/>
          </w:tcPr>
          <w:p w14:paraId="53107DB6" w14:textId="77777777" w:rsidR="00000000" w:rsidRDefault="00847163">
            <w:pPr>
              <w:pStyle w:val="a3"/>
              <w:spacing w:before="0" w:beforeAutospacing="0" w:after="0" w:afterAutospacing="0"/>
              <w:ind w:left="220" w:hanging="220"/>
              <w:rPr>
                <w:sz w:val="20"/>
                <w:szCs w:val="20"/>
              </w:rPr>
            </w:pPr>
            <w:r>
              <w:rPr>
                <w:sz w:val="20"/>
                <w:szCs w:val="20"/>
              </w:rPr>
              <w:t>Total Priority Indebtedness to GAV</w:t>
            </w:r>
          </w:p>
        </w:tc>
        <w:tc>
          <w:tcPr>
            <w:tcW w:w="100" w:type="pct"/>
            <w:shd w:val="clear" w:color="auto" w:fill="FFFFFF"/>
            <w:vAlign w:val="bottom"/>
            <w:hideMark/>
          </w:tcPr>
          <w:p w14:paraId="3AB38536" w14:textId="77777777" w:rsidR="00000000" w:rsidRDefault="00847163">
            <w:pPr>
              <w:rPr>
                <w:rFonts w:eastAsia="Times New Roman"/>
                <w:sz w:val="20"/>
                <w:szCs w:val="20"/>
              </w:rPr>
            </w:pPr>
            <w:r>
              <w:rPr>
                <w:rFonts w:eastAsia="Times New Roman"/>
                <w:sz w:val="20"/>
                <w:szCs w:val="20"/>
              </w:rPr>
              <w:t> </w:t>
            </w:r>
          </w:p>
        </w:tc>
        <w:tc>
          <w:tcPr>
            <w:tcW w:w="550" w:type="pct"/>
            <w:shd w:val="clear" w:color="auto" w:fill="FFFFFF"/>
            <w:vAlign w:val="bottom"/>
            <w:hideMark/>
          </w:tcPr>
          <w:p w14:paraId="140A3725" w14:textId="77777777" w:rsidR="00000000" w:rsidRDefault="00847163">
            <w:pPr>
              <w:pStyle w:val="a3"/>
              <w:spacing w:before="0" w:beforeAutospacing="0" w:after="0" w:afterAutospacing="0"/>
              <w:jc w:val="center"/>
              <w:rPr>
                <w:sz w:val="20"/>
                <w:szCs w:val="20"/>
              </w:rPr>
            </w:pPr>
            <w:r>
              <w:rPr>
                <w:sz w:val="20"/>
                <w:szCs w:val="20"/>
              </w:rPr>
              <w:t>&lt;35%</w:t>
            </w:r>
          </w:p>
        </w:tc>
        <w:tc>
          <w:tcPr>
            <w:tcW w:w="100" w:type="pct"/>
            <w:shd w:val="clear" w:color="auto" w:fill="FFFFFF"/>
            <w:vAlign w:val="bottom"/>
            <w:hideMark/>
          </w:tcPr>
          <w:p w14:paraId="66F247B4" w14:textId="77777777" w:rsidR="00000000" w:rsidRDefault="00847163">
            <w:pPr>
              <w:rPr>
                <w:rFonts w:eastAsia="Times New Roman"/>
                <w:sz w:val="20"/>
                <w:szCs w:val="20"/>
              </w:rPr>
            </w:pPr>
            <w:r>
              <w:rPr>
                <w:rFonts w:eastAsia="Times New Roman"/>
                <w:sz w:val="20"/>
                <w:szCs w:val="20"/>
              </w:rPr>
              <w:t> </w:t>
            </w:r>
          </w:p>
        </w:tc>
        <w:tc>
          <w:tcPr>
            <w:tcW w:w="1100" w:type="pct"/>
            <w:shd w:val="clear" w:color="auto" w:fill="FFFFFF"/>
            <w:vAlign w:val="bottom"/>
            <w:hideMark/>
          </w:tcPr>
          <w:p w14:paraId="77B5A63E" w14:textId="77777777" w:rsidR="00000000" w:rsidRDefault="00847163">
            <w:pPr>
              <w:pStyle w:val="a3"/>
              <w:spacing w:before="0" w:beforeAutospacing="0" w:after="0" w:afterAutospacing="0"/>
              <w:jc w:val="center"/>
              <w:rPr>
                <w:sz w:val="20"/>
                <w:szCs w:val="20"/>
              </w:rPr>
            </w:pPr>
            <w:r>
              <w:rPr>
                <w:sz w:val="20"/>
                <w:szCs w:val="20"/>
              </w:rPr>
              <w:t>1%</w:t>
            </w:r>
          </w:p>
        </w:tc>
      </w:tr>
      <w:tr w:rsidR="00000000" w14:paraId="701DE6EC" w14:textId="77777777">
        <w:trPr>
          <w:tblCellSpacing w:w="0" w:type="dxa"/>
        </w:trPr>
        <w:tc>
          <w:tcPr>
            <w:tcW w:w="3150" w:type="pct"/>
            <w:shd w:val="clear" w:color="auto" w:fill="CCEEFF"/>
            <w:hideMark/>
          </w:tcPr>
          <w:p w14:paraId="35B29A93" w14:textId="77777777" w:rsidR="00000000" w:rsidRDefault="00847163">
            <w:pPr>
              <w:pStyle w:val="a3"/>
              <w:spacing w:before="0" w:beforeAutospacing="0" w:after="0" w:afterAutospacing="0"/>
              <w:ind w:left="220" w:hanging="220"/>
              <w:rPr>
                <w:sz w:val="20"/>
                <w:szCs w:val="20"/>
              </w:rPr>
            </w:pPr>
            <w:r>
              <w:rPr>
                <w:sz w:val="20"/>
                <w:szCs w:val="20"/>
              </w:rPr>
              <w:t>Unencumbered Asset Net Operating Income to Total Unsecured Interest Expense</w:t>
            </w:r>
          </w:p>
        </w:tc>
        <w:tc>
          <w:tcPr>
            <w:tcW w:w="100" w:type="pct"/>
            <w:shd w:val="clear" w:color="auto" w:fill="CCEEFF"/>
            <w:vAlign w:val="bottom"/>
            <w:hideMark/>
          </w:tcPr>
          <w:p w14:paraId="1FE0D052" w14:textId="77777777" w:rsidR="00000000" w:rsidRDefault="00847163">
            <w:pPr>
              <w:rPr>
                <w:rFonts w:eastAsia="Times New Roman"/>
                <w:sz w:val="20"/>
                <w:szCs w:val="20"/>
              </w:rPr>
            </w:pPr>
            <w:r>
              <w:rPr>
                <w:rFonts w:eastAsia="Times New Roman"/>
                <w:sz w:val="20"/>
                <w:szCs w:val="20"/>
              </w:rPr>
              <w:t> </w:t>
            </w:r>
          </w:p>
        </w:tc>
        <w:tc>
          <w:tcPr>
            <w:tcW w:w="550" w:type="pct"/>
            <w:shd w:val="clear" w:color="auto" w:fill="CCEEFF"/>
            <w:vAlign w:val="bottom"/>
            <w:hideMark/>
          </w:tcPr>
          <w:p w14:paraId="0EA4A83E" w14:textId="77777777" w:rsidR="00000000" w:rsidRDefault="00847163">
            <w:pPr>
              <w:pStyle w:val="a3"/>
              <w:spacing w:before="0" w:beforeAutospacing="0" w:after="0" w:afterAutospacing="0"/>
              <w:jc w:val="center"/>
              <w:rPr>
                <w:sz w:val="20"/>
                <w:szCs w:val="20"/>
              </w:rPr>
            </w:pPr>
            <w:r>
              <w:rPr>
                <w:sz w:val="20"/>
                <w:szCs w:val="20"/>
              </w:rPr>
              <w:t>&gt;1.75x</w:t>
            </w:r>
          </w:p>
        </w:tc>
        <w:tc>
          <w:tcPr>
            <w:tcW w:w="100" w:type="pct"/>
            <w:shd w:val="clear" w:color="auto" w:fill="CCEEFF"/>
            <w:vAlign w:val="bottom"/>
            <w:hideMark/>
          </w:tcPr>
          <w:p w14:paraId="5DD70CD1" w14:textId="77777777" w:rsidR="00000000" w:rsidRDefault="00847163">
            <w:pPr>
              <w:rPr>
                <w:rFonts w:eastAsia="Times New Roman"/>
                <w:sz w:val="20"/>
                <w:szCs w:val="20"/>
              </w:rPr>
            </w:pPr>
            <w:r>
              <w:rPr>
                <w:rFonts w:eastAsia="Times New Roman"/>
                <w:sz w:val="20"/>
                <w:szCs w:val="20"/>
              </w:rPr>
              <w:t> </w:t>
            </w:r>
          </w:p>
        </w:tc>
        <w:tc>
          <w:tcPr>
            <w:tcW w:w="1100" w:type="pct"/>
            <w:shd w:val="clear" w:color="auto" w:fill="CCEEFF"/>
            <w:vAlign w:val="bottom"/>
            <w:hideMark/>
          </w:tcPr>
          <w:p w14:paraId="1E1393E8" w14:textId="77777777" w:rsidR="00000000" w:rsidRDefault="00847163">
            <w:pPr>
              <w:pStyle w:val="a3"/>
              <w:spacing w:before="0" w:beforeAutospacing="0" w:after="0" w:afterAutospacing="0"/>
              <w:jc w:val="center"/>
              <w:rPr>
                <w:sz w:val="20"/>
                <w:szCs w:val="20"/>
              </w:rPr>
            </w:pPr>
            <w:r>
              <w:rPr>
                <w:sz w:val="20"/>
                <w:szCs w:val="20"/>
              </w:rPr>
              <w:t>4.2x</w:t>
            </w:r>
          </w:p>
        </w:tc>
      </w:tr>
      <w:tr w:rsidR="00000000" w14:paraId="24FEF145" w14:textId="77777777">
        <w:trPr>
          <w:tblCellSpacing w:w="0" w:type="dxa"/>
        </w:trPr>
        <w:tc>
          <w:tcPr>
            <w:tcW w:w="3150" w:type="pct"/>
            <w:shd w:val="clear" w:color="auto" w:fill="FFFFFF"/>
            <w:hideMark/>
          </w:tcPr>
          <w:p w14:paraId="4630DC0D" w14:textId="77777777" w:rsidR="00000000" w:rsidRDefault="00847163">
            <w:pPr>
              <w:pStyle w:val="a3"/>
              <w:spacing w:before="0" w:beforeAutospacing="0" w:after="0" w:afterAutospacing="0"/>
              <w:ind w:left="220" w:hanging="220"/>
              <w:rPr>
                <w:sz w:val="20"/>
                <w:szCs w:val="20"/>
              </w:rPr>
            </w:pPr>
            <w:r>
              <w:rPr>
                <w:sz w:val="20"/>
                <w:szCs w:val="20"/>
              </w:rPr>
              <w:t>Fixed Charge Total Adjusted EBITDA to Total Debt Service</w:t>
            </w:r>
          </w:p>
        </w:tc>
        <w:tc>
          <w:tcPr>
            <w:tcW w:w="100" w:type="pct"/>
            <w:shd w:val="clear" w:color="auto" w:fill="FFFFFF"/>
            <w:vAlign w:val="bottom"/>
            <w:hideMark/>
          </w:tcPr>
          <w:p w14:paraId="5B76C35A" w14:textId="77777777" w:rsidR="00000000" w:rsidRDefault="00847163">
            <w:pPr>
              <w:rPr>
                <w:rFonts w:eastAsia="Times New Roman"/>
                <w:sz w:val="20"/>
                <w:szCs w:val="20"/>
              </w:rPr>
            </w:pPr>
            <w:r>
              <w:rPr>
                <w:rFonts w:eastAsia="Times New Roman"/>
                <w:sz w:val="20"/>
                <w:szCs w:val="20"/>
              </w:rPr>
              <w:t> </w:t>
            </w:r>
          </w:p>
        </w:tc>
        <w:tc>
          <w:tcPr>
            <w:tcW w:w="550" w:type="pct"/>
            <w:shd w:val="clear" w:color="auto" w:fill="FFFFFF"/>
            <w:vAlign w:val="bottom"/>
            <w:hideMark/>
          </w:tcPr>
          <w:p w14:paraId="76312B5C" w14:textId="77777777" w:rsidR="00000000" w:rsidRDefault="00847163">
            <w:pPr>
              <w:pStyle w:val="a3"/>
              <w:spacing w:before="0" w:beforeAutospacing="0" w:after="0" w:afterAutospacing="0"/>
              <w:jc w:val="center"/>
              <w:rPr>
                <w:sz w:val="20"/>
                <w:szCs w:val="20"/>
              </w:rPr>
            </w:pPr>
            <w:r>
              <w:rPr>
                <w:sz w:val="20"/>
                <w:szCs w:val="20"/>
              </w:rPr>
              <w:t>&gt;1.50x</w:t>
            </w:r>
          </w:p>
        </w:tc>
        <w:tc>
          <w:tcPr>
            <w:tcW w:w="100" w:type="pct"/>
            <w:shd w:val="clear" w:color="auto" w:fill="FFFFFF"/>
            <w:vAlign w:val="bottom"/>
            <w:hideMark/>
          </w:tcPr>
          <w:p w14:paraId="57595631" w14:textId="77777777" w:rsidR="00000000" w:rsidRDefault="00847163">
            <w:pPr>
              <w:rPr>
                <w:rFonts w:eastAsia="Times New Roman"/>
                <w:sz w:val="20"/>
                <w:szCs w:val="20"/>
              </w:rPr>
            </w:pPr>
            <w:r>
              <w:rPr>
                <w:rFonts w:eastAsia="Times New Roman"/>
                <w:sz w:val="20"/>
                <w:szCs w:val="20"/>
              </w:rPr>
              <w:t> </w:t>
            </w:r>
          </w:p>
        </w:tc>
        <w:tc>
          <w:tcPr>
            <w:tcW w:w="1100" w:type="pct"/>
            <w:shd w:val="clear" w:color="auto" w:fill="FFFFFF"/>
            <w:vAlign w:val="bottom"/>
            <w:hideMark/>
          </w:tcPr>
          <w:p w14:paraId="194C73B0" w14:textId="77777777" w:rsidR="00000000" w:rsidRDefault="00847163">
            <w:pPr>
              <w:pStyle w:val="a3"/>
              <w:spacing w:before="0" w:beforeAutospacing="0" w:after="0" w:afterAutospacing="0"/>
              <w:jc w:val="center"/>
              <w:rPr>
                <w:sz w:val="20"/>
                <w:szCs w:val="20"/>
              </w:rPr>
            </w:pPr>
            <w:r>
              <w:rPr>
                <w:sz w:val="20"/>
                <w:szCs w:val="20"/>
              </w:rPr>
              <w:t>3.3x</w:t>
            </w:r>
          </w:p>
        </w:tc>
      </w:tr>
    </w:tbl>
    <w:p w14:paraId="637A9EBC" w14:textId="77777777" w:rsidR="00000000" w:rsidRDefault="00847163">
      <w:pPr>
        <w:pStyle w:val="a3"/>
        <w:spacing w:before="0" w:beforeAutospacing="0" w:after="0" w:afterAutospacing="0"/>
        <w:ind w:firstLine="360"/>
        <w:jc w:val="both"/>
        <w:rPr>
          <w:sz w:val="20"/>
          <w:szCs w:val="20"/>
        </w:rPr>
      </w:pPr>
      <w:r>
        <w:rPr>
          <w:sz w:val="20"/>
          <w:szCs w:val="20"/>
        </w:rPr>
        <w:t> </w:t>
      </w:r>
    </w:p>
    <w:p w14:paraId="722874C0" w14:textId="77777777" w:rsidR="00000000" w:rsidRDefault="00847163">
      <w:pPr>
        <w:pStyle w:val="a3"/>
        <w:spacing w:before="0" w:beforeAutospacing="0" w:after="0" w:afterAutospacing="0"/>
        <w:ind w:firstLine="360"/>
        <w:jc w:val="both"/>
        <w:rPr>
          <w:sz w:val="20"/>
          <w:szCs w:val="20"/>
        </w:rPr>
      </w:pPr>
      <w:r>
        <w:rPr>
          <w:sz w:val="20"/>
          <w:szCs w:val="20"/>
        </w:rPr>
        <w:t>For a full description of the Credit Facility’s covenants, refer to the Amended and Res</w:t>
      </w:r>
      <w:r>
        <w:rPr>
          <w:sz w:val="20"/>
          <w:szCs w:val="20"/>
        </w:rPr>
        <w:t>tated Credit Agreement dated as of February 27, 2020, filed as Exhibit 10.1 to the Company’s Current Report on Form 8-K dated February 28, 2020.</w:t>
      </w:r>
    </w:p>
    <w:p w14:paraId="1513DD84" w14:textId="77777777" w:rsidR="00000000" w:rsidRDefault="00847163">
      <w:pPr>
        <w:pStyle w:val="a3"/>
        <w:spacing w:before="0" w:beforeAutospacing="0" w:after="0" w:afterAutospacing="0"/>
        <w:ind w:firstLine="720"/>
        <w:jc w:val="both"/>
        <w:rPr>
          <w:sz w:val="20"/>
          <w:szCs w:val="20"/>
        </w:rPr>
      </w:pPr>
      <w:r>
        <w:rPr>
          <w:sz w:val="20"/>
          <w:szCs w:val="20"/>
        </w:rPr>
        <w:t> </w:t>
      </w:r>
    </w:p>
    <w:p w14:paraId="3625DCDB" w14:textId="77777777" w:rsidR="00000000" w:rsidRDefault="00847163">
      <w:pPr>
        <w:pStyle w:val="a3"/>
        <w:spacing w:before="0" w:beforeAutospacing="0" w:after="0" w:afterAutospacing="0"/>
        <w:jc w:val="both"/>
        <w:rPr>
          <w:sz w:val="20"/>
          <w:szCs w:val="20"/>
        </w:rPr>
      </w:pPr>
      <w:r>
        <w:rPr>
          <w:i/>
          <w:iCs/>
          <w:sz w:val="20"/>
          <w:szCs w:val="20"/>
        </w:rPr>
        <w:t>Term Loan –</w:t>
      </w:r>
    </w:p>
    <w:p w14:paraId="65969778" w14:textId="77777777" w:rsidR="00000000" w:rsidRDefault="00847163">
      <w:pPr>
        <w:pStyle w:val="a3"/>
        <w:spacing w:before="0" w:beforeAutospacing="0" w:after="0" w:afterAutospacing="0"/>
        <w:jc w:val="both"/>
        <w:rPr>
          <w:sz w:val="20"/>
          <w:szCs w:val="20"/>
        </w:rPr>
      </w:pPr>
      <w:r>
        <w:rPr>
          <w:i/>
          <w:iCs/>
          <w:sz w:val="20"/>
          <w:szCs w:val="20"/>
        </w:rPr>
        <w:t> </w:t>
      </w:r>
    </w:p>
    <w:p w14:paraId="5D3DD599" w14:textId="77777777" w:rsidR="00000000" w:rsidRDefault="00847163">
      <w:pPr>
        <w:pStyle w:val="a3"/>
        <w:spacing w:before="0" w:beforeAutospacing="0" w:after="0" w:afterAutospacing="0"/>
        <w:ind w:firstLine="360"/>
        <w:jc w:val="both"/>
        <w:rPr>
          <w:sz w:val="20"/>
          <w:szCs w:val="20"/>
        </w:rPr>
      </w:pPr>
      <w:r>
        <w:rPr>
          <w:sz w:val="20"/>
          <w:szCs w:val="20"/>
        </w:rPr>
        <w:t>On April 1, 2020, the Company entered into a new $375.0 million Term Loan pursuant to a credit agreement, with a group of banks, which is scheduled to expire in April 2021, with a one-year extension option to extend the maturity date, at the Company’s disc</w:t>
      </w:r>
      <w:r>
        <w:rPr>
          <w:sz w:val="20"/>
          <w:szCs w:val="20"/>
        </w:rPr>
        <w:t>retion, to April 2022. The Term Loan, accrues interest at a rate of LIBOR plus 140 basis points or, at the Company’s option, a spread of 40 basis points to the base rate defined in the Term Loan, each of which fluctuates in accordance with changes in the C</w:t>
      </w:r>
      <w:r>
        <w:rPr>
          <w:sz w:val="20"/>
          <w:szCs w:val="20"/>
        </w:rPr>
        <w:t>ompany’s senior debt ratings. The Term Loan can be increased by an additional $750.0 million through an accordion feature. Pursuant to the terms of the Term Loan, the Company is subject to covenants that are substantially the same as those in the Credit Fa</w:t>
      </w:r>
      <w:r>
        <w:rPr>
          <w:sz w:val="20"/>
          <w:szCs w:val="20"/>
        </w:rPr>
        <w:t>cility. During April 2020, borrowings under the Term Loan were increased to $590.0 million through the accordion feature.</w:t>
      </w:r>
    </w:p>
    <w:p w14:paraId="283823DA" w14:textId="77777777" w:rsidR="00000000" w:rsidRDefault="00847163">
      <w:pPr>
        <w:pStyle w:val="a3"/>
        <w:spacing w:before="0" w:beforeAutospacing="0" w:after="0" w:afterAutospacing="0"/>
        <w:ind w:firstLine="360"/>
        <w:jc w:val="both"/>
        <w:rPr>
          <w:sz w:val="20"/>
          <w:szCs w:val="20"/>
        </w:rPr>
      </w:pPr>
      <w:r>
        <w:rPr>
          <w:i/>
          <w:iCs/>
          <w:sz w:val="20"/>
          <w:szCs w:val="20"/>
        </w:rPr>
        <w:t> </w:t>
      </w:r>
    </w:p>
    <w:p w14:paraId="0CC430CC" w14:textId="77777777" w:rsidR="00000000" w:rsidRDefault="00847163">
      <w:pPr>
        <w:pStyle w:val="a3"/>
        <w:spacing w:before="0" w:beforeAutospacing="0" w:after="0" w:afterAutospacing="0"/>
        <w:jc w:val="both"/>
        <w:rPr>
          <w:sz w:val="20"/>
          <w:szCs w:val="20"/>
        </w:rPr>
      </w:pPr>
      <w:r>
        <w:rPr>
          <w:i/>
          <w:iCs/>
          <w:sz w:val="20"/>
          <w:szCs w:val="20"/>
        </w:rPr>
        <w:t>Mortgages and Construction Loan Payable –</w:t>
      </w:r>
    </w:p>
    <w:p w14:paraId="5D90CA57" w14:textId="77777777" w:rsidR="00000000" w:rsidRDefault="00847163">
      <w:pPr>
        <w:pStyle w:val="a3"/>
        <w:spacing w:before="0" w:beforeAutospacing="0" w:after="0" w:afterAutospacing="0"/>
        <w:jc w:val="both"/>
        <w:rPr>
          <w:sz w:val="20"/>
          <w:szCs w:val="20"/>
        </w:rPr>
      </w:pPr>
      <w:r>
        <w:rPr>
          <w:i/>
          <w:iCs/>
          <w:sz w:val="20"/>
          <w:szCs w:val="20"/>
        </w:rPr>
        <w:t> </w:t>
      </w:r>
    </w:p>
    <w:p w14:paraId="16AF4958" w14:textId="77777777" w:rsidR="00000000" w:rsidRDefault="00847163">
      <w:pPr>
        <w:pStyle w:val="a3"/>
        <w:spacing w:before="0" w:beforeAutospacing="0" w:after="0" w:afterAutospacing="0"/>
        <w:ind w:firstLine="360"/>
        <w:jc w:val="both"/>
        <w:rPr>
          <w:sz w:val="20"/>
          <w:szCs w:val="20"/>
        </w:rPr>
      </w:pPr>
      <w:r>
        <w:rPr>
          <w:sz w:val="20"/>
          <w:szCs w:val="20"/>
        </w:rPr>
        <w:t>In August 2018, the Company closed on a construction loan commitment of $67.0 million re</w:t>
      </w:r>
      <w:r>
        <w:rPr>
          <w:sz w:val="20"/>
          <w:szCs w:val="20"/>
        </w:rPr>
        <w:t xml:space="preserve">lating to one development property. This loan commitment was scheduled to mature in August 2020, with six additional six-month options to extend the maturity date to August 2023, and bore interest at a rate of LIBOR plus 180 basis points. During the three </w:t>
      </w:r>
      <w:r>
        <w:rPr>
          <w:sz w:val="20"/>
          <w:szCs w:val="20"/>
        </w:rPr>
        <w:t>months ended March 31, 2020, this construction loan was fully repaid.</w:t>
      </w:r>
    </w:p>
    <w:p w14:paraId="5D9D715C" w14:textId="77777777" w:rsidR="00000000" w:rsidRDefault="00847163">
      <w:pPr>
        <w:pStyle w:val="a3"/>
        <w:spacing w:before="0" w:beforeAutospacing="0" w:after="0" w:afterAutospacing="0"/>
        <w:jc w:val="both"/>
        <w:rPr>
          <w:sz w:val="20"/>
          <w:szCs w:val="20"/>
        </w:rPr>
      </w:pPr>
      <w:r>
        <w:rPr>
          <w:sz w:val="20"/>
          <w:szCs w:val="20"/>
        </w:rPr>
        <w:t> </w:t>
      </w:r>
    </w:p>
    <w:p w14:paraId="7C12BFB1" w14:textId="77777777" w:rsidR="00000000" w:rsidRDefault="00847163">
      <w:pPr>
        <w:pStyle w:val="a3"/>
        <w:spacing w:before="0" w:beforeAutospacing="0" w:after="0" w:afterAutospacing="0"/>
        <w:ind w:firstLine="360"/>
        <w:jc w:val="both"/>
        <w:rPr>
          <w:sz w:val="20"/>
          <w:szCs w:val="20"/>
        </w:rPr>
      </w:pPr>
      <w:r>
        <w:rPr>
          <w:sz w:val="20"/>
          <w:szCs w:val="20"/>
        </w:rPr>
        <w:t>During the three months ended March 31, 2020, the Company repaid $8.8 million of mortgage debt (including fair market value adjustment of $0.1 million) that encumbered an operating pro</w:t>
      </w:r>
      <w:r>
        <w:rPr>
          <w:sz w:val="20"/>
          <w:szCs w:val="20"/>
        </w:rPr>
        <w:t>perty.</w:t>
      </w:r>
    </w:p>
    <w:p w14:paraId="7650F15E" w14:textId="77777777" w:rsidR="00000000" w:rsidRDefault="00847163">
      <w:pPr>
        <w:pStyle w:val="a3"/>
        <w:spacing w:before="0" w:beforeAutospacing="0" w:after="0" w:afterAutospacing="0"/>
        <w:ind w:firstLine="360"/>
        <w:jc w:val="both"/>
        <w:rPr>
          <w:sz w:val="20"/>
          <w:szCs w:val="20"/>
        </w:rPr>
      </w:pPr>
      <w:r>
        <w:rPr>
          <w:sz w:val="20"/>
          <w:szCs w:val="20"/>
        </w:rPr>
        <w:t> </w:t>
      </w:r>
    </w:p>
    <w:p w14:paraId="1A489DF5" w14:textId="77777777" w:rsidR="00000000" w:rsidRDefault="00847163">
      <w:pPr>
        <w:pStyle w:val="a3"/>
        <w:spacing w:before="0" w:beforeAutospacing="0" w:after="0" w:afterAutospacing="0"/>
        <w:ind w:firstLine="360"/>
        <w:jc w:val="both"/>
        <w:rPr>
          <w:sz w:val="20"/>
          <w:szCs w:val="20"/>
        </w:rPr>
      </w:pPr>
      <w:r>
        <w:rPr>
          <w:sz w:val="20"/>
          <w:szCs w:val="20"/>
        </w:rPr>
        <w:t>In addition to the public equity and debt markets as capital sources, the Company may, from time-to-time, obtain mortgage financing on selected properties and construction loan financing to partially fund the capital needs of its real estate devel</w:t>
      </w:r>
      <w:r>
        <w:rPr>
          <w:sz w:val="20"/>
          <w:szCs w:val="20"/>
        </w:rPr>
        <w:t>opment projects. As of March 31, 2020, the Company had over 320 unencumbered property interests in its portfolio.</w:t>
      </w:r>
    </w:p>
    <w:p w14:paraId="6EE08EC0" w14:textId="77777777" w:rsidR="00000000" w:rsidRDefault="00847163">
      <w:pPr>
        <w:pStyle w:val="a3"/>
        <w:spacing w:before="0" w:beforeAutospacing="0" w:after="0" w:afterAutospacing="0"/>
        <w:ind w:firstLine="360"/>
        <w:jc w:val="both"/>
        <w:rPr>
          <w:sz w:val="20"/>
          <w:szCs w:val="20"/>
        </w:rPr>
      </w:pPr>
      <w:r>
        <w:rPr>
          <w:sz w:val="20"/>
          <w:szCs w:val="20"/>
        </w:rPr>
        <w:t> </w:t>
      </w:r>
    </w:p>
    <w:p w14:paraId="37D15848" w14:textId="77777777" w:rsidR="00000000" w:rsidRDefault="00847163">
      <w:pPr>
        <w:jc w:val="center"/>
        <w:divId w:val="1756824039"/>
        <w:rPr>
          <w:rFonts w:eastAsia="Times New Roman"/>
          <w:sz w:val="20"/>
          <w:szCs w:val="20"/>
        </w:rPr>
      </w:pPr>
      <w:r>
        <w:rPr>
          <w:rFonts w:eastAsia="Times New Roman"/>
          <w:sz w:val="20"/>
          <w:szCs w:val="20"/>
        </w:rPr>
        <w:t xml:space="preserve">26 </w:t>
      </w:r>
    </w:p>
    <w:p w14:paraId="753497CC" w14:textId="77777777" w:rsidR="00000000" w:rsidRDefault="00847163">
      <w:pPr>
        <w:divId w:val="1555196795"/>
        <w:rPr>
          <w:rFonts w:eastAsia="Times New Roman"/>
          <w:sz w:val="20"/>
          <w:szCs w:val="20"/>
        </w:rPr>
      </w:pPr>
      <w:r>
        <w:rPr>
          <w:rFonts w:eastAsia="Times New Roman"/>
          <w:sz w:val="20"/>
          <w:szCs w:val="20"/>
        </w:rPr>
        <w:pict w14:anchorId="5F483C25">
          <v:rect id="_x0000_i1054" style="width:0;height:1.5pt" o:hralign="center" o:hrstd="t" o:hr="t" fillcolor="#a0a0a0" stroked="f"/>
        </w:pict>
      </w:r>
    </w:p>
    <w:p w14:paraId="7DB05E8C" w14:textId="77777777" w:rsidR="00000000" w:rsidRDefault="00847163">
      <w:pPr>
        <w:divId w:val="372733045"/>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7228215C" w14:textId="77777777" w:rsidR="00000000" w:rsidRDefault="00847163">
      <w:pPr>
        <w:pStyle w:val="a3"/>
        <w:spacing w:before="0" w:beforeAutospacing="0" w:after="0" w:afterAutospacing="0"/>
        <w:rPr>
          <w:sz w:val="20"/>
          <w:szCs w:val="20"/>
        </w:rPr>
      </w:pPr>
      <w:r>
        <w:rPr>
          <w:sz w:val="20"/>
          <w:szCs w:val="20"/>
        </w:rPr>
        <w:t> </w:t>
      </w:r>
    </w:p>
    <w:p w14:paraId="0894B40C" w14:textId="77777777" w:rsidR="00000000" w:rsidRDefault="00847163">
      <w:pPr>
        <w:pStyle w:val="a3"/>
        <w:spacing w:before="0" w:beforeAutospacing="0" w:after="0" w:afterAutospacing="0"/>
        <w:jc w:val="both"/>
        <w:rPr>
          <w:sz w:val="20"/>
          <w:szCs w:val="20"/>
        </w:rPr>
      </w:pPr>
      <w:r>
        <w:rPr>
          <w:i/>
          <w:iCs/>
          <w:sz w:val="20"/>
          <w:szCs w:val="20"/>
        </w:rPr>
        <w:t>COVID-19 –</w:t>
      </w:r>
    </w:p>
    <w:p w14:paraId="4BCBD9F2" w14:textId="77777777" w:rsidR="00000000" w:rsidRDefault="00847163">
      <w:pPr>
        <w:pStyle w:val="a3"/>
        <w:spacing w:before="0" w:beforeAutospacing="0" w:after="0" w:afterAutospacing="0"/>
        <w:ind w:firstLine="360"/>
        <w:jc w:val="both"/>
        <w:rPr>
          <w:sz w:val="20"/>
          <w:szCs w:val="20"/>
        </w:rPr>
      </w:pPr>
      <w:r>
        <w:rPr>
          <w:sz w:val="20"/>
          <w:szCs w:val="20"/>
        </w:rPr>
        <w:t> </w:t>
      </w:r>
    </w:p>
    <w:p w14:paraId="6674EB7C" w14:textId="77777777" w:rsidR="00000000" w:rsidRDefault="00847163">
      <w:pPr>
        <w:pStyle w:val="a3"/>
        <w:spacing w:before="0" w:beforeAutospacing="0" w:after="0" w:afterAutospacing="0"/>
        <w:ind w:firstLine="360"/>
        <w:jc w:val="both"/>
        <w:rPr>
          <w:sz w:val="20"/>
          <w:szCs w:val="20"/>
        </w:rPr>
      </w:pPr>
      <w:r>
        <w:rPr>
          <w:sz w:val="20"/>
          <w:szCs w:val="20"/>
        </w:rPr>
        <w:t>In light of the ongoing spread of the CO</w:t>
      </w:r>
      <w:r>
        <w:rPr>
          <w:sz w:val="20"/>
          <w:szCs w:val="20"/>
        </w:rPr>
        <w:t xml:space="preserve">VID-19 pandemic and the uncertainty related to its unfolding economic impact, the Company is focused on its liquidity position including: (i) its availability under the new $2.0 billion ($2.75 billion with the accordion feature) unsecured revolving credit </w:t>
      </w:r>
      <w:r>
        <w:rPr>
          <w:sz w:val="20"/>
          <w:szCs w:val="20"/>
        </w:rPr>
        <w:t>facility, (ii) its new $375.0 million Term Loan entered into on April 1, 2020 and was subsequently increased to $590.0 million through the accordion feature, (iii) $451.8 million of cash and cash equivalents on hand at March 31, 2020, and (iv) as mentioned</w:t>
      </w:r>
      <w:r>
        <w:rPr>
          <w:sz w:val="20"/>
          <w:szCs w:val="20"/>
        </w:rPr>
        <w:t xml:space="preserve"> above, over 320 unencumbered property interests.</w:t>
      </w:r>
    </w:p>
    <w:p w14:paraId="2E7AD455" w14:textId="77777777" w:rsidR="00000000" w:rsidRDefault="00847163">
      <w:pPr>
        <w:pStyle w:val="a3"/>
        <w:spacing w:before="0" w:beforeAutospacing="0" w:after="0" w:afterAutospacing="0"/>
        <w:ind w:firstLine="360"/>
        <w:jc w:val="both"/>
        <w:rPr>
          <w:sz w:val="20"/>
          <w:szCs w:val="20"/>
        </w:rPr>
      </w:pPr>
      <w:r>
        <w:rPr>
          <w:sz w:val="20"/>
          <w:szCs w:val="20"/>
        </w:rPr>
        <w:t> </w:t>
      </w:r>
    </w:p>
    <w:p w14:paraId="39308404" w14:textId="77777777" w:rsidR="00000000" w:rsidRDefault="00847163">
      <w:pPr>
        <w:pStyle w:val="a3"/>
        <w:spacing w:before="0" w:beforeAutospacing="0" w:after="0" w:afterAutospacing="0"/>
        <w:ind w:firstLine="360"/>
        <w:jc w:val="both"/>
        <w:rPr>
          <w:sz w:val="20"/>
          <w:szCs w:val="20"/>
        </w:rPr>
      </w:pPr>
      <w:r>
        <w:rPr>
          <w:sz w:val="20"/>
          <w:szCs w:val="20"/>
        </w:rPr>
        <w:t xml:space="preserve">The Company is continuing to monitor the impact of COVID-19 on the Company’s business, tenants and industry as a whole. The magnitude and duration of the COVID-19 pandemic and its impact on the Company’s </w:t>
      </w:r>
      <w:r>
        <w:rPr>
          <w:sz w:val="20"/>
          <w:szCs w:val="20"/>
        </w:rPr>
        <w:t>operations and liquidity is uncertain as of the filing date of this Quarterly Report on Form 10-Q as this pandemic continues to evolve globally. However, if the COVID-19 pandemic continues on its current trajectory, such impacts could grow and become mater</w:t>
      </w:r>
      <w:r>
        <w:rPr>
          <w:sz w:val="20"/>
          <w:szCs w:val="20"/>
        </w:rPr>
        <w:t>ial and could materially disrupt the Company’s business operations and materially adversely affect the Company’s liquidity.</w:t>
      </w:r>
    </w:p>
    <w:p w14:paraId="15455DB4" w14:textId="77777777" w:rsidR="00000000" w:rsidRDefault="00847163">
      <w:pPr>
        <w:pStyle w:val="a3"/>
        <w:spacing w:before="0" w:beforeAutospacing="0" w:after="0" w:afterAutospacing="0"/>
        <w:ind w:firstLine="720"/>
        <w:jc w:val="both"/>
        <w:rPr>
          <w:sz w:val="20"/>
          <w:szCs w:val="20"/>
        </w:rPr>
      </w:pPr>
      <w:r>
        <w:rPr>
          <w:sz w:val="20"/>
          <w:szCs w:val="20"/>
        </w:rPr>
        <w:t> </w:t>
      </w:r>
    </w:p>
    <w:p w14:paraId="21288A79" w14:textId="77777777" w:rsidR="00000000" w:rsidRDefault="00847163">
      <w:pPr>
        <w:pStyle w:val="a3"/>
        <w:spacing w:before="0" w:beforeAutospacing="0" w:after="0" w:afterAutospacing="0"/>
        <w:jc w:val="both"/>
        <w:rPr>
          <w:sz w:val="20"/>
          <w:szCs w:val="20"/>
        </w:rPr>
      </w:pPr>
      <w:r>
        <w:rPr>
          <w:i/>
          <w:iCs/>
          <w:sz w:val="20"/>
          <w:szCs w:val="20"/>
        </w:rPr>
        <w:t>Dividends –</w:t>
      </w:r>
    </w:p>
    <w:p w14:paraId="2B5513C2" w14:textId="77777777" w:rsidR="00000000" w:rsidRDefault="00847163">
      <w:pPr>
        <w:pStyle w:val="a3"/>
        <w:spacing w:before="0" w:beforeAutospacing="0" w:after="0" w:afterAutospacing="0"/>
        <w:jc w:val="both"/>
        <w:rPr>
          <w:sz w:val="20"/>
          <w:szCs w:val="20"/>
        </w:rPr>
      </w:pPr>
      <w:r>
        <w:rPr>
          <w:i/>
          <w:iCs/>
          <w:sz w:val="20"/>
          <w:szCs w:val="20"/>
        </w:rPr>
        <w:t> </w:t>
      </w:r>
    </w:p>
    <w:p w14:paraId="79E3BE1C" w14:textId="77777777" w:rsidR="00000000" w:rsidRDefault="00847163">
      <w:pPr>
        <w:pStyle w:val="a3"/>
        <w:spacing w:before="0" w:beforeAutospacing="0" w:after="0" w:afterAutospacing="0"/>
        <w:ind w:firstLine="360"/>
        <w:jc w:val="both"/>
        <w:rPr>
          <w:sz w:val="20"/>
          <w:szCs w:val="20"/>
        </w:rPr>
      </w:pPr>
      <w:r>
        <w:rPr>
          <w:sz w:val="20"/>
          <w:szCs w:val="20"/>
        </w:rPr>
        <w:t>The Company’</w:t>
      </w:r>
      <w:r>
        <w:rPr>
          <w:sz w:val="20"/>
          <w:szCs w:val="20"/>
        </w:rPr>
        <w:t>s Board of Directors will continue to evaluate the Company’s dividend policy on a quarterly basis as the Board of Directors monitors sources of capital and evaluates the impact of the economy and capital markets availability on operating fundamentals.  Sin</w:t>
      </w:r>
      <w:r>
        <w:rPr>
          <w:sz w:val="20"/>
          <w:szCs w:val="20"/>
        </w:rPr>
        <w:t>ce cash used to pay dividends reduces amounts available for capital investment, the Company generally intends to maintain a dividend payout ratio that reserves such amounts as it considers necessary for the expansion and renovation of shopping centers in i</w:t>
      </w:r>
      <w:r>
        <w:rPr>
          <w:sz w:val="20"/>
          <w:szCs w:val="20"/>
        </w:rPr>
        <w:t>ts portfolio, debt reduction, the acquisition of interests in new properties and other investments as suitable opportunities arise and such other factors as the Board of Directors considers appropriate.  Cash dividends paid for common and preferred issuanc</w:t>
      </w:r>
      <w:r>
        <w:rPr>
          <w:sz w:val="20"/>
          <w:szCs w:val="20"/>
        </w:rPr>
        <w:t>es of stock for the three months ended March 31, 2020 and 2019 were $127.3 million and $132.5 million, respectively.</w:t>
      </w:r>
    </w:p>
    <w:p w14:paraId="310120B3" w14:textId="77777777" w:rsidR="00000000" w:rsidRDefault="00847163">
      <w:pPr>
        <w:pStyle w:val="a3"/>
        <w:spacing w:before="0" w:beforeAutospacing="0" w:after="0" w:afterAutospacing="0"/>
        <w:jc w:val="both"/>
        <w:rPr>
          <w:sz w:val="20"/>
          <w:szCs w:val="20"/>
        </w:rPr>
      </w:pPr>
      <w:r>
        <w:rPr>
          <w:sz w:val="20"/>
          <w:szCs w:val="20"/>
        </w:rPr>
        <w:t> </w:t>
      </w:r>
    </w:p>
    <w:p w14:paraId="1350357E" w14:textId="77777777" w:rsidR="00000000" w:rsidRDefault="00847163">
      <w:pPr>
        <w:pStyle w:val="a3"/>
        <w:spacing w:before="0" w:beforeAutospacing="0" w:after="0" w:afterAutospacing="0"/>
        <w:ind w:firstLine="360"/>
        <w:jc w:val="both"/>
        <w:rPr>
          <w:sz w:val="20"/>
          <w:szCs w:val="20"/>
        </w:rPr>
      </w:pPr>
      <w:r>
        <w:rPr>
          <w:sz w:val="20"/>
          <w:szCs w:val="20"/>
        </w:rPr>
        <w:t>Although the Company receives substantially all of its rental payments on a monthly basis, it generally has paid dividends quarterly. Amo</w:t>
      </w:r>
      <w:r>
        <w:rPr>
          <w:sz w:val="20"/>
          <w:szCs w:val="20"/>
        </w:rPr>
        <w:t>unts accumulated in advance of each quarterly distribution will be invested by the Company in short-term money market or other suitable instruments. On January 28, 2020, the Company’s Board of Directors declared a quarterly cash dividend of $0.28 per commo</w:t>
      </w:r>
      <w:r>
        <w:rPr>
          <w:sz w:val="20"/>
          <w:szCs w:val="20"/>
        </w:rPr>
        <w:t>n share payable to shareholders of record on April 2, 2020, which was paid on April 15, 2020. As a result of the COVID-19 pandemic and the future economic uncertainties, out of an abundance of caution, the Company’s Board of Directors has temporarily suspe</w:t>
      </w:r>
      <w:r>
        <w:rPr>
          <w:sz w:val="20"/>
          <w:szCs w:val="20"/>
        </w:rPr>
        <w:t>nded the dividend on its common shares. The Company’s Board of Directors will continue to monitor the Company’s financial performance and economic outlook on a monthly basis and, at a later date, intends to reinstate the common dividend during 2020 of at l</w:t>
      </w:r>
      <w:r>
        <w:rPr>
          <w:sz w:val="20"/>
          <w:szCs w:val="20"/>
        </w:rPr>
        <w:t>east the amount equal to the Company's REIT taxable income distribution requirements.</w:t>
      </w:r>
    </w:p>
    <w:p w14:paraId="0720DAAC" w14:textId="77777777" w:rsidR="00000000" w:rsidRDefault="00847163">
      <w:pPr>
        <w:pStyle w:val="a3"/>
        <w:spacing w:before="0" w:beforeAutospacing="0" w:after="0" w:afterAutospacing="0"/>
        <w:ind w:firstLine="360"/>
        <w:jc w:val="both"/>
        <w:rPr>
          <w:sz w:val="20"/>
          <w:szCs w:val="20"/>
        </w:rPr>
      </w:pPr>
      <w:r>
        <w:rPr>
          <w:sz w:val="20"/>
          <w:szCs w:val="20"/>
        </w:rPr>
        <w:t> </w:t>
      </w:r>
    </w:p>
    <w:p w14:paraId="1271BF4B" w14:textId="77777777" w:rsidR="00000000" w:rsidRDefault="00847163">
      <w:pPr>
        <w:pStyle w:val="a3"/>
        <w:spacing w:before="0" w:beforeAutospacing="0" w:after="0" w:afterAutospacing="0"/>
        <w:ind w:firstLine="360"/>
        <w:jc w:val="both"/>
        <w:rPr>
          <w:sz w:val="20"/>
          <w:szCs w:val="20"/>
        </w:rPr>
      </w:pPr>
      <w:r>
        <w:rPr>
          <w:sz w:val="20"/>
          <w:szCs w:val="20"/>
        </w:rPr>
        <w:t>The Company’s Board of Directors declared quarterly dividends with respect to the Company’s classes of cumulative redeemable preferred shares (Classes L and M). All div</w:t>
      </w:r>
      <w:r>
        <w:rPr>
          <w:sz w:val="20"/>
          <w:szCs w:val="20"/>
        </w:rPr>
        <w:t xml:space="preserve">idends on preferred shares were paid on April 15, 2020, to shareholders of record on April 1, 2020. Additionally, the Company’s Board of Directors declared quarterly dividends with respect to the Company’s classes of cumulative redeemable preferred shares </w:t>
      </w:r>
      <w:r>
        <w:rPr>
          <w:sz w:val="20"/>
          <w:szCs w:val="20"/>
        </w:rPr>
        <w:t>(Classes L and M). All dividends on the preferred shares are scheduled to be paid on July 15, 2020, to shareholders of record on July 1, 2020.</w:t>
      </w:r>
    </w:p>
    <w:p w14:paraId="30C46CAD" w14:textId="77777777" w:rsidR="00000000" w:rsidRDefault="00847163">
      <w:pPr>
        <w:pStyle w:val="a3"/>
        <w:spacing w:before="0" w:beforeAutospacing="0" w:after="0" w:afterAutospacing="0"/>
        <w:jc w:val="both"/>
        <w:rPr>
          <w:sz w:val="20"/>
          <w:szCs w:val="20"/>
        </w:rPr>
      </w:pPr>
      <w:r>
        <w:rPr>
          <w:sz w:val="20"/>
          <w:szCs w:val="20"/>
        </w:rPr>
        <w:t> </w:t>
      </w:r>
    </w:p>
    <w:p w14:paraId="7A89E6CF" w14:textId="77777777" w:rsidR="00000000" w:rsidRDefault="00847163">
      <w:pPr>
        <w:pStyle w:val="a3"/>
        <w:spacing w:before="0" w:beforeAutospacing="0" w:after="0" w:afterAutospacing="0"/>
        <w:jc w:val="both"/>
        <w:rPr>
          <w:sz w:val="20"/>
          <w:szCs w:val="20"/>
        </w:rPr>
      </w:pPr>
      <w:r>
        <w:rPr>
          <w:sz w:val="20"/>
          <w:szCs w:val="20"/>
          <w:u w:val="single"/>
        </w:rPr>
        <w:t>Funds From Operations</w:t>
      </w:r>
    </w:p>
    <w:p w14:paraId="17689BB9" w14:textId="77777777" w:rsidR="00000000" w:rsidRDefault="00847163">
      <w:pPr>
        <w:pStyle w:val="a3"/>
        <w:spacing w:before="0" w:beforeAutospacing="0" w:after="0" w:afterAutospacing="0"/>
        <w:jc w:val="both"/>
        <w:rPr>
          <w:sz w:val="20"/>
          <w:szCs w:val="20"/>
        </w:rPr>
      </w:pPr>
      <w:r>
        <w:rPr>
          <w:sz w:val="20"/>
          <w:szCs w:val="20"/>
        </w:rPr>
        <w:t> </w:t>
      </w:r>
    </w:p>
    <w:p w14:paraId="232AB9E3" w14:textId="77777777" w:rsidR="00000000" w:rsidRDefault="00847163">
      <w:pPr>
        <w:pStyle w:val="a3"/>
        <w:spacing w:before="0" w:beforeAutospacing="0" w:after="0" w:afterAutospacing="0"/>
        <w:ind w:firstLine="360"/>
        <w:jc w:val="both"/>
        <w:rPr>
          <w:sz w:val="20"/>
          <w:szCs w:val="20"/>
        </w:rPr>
      </w:pPr>
      <w:r>
        <w:rPr>
          <w:sz w:val="20"/>
          <w:szCs w:val="20"/>
        </w:rPr>
        <w:t xml:space="preserve">Funds From Operations (“FFO”) is a supplemental non-GAAP financial measure utilized to </w:t>
      </w:r>
      <w:r>
        <w:rPr>
          <w:sz w:val="20"/>
          <w:szCs w:val="20"/>
        </w:rPr>
        <w:t>evaluate the operating performance of real estate companies. NAREIT defines FFO as net income/(loss) available to the Company’s common shareholders computed in accordance with generally accepted accounting principles in the United States (“GAAP”), excludin</w:t>
      </w:r>
      <w:r>
        <w:rPr>
          <w:sz w:val="20"/>
          <w:szCs w:val="20"/>
        </w:rPr>
        <w:t xml:space="preserve">g (i) depreciation and amortization related to real estate, (ii) gains or losses from sales of certain real estate assets, (iii) gains and losses from change in control, (iv) impairment write-downs of certain real estate assets and investments in entities </w:t>
      </w:r>
      <w:r>
        <w:rPr>
          <w:sz w:val="20"/>
          <w:szCs w:val="20"/>
        </w:rPr>
        <w:t xml:space="preserve">when the impairment is directly attributable to decreases in the value of depreciable real estate held by the entity and (v) after adjustments for unconsolidated partnerships and joint ventures calculated to reflect FFO on the same basis. The Company also </w:t>
      </w:r>
      <w:r>
        <w:rPr>
          <w:sz w:val="20"/>
          <w:szCs w:val="20"/>
        </w:rPr>
        <w:t>made an election to exclude from its calculation of FFO (i) gains and losses on the sale of assets and impairments of assets incidental to its main business and (ii) mark-to-market changes in the value of its equity securities. As such, the Company does no</w:t>
      </w:r>
      <w:r>
        <w:rPr>
          <w:sz w:val="20"/>
          <w:szCs w:val="20"/>
        </w:rPr>
        <w:t>t include gains/impairments on land parcels, gains/losses (realized or unrealized) from marketable securities or gains/impairments on preferred equity participations in NAREIT defined FFO. As a result of this election, the Company will no longer disclose F</w:t>
      </w:r>
      <w:r>
        <w:rPr>
          <w:sz w:val="20"/>
          <w:szCs w:val="20"/>
        </w:rPr>
        <w:t>FO available to the Company’s common shareholders as adjusted (“FFO as adjusted”) as an additional supplemental measure. The incidental adjustments noted above which were previously excluded from NAREIT FFO and used to determine FFO as adjusted are now inc</w:t>
      </w:r>
      <w:r>
        <w:rPr>
          <w:sz w:val="20"/>
          <w:szCs w:val="20"/>
        </w:rPr>
        <w:t>luded in NAREIT FFO and therefore the Company believes FFO as adjusted is no longer necessary.</w:t>
      </w:r>
    </w:p>
    <w:p w14:paraId="3929FD5A" w14:textId="77777777" w:rsidR="00000000" w:rsidRDefault="00847163">
      <w:pPr>
        <w:pStyle w:val="a3"/>
        <w:spacing w:before="0" w:beforeAutospacing="0" w:after="0" w:afterAutospacing="0"/>
        <w:ind w:firstLine="360"/>
        <w:jc w:val="both"/>
        <w:rPr>
          <w:sz w:val="20"/>
          <w:szCs w:val="20"/>
        </w:rPr>
      </w:pPr>
      <w:r>
        <w:rPr>
          <w:sz w:val="20"/>
          <w:szCs w:val="20"/>
        </w:rPr>
        <w:t> </w:t>
      </w:r>
    </w:p>
    <w:p w14:paraId="1AE92EE7" w14:textId="77777777" w:rsidR="00000000" w:rsidRDefault="00847163">
      <w:pPr>
        <w:pStyle w:val="a3"/>
        <w:spacing w:before="0" w:beforeAutospacing="0" w:after="0" w:afterAutospacing="0"/>
        <w:ind w:firstLine="360"/>
        <w:jc w:val="both"/>
        <w:rPr>
          <w:sz w:val="20"/>
          <w:szCs w:val="20"/>
        </w:rPr>
      </w:pPr>
      <w:r>
        <w:rPr>
          <w:sz w:val="20"/>
          <w:szCs w:val="20"/>
        </w:rPr>
        <w:t>The Company presents FFO available to the Company’s common shareholders as it considers it an important supplemental measure of our operating performance and b</w:t>
      </w:r>
      <w:r>
        <w:rPr>
          <w:sz w:val="20"/>
          <w:szCs w:val="20"/>
        </w:rPr>
        <w:t xml:space="preserve">elieves it is frequently used by securities analysts, investors and other interested parties in the evaluation of REITs, many of which present FFO available to the Company’s common shareholders when reporting results. Comparison of our presentation of FFO </w:t>
      </w:r>
      <w:r>
        <w:rPr>
          <w:sz w:val="20"/>
          <w:szCs w:val="20"/>
        </w:rPr>
        <w:t>available to the Company’s common shareholders to similarly titled measures for other REITs may not necessarily be meaningful due to possible differences in the application of the NAREIT definition used by such REITs.</w:t>
      </w:r>
    </w:p>
    <w:p w14:paraId="7EB91926" w14:textId="77777777" w:rsidR="00000000" w:rsidRDefault="00847163">
      <w:pPr>
        <w:pStyle w:val="a3"/>
        <w:spacing w:before="0" w:beforeAutospacing="0" w:after="0" w:afterAutospacing="0"/>
        <w:ind w:firstLine="360"/>
        <w:jc w:val="both"/>
        <w:rPr>
          <w:sz w:val="20"/>
          <w:szCs w:val="20"/>
        </w:rPr>
      </w:pPr>
      <w:r>
        <w:rPr>
          <w:sz w:val="20"/>
          <w:szCs w:val="20"/>
        </w:rPr>
        <w:t> </w:t>
      </w:r>
    </w:p>
    <w:p w14:paraId="1E06C0B7" w14:textId="77777777" w:rsidR="00000000" w:rsidRDefault="00847163">
      <w:pPr>
        <w:jc w:val="center"/>
        <w:divId w:val="2009551762"/>
        <w:rPr>
          <w:rFonts w:eastAsia="Times New Roman"/>
          <w:sz w:val="20"/>
          <w:szCs w:val="20"/>
        </w:rPr>
      </w:pPr>
      <w:r>
        <w:rPr>
          <w:rFonts w:eastAsia="Times New Roman"/>
          <w:sz w:val="20"/>
          <w:szCs w:val="20"/>
        </w:rPr>
        <w:t xml:space="preserve">27 </w:t>
      </w:r>
    </w:p>
    <w:p w14:paraId="041BF457" w14:textId="77777777" w:rsidR="00000000" w:rsidRDefault="00847163">
      <w:pPr>
        <w:divId w:val="2127577475"/>
        <w:rPr>
          <w:rFonts w:eastAsia="Times New Roman"/>
          <w:sz w:val="20"/>
          <w:szCs w:val="20"/>
        </w:rPr>
      </w:pPr>
      <w:r>
        <w:rPr>
          <w:rFonts w:eastAsia="Times New Roman"/>
          <w:sz w:val="20"/>
          <w:szCs w:val="20"/>
        </w:rPr>
        <w:pict w14:anchorId="71384309">
          <v:rect id="_x0000_i1055" style="width:0;height:1.5pt" o:hralign="center" o:hrstd="t" o:hr="t" fillcolor="#a0a0a0" stroked="f"/>
        </w:pict>
      </w:r>
    </w:p>
    <w:p w14:paraId="3F796880" w14:textId="77777777" w:rsidR="00000000" w:rsidRDefault="00847163">
      <w:pPr>
        <w:divId w:val="579485917"/>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2FAAC780" w14:textId="77777777" w:rsidR="00000000" w:rsidRDefault="00847163">
      <w:pPr>
        <w:pStyle w:val="a3"/>
        <w:spacing w:before="0" w:beforeAutospacing="0" w:after="0" w:afterAutospacing="0"/>
        <w:rPr>
          <w:sz w:val="20"/>
          <w:szCs w:val="20"/>
        </w:rPr>
      </w:pPr>
      <w:r>
        <w:rPr>
          <w:sz w:val="20"/>
          <w:szCs w:val="20"/>
        </w:rPr>
        <w:t> </w:t>
      </w:r>
    </w:p>
    <w:p w14:paraId="45B43A8A" w14:textId="77777777" w:rsidR="00000000" w:rsidRDefault="00847163">
      <w:pPr>
        <w:pStyle w:val="a3"/>
        <w:spacing w:before="0" w:beforeAutospacing="0" w:after="0" w:afterAutospacing="0"/>
        <w:ind w:firstLine="360"/>
        <w:jc w:val="both"/>
        <w:rPr>
          <w:sz w:val="20"/>
          <w:szCs w:val="20"/>
        </w:rPr>
      </w:pPr>
      <w:r>
        <w:rPr>
          <w:sz w:val="20"/>
          <w:szCs w:val="20"/>
        </w:rPr>
        <w:t xml:space="preserve">FFO is a supplemental non-GAAP financial measure of real estate companies’ </w:t>
      </w:r>
      <w:r>
        <w:rPr>
          <w:sz w:val="20"/>
          <w:szCs w:val="20"/>
        </w:rPr>
        <w:t>operating performances, which does not represent cash generated from operating activities in accordance with GAAP and therefore should not be considered an alternative for net income or cash flows from operations as a measure of liquidity.  Our method of c</w:t>
      </w:r>
      <w:r>
        <w:rPr>
          <w:sz w:val="20"/>
          <w:szCs w:val="20"/>
        </w:rPr>
        <w:t>alculating FFO available to the Company’s common shareholders may be different from methods used by other REITs and, accordingly, may not be comparable to such other REITs.</w:t>
      </w:r>
    </w:p>
    <w:p w14:paraId="2E368D16" w14:textId="77777777" w:rsidR="00000000" w:rsidRDefault="00847163">
      <w:pPr>
        <w:pStyle w:val="a3"/>
        <w:spacing w:before="0" w:beforeAutospacing="0" w:after="0" w:afterAutospacing="0"/>
        <w:ind w:firstLine="720"/>
        <w:jc w:val="both"/>
        <w:rPr>
          <w:sz w:val="20"/>
          <w:szCs w:val="20"/>
        </w:rPr>
      </w:pPr>
      <w:r>
        <w:rPr>
          <w:sz w:val="20"/>
          <w:szCs w:val="20"/>
        </w:rPr>
        <w:t> </w:t>
      </w:r>
    </w:p>
    <w:p w14:paraId="7DCF4D5F" w14:textId="77777777" w:rsidR="00000000" w:rsidRDefault="00847163">
      <w:pPr>
        <w:pStyle w:val="a3"/>
        <w:spacing w:before="0" w:beforeAutospacing="0" w:after="0" w:afterAutospacing="0"/>
        <w:ind w:firstLine="360"/>
        <w:jc w:val="both"/>
        <w:rPr>
          <w:sz w:val="20"/>
          <w:szCs w:val="20"/>
        </w:rPr>
      </w:pPr>
      <w:r>
        <w:rPr>
          <w:sz w:val="20"/>
          <w:szCs w:val="20"/>
        </w:rPr>
        <w:t>The Company’s reconciliation of net income available to the Company’s common shar</w:t>
      </w:r>
      <w:r>
        <w:rPr>
          <w:sz w:val="20"/>
          <w:szCs w:val="20"/>
        </w:rPr>
        <w:t>eholders to FFO available to the Company’s common shareholders is reflected in the table below (in thousands, except per share data).</w:t>
      </w:r>
    </w:p>
    <w:p w14:paraId="14D82130" w14:textId="77777777" w:rsidR="00000000" w:rsidRDefault="00847163">
      <w:pPr>
        <w:pStyle w:val="a3"/>
        <w:spacing w:before="0" w:beforeAutospacing="0" w:after="0" w:afterAutospacing="0"/>
        <w:ind w:firstLine="360"/>
        <w:jc w:val="both"/>
        <w:rPr>
          <w:sz w:val="20"/>
          <w:szCs w:val="20"/>
        </w:rPr>
      </w:pPr>
      <w:r>
        <w:rPr>
          <w:sz w:val="20"/>
          <w:szCs w:val="20"/>
        </w:rPr>
        <w:t> </w:t>
      </w:r>
    </w:p>
    <w:tbl>
      <w:tblPr>
        <w:tblW w:w="4250" w:type="pct"/>
        <w:tblCellSpacing w:w="0" w:type="dxa"/>
        <w:tblInd w:w="7" w:type="dxa"/>
        <w:tblCellMar>
          <w:left w:w="0" w:type="dxa"/>
          <w:right w:w="0" w:type="dxa"/>
        </w:tblCellMar>
        <w:tblLook w:val="04A0" w:firstRow="1" w:lastRow="0" w:firstColumn="1" w:lastColumn="0" w:noHBand="0" w:noVBand="1"/>
      </w:tblPr>
      <w:tblGrid>
        <w:gridCol w:w="4932"/>
        <w:gridCol w:w="61"/>
        <w:gridCol w:w="100"/>
        <w:gridCol w:w="837"/>
        <w:gridCol w:w="67"/>
        <w:gridCol w:w="57"/>
        <w:gridCol w:w="100"/>
        <w:gridCol w:w="839"/>
        <w:gridCol w:w="67"/>
      </w:tblGrid>
      <w:tr w:rsidR="00000000" w14:paraId="738A2E4B" w14:textId="77777777">
        <w:trPr>
          <w:tblCellSpacing w:w="0" w:type="dxa"/>
        </w:trPr>
        <w:tc>
          <w:tcPr>
            <w:tcW w:w="0" w:type="auto"/>
            <w:vAlign w:val="bottom"/>
            <w:hideMark/>
          </w:tcPr>
          <w:p w14:paraId="427DE2AA"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726D5E62" w14:textId="77777777" w:rsidR="00000000" w:rsidRDefault="00847163">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14:paraId="68CAD281" w14:textId="77777777" w:rsidR="00000000" w:rsidRDefault="00847163">
            <w:pPr>
              <w:pStyle w:val="a3"/>
              <w:spacing w:before="0" w:beforeAutospacing="0" w:after="0" w:afterAutospacing="0"/>
              <w:jc w:val="center"/>
              <w:rPr>
                <w:sz w:val="20"/>
                <w:szCs w:val="20"/>
              </w:rPr>
            </w:pPr>
            <w:r>
              <w:rPr>
                <w:b/>
                <w:bCs/>
                <w:sz w:val="20"/>
                <w:szCs w:val="20"/>
              </w:rPr>
              <w:t>Three Months Ended March 31,</w:t>
            </w:r>
          </w:p>
        </w:tc>
        <w:tc>
          <w:tcPr>
            <w:tcW w:w="0" w:type="auto"/>
            <w:tcMar>
              <w:top w:w="0" w:type="dxa"/>
              <w:left w:w="0" w:type="dxa"/>
              <w:bottom w:w="15" w:type="dxa"/>
              <w:right w:w="0" w:type="dxa"/>
            </w:tcMar>
            <w:vAlign w:val="bottom"/>
            <w:hideMark/>
          </w:tcPr>
          <w:p w14:paraId="47FA9746" w14:textId="77777777" w:rsidR="00000000" w:rsidRDefault="00847163">
            <w:pPr>
              <w:rPr>
                <w:rFonts w:eastAsia="Times New Roman"/>
                <w:sz w:val="20"/>
                <w:szCs w:val="20"/>
              </w:rPr>
            </w:pPr>
            <w:r>
              <w:rPr>
                <w:rFonts w:eastAsia="Times New Roman"/>
                <w:sz w:val="20"/>
                <w:szCs w:val="20"/>
              </w:rPr>
              <w:t> </w:t>
            </w:r>
          </w:p>
        </w:tc>
      </w:tr>
      <w:tr w:rsidR="00000000" w14:paraId="78EE02CC" w14:textId="77777777">
        <w:trPr>
          <w:tblCellSpacing w:w="0" w:type="dxa"/>
        </w:trPr>
        <w:tc>
          <w:tcPr>
            <w:tcW w:w="0" w:type="auto"/>
            <w:vAlign w:val="bottom"/>
            <w:hideMark/>
          </w:tcPr>
          <w:p w14:paraId="171EF998"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1A5A09EC" w14:textId="77777777" w:rsidR="00000000" w:rsidRDefault="0084716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0B3B6413" w14:textId="77777777" w:rsidR="00000000" w:rsidRDefault="00847163">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14:paraId="007AEF5E" w14:textId="77777777" w:rsidR="00000000" w:rsidRDefault="00847163">
            <w:pPr>
              <w:rPr>
                <w:rFonts w:eastAsia="Times New Roman"/>
                <w:sz w:val="20"/>
                <w:szCs w:val="20"/>
              </w:rPr>
            </w:pPr>
            <w:r>
              <w:rPr>
                <w:rFonts w:eastAsia="Times New Roman"/>
                <w:sz w:val="20"/>
                <w:szCs w:val="20"/>
              </w:rPr>
              <w:t> </w:t>
            </w:r>
          </w:p>
        </w:tc>
        <w:tc>
          <w:tcPr>
            <w:tcW w:w="0" w:type="auto"/>
            <w:vAlign w:val="bottom"/>
            <w:hideMark/>
          </w:tcPr>
          <w:p w14:paraId="073DA10C" w14:textId="77777777" w:rsidR="00000000" w:rsidRDefault="0084716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6258102A" w14:textId="77777777" w:rsidR="00000000" w:rsidRDefault="00847163">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6771198C" w14:textId="77777777" w:rsidR="00000000" w:rsidRDefault="00847163">
            <w:pPr>
              <w:rPr>
                <w:rFonts w:eastAsia="Times New Roman"/>
                <w:sz w:val="20"/>
                <w:szCs w:val="20"/>
              </w:rPr>
            </w:pPr>
            <w:r>
              <w:rPr>
                <w:rFonts w:eastAsia="Times New Roman"/>
                <w:sz w:val="20"/>
                <w:szCs w:val="20"/>
              </w:rPr>
              <w:t> </w:t>
            </w:r>
          </w:p>
        </w:tc>
      </w:tr>
      <w:tr w:rsidR="00000000" w14:paraId="66E36D1C" w14:textId="77777777">
        <w:trPr>
          <w:tblCellSpacing w:w="0" w:type="dxa"/>
        </w:trPr>
        <w:tc>
          <w:tcPr>
            <w:tcW w:w="3500" w:type="pct"/>
            <w:shd w:val="clear" w:color="auto" w:fill="CCEEFF"/>
            <w:vAlign w:val="bottom"/>
            <w:hideMark/>
          </w:tcPr>
          <w:p w14:paraId="5DEE3E60" w14:textId="77777777" w:rsidR="00000000" w:rsidRDefault="00847163">
            <w:pPr>
              <w:pStyle w:val="a3"/>
              <w:spacing w:before="0" w:beforeAutospacing="0" w:after="0" w:afterAutospacing="0"/>
              <w:rPr>
                <w:sz w:val="20"/>
                <w:szCs w:val="20"/>
              </w:rPr>
            </w:pPr>
            <w:r>
              <w:rPr>
                <w:b/>
                <w:bCs/>
                <w:sz w:val="20"/>
                <w:szCs w:val="20"/>
              </w:rPr>
              <w:t>Net income available to the Company’s common shareholders</w:t>
            </w:r>
          </w:p>
        </w:tc>
        <w:tc>
          <w:tcPr>
            <w:tcW w:w="50" w:type="pct"/>
            <w:shd w:val="clear" w:color="auto" w:fill="CCEEFF"/>
            <w:vAlign w:val="bottom"/>
            <w:hideMark/>
          </w:tcPr>
          <w:p w14:paraId="17DBC2DE"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4CF77E4" w14:textId="77777777" w:rsidR="00000000" w:rsidRDefault="00847163">
            <w:pPr>
              <w:rPr>
                <w:rFonts w:eastAsia="Times New Roman"/>
                <w:sz w:val="20"/>
                <w:szCs w:val="20"/>
              </w:rPr>
            </w:pPr>
            <w:r>
              <w:rPr>
                <w:rFonts w:eastAsia="Times New Roman"/>
                <w:b/>
                <w:bCs/>
                <w:sz w:val="20"/>
                <w:szCs w:val="20"/>
              </w:rPr>
              <w:t>$</w:t>
            </w:r>
          </w:p>
        </w:tc>
        <w:tc>
          <w:tcPr>
            <w:tcW w:w="600" w:type="pct"/>
            <w:shd w:val="clear" w:color="auto" w:fill="CCEEFF"/>
            <w:vAlign w:val="bottom"/>
            <w:hideMark/>
          </w:tcPr>
          <w:p w14:paraId="06375D58" w14:textId="77777777" w:rsidR="00000000" w:rsidRDefault="00847163">
            <w:pPr>
              <w:jc w:val="right"/>
              <w:rPr>
                <w:rFonts w:eastAsia="Times New Roman"/>
                <w:sz w:val="20"/>
                <w:szCs w:val="20"/>
              </w:rPr>
            </w:pPr>
            <w:r>
              <w:rPr>
                <w:rFonts w:eastAsia="Times New Roman"/>
                <w:b/>
                <w:bCs/>
                <w:sz w:val="20"/>
                <w:szCs w:val="20"/>
              </w:rPr>
              <w:t>83,746</w:t>
            </w:r>
          </w:p>
        </w:tc>
        <w:tc>
          <w:tcPr>
            <w:tcW w:w="50" w:type="pct"/>
            <w:shd w:val="clear" w:color="auto" w:fill="CCEEFF"/>
            <w:vAlign w:val="bottom"/>
            <w:hideMark/>
          </w:tcPr>
          <w:p w14:paraId="1504A195"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DB795D6"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6FC223D" w14:textId="77777777" w:rsidR="00000000" w:rsidRDefault="00847163">
            <w:pPr>
              <w:rPr>
                <w:rFonts w:eastAsia="Times New Roman"/>
                <w:sz w:val="20"/>
                <w:szCs w:val="20"/>
              </w:rPr>
            </w:pPr>
            <w:r>
              <w:rPr>
                <w:rFonts w:eastAsia="Times New Roman"/>
                <w:b/>
                <w:bCs/>
                <w:sz w:val="20"/>
                <w:szCs w:val="20"/>
              </w:rPr>
              <w:t>$</w:t>
            </w:r>
          </w:p>
        </w:tc>
        <w:tc>
          <w:tcPr>
            <w:tcW w:w="600" w:type="pct"/>
            <w:shd w:val="clear" w:color="auto" w:fill="CCEEFF"/>
            <w:vAlign w:val="bottom"/>
            <w:hideMark/>
          </w:tcPr>
          <w:p w14:paraId="01BA3C6E" w14:textId="77777777" w:rsidR="00000000" w:rsidRDefault="00847163">
            <w:pPr>
              <w:jc w:val="right"/>
              <w:rPr>
                <w:rFonts w:eastAsia="Times New Roman"/>
                <w:sz w:val="20"/>
                <w:szCs w:val="20"/>
              </w:rPr>
            </w:pPr>
            <w:r>
              <w:rPr>
                <w:rFonts w:eastAsia="Times New Roman"/>
                <w:b/>
                <w:bCs/>
                <w:sz w:val="20"/>
                <w:szCs w:val="20"/>
              </w:rPr>
              <w:t>101,635</w:t>
            </w:r>
          </w:p>
        </w:tc>
        <w:tc>
          <w:tcPr>
            <w:tcW w:w="50" w:type="pct"/>
            <w:shd w:val="clear" w:color="auto" w:fill="CCEEFF"/>
            <w:vAlign w:val="bottom"/>
            <w:hideMark/>
          </w:tcPr>
          <w:p w14:paraId="60ACF943" w14:textId="77777777" w:rsidR="00000000" w:rsidRDefault="00847163">
            <w:pPr>
              <w:rPr>
                <w:rFonts w:eastAsia="Times New Roman"/>
                <w:sz w:val="20"/>
                <w:szCs w:val="20"/>
              </w:rPr>
            </w:pPr>
            <w:r>
              <w:rPr>
                <w:rFonts w:eastAsia="Times New Roman"/>
                <w:sz w:val="20"/>
                <w:szCs w:val="20"/>
              </w:rPr>
              <w:t> </w:t>
            </w:r>
          </w:p>
        </w:tc>
      </w:tr>
      <w:tr w:rsidR="00000000" w14:paraId="69DEFA71" w14:textId="77777777">
        <w:trPr>
          <w:tblCellSpacing w:w="0" w:type="dxa"/>
        </w:trPr>
        <w:tc>
          <w:tcPr>
            <w:tcW w:w="0" w:type="auto"/>
            <w:shd w:val="clear" w:color="auto" w:fill="FFFFFF"/>
            <w:vAlign w:val="bottom"/>
            <w:hideMark/>
          </w:tcPr>
          <w:p w14:paraId="3DDDBFFC" w14:textId="77777777" w:rsidR="00000000" w:rsidRDefault="00847163">
            <w:pPr>
              <w:pStyle w:val="a3"/>
              <w:spacing w:before="0" w:beforeAutospacing="0" w:after="0" w:afterAutospacing="0"/>
              <w:rPr>
                <w:sz w:val="20"/>
                <w:szCs w:val="20"/>
              </w:rPr>
            </w:pPr>
            <w:r>
              <w:rPr>
                <w:sz w:val="20"/>
                <w:szCs w:val="20"/>
              </w:rPr>
              <w:t>Gain on sale of properties</w:t>
            </w:r>
          </w:p>
        </w:tc>
        <w:tc>
          <w:tcPr>
            <w:tcW w:w="50" w:type="pct"/>
            <w:shd w:val="clear" w:color="auto" w:fill="FFFFFF"/>
            <w:vAlign w:val="bottom"/>
            <w:hideMark/>
          </w:tcPr>
          <w:p w14:paraId="7F1B0733"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AF03BDE" w14:textId="77777777" w:rsidR="00000000" w:rsidRDefault="00847163">
            <w:pPr>
              <w:rPr>
                <w:rFonts w:eastAsia="Times New Roman"/>
                <w:sz w:val="20"/>
                <w:szCs w:val="20"/>
              </w:rPr>
            </w:pPr>
            <w:r>
              <w:rPr>
                <w:rFonts w:eastAsia="Times New Roman"/>
                <w:sz w:val="20"/>
                <w:szCs w:val="20"/>
              </w:rPr>
              <w:t> </w:t>
            </w:r>
          </w:p>
        </w:tc>
        <w:tc>
          <w:tcPr>
            <w:tcW w:w="600" w:type="pct"/>
            <w:shd w:val="clear" w:color="auto" w:fill="FFFFFF"/>
            <w:vAlign w:val="bottom"/>
            <w:hideMark/>
          </w:tcPr>
          <w:p w14:paraId="7D3595BA" w14:textId="77777777" w:rsidR="00000000" w:rsidRDefault="00847163">
            <w:pPr>
              <w:jc w:val="right"/>
              <w:rPr>
                <w:rFonts w:eastAsia="Times New Roman"/>
                <w:sz w:val="20"/>
                <w:szCs w:val="20"/>
              </w:rPr>
            </w:pPr>
            <w:r>
              <w:rPr>
                <w:rFonts w:eastAsia="Times New Roman"/>
                <w:sz w:val="20"/>
                <w:szCs w:val="20"/>
              </w:rPr>
              <w:t>(3,847</w:t>
            </w:r>
          </w:p>
        </w:tc>
        <w:tc>
          <w:tcPr>
            <w:tcW w:w="50" w:type="pct"/>
            <w:shd w:val="clear" w:color="auto" w:fill="FFFFFF"/>
            <w:vAlign w:val="bottom"/>
            <w:hideMark/>
          </w:tcPr>
          <w:p w14:paraId="0BBDF7DC" w14:textId="77777777" w:rsidR="00000000" w:rsidRDefault="00847163">
            <w:pPr>
              <w:rPr>
                <w:rFonts w:eastAsia="Times New Roman"/>
                <w:sz w:val="20"/>
                <w:szCs w:val="20"/>
              </w:rPr>
            </w:pPr>
            <w:r>
              <w:rPr>
                <w:rFonts w:eastAsia="Times New Roman"/>
                <w:sz w:val="20"/>
                <w:szCs w:val="20"/>
              </w:rPr>
              <w:t>)</w:t>
            </w:r>
          </w:p>
        </w:tc>
        <w:tc>
          <w:tcPr>
            <w:tcW w:w="50" w:type="pct"/>
            <w:shd w:val="clear" w:color="auto" w:fill="FFFFFF"/>
            <w:vAlign w:val="bottom"/>
            <w:hideMark/>
          </w:tcPr>
          <w:p w14:paraId="11DA6CFF"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3941D5A" w14:textId="77777777" w:rsidR="00000000" w:rsidRDefault="00847163">
            <w:pPr>
              <w:rPr>
                <w:rFonts w:eastAsia="Times New Roman"/>
                <w:sz w:val="20"/>
                <w:szCs w:val="20"/>
              </w:rPr>
            </w:pPr>
            <w:r>
              <w:rPr>
                <w:rFonts w:eastAsia="Times New Roman"/>
                <w:sz w:val="20"/>
                <w:szCs w:val="20"/>
              </w:rPr>
              <w:t> </w:t>
            </w:r>
          </w:p>
        </w:tc>
        <w:tc>
          <w:tcPr>
            <w:tcW w:w="600" w:type="pct"/>
            <w:shd w:val="clear" w:color="auto" w:fill="FFFFFF"/>
            <w:vAlign w:val="bottom"/>
            <w:hideMark/>
          </w:tcPr>
          <w:p w14:paraId="6436A756" w14:textId="77777777" w:rsidR="00000000" w:rsidRDefault="00847163">
            <w:pPr>
              <w:jc w:val="right"/>
              <w:rPr>
                <w:rFonts w:eastAsia="Times New Roman"/>
                <w:sz w:val="20"/>
                <w:szCs w:val="20"/>
              </w:rPr>
            </w:pPr>
            <w:r>
              <w:rPr>
                <w:rFonts w:eastAsia="Times New Roman"/>
                <w:sz w:val="20"/>
                <w:szCs w:val="20"/>
              </w:rPr>
              <w:t>(23,595</w:t>
            </w:r>
          </w:p>
        </w:tc>
        <w:tc>
          <w:tcPr>
            <w:tcW w:w="50" w:type="pct"/>
            <w:shd w:val="clear" w:color="auto" w:fill="FFFFFF"/>
            <w:vAlign w:val="bottom"/>
            <w:hideMark/>
          </w:tcPr>
          <w:p w14:paraId="1FBE7D70" w14:textId="77777777" w:rsidR="00000000" w:rsidRDefault="00847163">
            <w:pPr>
              <w:rPr>
                <w:rFonts w:eastAsia="Times New Roman"/>
                <w:sz w:val="20"/>
                <w:szCs w:val="20"/>
              </w:rPr>
            </w:pPr>
            <w:r>
              <w:rPr>
                <w:rFonts w:eastAsia="Times New Roman"/>
                <w:sz w:val="20"/>
                <w:szCs w:val="20"/>
              </w:rPr>
              <w:t>)</w:t>
            </w:r>
          </w:p>
        </w:tc>
      </w:tr>
      <w:tr w:rsidR="00000000" w14:paraId="707CE4CE" w14:textId="77777777">
        <w:trPr>
          <w:tblCellSpacing w:w="0" w:type="dxa"/>
        </w:trPr>
        <w:tc>
          <w:tcPr>
            <w:tcW w:w="0" w:type="auto"/>
            <w:shd w:val="clear" w:color="auto" w:fill="CCEEFF"/>
            <w:vAlign w:val="bottom"/>
            <w:hideMark/>
          </w:tcPr>
          <w:p w14:paraId="2A3AA934" w14:textId="77777777" w:rsidR="00000000" w:rsidRDefault="00847163">
            <w:pPr>
              <w:pStyle w:val="a3"/>
              <w:spacing w:before="0" w:beforeAutospacing="0" w:after="0" w:afterAutospacing="0"/>
              <w:rPr>
                <w:sz w:val="20"/>
                <w:szCs w:val="20"/>
              </w:rPr>
            </w:pPr>
            <w:r>
              <w:rPr>
                <w:sz w:val="20"/>
                <w:szCs w:val="20"/>
              </w:rPr>
              <w:t>Gain on sale of joint venture properties</w:t>
            </w:r>
          </w:p>
        </w:tc>
        <w:tc>
          <w:tcPr>
            <w:tcW w:w="50" w:type="pct"/>
            <w:shd w:val="clear" w:color="auto" w:fill="CCEEFF"/>
            <w:vAlign w:val="bottom"/>
            <w:hideMark/>
          </w:tcPr>
          <w:p w14:paraId="2779F5CD"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CD77F02" w14:textId="77777777" w:rsidR="00000000" w:rsidRDefault="0084716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423038C8" w14:textId="77777777" w:rsidR="00000000" w:rsidRDefault="00847163">
            <w:pPr>
              <w:jc w:val="right"/>
              <w:rPr>
                <w:rFonts w:eastAsia="Times New Roman"/>
                <w:sz w:val="20"/>
                <w:szCs w:val="20"/>
              </w:rPr>
            </w:pPr>
            <w:r>
              <w:rPr>
                <w:rFonts w:eastAsia="Times New Roman"/>
                <w:sz w:val="20"/>
                <w:szCs w:val="20"/>
              </w:rPr>
              <w:t>(18</w:t>
            </w:r>
          </w:p>
        </w:tc>
        <w:tc>
          <w:tcPr>
            <w:tcW w:w="50" w:type="pct"/>
            <w:shd w:val="clear" w:color="auto" w:fill="CCEEFF"/>
            <w:vAlign w:val="bottom"/>
            <w:hideMark/>
          </w:tcPr>
          <w:p w14:paraId="4EFF2E51" w14:textId="77777777" w:rsidR="00000000" w:rsidRDefault="00847163">
            <w:pPr>
              <w:rPr>
                <w:rFonts w:eastAsia="Times New Roman"/>
                <w:sz w:val="20"/>
                <w:szCs w:val="20"/>
              </w:rPr>
            </w:pPr>
            <w:r>
              <w:rPr>
                <w:rFonts w:eastAsia="Times New Roman"/>
                <w:sz w:val="20"/>
                <w:szCs w:val="20"/>
              </w:rPr>
              <w:t>)</w:t>
            </w:r>
          </w:p>
        </w:tc>
        <w:tc>
          <w:tcPr>
            <w:tcW w:w="50" w:type="pct"/>
            <w:shd w:val="clear" w:color="auto" w:fill="CCEEFF"/>
            <w:vAlign w:val="bottom"/>
            <w:hideMark/>
          </w:tcPr>
          <w:p w14:paraId="2EA0B537"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654C603" w14:textId="77777777" w:rsidR="00000000" w:rsidRDefault="0084716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5D3D426C" w14:textId="77777777" w:rsidR="00000000" w:rsidRDefault="00847163">
            <w:pPr>
              <w:jc w:val="right"/>
              <w:rPr>
                <w:rFonts w:eastAsia="Times New Roman"/>
                <w:sz w:val="20"/>
                <w:szCs w:val="20"/>
              </w:rPr>
            </w:pPr>
            <w:r>
              <w:rPr>
                <w:rFonts w:eastAsia="Times New Roman"/>
                <w:sz w:val="20"/>
                <w:szCs w:val="20"/>
              </w:rPr>
              <w:t>(4,690</w:t>
            </w:r>
          </w:p>
        </w:tc>
        <w:tc>
          <w:tcPr>
            <w:tcW w:w="50" w:type="pct"/>
            <w:shd w:val="clear" w:color="auto" w:fill="CCEEFF"/>
            <w:vAlign w:val="bottom"/>
            <w:hideMark/>
          </w:tcPr>
          <w:p w14:paraId="122A0134" w14:textId="77777777" w:rsidR="00000000" w:rsidRDefault="00847163">
            <w:pPr>
              <w:rPr>
                <w:rFonts w:eastAsia="Times New Roman"/>
                <w:sz w:val="20"/>
                <w:szCs w:val="20"/>
              </w:rPr>
            </w:pPr>
            <w:r>
              <w:rPr>
                <w:rFonts w:eastAsia="Times New Roman"/>
                <w:sz w:val="20"/>
                <w:szCs w:val="20"/>
              </w:rPr>
              <w:t>)</w:t>
            </w:r>
          </w:p>
        </w:tc>
      </w:tr>
      <w:tr w:rsidR="00000000" w14:paraId="5B0BBC95" w14:textId="77777777">
        <w:trPr>
          <w:tblCellSpacing w:w="0" w:type="dxa"/>
        </w:trPr>
        <w:tc>
          <w:tcPr>
            <w:tcW w:w="0" w:type="auto"/>
            <w:shd w:val="clear" w:color="auto" w:fill="FFFFFF"/>
            <w:vAlign w:val="bottom"/>
            <w:hideMark/>
          </w:tcPr>
          <w:p w14:paraId="0262A688" w14:textId="77777777" w:rsidR="00000000" w:rsidRDefault="00847163">
            <w:pPr>
              <w:pStyle w:val="a3"/>
              <w:spacing w:before="0" w:beforeAutospacing="0" w:after="0" w:afterAutospacing="0"/>
              <w:rPr>
                <w:sz w:val="20"/>
                <w:szCs w:val="20"/>
              </w:rPr>
            </w:pPr>
            <w:r>
              <w:rPr>
                <w:sz w:val="20"/>
                <w:szCs w:val="20"/>
              </w:rPr>
              <w:t>Depreciation and amortization – real estate related</w:t>
            </w:r>
          </w:p>
        </w:tc>
        <w:tc>
          <w:tcPr>
            <w:tcW w:w="50" w:type="pct"/>
            <w:shd w:val="clear" w:color="auto" w:fill="FFFFFF"/>
            <w:vAlign w:val="bottom"/>
            <w:hideMark/>
          </w:tcPr>
          <w:p w14:paraId="1D9B4DE8"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A086DFC" w14:textId="77777777" w:rsidR="00000000" w:rsidRDefault="00847163">
            <w:pPr>
              <w:rPr>
                <w:rFonts w:eastAsia="Times New Roman"/>
                <w:sz w:val="20"/>
                <w:szCs w:val="20"/>
              </w:rPr>
            </w:pPr>
            <w:r>
              <w:rPr>
                <w:rFonts w:eastAsia="Times New Roman"/>
                <w:sz w:val="20"/>
                <w:szCs w:val="20"/>
              </w:rPr>
              <w:t> </w:t>
            </w:r>
          </w:p>
        </w:tc>
        <w:tc>
          <w:tcPr>
            <w:tcW w:w="600" w:type="pct"/>
            <w:shd w:val="clear" w:color="auto" w:fill="FFFFFF"/>
            <w:vAlign w:val="bottom"/>
            <w:hideMark/>
          </w:tcPr>
          <w:p w14:paraId="60704FEF" w14:textId="77777777" w:rsidR="00000000" w:rsidRDefault="00847163">
            <w:pPr>
              <w:jc w:val="right"/>
              <w:rPr>
                <w:rFonts w:eastAsia="Times New Roman"/>
                <w:sz w:val="20"/>
                <w:szCs w:val="20"/>
              </w:rPr>
            </w:pPr>
            <w:r>
              <w:rPr>
                <w:rFonts w:eastAsia="Times New Roman"/>
                <w:sz w:val="20"/>
                <w:szCs w:val="20"/>
              </w:rPr>
              <w:t>68,707</w:t>
            </w:r>
          </w:p>
        </w:tc>
        <w:tc>
          <w:tcPr>
            <w:tcW w:w="50" w:type="pct"/>
            <w:shd w:val="clear" w:color="auto" w:fill="FFFFFF"/>
            <w:vAlign w:val="bottom"/>
            <w:hideMark/>
          </w:tcPr>
          <w:p w14:paraId="4FB77989"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CBE6452"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F1B78AD" w14:textId="77777777" w:rsidR="00000000" w:rsidRDefault="00847163">
            <w:pPr>
              <w:rPr>
                <w:rFonts w:eastAsia="Times New Roman"/>
                <w:sz w:val="20"/>
                <w:szCs w:val="20"/>
              </w:rPr>
            </w:pPr>
            <w:r>
              <w:rPr>
                <w:rFonts w:eastAsia="Times New Roman"/>
                <w:sz w:val="20"/>
                <w:szCs w:val="20"/>
              </w:rPr>
              <w:t> </w:t>
            </w:r>
          </w:p>
        </w:tc>
        <w:tc>
          <w:tcPr>
            <w:tcW w:w="600" w:type="pct"/>
            <w:shd w:val="clear" w:color="auto" w:fill="FFFFFF"/>
            <w:vAlign w:val="bottom"/>
            <w:hideMark/>
          </w:tcPr>
          <w:p w14:paraId="1BF16B5A" w14:textId="77777777" w:rsidR="00000000" w:rsidRDefault="00847163">
            <w:pPr>
              <w:jc w:val="right"/>
              <w:rPr>
                <w:rFonts w:eastAsia="Times New Roman"/>
                <w:sz w:val="20"/>
                <w:szCs w:val="20"/>
              </w:rPr>
            </w:pPr>
            <w:r>
              <w:rPr>
                <w:rFonts w:eastAsia="Times New Roman"/>
                <w:sz w:val="20"/>
                <w:szCs w:val="20"/>
              </w:rPr>
              <w:t>71,260</w:t>
            </w:r>
          </w:p>
        </w:tc>
        <w:tc>
          <w:tcPr>
            <w:tcW w:w="50" w:type="pct"/>
            <w:shd w:val="clear" w:color="auto" w:fill="FFFFFF"/>
            <w:vAlign w:val="bottom"/>
            <w:hideMark/>
          </w:tcPr>
          <w:p w14:paraId="17B021C2" w14:textId="77777777" w:rsidR="00000000" w:rsidRDefault="00847163">
            <w:pPr>
              <w:rPr>
                <w:rFonts w:eastAsia="Times New Roman"/>
                <w:sz w:val="20"/>
                <w:szCs w:val="20"/>
              </w:rPr>
            </w:pPr>
            <w:r>
              <w:rPr>
                <w:rFonts w:eastAsia="Times New Roman"/>
                <w:sz w:val="20"/>
                <w:szCs w:val="20"/>
              </w:rPr>
              <w:t> </w:t>
            </w:r>
          </w:p>
        </w:tc>
      </w:tr>
      <w:tr w:rsidR="00000000" w14:paraId="759DB948" w14:textId="77777777">
        <w:trPr>
          <w:tblCellSpacing w:w="0" w:type="dxa"/>
        </w:trPr>
        <w:tc>
          <w:tcPr>
            <w:tcW w:w="0" w:type="auto"/>
            <w:shd w:val="clear" w:color="auto" w:fill="CCEEFF"/>
            <w:vAlign w:val="bottom"/>
            <w:hideMark/>
          </w:tcPr>
          <w:p w14:paraId="6C4E874E" w14:textId="77777777" w:rsidR="00000000" w:rsidRDefault="00847163">
            <w:pPr>
              <w:pStyle w:val="a3"/>
              <w:spacing w:before="0" w:beforeAutospacing="0" w:after="0" w:afterAutospacing="0"/>
              <w:rPr>
                <w:sz w:val="20"/>
                <w:szCs w:val="20"/>
              </w:rPr>
            </w:pPr>
            <w:r>
              <w:rPr>
                <w:sz w:val="20"/>
                <w:szCs w:val="20"/>
              </w:rPr>
              <w:t>Depreciation and amortization – real estate joint ventures</w:t>
            </w:r>
          </w:p>
        </w:tc>
        <w:tc>
          <w:tcPr>
            <w:tcW w:w="50" w:type="pct"/>
            <w:shd w:val="clear" w:color="auto" w:fill="CCEEFF"/>
            <w:vAlign w:val="bottom"/>
            <w:hideMark/>
          </w:tcPr>
          <w:p w14:paraId="1BA999C0"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47C0921" w14:textId="77777777" w:rsidR="00000000" w:rsidRDefault="0084716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3577218A" w14:textId="77777777" w:rsidR="00000000" w:rsidRDefault="00847163">
            <w:pPr>
              <w:jc w:val="right"/>
              <w:rPr>
                <w:rFonts w:eastAsia="Times New Roman"/>
                <w:sz w:val="20"/>
                <w:szCs w:val="20"/>
              </w:rPr>
            </w:pPr>
            <w:r>
              <w:rPr>
                <w:rFonts w:eastAsia="Times New Roman"/>
                <w:sz w:val="20"/>
                <w:szCs w:val="20"/>
              </w:rPr>
              <w:t>10,564</w:t>
            </w:r>
          </w:p>
        </w:tc>
        <w:tc>
          <w:tcPr>
            <w:tcW w:w="50" w:type="pct"/>
            <w:shd w:val="clear" w:color="auto" w:fill="CCEEFF"/>
            <w:vAlign w:val="bottom"/>
            <w:hideMark/>
          </w:tcPr>
          <w:p w14:paraId="364E69D9"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93F84F1"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4DC0CF6" w14:textId="77777777" w:rsidR="00000000" w:rsidRDefault="0084716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58E9F323" w14:textId="77777777" w:rsidR="00000000" w:rsidRDefault="00847163">
            <w:pPr>
              <w:jc w:val="right"/>
              <w:rPr>
                <w:rFonts w:eastAsia="Times New Roman"/>
                <w:sz w:val="20"/>
                <w:szCs w:val="20"/>
              </w:rPr>
            </w:pPr>
            <w:r>
              <w:rPr>
                <w:rFonts w:eastAsia="Times New Roman"/>
                <w:sz w:val="20"/>
                <w:szCs w:val="20"/>
              </w:rPr>
              <w:t>10,161</w:t>
            </w:r>
          </w:p>
        </w:tc>
        <w:tc>
          <w:tcPr>
            <w:tcW w:w="50" w:type="pct"/>
            <w:shd w:val="clear" w:color="auto" w:fill="CCEEFF"/>
            <w:vAlign w:val="bottom"/>
            <w:hideMark/>
          </w:tcPr>
          <w:p w14:paraId="22216148" w14:textId="77777777" w:rsidR="00000000" w:rsidRDefault="00847163">
            <w:pPr>
              <w:rPr>
                <w:rFonts w:eastAsia="Times New Roman"/>
                <w:sz w:val="20"/>
                <w:szCs w:val="20"/>
              </w:rPr>
            </w:pPr>
            <w:r>
              <w:rPr>
                <w:rFonts w:eastAsia="Times New Roman"/>
                <w:sz w:val="20"/>
                <w:szCs w:val="20"/>
              </w:rPr>
              <w:t> </w:t>
            </w:r>
          </w:p>
        </w:tc>
      </w:tr>
      <w:tr w:rsidR="00000000" w14:paraId="325CAB60" w14:textId="77777777">
        <w:trPr>
          <w:tblCellSpacing w:w="0" w:type="dxa"/>
        </w:trPr>
        <w:tc>
          <w:tcPr>
            <w:tcW w:w="0" w:type="auto"/>
            <w:shd w:val="clear" w:color="auto" w:fill="FFFFFF"/>
            <w:vAlign w:val="bottom"/>
            <w:hideMark/>
          </w:tcPr>
          <w:p w14:paraId="3ED9ECDA" w14:textId="77777777" w:rsidR="00000000" w:rsidRDefault="00847163">
            <w:pPr>
              <w:pStyle w:val="a3"/>
              <w:spacing w:before="0" w:beforeAutospacing="0" w:after="0" w:afterAutospacing="0"/>
              <w:rPr>
                <w:sz w:val="20"/>
                <w:szCs w:val="20"/>
              </w:rPr>
            </w:pPr>
            <w:r>
              <w:rPr>
                <w:sz w:val="20"/>
                <w:szCs w:val="20"/>
              </w:rPr>
              <w:t>Impairment charges of depreciable real estate properties</w:t>
            </w:r>
          </w:p>
        </w:tc>
        <w:tc>
          <w:tcPr>
            <w:tcW w:w="50" w:type="pct"/>
            <w:shd w:val="clear" w:color="auto" w:fill="FFFFFF"/>
            <w:vAlign w:val="bottom"/>
            <w:hideMark/>
          </w:tcPr>
          <w:p w14:paraId="49603E09"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C38CD1E" w14:textId="77777777" w:rsidR="00000000" w:rsidRDefault="00847163">
            <w:pPr>
              <w:rPr>
                <w:rFonts w:eastAsia="Times New Roman"/>
                <w:sz w:val="20"/>
                <w:szCs w:val="20"/>
              </w:rPr>
            </w:pPr>
            <w:r>
              <w:rPr>
                <w:rFonts w:eastAsia="Times New Roman"/>
                <w:sz w:val="20"/>
                <w:szCs w:val="20"/>
              </w:rPr>
              <w:t> </w:t>
            </w:r>
          </w:p>
        </w:tc>
        <w:tc>
          <w:tcPr>
            <w:tcW w:w="600" w:type="pct"/>
            <w:shd w:val="clear" w:color="auto" w:fill="FFFFFF"/>
            <w:vAlign w:val="bottom"/>
            <w:hideMark/>
          </w:tcPr>
          <w:p w14:paraId="7A21B64F" w14:textId="77777777" w:rsidR="00000000" w:rsidRDefault="00847163">
            <w:pPr>
              <w:jc w:val="right"/>
              <w:rPr>
                <w:rFonts w:eastAsia="Times New Roman"/>
                <w:sz w:val="20"/>
                <w:szCs w:val="20"/>
              </w:rPr>
            </w:pPr>
            <w:r>
              <w:rPr>
                <w:rFonts w:eastAsia="Times New Roman"/>
                <w:sz w:val="20"/>
                <w:szCs w:val="20"/>
              </w:rPr>
              <w:t>3,441</w:t>
            </w:r>
          </w:p>
        </w:tc>
        <w:tc>
          <w:tcPr>
            <w:tcW w:w="50" w:type="pct"/>
            <w:shd w:val="clear" w:color="auto" w:fill="FFFFFF"/>
            <w:vAlign w:val="bottom"/>
            <w:hideMark/>
          </w:tcPr>
          <w:p w14:paraId="7A5C00A9"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6925F49"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85E5228" w14:textId="77777777" w:rsidR="00000000" w:rsidRDefault="00847163">
            <w:pPr>
              <w:rPr>
                <w:rFonts w:eastAsia="Times New Roman"/>
                <w:sz w:val="20"/>
                <w:szCs w:val="20"/>
              </w:rPr>
            </w:pPr>
            <w:r>
              <w:rPr>
                <w:rFonts w:eastAsia="Times New Roman"/>
                <w:sz w:val="20"/>
                <w:szCs w:val="20"/>
              </w:rPr>
              <w:t> </w:t>
            </w:r>
          </w:p>
        </w:tc>
        <w:tc>
          <w:tcPr>
            <w:tcW w:w="600" w:type="pct"/>
            <w:shd w:val="clear" w:color="auto" w:fill="FFFFFF"/>
            <w:vAlign w:val="bottom"/>
            <w:hideMark/>
          </w:tcPr>
          <w:p w14:paraId="45828BD1" w14:textId="77777777" w:rsidR="00000000" w:rsidRDefault="00847163">
            <w:pPr>
              <w:jc w:val="right"/>
              <w:rPr>
                <w:rFonts w:eastAsia="Times New Roman"/>
                <w:sz w:val="20"/>
                <w:szCs w:val="20"/>
              </w:rPr>
            </w:pPr>
            <w:r>
              <w:rPr>
                <w:rFonts w:eastAsia="Times New Roman"/>
                <w:sz w:val="20"/>
                <w:szCs w:val="20"/>
              </w:rPr>
              <w:t>6,408</w:t>
            </w:r>
          </w:p>
        </w:tc>
        <w:tc>
          <w:tcPr>
            <w:tcW w:w="50" w:type="pct"/>
            <w:shd w:val="clear" w:color="auto" w:fill="FFFFFF"/>
            <w:vAlign w:val="bottom"/>
            <w:hideMark/>
          </w:tcPr>
          <w:p w14:paraId="3C3AAF1C" w14:textId="77777777" w:rsidR="00000000" w:rsidRDefault="00847163">
            <w:pPr>
              <w:rPr>
                <w:rFonts w:eastAsia="Times New Roman"/>
                <w:sz w:val="20"/>
                <w:szCs w:val="20"/>
              </w:rPr>
            </w:pPr>
            <w:r>
              <w:rPr>
                <w:rFonts w:eastAsia="Times New Roman"/>
                <w:sz w:val="20"/>
                <w:szCs w:val="20"/>
              </w:rPr>
              <w:t> </w:t>
            </w:r>
          </w:p>
        </w:tc>
      </w:tr>
      <w:tr w:rsidR="00000000" w14:paraId="73C9BC89" w14:textId="77777777">
        <w:trPr>
          <w:tblCellSpacing w:w="0" w:type="dxa"/>
        </w:trPr>
        <w:tc>
          <w:tcPr>
            <w:tcW w:w="0" w:type="auto"/>
            <w:shd w:val="clear" w:color="auto" w:fill="CCEEFF"/>
            <w:vAlign w:val="bottom"/>
            <w:hideMark/>
          </w:tcPr>
          <w:p w14:paraId="2827526D" w14:textId="77777777" w:rsidR="00000000" w:rsidRDefault="00847163">
            <w:pPr>
              <w:pStyle w:val="a3"/>
              <w:spacing w:before="0" w:beforeAutospacing="0" w:after="0" w:afterAutospacing="0"/>
              <w:rPr>
                <w:sz w:val="20"/>
                <w:szCs w:val="20"/>
              </w:rPr>
            </w:pPr>
            <w:r>
              <w:rPr>
                <w:sz w:val="20"/>
                <w:szCs w:val="20"/>
              </w:rPr>
              <w:t>Profit participation from other real estate investments, net</w:t>
            </w:r>
          </w:p>
        </w:tc>
        <w:tc>
          <w:tcPr>
            <w:tcW w:w="50" w:type="pct"/>
            <w:shd w:val="clear" w:color="auto" w:fill="CCEEFF"/>
            <w:vAlign w:val="bottom"/>
            <w:hideMark/>
          </w:tcPr>
          <w:p w14:paraId="0791DD31"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1DF601F" w14:textId="77777777" w:rsidR="00000000" w:rsidRDefault="0084716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71772507" w14:textId="77777777" w:rsidR="00000000" w:rsidRDefault="00847163">
            <w:pPr>
              <w:jc w:val="right"/>
              <w:rPr>
                <w:rFonts w:eastAsia="Times New Roman"/>
                <w:sz w:val="20"/>
                <w:szCs w:val="20"/>
              </w:rPr>
            </w:pPr>
            <w:r>
              <w:rPr>
                <w:rFonts w:eastAsia="Times New Roman"/>
                <w:sz w:val="20"/>
                <w:szCs w:val="20"/>
              </w:rPr>
              <w:t>(6,283</w:t>
            </w:r>
          </w:p>
        </w:tc>
        <w:tc>
          <w:tcPr>
            <w:tcW w:w="50" w:type="pct"/>
            <w:shd w:val="clear" w:color="auto" w:fill="CCEEFF"/>
            <w:vAlign w:val="bottom"/>
            <w:hideMark/>
          </w:tcPr>
          <w:p w14:paraId="02D47E5A" w14:textId="77777777" w:rsidR="00000000" w:rsidRDefault="00847163">
            <w:pPr>
              <w:rPr>
                <w:rFonts w:eastAsia="Times New Roman"/>
                <w:sz w:val="20"/>
                <w:szCs w:val="20"/>
              </w:rPr>
            </w:pPr>
            <w:r>
              <w:rPr>
                <w:rFonts w:eastAsia="Times New Roman"/>
                <w:sz w:val="20"/>
                <w:szCs w:val="20"/>
              </w:rPr>
              <w:t>)</w:t>
            </w:r>
          </w:p>
        </w:tc>
        <w:tc>
          <w:tcPr>
            <w:tcW w:w="50" w:type="pct"/>
            <w:shd w:val="clear" w:color="auto" w:fill="CCEEFF"/>
            <w:vAlign w:val="bottom"/>
            <w:hideMark/>
          </w:tcPr>
          <w:p w14:paraId="2CFFF007"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1A81243" w14:textId="77777777" w:rsidR="00000000" w:rsidRDefault="0084716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57D17D63" w14:textId="77777777" w:rsidR="00000000" w:rsidRDefault="00847163">
            <w:pPr>
              <w:jc w:val="right"/>
              <w:rPr>
                <w:rFonts w:eastAsia="Times New Roman"/>
                <w:sz w:val="20"/>
                <w:szCs w:val="20"/>
              </w:rPr>
            </w:pPr>
            <w:r>
              <w:rPr>
                <w:rFonts w:eastAsia="Times New Roman"/>
                <w:sz w:val="20"/>
                <w:szCs w:val="20"/>
              </w:rPr>
              <w:t>(1,030</w:t>
            </w:r>
          </w:p>
        </w:tc>
        <w:tc>
          <w:tcPr>
            <w:tcW w:w="50" w:type="pct"/>
            <w:shd w:val="clear" w:color="auto" w:fill="CCEEFF"/>
            <w:vAlign w:val="bottom"/>
            <w:hideMark/>
          </w:tcPr>
          <w:p w14:paraId="1AC43248" w14:textId="77777777" w:rsidR="00000000" w:rsidRDefault="00847163">
            <w:pPr>
              <w:rPr>
                <w:rFonts w:eastAsia="Times New Roman"/>
                <w:sz w:val="20"/>
                <w:szCs w:val="20"/>
              </w:rPr>
            </w:pPr>
            <w:r>
              <w:rPr>
                <w:rFonts w:eastAsia="Times New Roman"/>
                <w:sz w:val="20"/>
                <w:szCs w:val="20"/>
              </w:rPr>
              <w:t>)</w:t>
            </w:r>
          </w:p>
        </w:tc>
      </w:tr>
      <w:tr w:rsidR="00000000" w14:paraId="3460FBB3" w14:textId="77777777">
        <w:trPr>
          <w:tblCellSpacing w:w="0" w:type="dxa"/>
        </w:trPr>
        <w:tc>
          <w:tcPr>
            <w:tcW w:w="0" w:type="auto"/>
            <w:shd w:val="clear" w:color="auto" w:fill="FFFFFF"/>
            <w:vAlign w:val="bottom"/>
            <w:hideMark/>
          </w:tcPr>
          <w:p w14:paraId="1D52BF72" w14:textId="77777777" w:rsidR="00000000" w:rsidRDefault="00847163">
            <w:pPr>
              <w:pStyle w:val="a3"/>
              <w:spacing w:before="0" w:beforeAutospacing="0" w:after="0" w:afterAutospacing="0"/>
              <w:rPr>
                <w:sz w:val="20"/>
                <w:szCs w:val="20"/>
              </w:rPr>
            </w:pPr>
            <w:r>
              <w:rPr>
                <w:sz w:val="20"/>
                <w:szCs w:val="20"/>
              </w:rPr>
              <w:t>Loss/(gain) on marketable securities</w:t>
            </w:r>
          </w:p>
        </w:tc>
        <w:tc>
          <w:tcPr>
            <w:tcW w:w="50" w:type="pct"/>
            <w:shd w:val="clear" w:color="auto" w:fill="FFFFFF"/>
            <w:vAlign w:val="bottom"/>
            <w:hideMark/>
          </w:tcPr>
          <w:p w14:paraId="0A872CA5"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EC85A34" w14:textId="77777777" w:rsidR="00000000" w:rsidRDefault="00847163">
            <w:pPr>
              <w:rPr>
                <w:rFonts w:eastAsia="Times New Roman"/>
                <w:sz w:val="20"/>
                <w:szCs w:val="20"/>
              </w:rPr>
            </w:pPr>
            <w:r>
              <w:rPr>
                <w:rFonts w:eastAsia="Times New Roman"/>
                <w:sz w:val="20"/>
                <w:szCs w:val="20"/>
              </w:rPr>
              <w:t> </w:t>
            </w:r>
          </w:p>
        </w:tc>
        <w:tc>
          <w:tcPr>
            <w:tcW w:w="600" w:type="pct"/>
            <w:shd w:val="clear" w:color="auto" w:fill="FFFFFF"/>
            <w:vAlign w:val="bottom"/>
            <w:hideMark/>
          </w:tcPr>
          <w:p w14:paraId="673979CB" w14:textId="77777777" w:rsidR="00000000" w:rsidRDefault="00847163">
            <w:pPr>
              <w:jc w:val="right"/>
              <w:rPr>
                <w:rFonts w:eastAsia="Times New Roman"/>
                <w:sz w:val="20"/>
                <w:szCs w:val="20"/>
              </w:rPr>
            </w:pPr>
            <w:r>
              <w:rPr>
                <w:rFonts w:eastAsia="Times New Roman"/>
                <w:sz w:val="20"/>
                <w:szCs w:val="20"/>
              </w:rPr>
              <w:t>4,667</w:t>
            </w:r>
          </w:p>
        </w:tc>
        <w:tc>
          <w:tcPr>
            <w:tcW w:w="50" w:type="pct"/>
            <w:shd w:val="clear" w:color="auto" w:fill="FFFFFF"/>
            <w:vAlign w:val="bottom"/>
            <w:hideMark/>
          </w:tcPr>
          <w:p w14:paraId="23025928"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C232967"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BF80E09" w14:textId="77777777" w:rsidR="00000000" w:rsidRDefault="00847163">
            <w:pPr>
              <w:rPr>
                <w:rFonts w:eastAsia="Times New Roman"/>
                <w:sz w:val="20"/>
                <w:szCs w:val="20"/>
              </w:rPr>
            </w:pPr>
            <w:r>
              <w:rPr>
                <w:rFonts w:eastAsia="Times New Roman"/>
                <w:sz w:val="20"/>
                <w:szCs w:val="20"/>
              </w:rPr>
              <w:t> </w:t>
            </w:r>
          </w:p>
        </w:tc>
        <w:tc>
          <w:tcPr>
            <w:tcW w:w="600" w:type="pct"/>
            <w:shd w:val="clear" w:color="auto" w:fill="FFFFFF"/>
            <w:vAlign w:val="bottom"/>
            <w:hideMark/>
          </w:tcPr>
          <w:p w14:paraId="563F6342" w14:textId="77777777" w:rsidR="00000000" w:rsidRDefault="00847163">
            <w:pPr>
              <w:jc w:val="right"/>
              <w:rPr>
                <w:rFonts w:eastAsia="Times New Roman"/>
                <w:sz w:val="20"/>
                <w:szCs w:val="20"/>
              </w:rPr>
            </w:pPr>
            <w:r>
              <w:rPr>
                <w:rFonts w:eastAsia="Times New Roman"/>
                <w:sz w:val="20"/>
                <w:szCs w:val="20"/>
              </w:rPr>
              <w:t>(1,503</w:t>
            </w:r>
          </w:p>
        </w:tc>
        <w:tc>
          <w:tcPr>
            <w:tcW w:w="50" w:type="pct"/>
            <w:shd w:val="clear" w:color="auto" w:fill="FFFFFF"/>
            <w:vAlign w:val="bottom"/>
            <w:hideMark/>
          </w:tcPr>
          <w:p w14:paraId="58CFBBB5" w14:textId="77777777" w:rsidR="00000000" w:rsidRDefault="00847163">
            <w:pPr>
              <w:rPr>
                <w:rFonts w:eastAsia="Times New Roman"/>
                <w:sz w:val="20"/>
                <w:szCs w:val="20"/>
              </w:rPr>
            </w:pPr>
            <w:r>
              <w:rPr>
                <w:rFonts w:eastAsia="Times New Roman"/>
                <w:sz w:val="20"/>
                <w:szCs w:val="20"/>
              </w:rPr>
              <w:t>)</w:t>
            </w:r>
          </w:p>
        </w:tc>
      </w:tr>
      <w:tr w:rsidR="00000000" w14:paraId="2396617D" w14:textId="77777777">
        <w:trPr>
          <w:tblCellSpacing w:w="0" w:type="dxa"/>
        </w:trPr>
        <w:tc>
          <w:tcPr>
            <w:tcW w:w="0" w:type="auto"/>
            <w:shd w:val="clear" w:color="auto" w:fill="CCEEFF"/>
            <w:vAlign w:val="bottom"/>
            <w:hideMark/>
          </w:tcPr>
          <w:p w14:paraId="07A4DFEB" w14:textId="77777777" w:rsidR="00000000" w:rsidRDefault="00847163">
            <w:pPr>
              <w:pStyle w:val="a3"/>
              <w:spacing w:before="0" w:beforeAutospacing="0" w:after="0" w:afterAutospacing="0"/>
              <w:rPr>
                <w:sz w:val="20"/>
                <w:szCs w:val="20"/>
              </w:rPr>
            </w:pPr>
            <w:r>
              <w:rPr>
                <w:sz w:val="20"/>
                <w:szCs w:val="20"/>
              </w:rPr>
              <w:t>Provision for income taxes (1)</w:t>
            </w:r>
          </w:p>
        </w:tc>
        <w:tc>
          <w:tcPr>
            <w:tcW w:w="50" w:type="pct"/>
            <w:shd w:val="clear" w:color="auto" w:fill="CCEEFF"/>
            <w:vAlign w:val="bottom"/>
            <w:hideMark/>
          </w:tcPr>
          <w:p w14:paraId="5B2EDE56"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0146A47" w14:textId="77777777" w:rsidR="00000000" w:rsidRDefault="0084716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1A3DE1E3" w14:textId="77777777" w:rsidR="00000000" w:rsidRDefault="00847163">
            <w:pPr>
              <w:jc w:val="right"/>
              <w:rPr>
                <w:rFonts w:eastAsia="Times New Roman"/>
                <w:sz w:val="20"/>
                <w:szCs w:val="20"/>
              </w:rPr>
            </w:pPr>
            <w:r>
              <w:rPr>
                <w:rFonts w:eastAsia="Times New Roman"/>
                <w:sz w:val="20"/>
                <w:szCs w:val="20"/>
              </w:rPr>
              <w:t>1</w:t>
            </w:r>
          </w:p>
        </w:tc>
        <w:tc>
          <w:tcPr>
            <w:tcW w:w="50" w:type="pct"/>
            <w:shd w:val="clear" w:color="auto" w:fill="CCEEFF"/>
            <w:vAlign w:val="bottom"/>
            <w:hideMark/>
          </w:tcPr>
          <w:p w14:paraId="530F8EDD"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6E8A67B"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6476943" w14:textId="77777777" w:rsidR="00000000" w:rsidRDefault="0084716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2C9E3277" w14:textId="77777777" w:rsidR="00000000" w:rsidRDefault="0084716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4C02D446" w14:textId="77777777" w:rsidR="00000000" w:rsidRDefault="00847163">
            <w:pPr>
              <w:rPr>
                <w:rFonts w:eastAsia="Times New Roman"/>
                <w:sz w:val="20"/>
                <w:szCs w:val="20"/>
              </w:rPr>
            </w:pPr>
            <w:r>
              <w:rPr>
                <w:rFonts w:eastAsia="Times New Roman"/>
                <w:sz w:val="20"/>
                <w:szCs w:val="20"/>
              </w:rPr>
              <w:t> </w:t>
            </w:r>
          </w:p>
        </w:tc>
      </w:tr>
      <w:tr w:rsidR="00000000" w14:paraId="62A3D4CD" w14:textId="77777777">
        <w:trPr>
          <w:tblCellSpacing w:w="0" w:type="dxa"/>
        </w:trPr>
        <w:tc>
          <w:tcPr>
            <w:tcW w:w="0" w:type="auto"/>
            <w:shd w:val="clear" w:color="auto" w:fill="FFFFFF"/>
            <w:vAlign w:val="bottom"/>
            <w:hideMark/>
          </w:tcPr>
          <w:p w14:paraId="5B26CD01" w14:textId="77777777" w:rsidR="00000000" w:rsidRDefault="00847163">
            <w:pPr>
              <w:pStyle w:val="a3"/>
              <w:spacing w:before="0" w:beforeAutospacing="0" w:after="0" w:afterAutospacing="0"/>
              <w:rPr>
                <w:sz w:val="20"/>
                <w:szCs w:val="20"/>
              </w:rPr>
            </w:pPr>
            <w:r>
              <w:rPr>
                <w:sz w:val="20"/>
                <w:szCs w:val="20"/>
              </w:rPr>
              <w:t>Noncontrolling interests (1)</w:t>
            </w:r>
          </w:p>
        </w:tc>
        <w:tc>
          <w:tcPr>
            <w:tcW w:w="50" w:type="pct"/>
            <w:shd w:val="clear" w:color="auto" w:fill="FFFFFF"/>
            <w:vAlign w:val="bottom"/>
            <w:hideMark/>
          </w:tcPr>
          <w:p w14:paraId="7A937BF9" w14:textId="77777777" w:rsidR="00000000" w:rsidRDefault="0084716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0707ECC8" w14:textId="77777777" w:rsidR="00000000" w:rsidRDefault="00847163">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561368BB" w14:textId="77777777" w:rsidR="00000000" w:rsidRDefault="00847163">
            <w:pPr>
              <w:jc w:val="right"/>
              <w:rPr>
                <w:rFonts w:eastAsia="Times New Roman"/>
                <w:sz w:val="20"/>
                <w:szCs w:val="20"/>
              </w:rPr>
            </w:pPr>
            <w:r>
              <w:rPr>
                <w:rFonts w:eastAsia="Times New Roman"/>
                <w:sz w:val="20"/>
                <w:szCs w:val="20"/>
              </w:rPr>
              <w:t>(505</w:t>
            </w:r>
          </w:p>
        </w:tc>
        <w:tc>
          <w:tcPr>
            <w:tcW w:w="50" w:type="pct"/>
            <w:shd w:val="clear" w:color="auto" w:fill="FFFFFF"/>
            <w:tcMar>
              <w:top w:w="0" w:type="dxa"/>
              <w:left w:w="0" w:type="dxa"/>
              <w:bottom w:w="15" w:type="dxa"/>
              <w:right w:w="0" w:type="dxa"/>
            </w:tcMar>
            <w:vAlign w:val="bottom"/>
            <w:hideMark/>
          </w:tcPr>
          <w:p w14:paraId="41A5B0FD" w14:textId="77777777" w:rsidR="00000000" w:rsidRDefault="00847163">
            <w:pPr>
              <w:rPr>
                <w:rFonts w:eastAsia="Times New Roman"/>
                <w:sz w:val="20"/>
                <w:szCs w:val="20"/>
              </w:rPr>
            </w:pPr>
            <w:r>
              <w:rPr>
                <w:rFonts w:eastAsia="Times New Roman"/>
                <w:sz w:val="20"/>
                <w:szCs w:val="20"/>
              </w:rPr>
              <w:t>)</w:t>
            </w:r>
          </w:p>
        </w:tc>
        <w:tc>
          <w:tcPr>
            <w:tcW w:w="50" w:type="pct"/>
            <w:shd w:val="clear" w:color="auto" w:fill="FFFFFF"/>
            <w:vAlign w:val="bottom"/>
            <w:hideMark/>
          </w:tcPr>
          <w:p w14:paraId="0C83B8B3" w14:textId="77777777" w:rsidR="00000000" w:rsidRDefault="0084716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345155E3" w14:textId="77777777" w:rsidR="00000000" w:rsidRDefault="00847163">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2F58BB69" w14:textId="77777777" w:rsidR="00000000" w:rsidRDefault="00847163">
            <w:pPr>
              <w:jc w:val="right"/>
              <w:rPr>
                <w:rFonts w:eastAsia="Times New Roman"/>
                <w:sz w:val="20"/>
                <w:szCs w:val="20"/>
              </w:rPr>
            </w:pPr>
            <w:r>
              <w:rPr>
                <w:rFonts w:eastAsia="Times New Roman"/>
                <w:sz w:val="20"/>
                <w:szCs w:val="20"/>
              </w:rPr>
              <w:t>(248</w:t>
            </w:r>
          </w:p>
        </w:tc>
        <w:tc>
          <w:tcPr>
            <w:tcW w:w="50" w:type="pct"/>
            <w:shd w:val="clear" w:color="auto" w:fill="FFFFFF"/>
            <w:tcMar>
              <w:top w:w="0" w:type="dxa"/>
              <w:left w:w="0" w:type="dxa"/>
              <w:bottom w:w="15" w:type="dxa"/>
              <w:right w:w="0" w:type="dxa"/>
            </w:tcMar>
            <w:vAlign w:val="bottom"/>
            <w:hideMark/>
          </w:tcPr>
          <w:p w14:paraId="7A1A6BBB" w14:textId="77777777" w:rsidR="00000000" w:rsidRDefault="00847163">
            <w:pPr>
              <w:rPr>
                <w:rFonts w:eastAsia="Times New Roman"/>
                <w:sz w:val="20"/>
                <w:szCs w:val="20"/>
              </w:rPr>
            </w:pPr>
            <w:r>
              <w:rPr>
                <w:rFonts w:eastAsia="Times New Roman"/>
                <w:sz w:val="20"/>
                <w:szCs w:val="20"/>
              </w:rPr>
              <w:t>)</w:t>
            </w:r>
          </w:p>
        </w:tc>
      </w:tr>
      <w:tr w:rsidR="00000000" w14:paraId="4FB3DD83" w14:textId="77777777">
        <w:trPr>
          <w:tblCellSpacing w:w="0" w:type="dxa"/>
        </w:trPr>
        <w:tc>
          <w:tcPr>
            <w:tcW w:w="0" w:type="auto"/>
            <w:shd w:val="clear" w:color="auto" w:fill="CCEEFF"/>
            <w:vAlign w:val="bottom"/>
            <w:hideMark/>
          </w:tcPr>
          <w:p w14:paraId="42279DA8" w14:textId="77777777" w:rsidR="00000000" w:rsidRDefault="00847163">
            <w:pPr>
              <w:pStyle w:val="a3"/>
              <w:spacing w:before="0" w:beforeAutospacing="0" w:after="0" w:afterAutospacing="0"/>
              <w:rPr>
                <w:sz w:val="20"/>
                <w:szCs w:val="20"/>
              </w:rPr>
            </w:pPr>
            <w:r>
              <w:rPr>
                <w:b/>
                <w:bCs/>
                <w:sz w:val="20"/>
                <w:szCs w:val="20"/>
              </w:rPr>
              <w:t>FFO available to the Company’s common shareholders</w:t>
            </w:r>
          </w:p>
        </w:tc>
        <w:tc>
          <w:tcPr>
            <w:tcW w:w="50" w:type="pct"/>
            <w:shd w:val="clear" w:color="auto" w:fill="CCEEFF"/>
            <w:tcMar>
              <w:top w:w="0" w:type="dxa"/>
              <w:left w:w="0" w:type="dxa"/>
              <w:bottom w:w="45" w:type="dxa"/>
              <w:right w:w="0" w:type="dxa"/>
            </w:tcMar>
            <w:vAlign w:val="bottom"/>
            <w:hideMark/>
          </w:tcPr>
          <w:p w14:paraId="04D80010" w14:textId="77777777" w:rsidR="00000000" w:rsidRDefault="0084716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6D872AF8" w14:textId="77777777" w:rsidR="00000000" w:rsidRDefault="00847163">
            <w:pPr>
              <w:rPr>
                <w:rFonts w:eastAsia="Times New Roman"/>
                <w:sz w:val="20"/>
                <w:szCs w:val="20"/>
              </w:rPr>
            </w:pPr>
            <w:r>
              <w:rPr>
                <w:rFonts w:eastAsia="Times New Roman"/>
                <w:b/>
                <w:bCs/>
                <w:sz w:val="20"/>
                <w:szCs w:val="20"/>
              </w:rPr>
              <w:t>$</w:t>
            </w:r>
          </w:p>
        </w:tc>
        <w:tc>
          <w:tcPr>
            <w:tcW w:w="600" w:type="pct"/>
            <w:tcBorders>
              <w:bottom w:val="double" w:sz="6" w:space="0" w:color="000000"/>
            </w:tcBorders>
            <w:shd w:val="clear" w:color="auto" w:fill="CCEEFF"/>
            <w:vAlign w:val="bottom"/>
            <w:hideMark/>
          </w:tcPr>
          <w:p w14:paraId="75885F08" w14:textId="77777777" w:rsidR="00000000" w:rsidRDefault="00847163">
            <w:pPr>
              <w:jc w:val="right"/>
              <w:rPr>
                <w:rFonts w:eastAsia="Times New Roman"/>
                <w:sz w:val="20"/>
                <w:szCs w:val="20"/>
              </w:rPr>
            </w:pPr>
            <w:r>
              <w:rPr>
                <w:rFonts w:eastAsia="Times New Roman"/>
                <w:b/>
                <w:bCs/>
                <w:sz w:val="20"/>
                <w:szCs w:val="20"/>
              </w:rPr>
              <w:t>160,473</w:t>
            </w:r>
          </w:p>
        </w:tc>
        <w:tc>
          <w:tcPr>
            <w:tcW w:w="50" w:type="pct"/>
            <w:shd w:val="clear" w:color="auto" w:fill="CCEEFF"/>
            <w:tcMar>
              <w:top w:w="0" w:type="dxa"/>
              <w:left w:w="0" w:type="dxa"/>
              <w:bottom w:w="45" w:type="dxa"/>
              <w:right w:w="0" w:type="dxa"/>
            </w:tcMar>
            <w:vAlign w:val="bottom"/>
            <w:hideMark/>
          </w:tcPr>
          <w:p w14:paraId="0BB2A853"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45" w:type="dxa"/>
              <w:right w:w="0" w:type="dxa"/>
            </w:tcMar>
            <w:vAlign w:val="bottom"/>
            <w:hideMark/>
          </w:tcPr>
          <w:p w14:paraId="5FF039B7" w14:textId="77777777" w:rsidR="00000000" w:rsidRDefault="0084716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1DE2F8D9" w14:textId="77777777" w:rsidR="00000000" w:rsidRDefault="00847163">
            <w:pPr>
              <w:rPr>
                <w:rFonts w:eastAsia="Times New Roman"/>
                <w:sz w:val="20"/>
                <w:szCs w:val="20"/>
              </w:rPr>
            </w:pPr>
            <w:r>
              <w:rPr>
                <w:rFonts w:eastAsia="Times New Roman"/>
                <w:b/>
                <w:bCs/>
                <w:sz w:val="20"/>
                <w:szCs w:val="20"/>
              </w:rPr>
              <w:t>$</w:t>
            </w:r>
          </w:p>
        </w:tc>
        <w:tc>
          <w:tcPr>
            <w:tcW w:w="600" w:type="pct"/>
            <w:tcBorders>
              <w:bottom w:val="double" w:sz="6" w:space="0" w:color="000000"/>
            </w:tcBorders>
            <w:shd w:val="clear" w:color="auto" w:fill="CCEEFF"/>
            <w:vAlign w:val="bottom"/>
            <w:hideMark/>
          </w:tcPr>
          <w:p w14:paraId="27716EBB" w14:textId="77777777" w:rsidR="00000000" w:rsidRDefault="00847163">
            <w:pPr>
              <w:jc w:val="right"/>
              <w:rPr>
                <w:rFonts w:eastAsia="Times New Roman"/>
                <w:sz w:val="20"/>
                <w:szCs w:val="20"/>
              </w:rPr>
            </w:pPr>
            <w:r>
              <w:rPr>
                <w:rFonts w:eastAsia="Times New Roman"/>
                <w:b/>
                <w:bCs/>
                <w:sz w:val="20"/>
                <w:szCs w:val="20"/>
              </w:rPr>
              <w:t>158,398</w:t>
            </w:r>
          </w:p>
        </w:tc>
        <w:tc>
          <w:tcPr>
            <w:tcW w:w="50" w:type="pct"/>
            <w:shd w:val="clear" w:color="auto" w:fill="CCEEFF"/>
            <w:tcMar>
              <w:top w:w="0" w:type="dxa"/>
              <w:left w:w="0" w:type="dxa"/>
              <w:bottom w:w="45" w:type="dxa"/>
              <w:right w:w="0" w:type="dxa"/>
            </w:tcMar>
            <w:vAlign w:val="bottom"/>
            <w:hideMark/>
          </w:tcPr>
          <w:p w14:paraId="45B1C3DD" w14:textId="77777777" w:rsidR="00000000" w:rsidRDefault="00847163">
            <w:pPr>
              <w:rPr>
                <w:rFonts w:eastAsia="Times New Roman"/>
                <w:sz w:val="20"/>
                <w:szCs w:val="20"/>
              </w:rPr>
            </w:pPr>
            <w:r>
              <w:rPr>
                <w:rFonts w:eastAsia="Times New Roman"/>
                <w:sz w:val="20"/>
                <w:szCs w:val="20"/>
              </w:rPr>
              <w:t> </w:t>
            </w:r>
          </w:p>
        </w:tc>
      </w:tr>
      <w:tr w:rsidR="00000000" w14:paraId="664FE2A8" w14:textId="77777777">
        <w:trPr>
          <w:tblCellSpacing w:w="0" w:type="dxa"/>
        </w:trPr>
        <w:tc>
          <w:tcPr>
            <w:tcW w:w="0" w:type="auto"/>
            <w:shd w:val="clear" w:color="auto" w:fill="FFFFFF"/>
            <w:vAlign w:val="bottom"/>
            <w:hideMark/>
          </w:tcPr>
          <w:p w14:paraId="4245B777" w14:textId="77777777" w:rsidR="00000000" w:rsidRDefault="00847163">
            <w:pPr>
              <w:pStyle w:val="a3"/>
              <w:spacing w:before="0" w:beforeAutospacing="0" w:after="0" w:afterAutospacing="0"/>
              <w:rPr>
                <w:sz w:val="20"/>
                <w:szCs w:val="20"/>
              </w:rPr>
            </w:pPr>
            <w:r>
              <w:rPr>
                <w:sz w:val="20"/>
                <w:szCs w:val="20"/>
              </w:rPr>
              <w:t>Weighted average shares outstanding for FFO calculations:</w:t>
            </w:r>
          </w:p>
        </w:tc>
        <w:tc>
          <w:tcPr>
            <w:tcW w:w="0" w:type="auto"/>
            <w:shd w:val="clear" w:color="auto" w:fill="FFFFFF"/>
            <w:vAlign w:val="bottom"/>
            <w:hideMark/>
          </w:tcPr>
          <w:p w14:paraId="079C3803"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F1D6E29"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717CEAB"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76063AA"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7DC602C"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C627C02"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93C34AA" w14:textId="77777777" w:rsidR="00000000" w:rsidRDefault="0084716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5BD32BA" w14:textId="77777777" w:rsidR="00000000" w:rsidRDefault="00847163">
            <w:pPr>
              <w:rPr>
                <w:rFonts w:eastAsia="Times New Roman"/>
                <w:sz w:val="20"/>
                <w:szCs w:val="20"/>
              </w:rPr>
            </w:pPr>
            <w:r>
              <w:rPr>
                <w:rFonts w:eastAsia="Times New Roman"/>
                <w:sz w:val="20"/>
                <w:szCs w:val="20"/>
              </w:rPr>
              <w:t> </w:t>
            </w:r>
          </w:p>
        </w:tc>
      </w:tr>
      <w:tr w:rsidR="00000000" w14:paraId="7E06C47C" w14:textId="77777777">
        <w:trPr>
          <w:tblCellSpacing w:w="0" w:type="dxa"/>
        </w:trPr>
        <w:tc>
          <w:tcPr>
            <w:tcW w:w="0" w:type="auto"/>
            <w:shd w:val="clear" w:color="auto" w:fill="CCEEFF"/>
            <w:vAlign w:val="bottom"/>
            <w:hideMark/>
          </w:tcPr>
          <w:p w14:paraId="21B7461D" w14:textId="77777777" w:rsidR="00000000" w:rsidRDefault="00847163">
            <w:pPr>
              <w:pStyle w:val="a3"/>
              <w:spacing w:before="0" w:beforeAutospacing="0" w:after="0" w:afterAutospacing="0"/>
              <w:rPr>
                <w:sz w:val="20"/>
                <w:szCs w:val="20"/>
              </w:rPr>
            </w:pPr>
            <w:r>
              <w:rPr>
                <w:sz w:val="20"/>
                <w:szCs w:val="20"/>
              </w:rPr>
              <w:t>Basic</w:t>
            </w:r>
          </w:p>
        </w:tc>
        <w:tc>
          <w:tcPr>
            <w:tcW w:w="50" w:type="pct"/>
            <w:shd w:val="clear" w:color="auto" w:fill="CCEEFF"/>
            <w:vAlign w:val="bottom"/>
            <w:hideMark/>
          </w:tcPr>
          <w:p w14:paraId="0F097C69"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9F6929F" w14:textId="77777777" w:rsidR="00000000" w:rsidRDefault="0084716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0363CCBC" w14:textId="77777777" w:rsidR="00000000" w:rsidRDefault="00847163">
            <w:pPr>
              <w:jc w:val="right"/>
              <w:rPr>
                <w:rFonts w:eastAsia="Times New Roman"/>
                <w:sz w:val="20"/>
                <w:szCs w:val="20"/>
              </w:rPr>
            </w:pPr>
            <w:r>
              <w:rPr>
                <w:rFonts w:eastAsia="Times New Roman"/>
                <w:sz w:val="20"/>
                <w:szCs w:val="20"/>
              </w:rPr>
              <w:t>429,735</w:t>
            </w:r>
          </w:p>
        </w:tc>
        <w:tc>
          <w:tcPr>
            <w:tcW w:w="50" w:type="pct"/>
            <w:shd w:val="clear" w:color="auto" w:fill="CCEEFF"/>
            <w:vAlign w:val="bottom"/>
            <w:hideMark/>
          </w:tcPr>
          <w:p w14:paraId="26B1FC39"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525EBD4"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AD4E4AD" w14:textId="77777777" w:rsidR="00000000" w:rsidRDefault="0084716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0455B7B0" w14:textId="77777777" w:rsidR="00000000" w:rsidRDefault="00847163">
            <w:pPr>
              <w:jc w:val="right"/>
              <w:rPr>
                <w:rFonts w:eastAsia="Times New Roman"/>
                <w:sz w:val="20"/>
                <w:szCs w:val="20"/>
              </w:rPr>
            </w:pPr>
            <w:r>
              <w:rPr>
                <w:rFonts w:eastAsia="Times New Roman"/>
                <w:sz w:val="20"/>
                <w:szCs w:val="20"/>
              </w:rPr>
              <w:t>419,464</w:t>
            </w:r>
          </w:p>
        </w:tc>
        <w:tc>
          <w:tcPr>
            <w:tcW w:w="50" w:type="pct"/>
            <w:shd w:val="clear" w:color="auto" w:fill="CCEEFF"/>
            <w:vAlign w:val="bottom"/>
            <w:hideMark/>
          </w:tcPr>
          <w:p w14:paraId="677491B5" w14:textId="77777777" w:rsidR="00000000" w:rsidRDefault="00847163">
            <w:pPr>
              <w:rPr>
                <w:rFonts w:eastAsia="Times New Roman"/>
                <w:sz w:val="20"/>
                <w:szCs w:val="20"/>
              </w:rPr>
            </w:pPr>
            <w:r>
              <w:rPr>
                <w:rFonts w:eastAsia="Times New Roman"/>
                <w:sz w:val="20"/>
                <w:szCs w:val="20"/>
              </w:rPr>
              <w:t> </w:t>
            </w:r>
          </w:p>
        </w:tc>
      </w:tr>
      <w:tr w:rsidR="00000000" w14:paraId="2124866E" w14:textId="77777777">
        <w:trPr>
          <w:tblCellSpacing w:w="0" w:type="dxa"/>
        </w:trPr>
        <w:tc>
          <w:tcPr>
            <w:tcW w:w="0" w:type="auto"/>
            <w:shd w:val="clear" w:color="auto" w:fill="FFFFFF"/>
            <w:vAlign w:val="bottom"/>
            <w:hideMark/>
          </w:tcPr>
          <w:p w14:paraId="64ACD34A" w14:textId="77777777" w:rsidR="00000000" w:rsidRDefault="00847163">
            <w:pPr>
              <w:pStyle w:val="a3"/>
              <w:spacing w:before="0" w:beforeAutospacing="0" w:after="0" w:afterAutospacing="0"/>
              <w:ind w:left="180"/>
              <w:rPr>
                <w:sz w:val="20"/>
                <w:szCs w:val="20"/>
              </w:rPr>
            </w:pPr>
            <w:r>
              <w:rPr>
                <w:sz w:val="20"/>
                <w:szCs w:val="20"/>
              </w:rPr>
              <w:t>Units</w:t>
            </w:r>
          </w:p>
        </w:tc>
        <w:tc>
          <w:tcPr>
            <w:tcW w:w="50" w:type="pct"/>
            <w:shd w:val="clear" w:color="auto" w:fill="FFFFFF"/>
            <w:vAlign w:val="bottom"/>
            <w:hideMark/>
          </w:tcPr>
          <w:p w14:paraId="55329CAB"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1B11D59" w14:textId="77777777" w:rsidR="00000000" w:rsidRDefault="00847163">
            <w:pPr>
              <w:rPr>
                <w:rFonts w:eastAsia="Times New Roman"/>
                <w:sz w:val="20"/>
                <w:szCs w:val="20"/>
              </w:rPr>
            </w:pPr>
            <w:r>
              <w:rPr>
                <w:rFonts w:eastAsia="Times New Roman"/>
                <w:sz w:val="20"/>
                <w:szCs w:val="20"/>
              </w:rPr>
              <w:t> </w:t>
            </w:r>
          </w:p>
        </w:tc>
        <w:tc>
          <w:tcPr>
            <w:tcW w:w="600" w:type="pct"/>
            <w:shd w:val="clear" w:color="auto" w:fill="FFFFFF"/>
            <w:vAlign w:val="bottom"/>
            <w:hideMark/>
          </w:tcPr>
          <w:p w14:paraId="52BF8EE9" w14:textId="77777777" w:rsidR="00000000" w:rsidRDefault="00847163">
            <w:pPr>
              <w:jc w:val="right"/>
              <w:rPr>
                <w:rFonts w:eastAsia="Times New Roman"/>
                <w:sz w:val="20"/>
                <w:szCs w:val="20"/>
              </w:rPr>
            </w:pPr>
            <w:r>
              <w:rPr>
                <w:rFonts w:eastAsia="Times New Roman"/>
                <w:sz w:val="20"/>
                <w:szCs w:val="20"/>
              </w:rPr>
              <w:t>638</w:t>
            </w:r>
          </w:p>
        </w:tc>
        <w:tc>
          <w:tcPr>
            <w:tcW w:w="50" w:type="pct"/>
            <w:shd w:val="clear" w:color="auto" w:fill="FFFFFF"/>
            <w:vAlign w:val="bottom"/>
            <w:hideMark/>
          </w:tcPr>
          <w:p w14:paraId="19DA6799"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AC52216"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7B9871A" w14:textId="77777777" w:rsidR="00000000" w:rsidRDefault="00847163">
            <w:pPr>
              <w:rPr>
                <w:rFonts w:eastAsia="Times New Roman"/>
                <w:sz w:val="20"/>
                <w:szCs w:val="20"/>
              </w:rPr>
            </w:pPr>
            <w:r>
              <w:rPr>
                <w:rFonts w:eastAsia="Times New Roman"/>
                <w:sz w:val="20"/>
                <w:szCs w:val="20"/>
              </w:rPr>
              <w:t> </w:t>
            </w:r>
          </w:p>
        </w:tc>
        <w:tc>
          <w:tcPr>
            <w:tcW w:w="600" w:type="pct"/>
            <w:shd w:val="clear" w:color="auto" w:fill="FFFFFF"/>
            <w:vAlign w:val="bottom"/>
            <w:hideMark/>
          </w:tcPr>
          <w:p w14:paraId="1380B382" w14:textId="77777777" w:rsidR="00000000" w:rsidRDefault="00847163">
            <w:pPr>
              <w:jc w:val="right"/>
              <w:rPr>
                <w:rFonts w:eastAsia="Times New Roman"/>
                <w:sz w:val="20"/>
                <w:szCs w:val="20"/>
              </w:rPr>
            </w:pPr>
            <w:r>
              <w:rPr>
                <w:rFonts w:eastAsia="Times New Roman"/>
                <w:sz w:val="20"/>
                <w:szCs w:val="20"/>
              </w:rPr>
              <w:t>927</w:t>
            </w:r>
          </w:p>
        </w:tc>
        <w:tc>
          <w:tcPr>
            <w:tcW w:w="50" w:type="pct"/>
            <w:shd w:val="clear" w:color="auto" w:fill="FFFFFF"/>
            <w:vAlign w:val="bottom"/>
            <w:hideMark/>
          </w:tcPr>
          <w:p w14:paraId="4B734B82" w14:textId="77777777" w:rsidR="00000000" w:rsidRDefault="00847163">
            <w:pPr>
              <w:rPr>
                <w:rFonts w:eastAsia="Times New Roman"/>
                <w:sz w:val="20"/>
                <w:szCs w:val="20"/>
              </w:rPr>
            </w:pPr>
            <w:r>
              <w:rPr>
                <w:rFonts w:eastAsia="Times New Roman"/>
                <w:sz w:val="20"/>
                <w:szCs w:val="20"/>
              </w:rPr>
              <w:t> </w:t>
            </w:r>
          </w:p>
        </w:tc>
      </w:tr>
      <w:tr w:rsidR="00000000" w14:paraId="5FC6E1B1" w14:textId="77777777">
        <w:trPr>
          <w:tblCellSpacing w:w="0" w:type="dxa"/>
        </w:trPr>
        <w:tc>
          <w:tcPr>
            <w:tcW w:w="0" w:type="auto"/>
            <w:shd w:val="clear" w:color="auto" w:fill="CCEEFF"/>
            <w:vAlign w:val="bottom"/>
            <w:hideMark/>
          </w:tcPr>
          <w:p w14:paraId="1145F963" w14:textId="77777777" w:rsidR="00000000" w:rsidRDefault="00847163">
            <w:pPr>
              <w:pStyle w:val="a3"/>
              <w:spacing w:before="0" w:beforeAutospacing="0" w:after="0" w:afterAutospacing="0"/>
              <w:ind w:left="180"/>
              <w:rPr>
                <w:sz w:val="20"/>
                <w:szCs w:val="20"/>
              </w:rPr>
            </w:pPr>
            <w:r>
              <w:rPr>
                <w:sz w:val="20"/>
                <w:szCs w:val="20"/>
              </w:rPr>
              <w:t>Dilutive effect of equity awards</w:t>
            </w:r>
          </w:p>
        </w:tc>
        <w:tc>
          <w:tcPr>
            <w:tcW w:w="50" w:type="pct"/>
            <w:shd w:val="clear" w:color="auto" w:fill="CCEEFF"/>
            <w:vAlign w:val="bottom"/>
            <w:hideMark/>
          </w:tcPr>
          <w:p w14:paraId="447D131F" w14:textId="77777777" w:rsidR="00000000" w:rsidRDefault="0084716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0D536308" w14:textId="77777777" w:rsidR="00000000" w:rsidRDefault="00847163">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530AEA6B" w14:textId="77777777" w:rsidR="00000000" w:rsidRDefault="00847163">
            <w:pPr>
              <w:jc w:val="right"/>
              <w:rPr>
                <w:rFonts w:eastAsia="Times New Roman"/>
                <w:sz w:val="20"/>
                <w:szCs w:val="20"/>
              </w:rPr>
            </w:pPr>
            <w:r>
              <w:rPr>
                <w:rFonts w:eastAsia="Times New Roman"/>
                <w:sz w:val="20"/>
                <w:szCs w:val="20"/>
              </w:rPr>
              <w:t>717</w:t>
            </w:r>
          </w:p>
        </w:tc>
        <w:tc>
          <w:tcPr>
            <w:tcW w:w="50" w:type="pct"/>
            <w:shd w:val="clear" w:color="auto" w:fill="CCEEFF"/>
            <w:tcMar>
              <w:top w:w="0" w:type="dxa"/>
              <w:left w:w="0" w:type="dxa"/>
              <w:bottom w:w="15" w:type="dxa"/>
              <w:right w:w="0" w:type="dxa"/>
            </w:tcMar>
            <w:vAlign w:val="bottom"/>
            <w:hideMark/>
          </w:tcPr>
          <w:p w14:paraId="64CFF3C5"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8C7B1CC" w14:textId="77777777" w:rsidR="00000000" w:rsidRDefault="0084716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3FFCA1CC" w14:textId="77777777" w:rsidR="00000000" w:rsidRDefault="00847163">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59D7DBE9" w14:textId="77777777" w:rsidR="00000000" w:rsidRDefault="00847163">
            <w:pPr>
              <w:jc w:val="right"/>
              <w:rPr>
                <w:rFonts w:eastAsia="Times New Roman"/>
                <w:sz w:val="20"/>
                <w:szCs w:val="20"/>
              </w:rPr>
            </w:pPr>
            <w:r>
              <w:rPr>
                <w:rFonts w:eastAsia="Times New Roman"/>
                <w:sz w:val="20"/>
                <w:szCs w:val="20"/>
              </w:rPr>
              <w:t>1,182</w:t>
            </w:r>
          </w:p>
        </w:tc>
        <w:tc>
          <w:tcPr>
            <w:tcW w:w="50" w:type="pct"/>
            <w:shd w:val="clear" w:color="auto" w:fill="CCEEFF"/>
            <w:tcMar>
              <w:top w:w="0" w:type="dxa"/>
              <w:left w:w="0" w:type="dxa"/>
              <w:bottom w:w="15" w:type="dxa"/>
              <w:right w:w="0" w:type="dxa"/>
            </w:tcMar>
            <w:vAlign w:val="bottom"/>
            <w:hideMark/>
          </w:tcPr>
          <w:p w14:paraId="491C5A74" w14:textId="77777777" w:rsidR="00000000" w:rsidRDefault="00847163">
            <w:pPr>
              <w:rPr>
                <w:rFonts w:eastAsia="Times New Roman"/>
                <w:sz w:val="20"/>
                <w:szCs w:val="20"/>
              </w:rPr>
            </w:pPr>
            <w:r>
              <w:rPr>
                <w:rFonts w:eastAsia="Times New Roman"/>
                <w:sz w:val="20"/>
                <w:szCs w:val="20"/>
              </w:rPr>
              <w:t> </w:t>
            </w:r>
          </w:p>
        </w:tc>
      </w:tr>
      <w:tr w:rsidR="00000000" w14:paraId="4F993997" w14:textId="77777777">
        <w:trPr>
          <w:tblCellSpacing w:w="0" w:type="dxa"/>
        </w:trPr>
        <w:tc>
          <w:tcPr>
            <w:tcW w:w="0" w:type="auto"/>
            <w:shd w:val="clear" w:color="auto" w:fill="FFFFFF"/>
            <w:vAlign w:val="bottom"/>
            <w:hideMark/>
          </w:tcPr>
          <w:p w14:paraId="6BCD1D10" w14:textId="77777777" w:rsidR="00000000" w:rsidRDefault="00847163">
            <w:pPr>
              <w:pStyle w:val="a3"/>
              <w:spacing w:before="0" w:beforeAutospacing="0" w:after="0" w:afterAutospacing="0"/>
              <w:rPr>
                <w:sz w:val="20"/>
                <w:szCs w:val="20"/>
              </w:rPr>
            </w:pPr>
            <w:r>
              <w:rPr>
                <w:sz w:val="20"/>
                <w:szCs w:val="20"/>
              </w:rPr>
              <w:t>Diluted (2)</w:t>
            </w:r>
          </w:p>
        </w:tc>
        <w:tc>
          <w:tcPr>
            <w:tcW w:w="50" w:type="pct"/>
            <w:shd w:val="clear" w:color="auto" w:fill="FFFFFF"/>
            <w:vAlign w:val="bottom"/>
            <w:hideMark/>
          </w:tcPr>
          <w:p w14:paraId="36E0DFE1" w14:textId="77777777" w:rsidR="00000000" w:rsidRDefault="0084716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6BF99852" w14:textId="77777777" w:rsidR="00000000" w:rsidRDefault="00847163">
            <w:pPr>
              <w:rPr>
                <w:rFonts w:eastAsia="Times New Roman"/>
                <w:sz w:val="20"/>
                <w:szCs w:val="20"/>
              </w:rPr>
            </w:pPr>
            <w:r>
              <w:rPr>
                <w:rFonts w:eastAsia="Times New Roman"/>
                <w:sz w:val="20"/>
                <w:szCs w:val="20"/>
              </w:rPr>
              <w:t> </w:t>
            </w:r>
          </w:p>
        </w:tc>
        <w:tc>
          <w:tcPr>
            <w:tcW w:w="600" w:type="pct"/>
            <w:tcBorders>
              <w:bottom w:val="double" w:sz="6" w:space="0" w:color="000000"/>
            </w:tcBorders>
            <w:shd w:val="clear" w:color="auto" w:fill="FFFFFF"/>
            <w:vAlign w:val="bottom"/>
            <w:hideMark/>
          </w:tcPr>
          <w:p w14:paraId="61557CF8" w14:textId="77777777" w:rsidR="00000000" w:rsidRDefault="00847163">
            <w:pPr>
              <w:jc w:val="right"/>
              <w:rPr>
                <w:rFonts w:eastAsia="Times New Roman"/>
                <w:sz w:val="20"/>
                <w:szCs w:val="20"/>
              </w:rPr>
            </w:pPr>
            <w:r>
              <w:rPr>
                <w:rFonts w:eastAsia="Times New Roman"/>
                <w:sz w:val="20"/>
                <w:szCs w:val="20"/>
              </w:rPr>
              <w:t>431,090</w:t>
            </w:r>
          </w:p>
        </w:tc>
        <w:tc>
          <w:tcPr>
            <w:tcW w:w="50" w:type="pct"/>
            <w:shd w:val="clear" w:color="auto" w:fill="FFFFFF"/>
            <w:tcMar>
              <w:top w:w="0" w:type="dxa"/>
              <w:left w:w="0" w:type="dxa"/>
              <w:bottom w:w="45" w:type="dxa"/>
              <w:right w:w="0" w:type="dxa"/>
            </w:tcMar>
            <w:vAlign w:val="bottom"/>
            <w:hideMark/>
          </w:tcPr>
          <w:p w14:paraId="27A8279D"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9046CA0" w14:textId="77777777" w:rsidR="00000000" w:rsidRDefault="0084716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39C837FA" w14:textId="77777777" w:rsidR="00000000" w:rsidRDefault="00847163">
            <w:pPr>
              <w:rPr>
                <w:rFonts w:eastAsia="Times New Roman"/>
                <w:sz w:val="20"/>
                <w:szCs w:val="20"/>
              </w:rPr>
            </w:pPr>
            <w:r>
              <w:rPr>
                <w:rFonts w:eastAsia="Times New Roman"/>
                <w:sz w:val="20"/>
                <w:szCs w:val="20"/>
              </w:rPr>
              <w:t> </w:t>
            </w:r>
          </w:p>
        </w:tc>
        <w:tc>
          <w:tcPr>
            <w:tcW w:w="600" w:type="pct"/>
            <w:tcBorders>
              <w:bottom w:val="double" w:sz="6" w:space="0" w:color="000000"/>
            </w:tcBorders>
            <w:shd w:val="clear" w:color="auto" w:fill="FFFFFF"/>
            <w:vAlign w:val="bottom"/>
            <w:hideMark/>
          </w:tcPr>
          <w:p w14:paraId="5118436B" w14:textId="77777777" w:rsidR="00000000" w:rsidRDefault="00847163">
            <w:pPr>
              <w:jc w:val="right"/>
              <w:rPr>
                <w:rFonts w:eastAsia="Times New Roman"/>
                <w:sz w:val="20"/>
                <w:szCs w:val="20"/>
              </w:rPr>
            </w:pPr>
            <w:r>
              <w:rPr>
                <w:rFonts w:eastAsia="Times New Roman"/>
                <w:sz w:val="20"/>
                <w:szCs w:val="20"/>
              </w:rPr>
              <w:t>421,573</w:t>
            </w:r>
          </w:p>
        </w:tc>
        <w:tc>
          <w:tcPr>
            <w:tcW w:w="50" w:type="pct"/>
            <w:shd w:val="clear" w:color="auto" w:fill="FFFFFF"/>
            <w:tcMar>
              <w:top w:w="0" w:type="dxa"/>
              <w:left w:w="0" w:type="dxa"/>
              <w:bottom w:w="45" w:type="dxa"/>
              <w:right w:w="0" w:type="dxa"/>
            </w:tcMar>
            <w:vAlign w:val="bottom"/>
            <w:hideMark/>
          </w:tcPr>
          <w:p w14:paraId="2ADF324B" w14:textId="77777777" w:rsidR="00000000" w:rsidRDefault="00847163">
            <w:pPr>
              <w:rPr>
                <w:rFonts w:eastAsia="Times New Roman"/>
                <w:sz w:val="20"/>
                <w:szCs w:val="20"/>
              </w:rPr>
            </w:pPr>
            <w:r>
              <w:rPr>
                <w:rFonts w:eastAsia="Times New Roman"/>
                <w:sz w:val="20"/>
                <w:szCs w:val="20"/>
              </w:rPr>
              <w:t> </w:t>
            </w:r>
          </w:p>
        </w:tc>
      </w:tr>
      <w:tr w:rsidR="00000000" w14:paraId="03CE17C5" w14:textId="77777777">
        <w:trPr>
          <w:tblCellSpacing w:w="0" w:type="dxa"/>
        </w:trPr>
        <w:tc>
          <w:tcPr>
            <w:tcW w:w="0" w:type="auto"/>
            <w:shd w:val="clear" w:color="auto" w:fill="CCEEFF"/>
            <w:vAlign w:val="bottom"/>
            <w:hideMark/>
          </w:tcPr>
          <w:p w14:paraId="44434799"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41E8814"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2575CC2"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C8E2AC2"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50B3BBB"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AFF4B07"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EEE1A11"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F6AE5CD" w14:textId="77777777" w:rsidR="00000000" w:rsidRDefault="0084716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2FECB68" w14:textId="77777777" w:rsidR="00000000" w:rsidRDefault="00847163">
            <w:pPr>
              <w:rPr>
                <w:rFonts w:eastAsia="Times New Roman"/>
                <w:sz w:val="20"/>
                <w:szCs w:val="20"/>
              </w:rPr>
            </w:pPr>
            <w:r>
              <w:rPr>
                <w:rFonts w:eastAsia="Times New Roman"/>
                <w:sz w:val="20"/>
                <w:szCs w:val="20"/>
              </w:rPr>
              <w:t> </w:t>
            </w:r>
          </w:p>
        </w:tc>
      </w:tr>
      <w:tr w:rsidR="00000000" w14:paraId="77A15A87" w14:textId="77777777">
        <w:trPr>
          <w:tblCellSpacing w:w="0" w:type="dxa"/>
        </w:trPr>
        <w:tc>
          <w:tcPr>
            <w:tcW w:w="0" w:type="auto"/>
            <w:shd w:val="clear" w:color="auto" w:fill="FFFFFF"/>
            <w:vAlign w:val="bottom"/>
            <w:hideMark/>
          </w:tcPr>
          <w:p w14:paraId="1472A2E2" w14:textId="77777777" w:rsidR="00000000" w:rsidRDefault="00847163">
            <w:pPr>
              <w:pStyle w:val="a3"/>
              <w:spacing w:before="0" w:beforeAutospacing="0" w:after="0" w:afterAutospacing="0"/>
              <w:rPr>
                <w:sz w:val="20"/>
                <w:szCs w:val="20"/>
              </w:rPr>
            </w:pPr>
            <w:r>
              <w:rPr>
                <w:b/>
                <w:bCs/>
                <w:sz w:val="20"/>
                <w:szCs w:val="20"/>
              </w:rPr>
              <w:t>FFO per common share – basic</w:t>
            </w:r>
          </w:p>
        </w:tc>
        <w:tc>
          <w:tcPr>
            <w:tcW w:w="50" w:type="pct"/>
            <w:shd w:val="clear" w:color="auto" w:fill="FFFFFF"/>
            <w:vAlign w:val="bottom"/>
            <w:hideMark/>
          </w:tcPr>
          <w:p w14:paraId="0CDF790F" w14:textId="77777777" w:rsidR="00000000" w:rsidRDefault="0084716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7433EB2E" w14:textId="77777777" w:rsidR="00000000" w:rsidRDefault="00847163">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14:paraId="06D24B26" w14:textId="77777777" w:rsidR="00000000" w:rsidRDefault="00847163">
            <w:pPr>
              <w:jc w:val="right"/>
              <w:rPr>
                <w:rFonts w:eastAsia="Times New Roman"/>
                <w:sz w:val="20"/>
                <w:szCs w:val="20"/>
              </w:rPr>
            </w:pPr>
            <w:r>
              <w:rPr>
                <w:rFonts w:eastAsia="Times New Roman"/>
                <w:sz w:val="20"/>
                <w:szCs w:val="20"/>
              </w:rPr>
              <w:t>0.37</w:t>
            </w:r>
          </w:p>
        </w:tc>
        <w:tc>
          <w:tcPr>
            <w:tcW w:w="50" w:type="pct"/>
            <w:shd w:val="clear" w:color="auto" w:fill="FFFFFF"/>
            <w:tcMar>
              <w:top w:w="0" w:type="dxa"/>
              <w:left w:w="0" w:type="dxa"/>
              <w:bottom w:w="45" w:type="dxa"/>
              <w:right w:w="0" w:type="dxa"/>
            </w:tcMar>
            <w:vAlign w:val="bottom"/>
            <w:hideMark/>
          </w:tcPr>
          <w:p w14:paraId="4C999D3D"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C31FBFC" w14:textId="77777777" w:rsidR="00000000" w:rsidRDefault="0084716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649CCFAE" w14:textId="77777777" w:rsidR="00000000" w:rsidRDefault="00847163">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14:paraId="6ED83DF2" w14:textId="77777777" w:rsidR="00000000" w:rsidRDefault="00847163">
            <w:pPr>
              <w:jc w:val="right"/>
              <w:rPr>
                <w:rFonts w:eastAsia="Times New Roman"/>
                <w:sz w:val="20"/>
                <w:szCs w:val="20"/>
              </w:rPr>
            </w:pPr>
            <w:r>
              <w:rPr>
                <w:rFonts w:eastAsia="Times New Roman"/>
                <w:sz w:val="20"/>
                <w:szCs w:val="20"/>
              </w:rPr>
              <w:t>0.38</w:t>
            </w:r>
          </w:p>
        </w:tc>
        <w:tc>
          <w:tcPr>
            <w:tcW w:w="50" w:type="pct"/>
            <w:shd w:val="clear" w:color="auto" w:fill="FFFFFF"/>
            <w:tcMar>
              <w:top w:w="0" w:type="dxa"/>
              <w:left w:w="0" w:type="dxa"/>
              <w:bottom w:w="45" w:type="dxa"/>
              <w:right w:w="0" w:type="dxa"/>
            </w:tcMar>
            <w:vAlign w:val="bottom"/>
            <w:hideMark/>
          </w:tcPr>
          <w:p w14:paraId="78CD50CA" w14:textId="77777777" w:rsidR="00000000" w:rsidRDefault="00847163">
            <w:pPr>
              <w:rPr>
                <w:rFonts w:eastAsia="Times New Roman"/>
                <w:sz w:val="20"/>
                <w:szCs w:val="20"/>
              </w:rPr>
            </w:pPr>
            <w:r>
              <w:rPr>
                <w:rFonts w:eastAsia="Times New Roman"/>
                <w:sz w:val="20"/>
                <w:szCs w:val="20"/>
              </w:rPr>
              <w:t> </w:t>
            </w:r>
          </w:p>
        </w:tc>
      </w:tr>
      <w:tr w:rsidR="00000000" w14:paraId="74926C09" w14:textId="77777777">
        <w:trPr>
          <w:tblCellSpacing w:w="0" w:type="dxa"/>
        </w:trPr>
        <w:tc>
          <w:tcPr>
            <w:tcW w:w="0" w:type="auto"/>
            <w:shd w:val="clear" w:color="auto" w:fill="CCEEFF"/>
            <w:vAlign w:val="bottom"/>
            <w:hideMark/>
          </w:tcPr>
          <w:p w14:paraId="041AE4B5" w14:textId="77777777" w:rsidR="00000000" w:rsidRDefault="00847163">
            <w:pPr>
              <w:pStyle w:val="a3"/>
              <w:spacing w:before="0" w:beforeAutospacing="0" w:after="0" w:afterAutospacing="0"/>
              <w:rPr>
                <w:sz w:val="20"/>
                <w:szCs w:val="20"/>
              </w:rPr>
            </w:pPr>
            <w:r>
              <w:rPr>
                <w:b/>
                <w:bCs/>
                <w:sz w:val="20"/>
                <w:szCs w:val="20"/>
              </w:rPr>
              <w:t>FFO per common share – diluted</w:t>
            </w:r>
            <w:r>
              <w:rPr>
                <w:sz w:val="20"/>
                <w:szCs w:val="20"/>
              </w:rPr>
              <w:t xml:space="preserve"> (2)</w:t>
            </w:r>
          </w:p>
        </w:tc>
        <w:tc>
          <w:tcPr>
            <w:tcW w:w="50" w:type="pct"/>
            <w:shd w:val="clear" w:color="auto" w:fill="CCEEFF"/>
            <w:vAlign w:val="bottom"/>
            <w:hideMark/>
          </w:tcPr>
          <w:p w14:paraId="16C4AA61" w14:textId="77777777" w:rsidR="00000000" w:rsidRDefault="0084716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11C90EAD" w14:textId="77777777" w:rsidR="00000000" w:rsidRDefault="00847163">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14:paraId="6944C89B" w14:textId="77777777" w:rsidR="00000000" w:rsidRDefault="00847163">
            <w:pPr>
              <w:jc w:val="right"/>
              <w:rPr>
                <w:rFonts w:eastAsia="Times New Roman"/>
                <w:sz w:val="20"/>
                <w:szCs w:val="20"/>
              </w:rPr>
            </w:pPr>
            <w:r>
              <w:rPr>
                <w:rFonts w:eastAsia="Times New Roman"/>
                <w:sz w:val="20"/>
                <w:szCs w:val="20"/>
              </w:rPr>
              <w:t>0.37</w:t>
            </w:r>
          </w:p>
        </w:tc>
        <w:tc>
          <w:tcPr>
            <w:tcW w:w="50" w:type="pct"/>
            <w:shd w:val="clear" w:color="auto" w:fill="CCEEFF"/>
            <w:tcMar>
              <w:top w:w="0" w:type="dxa"/>
              <w:left w:w="0" w:type="dxa"/>
              <w:bottom w:w="45" w:type="dxa"/>
              <w:right w:w="0" w:type="dxa"/>
            </w:tcMar>
            <w:vAlign w:val="bottom"/>
            <w:hideMark/>
          </w:tcPr>
          <w:p w14:paraId="0ED0C046"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96CE85C" w14:textId="77777777" w:rsidR="00000000" w:rsidRDefault="0084716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621B14B2" w14:textId="77777777" w:rsidR="00000000" w:rsidRDefault="00847163">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14:paraId="43F5D37F" w14:textId="77777777" w:rsidR="00000000" w:rsidRDefault="00847163">
            <w:pPr>
              <w:jc w:val="right"/>
              <w:rPr>
                <w:rFonts w:eastAsia="Times New Roman"/>
                <w:sz w:val="20"/>
                <w:szCs w:val="20"/>
              </w:rPr>
            </w:pPr>
            <w:r>
              <w:rPr>
                <w:rFonts w:eastAsia="Times New Roman"/>
                <w:sz w:val="20"/>
                <w:szCs w:val="20"/>
              </w:rPr>
              <w:t>0.38</w:t>
            </w:r>
          </w:p>
        </w:tc>
        <w:tc>
          <w:tcPr>
            <w:tcW w:w="50" w:type="pct"/>
            <w:shd w:val="clear" w:color="auto" w:fill="CCEEFF"/>
            <w:tcMar>
              <w:top w:w="0" w:type="dxa"/>
              <w:left w:w="0" w:type="dxa"/>
              <w:bottom w:w="45" w:type="dxa"/>
              <w:right w:w="0" w:type="dxa"/>
            </w:tcMar>
            <w:vAlign w:val="bottom"/>
            <w:hideMark/>
          </w:tcPr>
          <w:p w14:paraId="48BF7904" w14:textId="77777777" w:rsidR="00000000" w:rsidRDefault="00847163">
            <w:pPr>
              <w:rPr>
                <w:rFonts w:eastAsia="Times New Roman"/>
                <w:sz w:val="20"/>
                <w:szCs w:val="20"/>
              </w:rPr>
            </w:pPr>
            <w:r>
              <w:rPr>
                <w:rFonts w:eastAsia="Times New Roman"/>
                <w:sz w:val="20"/>
                <w:szCs w:val="20"/>
              </w:rPr>
              <w:t> </w:t>
            </w:r>
          </w:p>
        </w:tc>
      </w:tr>
    </w:tbl>
    <w:p w14:paraId="30479074" w14:textId="77777777" w:rsidR="00000000" w:rsidRDefault="00847163">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5F70A7C2" w14:textId="77777777">
        <w:trPr>
          <w:tblCellSpacing w:w="0" w:type="dxa"/>
        </w:trPr>
        <w:tc>
          <w:tcPr>
            <w:tcW w:w="360" w:type="dxa"/>
            <w:hideMark/>
          </w:tcPr>
          <w:p w14:paraId="447D7D4B" w14:textId="77777777" w:rsidR="00000000" w:rsidRDefault="00847163">
            <w:pPr>
              <w:rPr>
                <w:rFonts w:eastAsia="Times New Roman"/>
              </w:rPr>
            </w:pPr>
            <w:r>
              <w:rPr>
                <w:rFonts w:eastAsia="Times New Roman"/>
              </w:rPr>
              <w:t> </w:t>
            </w:r>
          </w:p>
        </w:tc>
        <w:tc>
          <w:tcPr>
            <w:tcW w:w="360" w:type="dxa"/>
            <w:hideMark/>
          </w:tcPr>
          <w:p w14:paraId="1D3C8735" w14:textId="77777777" w:rsidR="00000000" w:rsidRDefault="00847163">
            <w:pPr>
              <w:pStyle w:val="a3"/>
              <w:spacing w:before="0" w:beforeAutospacing="0" w:after="0" w:afterAutospacing="0"/>
              <w:jc w:val="both"/>
              <w:rPr>
                <w:sz w:val="20"/>
                <w:szCs w:val="20"/>
              </w:rPr>
            </w:pPr>
            <w:r>
              <w:rPr>
                <w:sz w:val="20"/>
                <w:szCs w:val="20"/>
              </w:rPr>
              <w:t>(1)</w:t>
            </w:r>
          </w:p>
        </w:tc>
        <w:tc>
          <w:tcPr>
            <w:tcW w:w="0" w:type="auto"/>
            <w:hideMark/>
          </w:tcPr>
          <w:p w14:paraId="361BB161" w14:textId="77777777" w:rsidR="00000000" w:rsidRDefault="00847163">
            <w:pPr>
              <w:pStyle w:val="a3"/>
              <w:spacing w:before="0" w:beforeAutospacing="0" w:after="0" w:afterAutospacing="0"/>
              <w:jc w:val="both"/>
              <w:rPr>
                <w:sz w:val="20"/>
                <w:szCs w:val="20"/>
              </w:rPr>
            </w:pPr>
            <w:r>
              <w:rPr>
                <w:sz w:val="20"/>
                <w:szCs w:val="20"/>
              </w:rPr>
              <w:t>Related to gains, impairments, and depreciation on properties, where applicable.</w:t>
            </w:r>
          </w:p>
        </w:tc>
      </w:tr>
    </w:tbl>
    <w:p w14:paraId="7FE0AF4A" w14:textId="77777777" w:rsidR="00000000" w:rsidRDefault="00847163">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33CB78B0" w14:textId="77777777">
        <w:trPr>
          <w:tblCellSpacing w:w="0" w:type="dxa"/>
        </w:trPr>
        <w:tc>
          <w:tcPr>
            <w:tcW w:w="360" w:type="dxa"/>
            <w:hideMark/>
          </w:tcPr>
          <w:p w14:paraId="69B1A6B6" w14:textId="77777777" w:rsidR="00000000" w:rsidRDefault="00847163">
            <w:pPr>
              <w:rPr>
                <w:rFonts w:eastAsia="Times New Roman"/>
              </w:rPr>
            </w:pPr>
            <w:r>
              <w:rPr>
                <w:rFonts w:eastAsia="Times New Roman"/>
              </w:rPr>
              <w:t> </w:t>
            </w:r>
          </w:p>
        </w:tc>
        <w:tc>
          <w:tcPr>
            <w:tcW w:w="360" w:type="dxa"/>
            <w:hideMark/>
          </w:tcPr>
          <w:p w14:paraId="5F5585A2" w14:textId="77777777" w:rsidR="00000000" w:rsidRDefault="00847163">
            <w:pPr>
              <w:pStyle w:val="a3"/>
              <w:spacing w:before="0" w:beforeAutospacing="0" w:after="0" w:afterAutospacing="0"/>
              <w:jc w:val="both"/>
              <w:rPr>
                <w:sz w:val="20"/>
                <w:szCs w:val="20"/>
              </w:rPr>
            </w:pPr>
            <w:r>
              <w:rPr>
                <w:sz w:val="20"/>
                <w:szCs w:val="20"/>
              </w:rPr>
              <w:t>(2)</w:t>
            </w:r>
          </w:p>
        </w:tc>
        <w:tc>
          <w:tcPr>
            <w:tcW w:w="0" w:type="auto"/>
            <w:hideMark/>
          </w:tcPr>
          <w:p w14:paraId="6EF478CE" w14:textId="77777777" w:rsidR="00000000" w:rsidRDefault="00847163">
            <w:pPr>
              <w:pStyle w:val="a3"/>
              <w:spacing w:before="0" w:beforeAutospacing="0" w:after="0" w:afterAutospacing="0"/>
              <w:jc w:val="both"/>
              <w:rPr>
                <w:sz w:val="20"/>
                <w:szCs w:val="20"/>
              </w:rPr>
            </w:pPr>
            <w:r>
              <w:rPr>
                <w:sz w:val="20"/>
                <w:szCs w:val="20"/>
              </w:rPr>
              <w:t>Reflects the potential impact if certain units were converted to common stock at the beginning of the period, which would have a dilutive effect on FFO available to the Company’s common shareholders. FFO available to the Company’s common shareholders would</w:t>
            </w:r>
            <w:r>
              <w:rPr>
                <w:sz w:val="20"/>
                <w:szCs w:val="20"/>
              </w:rPr>
              <w:t xml:space="preserve"> be increased by $160 and $261 for the three months ended March 31, 2020 and 2019, respectively. The effect of other certain convertible units would have an anti-dilutive effect upon the calculation of Net income available to the Company’s common sharehold</w:t>
            </w:r>
            <w:r>
              <w:rPr>
                <w:sz w:val="20"/>
                <w:szCs w:val="20"/>
              </w:rPr>
              <w:t>ers per share. Accordingly, the impact of such conversion has not been included in the determination of diluted earnings per share calculations.</w:t>
            </w:r>
          </w:p>
        </w:tc>
      </w:tr>
    </w:tbl>
    <w:p w14:paraId="1FE1C989" w14:textId="77777777" w:rsidR="00000000" w:rsidRDefault="00847163">
      <w:pPr>
        <w:pStyle w:val="a3"/>
        <w:spacing w:before="0" w:beforeAutospacing="0" w:after="0" w:afterAutospacing="0"/>
        <w:jc w:val="both"/>
        <w:rPr>
          <w:sz w:val="20"/>
          <w:szCs w:val="20"/>
        </w:rPr>
      </w:pPr>
      <w:r>
        <w:rPr>
          <w:sz w:val="20"/>
          <w:szCs w:val="20"/>
        </w:rPr>
        <w:t> </w:t>
      </w:r>
    </w:p>
    <w:p w14:paraId="33FD5F31" w14:textId="77777777" w:rsidR="00000000" w:rsidRDefault="00847163">
      <w:pPr>
        <w:pStyle w:val="a3"/>
        <w:spacing w:before="0" w:beforeAutospacing="0" w:after="0" w:afterAutospacing="0"/>
        <w:jc w:val="both"/>
        <w:rPr>
          <w:sz w:val="20"/>
          <w:szCs w:val="20"/>
        </w:rPr>
      </w:pPr>
      <w:r>
        <w:rPr>
          <w:sz w:val="20"/>
          <w:szCs w:val="20"/>
          <w:u w:val="single"/>
        </w:rPr>
        <w:t>Same Property Net Operating Income(“Same property NOI”)</w:t>
      </w:r>
    </w:p>
    <w:p w14:paraId="1A39AD26" w14:textId="77777777" w:rsidR="00000000" w:rsidRDefault="00847163">
      <w:pPr>
        <w:pStyle w:val="a3"/>
        <w:spacing w:before="0" w:beforeAutospacing="0" w:after="0" w:afterAutospacing="0"/>
        <w:jc w:val="both"/>
        <w:rPr>
          <w:sz w:val="20"/>
          <w:szCs w:val="20"/>
        </w:rPr>
      </w:pPr>
      <w:r>
        <w:rPr>
          <w:sz w:val="20"/>
          <w:szCs w:val="20"/>
        </w:rPr>
        <w:t> </w:t>
      </w:r>
    </w:p>
    <w:p w14:paraId="31B4562F" w14:textId="77777777" w:rsidR="00000000" w:rsidRDefault="00847163">
      <w:pPr>
        <w:pStyle w:val="a3"/>
        <w:spacing w:before="0" w:beforeAutospacing="0" w:after="0" w:afterAutospacing="0"/>
        <w:ind w:firstLine="360"/>
        <w:jc w:val="both"/>
        <w:rPr>
          <w:sz w:val="20"/>
          <w:szCs w:val="20"/>
        </w:rPr>
      </w:pPr>
      <w:r>
        <w:rPr>
          <w:sz w:val="20"/>
          <w:szCs w:val="20"/>
        </w:rPr>
        <w:t>Same property NOI is a supplemental non-GAAP financial measure of real estate companies’ operating performance and should not be considered an alternative to net income in accordance with GAAP or cash flows from operations as a measure of liquidity. The Co</w:t>
      </w:r>
      <w:r>
        <w:rPr>
          <w:sz w:val="20"/>
          <w:szCs w:val="20"/>
        </w:rPr>
        <w:t>mpany considers Same property NOI as an important operating performance measure because it is frequently used by securities analysts and investors to measure only the net operating income of properties that have been owned by the Company for the entire cur</w:t>
      </w:r>
      <w:r>
        <w:rPr>
          <w:sz w:val="20"/>
          <w:szCs w:val="20"/>
        </w:rPr>
        <w:t>rent and prior year reporting periods. It excludes properties under redevelopment, development and pending stabilization; properties are deemed stabilized at the earlier of (i) reaching 90% leased or (ii) one year following a project’s inclusion in operati</w:t>
      </w:r>
      <w:r>
        <w:rPr>
          <w:sz w:val="20"/>
          <w:szCs w:val="20"/>
        </w:rPr>
        <w:t>ng real estate. Same property NOI assists in eliminating disparities in net income due to the development, acquisition or disposition of properties during the particular period presented, and thus provides a more consistent performance measure for the comp</w:t>
      </w:r>
      <w:r>
        <w:rPr>
          <w:sz w:val="20"/>
          <w:szCs w:val="20"/>
        </w:rPr>
        <w:t>arison of the Company's properties.</w:t>
      </w:r>
    </w:p>
    <w:p w14:paraId="6E5B1892" w14:textId="77777777" w:rsidR="00000000" w:rsidRDefault="00847163">
      <w:pPr>
        <w:pStyle w:val="a3"/>
        <w:spacing w:before="0" w:beforeAutospacing="0" w:after="0" w:afterAutospacing="0"/>
        <w:ind w:firstLine="360"/>
        <w:jc w:val="both"/>
        <w:rPr>
          <w:sz w:val="20"/>
          <w:szCs w:val="20"/>
        </w:rPr>
      </w:pPr>
      <w:r>
        <w:rPr>
          <w:sz w:val="20"/>
          <w:szCs w:val="20"/>
        </w:rPr>
        <w:t> </w:t>
      </w:r>
    </w:p>
    <w:p w14:paraId="37CA8E87" w14:textId="77777777" w:rsidR="00000000" w:rsidRDefault="00847163">
      <w:pPr>
        <w:pStyle w:val="a3"/>
        <w:spacing w:before="0" w:beforeAutospacing="0" w:after="0" w:afterAutospacing="0"/>
        <w:ind w:firstLine="360"/>
        <w:jc w:val="both"/>
        <w:rPr>
          <w:sz w:val="20"/>
          <w:szCs w:val="20"/>
        </w:rPr>
      </w:pPr>
      <w:r>
        <w:rPr>
          <w:sz w:val="20"/>
          <w:szCs w:val="20"/>
        </w:rPr>
        <w:t>Same property NOI is calculated using revenues from rental properties (excluding straight-line rent adjustments, lease termination fees, TIFs and amortization of above/below market rents) less charges for bad debt, ope</w:t>
      </w:r>
      <w:r>
        <w:rPr>
          <w:sz w:val="20"/>
          <w:szCs w:val="20"/>
        </w:rPr>
        <w:t>rating and maintenance expense, real estate taxes and rent expense plus the Company’s proportionate share of Same property NOI from unconsolidated real estate joint ventures, calculated on the same basis. The Company’s method of calculating Same property N</w:t>
      </w:r>
      <w:r>
        <w:rPr>
          <w:sz w:val="20"/>
          <w:szCs w:val="20"/>
        </w:rPr>
        <w:t>OI available to the Company’s common shareholders may differ from methods used by other REITs and, accordingly, may not be comparable to such other REITs.</w:t>
      </w:r>
    </w:p>
    <w:p w14:paraId="70CAA3B0" w14:textId="77777777" w:rsidR="00000000" w:rsidRDefault="00847163">
      <w:pPr>
        <w:pStyle w:val="a3"/>
        <w:spacing w:before="0" w:beforeAutospacing="0" w:after="0" w:afterAutospacing="0"/>
        <w:ind w:firstLine="720"/>
        <w:jc w:val="both"/>
        <w:rPr>
          <w:sz w:val="20"/>
          <w:szCs w:val="20"/>
        </w:rPr>
      </w:pPr>
      <w:r>
        <w:rPr>
          <w:sz w:val="20"/>
          <w:szCs w:val="20"/>
        </w:rPr>
        <w:t> </w:t>
      </w:r>
    </w:p>
    <w:p w14:paraId="28F67E31" w14:textId="77777777" w:rsidR="00000000" w:rsidRDefault="00847163">
      <w:pPr>
        <w:jc w:val="center"/>
        <w:divId w:val="663779019"/>
        <w:rPr>
          <w:rFonts w:eastAsia="Times New Roman"/>
          <w:sz w:val="20"/>
          <w:szCs w:val="20"/>
        </w:rPr>
      </w:pPr>
      <w:r>
        <w:rPr>
          <w:rFonts w:eastAsia="Times New Roman"/>
          <w:sz w:val="20"/>
          <w:szCs w:val="20"/>
        </w:rPr>
        <w:t xml:space="preserve">28 </w:t>
      </w:r>
    </w:p>
    <w:p w14:paraId="1353DCF8" w14:textId="77777777" w:rsidR="00000000" w:rsidRDefault="00847163">
      <w:pPr>
        <w:divId w:val="1850439582"/>
        <w:rPr>
          <w:rFonts w:eastAsia="Times New Roman"/>
          <w:sz w:val="20"/>
          <w:szCs w:val="20"/>
        </w:rPr>
      </w:pPr>
      <w:r>
        <w:rPr>
          <w:rFonts w:eastAsia="Times New Roman"/>
          <w:sz w:val="20"/>
          <w:szCs w:val="20"/>
        </w:rPr>
        <w:pict w14:anchorId="1670AA2E">
          <v:rect id="_x0000_i1056" style="width:0;height:1.5pt" o:hralign="center" o:hrstd="t" o:hr="t" fillcolor="#a0a0a0" stroked="f"/>
        </w:pict>
      </w:r>
    </w:p>
    <w:p w14:paraId="1350CE4B" w14:textId="77777777" w:rsidR="00000000" w:rsidRDefault="00847163">
      <w:pPr>
        <w:divId w:val="2016608425"/>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1E06CF91" w14:textId="77777777" w:rsidR="00000000" w:rsidRDefault="00847163">
      <w:pPr>
        <w:pStyle w:val="a3"/>
        <w:spacing w:before="0" w:beforeAutospacing="0" w:after="0" w:afterAutospacing="0"/>
        <w:rPr>
          <w:sz w:val="20"/>
          <w:szCs w:val="20"/>
        </w:rPr>
      </w:pPr>
      <w:r>
        <w:rPr>
          <w:sz w:val="20"/>
          <w:szCs w:val="20"/>
        </w:rPr>
        <w:t> </w:t>
      </w:r>
    </w:p>
    <w:p w14:paraId="0655A99F" w14:textId="77777777" w:rsidR="00000000" w:rsidRDefault="00847163">
      <w:pPr>
        <w:pStyle w:val="a3"/>
        <w:spacing w:before="0" w:beforeAutospacing="0" w:after="0" w:afterAutospacing="0"/>
        <w:ind w:firstLine="360"/>
        <w:jc w:val="both"/>
        <w:rPr>
          <w:sz w:val="20"/>
          <w:szCs w:val="20"/>
        </w:rPr>
      </w:pPr>
      <w:r>
        <w:rPr>
          <w:sz w:val="20"/>
          <w:szCs w:val="20"/>
        </w:rPr>
        <w:t>The followi</w:t>
      </w:r>
      <w:r>
        <w:rPr>
          <w:sz w:val="20"/>
          <w:szCs w:val="20"/>
        </w:rPr>
        <w:t>ng is a reconciliation of Net income available to the Company’s common shareholders to Same property NOI (in thousands):</w:t>
      </w:r>
    </w:p>
    <w:p w14:paraId="1F58F83A" w14:textId="77777777" w:rsidR="00000000" w:rsidRDefault="00847163">
      <w:pPr>
        <w:pStyle w:val="a3"/>
        <w:spacing w:before="0" w:beforeAutospacing="0" w:after="0" w:afterAutospacing="0"/>
        <w:ind w:firstLine="360"/>
        <w:jc w:val="both"/>
        <w:rPr>
          <w:sz w:val="20"/>
          <w:szCs w:val="20"/>
        </w:rPr>
      </w:pPr>
      <w:r>
        <w:rPr>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4638"/>
        <w:gridCol w:w="52"/>
        <w:gridCol w:w="100"/>
        <w:gridCol w:w="784"/>
        <w:gridCol w:w="67"/>
        <w:gridCol w:w="53"/>
        <w:gridCol w:w="100"/>
        <w:gridCol w:w="784"/>
        <w:gridCol w:w="67"/>
      </w:tblGrid>
      <w:tr w:rsidR="00000000" w14:paraId="7E8B4681" w14:textId="77777777">
        <w:trPr>
          <w:tblCellSpacing w:w="0" w:type="dxa"/>
        </w:trPr>
        <w:tc>
          <w:tcPr>
            <w:tcW w:w="3500" w:type="pct"/>
            <w:vAlign w:val="bottom"/>
            <w:hideMark/>
          </w:tcPr>
          <w:p w14:paraId="33379D24" w14:textId="77777777" w:rsidR="00000000" w:rsidRDefault="00847163">
            <w:pPr>
              <w:rPr>
                <w:rFonts w:eastAsia="Times New Roman"/>
                <w:sz w:val="20"/>
                <w:szCs w:val="20"/>
              </w:rPr>
            </w:pPr>
            <w:r>
              <w:rPr>
                <w:rFonts w:eastAsia="Times New Roman"/>
                <w:sz w:val="20"/>
                <w:szCs w:val="20"/>
              </w:rPr>
              <w:t> </w:t>
            </w:r>
          </w:p>
        </w:tc>
        <w:tc>
          <w:tcPr>
            <w:tcW w:w="50" w:type="pct"/>
            <w:vAlign w:val="bottom"/>
            <w:hideMark/>
          </w:tcPr>
          <w:p w14:paraId="77944045" w14:textId="77777777" w:rsidR="00000000" w:rsidRDefault="00847163">
            <w:pPr>
              <w:rPr>
                <w:rFonts w:eastAsia="Times New Roman"/>
                <w:sz w:val="20"/>
                <w:szCs w:val="20"/>
              </w:rPr>
            </w:pPr>
            <w:r>
              <w:rPr>
                <w:rFonts w:eastAsia="Times New Roman"/>
                <w:sz w:val="20"/>
                <w:szCs w:val="20"/>
              </w:rPr>
              <w:t> </w:t>
            </w:r>
          </w:p>
        </w:tc>
        <w:tc>
          <w:tcPr>
            <w:tcW w:w="800" w:type="pct"/>
            <w:gridSpan w:val="6"/>
            <w:tcBorders>
              <w:bottom w:val="single" w:sz="6" w:space="0" w:color="000000"/>
            </w:tcBorders>
            <w:vAlign w:val="bottom"/>
            <w:hideMark/>
          </w:tcPr>
          <w:p w14:paraId="0D72A13D" w14:textId="77777777" w:rsidR="00000000" w:rsidRDefault="00847163">
            <w:pPr>
              <w:pStyle w:val="a3"/>
              <w:spacing w:before="0" w:beforeAutospacing="0" w:after="0" w:afterAutospacing="0"/>
              <w:jc w:val="center"/>
              <w:rPr>
                <w:sz w:val="20"/>
                <w:szCs w:val="20"/>
              </w:rPr>
            </w:pPr>
            <w:r>
              <w:rPr>
                <w:b/>
                <w:bCs/>
                <w:sz w:val="20"/>
                <w:szCs w:val="20"/>
              </w:rPr>
              <w:t>Three Months Ended March 31,</w:t>
            </w:r>
          </w:p>
        </w:tc>
        <w:tc>
          <w:tcPr>
            <w:tcW w:w="50" w:type="pct"/>
            <w:tcMar>
              <w:top w:w="0" w:type="dxa"/>
              <w:left w:w="0" w:type="dxa"/>
              <w:bottom w:w="15" w:type="dxa"/>
              <w:right w:w="0" w:type="dxa"/>
            </w:tcMar>
            <w:vAlign w:val="bottom"/>
            <w:hideMark/>
          </w:tcPr>
          <w:p w14:paraId="01A0528B" w14:textId="77777777" w:rsidR="00000000" w:rsidRDefault="00847163">
            <w:pPr>
              <w:rPr>
                <w:rFonts w:eastAsia="Times New Roman"/>
                <w:sz w:val="20"/>
                <w:szCs w:val="20"/>
              </w:rPr>
            </w:pPr>
            <w:r>
              <w:rPr>
                <w:rFonts w:eastAsia="Times New Roman"/>
                <w:sz w:val="20"/>
                <w:szCs w:val="20"/>
              </w:rPr>
              <w:t> </w:t>
            </w:r>
          </w:p>
        </w:tc>
      </w:tr>
      <w:tr w:rsidR="00000000" w14:paraId="30BBBB19" w14:textId="77777777">
        <w:trPr>
          <w:tblCellSpacing w:w="0" w:type="dxa"/>
        </w:trPr>
        <w:tc>
          <w:tcPr>
            <w:tcW w:w="3500" w:type="pct"/>
            <w:vAlign w:val="bottom"/>
            <w:hideMark/>
          </w:tcPr>
          <w:p w14:paraId="401CC2EB" w14:textId="77777777" w:rsidR="00000000" w:rsidRDefault="00847163">
            <w:pPr>
              <w:rPr>
                <w:rFonts w:eastAsia="Times New Roman"/>
                <w:sz w:val="20"/>
                <w:szCs w:val="20"/>
              </w:rPr>
            </w:pPr>
            <w:r>
              <w:rPr>
                <w:rFonts w:eastAsia="Times New Roman"/>
                <w:sz w:val="20"/>
                <w:szCs w:val="20"/>
              </w:rPr>
              <w:t> </w:t>
            </w:r>
          </w:p>
        </w:tc>
        <w:tc>
          <w:tcPr>
            <w:tcW w:w="50" w:type="pct"/>
            <w:vAlign w:val="bottom"/>
            <w:hideMark/>
          </w:tcPr>
          <w:p w14:paraId="2A6E80B9" w14:textId="77777777" w:rsidR="00000000" w:rsidRDefault="00847163">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6C4CFA64" w14:textId="77777777" w:rsidR="00000000" w:rsidRDefault="00847163">
            <w:pPr>
              <w:pStyle w:val="a3"/>
              <w:spacing w:before="0" w:beforeAutospacing="0" w:after="0" w:afterAutospacing="0"/>
              <w:jc w:val="center"/>
              <w:rPr>
                <w:sz w:val="20"/>
                <w:szCs w:val="20"/>
              </w:rPr>
            </w:pPr>
            <w:r>
              <w:rPr>
                <w:b/>
                <w:bCs/>
                <w:sz w:val="20"/>
                <w:szCs w:val="20"/>
              </w:rPr>
              <w:t>2020</w:t>
            </w:r>
          </w:p>
        </w:tc>
        <w:tc>
          <w:tcPr>
            <w:tcW w:w="50" w:type="pct"/>
            <w:tcMar>
              <w:top w:w="0" w:type="dxa"/>
              <w:left w:w="0" w:type="dxa"/>
              <w:bottom w:w="15" w:type="dxa"/>
              <w:right w:w="0" w:type="dxa"/>
            </w:tcMar>
            <w:vAlign w:val="bottom"/>
            <w:hideMark/>
          </w:tcPr>
          <w:p w14:paraId="602ECF94" w14:textId="77777777" w:rsidR="00000000" w:rsidRDefault="00847163">
            <w:pPr>
              <w:rPr>
                <w:rFonts w:eastAsia="Times New Roman"/>
                <w:sz w:val="20"/>
                <w:szCs w:val="20"/>
              </w:rPr>
            </w:pPr>
            <w:r>
              <w:rPr>
                <w:rFonts w:eastAsia="Times New Roman"/>
                <w:sz w:val="20"/>
                <w:szCs w:val="20"/>
              </w:rPr>
              <w:t> </w:t>
            </w:r>
          </w:p>
        </w:tc>
        <w:tc>
          <w:tcPr>
            <w:tcW w:w="50" w:type="pct"/>
            <w:vAlign w:val="bottom"/>
            <w:hideMark/>
          </w:tcPr>
          <w:p w14:paraId="7EDE4757" w14:textId="77777777" w:rsidR="00000000" w:rsidRDefault="00847163">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3063C7FF" w14:textId="77777777" w:rsidR="00000000" w:rsidRDefault="00847163">
            <w:pPr>
              <w:pStyle w:val="a3"/>
              <w:spacing w:before="0" w:beforeAutospacing="0" w:after="0" w:afterAutospacing="0"/>
              <w:jc w:val="center"/>
              <w:rPr>
                <w:sz w:val="20"/>
                <w:szCs w:val="20"/>
              </w:rPr>
            </w:pPr>
            <w:r>
              <w:rPr>
                <w:b/>
                <w:bCs/>
                <w:sz w:val="20"/>
                <w:szCs w:val="20"/>
              </w:rPr>
              <w:t>2019</w:t>
            </w:r>
          </w:p>
        </w:tc>
        <w:tc>
          <w:tcPr>
            <w:tcW w:w="50" w:type="pct"/>
            <w:tcMar>
              <w:top w:w="0" w:type="dxa"/>
              <w:left w:w="0" w:type="dxa"/>
              <w:bottom w:w="15" w:type="dxa"/>
              <w:right w:w="0" w:type="dxa"/>
            </w:tcMar>
            <w:vAlign w:val="bottom"/>
            <w:hideMark/>
          </w:tcPr>
          <w:p w14:paraId="7EFC50FB" w14:textId="77777777" w:rsidR="00000000" w:rsidRDefault="00847163">
            <w:pPr>
              <w:rPr>
                <w:rFonts w:eastAsia="Times New Roman"/>
                <w:sz w:val="20"/>
                <w:szCs w:val="20"/>
              </w:rPr>
            </w:pPr>
            <w:r>
              <w:rPr>
                <w:rFonts w:eastAsia="Times New Roman"/>
                <w:sz w:val="20"/>
                <w:szCs w:val="20"/>
              </w:rPr>
              <w:t> </w:t>
            </w:r>
          </w:p>
        </w:tc>
      </w:tr>
      <w:tr w:rsidR="00000000" w14:paraId="72AFE446" w14:textId="77777777">
        <w:trPr>
          <w:tblCellSpacing w:w="0" w:type="dxa"/>
        </w:trPr>
        <w:tc>
          <w:tcPr>
            <w:tcW w:w="3500" w:type="pct"/>
            <w:shd w:val="clear" w:color="auto" w:fill="CCEEFF"/>
            <w:vAlign w:val="bottom"/>
            <w:hideMark/>
          </w:tcPr>
          <w:p w14:paraId="2D05891F" w14:textId="77777777" w:rsidR="00000000" w:rsidRDefault="00847163">
            <w:pPr>
              <w:pStyle w:val="a3"/>
              <w:spacing w:before="0" w:beforeAutospacing="0" w:after="0" w:afterAutospacing="0"/>
              <w:rPr>
                <w:sz w:val="20"/>
                <w:szCs w:val="20"/>
              </w:rPr>
            </w:pPr>
            <w:r>
              <w:rPr>
                <w:b/>
                <w:bCs/>
                <w:sz w:val="20"/>
                <w:szCs w:val="20"/>
              </w:rPr>
              <w:t>Net income available to the Company’s common shareholders</w:t>
            </w:r>
          </w:p>
        </w:tc>
        <w:tc>
          <w:tcPr>
            <w:tcW w:w="50" w:type="pct"/>
            <w:shd w:val="clear" w:color="auto" w:fill="CCEEFF"/>
            <w:vAlign w:val="bottom"/>
            <w:hideMark/>
          </w:tcPr>
          <w:p w14:paraId="486A3856"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E001F6C" w14:textId="77777777" w:rsidR="00000000" w:rsidRDefault="00847163">
            <w:pPr>
              <w:rPr>
                <w:rFonts w:eastAsia="Times New Roman"/>
                <w:sz w:val="20"/>
                <w:szCs w:val="20"/>
              </w:rPr>
            </w:pPr>
            <w:r>
              <w:rPr>
                <w:rFonts w:eastAsia="Times New Roman"/>
                <w:b/>
                <w:bCs/>
                <w:sz w:val="20"/>
                <w:szCs w:val="20"/>
              </w:rPr>
              <w:t>$</w:t>
            </w:r>
          </w:p>
        </w:tc>
        <w:tc>
          <w:tcPr>
            <w:tcW w:w="600" w:type="pct"/>
            <w:shd w:val="clear" w:color="auto" w:fill="CCEEFF"/>
            <w:vAlign w:val="bottom"/>
            <w:hideMark/>
          </w:tcPr>
          <w:p w14:paraId="55C24674" w14:textId="77777777" w:rsidR="00000000" w:rsidRDefault="00847163">
            <w:pPr>
              <w:jc w:val="right"/>
              <w:rPr>
                <w:rFonts w:eastAsia="Times New Roman"/>
                <w:sz w:val="20"/>
                <w:szCs w:val="20"/>
              </w:rPr>
            </w:pPr>
            <w:r>
              <w:rPr>
                <w:rFonts w:eastAsia="Times New Roman"/>
                <w:b/>
                <w:bCs/>
                <w:sz w:val="20"/>
                <w:szCs w:val="20"/>
              </w:rPr>
              <w:t>83,746</w:t>
            </w:r>
          </w:p>
        </w:tc>
        <w:tc>
          <w:tcPr>
            <w:tcW w:w="50" w:type="pct"/>
            <w:shd w:val="clear" w:color="auto" w:fill="CCEEFF"/>
            <w:vAlign w:val="bottom"/>
            <w:hideMark/>
          </w:tcPr>
          <w:p w14:paraId="1915B047"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01848FD"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EB510C3" w14:textId="77777777" w:rsidR="00000000" w:rsidRDefault="00847163">
            <w:pPr>
              <w:rPr>
                <w:rFonts w:eastAsia="Times New Roman"/>
                <w:sz w:val="20"/>
                <w:szCs w:val="20"/>
              </w:rPr>
            </w:pPr>
            <w:r>
              <w:rPr>
                <w:rFonts w:eastAsia="Times New Roman"/>
                <w:b/>
                <w:bCs/>
                <w:sz w:val="20"/>
                <w:szCs w:val="20"/>
              </w:rPr>
              <w:t>$</w:t>
            </w:r>
          </w:p>
        </w:tc>
        <w:tc>
          <w:tcPr>
            <w:tcW w:w="600" w:type="pct"/>
            <w:shd w:val="clear" w:color="auto" w:fill="CCEEFF"/>
            <w:vAlign w:val="bottom"/>
            <w:hideMark/>
          </w:tcPr>
          <w:p w14:paraId="3350F69C" w14:textId="77777777" w:rsidR="00000000" w:rsidRDefault="00847163">
            <w:pPr>
              <w:jc w:val="right"/>
              <w:rPr>
                <w:rFonts w:eastAsia="Times New Roman"/>
                <w:sz w:val="20"/>
                <w:szCs w:val="20"/>
              </w:rPr>
            </w:pPr>
            <w:r>
              <w:rPr>
                <w:rFonts w:eastAsia="Times New Roman"/>
                <w:b/>
                <w:bCs/>
                <w:sz w:val="20"/>
                <w:szCs w:val="20"/>
              </w:rPr>
              <w:t>101,635</w:t>
            </w:r>
          </w:p>
        </w:tc>
        <w:tc>
          <w:tcPr>
            <w:tcW w:w="50" w:type="pct"/>
            <w:shd w:val="clear" w:color="auto" w:fill="CCEEFF"/>
            <w:vAlign w:val="bottom"/>
            <w:hideMark/>
          </w:tcPr>
          <w:p w14:paraId="44119C8F" w14:textId="77777777" w:rsidR="00000000" w:rsidRDefault="00847163">
            <w:pPr>
              <w:rPr>
                <w:rFonts w:eastAsia="Times New Roman"/>
                <w:sz w:val="20"/>
                <w:szCs w:val="20"/>
              </w:rPr>
            </w:pPr>
            <w:r>
              <w:rPr>
                <w:rFonts w:eastAsia="Times New Roman"/>
                <w:sz w:val="20"/>
                <w:szCs w:val="20"/>
              </w:rPr>
              <w:t> </w:t>
            </w:r>
          </w:p>
        </w:tc>
      </w:tr>
      <w:tr w:rsidR="00000000" w14:paraId="7A6D0334" w14:textId="77777777">
        <w:trPr>
          <w:tblCellSpacing w:w="0" w:type="dxa"/>
        </w:trPr>
        <w:tc>
          <w:tcPr>
            <w:tcW w:w="3500" w:type="pct"/>
            <w:shd w:val="clear" w:color="auto" w:fill="FFFFFF"/>
            <w:vAlign w:val="bottom"/>
            <w:hideMark/>
          </w:tcPr>
          <w:p w14:paraId="60D558D3" w14:textId="77777777" w:rsidR="00000000" w:rsidRDefault="00847163">
            <w:pPr>
              <w:pStyle w:val="a3"/>
              <w:spacing w:before="0" w:beforeAutospacing="0" w:after="0" w:afterAutospacing="0"/>
              <w:rPr>
                <w:sz w:val="20"/>
                <w:szCs w:val="20"/>
              </w:rPr>
            </w:pPr>
            <w:r>
              <w:rPr>
                <w:sz w:val="20"/>
                <w:szCs w:val="20"/>
              </w:rPr>
              <w:t>Adjustments:</w:t>
            </w:r>
          </w:p>
        </w:tc>
        <w:tc>
          <w:tcPr>
            <w:tcW w:w="50" w:type="pct"/>
            <w:shd w:val="clear" w:color="auto" w:fill="FFFFFF"/>
            <w:vAlign w:val="bottom"/>
            <w:hideMark/>
          </w:tcPr>
          <w:p w14:paraId="73BD792E"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6DED472" w14:textId="77777777" w:rsidR="00000000" w:rsidRDefault="00847163">
            <w:pPr>
              <w:rPr>
                <w:rFonts w:eastAsia="Times New Roman"/>
                <w:sz w:val="20"/>
                <w:szCs w:val="20"/>
              </w:rPr>
            </w:pPr>
            <w:r>
              <w:rPr>
                <w:rFonts w:eastAsia="Times New Roman"/>
                <w:sz w:val="20"/>
                <w:szCs w:val="20"/>
              </w:rPr>
              <w:t> </w:t>
            </w:r>
          </w:p>
        </w:tc>
        <w:tc>
          <w:tcPr>
            <w:tcW w:w="600" w:type="pct"/>
            <w:shd w:val="clear" w:color="auto" w:fill="FFFFFF"/>
            <w:vAlign w:val="bottom"/>
            <w:hideMark/>
          </w:tcPr>
          <w:p w14:paraId="6D88E145"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736F553"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26E424D"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AF252F2" w14:textId="77777777" w:rsidR="00000000" w:rsidRDefault="00847163">
            <w:pPr>
              <w:rPr>
                <w:rFonts w:eastAsia="Times New Roman"/>
                <w:sz w:val="20"/>
                <w:szCs w:val="20"/>
              </w:rPr>
            </w:pPr>
            <w:r>
              <w:rPr>
                <w:rFonts w:eastAsia="Times New Roman"/>
                <w:sz w:val="20"/>
                <w:szCs w:val="20"/>
              </w:rPr>
              <w:t> </w:t>
            </w:r>
          </w:p>
        </w:tc>
        <w:tc>
          <w:tcPr>
            <w:tcW w:w="600" w:type="pct"/>
            <w:shd w:val="clear" w:color="auto" w:fill="FFFFFF"/>
            <w:vAlign w:val="bottom"/>
            <w:hideMark/>
          </w:tcPr>
          <w:p w14:paraId="6D64F8FC"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5B0CB1D" w14:textId="77777777" w:rsidR="00000000" w:rsidRDefault="00847163">
            <w:pPr>
              <w:rPr>
                <w:rFonts w:eastAsia="Times New Roman"/>
                <w:sz w:val="20"/>
                <w:szCs w:val="20"/>
              </w:rPr>
            </w:pPr>
            <w:r>
              <w:rPr>
                <w:rFonts w:eastAsia="Times New Roman"/>
                <w:sz w:val="20"/>
                <w:szCs w:val="20"/>
              </w:rPr>
              <w:t> </w:t>
            </w:r>
          </w:p>
        </w:tc>
      </w:tr>
      <w:tr w:rsidR="00000000" w14:paraId="50BFE4C4" w14:textId="77777777">
        <w:trPr>
          <w:tblCellSpacing w:w="0" w:type="dxa"/>
        </w:trPr>
        <w:tc>
          <w:tcPr>
            <w:tcW w:w="3500" w:type="pct"/>
            <w:shd w:val="clear" w:color="auto" w:fill="CCEEFF"/>
            <w:vAlign w:val="bottom"/>
            <w:hideMark/>
          </w:tcPr>
          <w:p w14:paraId="4320E2C4" w14:textId="77777777" w:rsidR="00000000" w:rsidRDefault="00847163">
            <w:pPr>
              <w:pStyle w:val="a3"/>
              <w:spacing w:before="0" w:beforeAutospacing="0" w:after="0" w:afterAutospacing="0"/>
              <w:ind w:left="180"/>
              <w:rPr>
                <w:sz w:val="20"/>
                <w:szCs w:val="20"/>
              </w:rPr>
            </w:pPr>
            <w:r>
              <w:rPr>
                <w:sz w:val="20"/>
                <w:szCs w:val="20"/>
              </w:rPr>
              <w:t>Management and other fee income</w:t>
            </w:r>
          </w:p>
        </w:tc>
        <w:tc>
          <w:tcPr>
            <w:tcW w:w="50" w:type="pct"/>
            <w:shd w:val="clear" w:color="auto" w:fill="CCEEFF"/>
            <w:vAlign w:val="bottom"/>
            <w:hideMark/>
          </w:tcPr>
          <w:p w14:paraId="5FA8633A"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9F382BB" w14:textId="77777777" w:rsidR="00000000" w:rsidRDefault="0084716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6DEB37E4" w14:textId="77777777" w:rsidR="00000000" w:rsidRDefault="00847163">
            <w:pPr>
              <w:jc w:val="right"/>
              <w:rPr>
                <w:rFonts w:eastAsia="Times New Roman"/>
                <w:sz w:val="20"/>
                <w:szCs w:val="20"/>
              </w:rPr>
            </w:pPr>
            <w:r>
              <w:rPr>
                <w:rFonts w:eastAsia="Times New Roman"/>
                <w:sz w:val="20"/>
                <w:szCs w:val="20"/>
              </w:rPr>
              <w:t>(3,740</w:t>
            </w:r>
          </w:p>
        </w:tc>
        <w:tc>
          <w:tcPr>
            <w:tcW w:w="50" w:type="pct"/>
            <w:shd w:val="clear" w:color="auto" w:fill="CCEEFF"/>
            <w:vAlign w:val="bottom"/>
            <w:hideMark/>
          </w:tcPr>
          <w:p w14:paraId="73CC1E9C" w14:textId="77777777" w:rsidR="00000000" w:rsidRDefault="00847163">
            <w:pPr>
              <w:rPr>
                <w:rFonts w:eastAsia="Times New Roman"/>
                <w:sz w:val="20"/>
                <w:szCs w:val="20"/>
              </w:rPr>
            </w:pPr>
            <w:r>
              <w:rPr>
                <w:rFonts w:eastAsia="Times New Roman"/>
                <w:sz w:val="20"/>
                <w:szCs w:val="20"/>
              </w:rPr>
              <w:t>)</w:t>
            </w:r>
          </w:p>
        </w:tc>
        <w:tc>
          <w:tcPr>
            <w:tcW w:w="50" w:type="pct"/>
            <w:shd w:val="clear" w:color="auto" w:fill="CCEEFF"/>
            <w:vAlign w:val="bottom"/>
            <w:hideMark/>
          </w:tcPr>
          <w:p w14:paraId="78BF3F61"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BEF5E0E" w14:textId="77777777" w:rsidR="00000000" w:rsidRDefault="0084716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08F815A2" w14:textId="77777777" w:rsidR="00000000" w:rsidRDefault="00847163">
            <w:pPr>
              <w:jc w:val="right"/>
              <w:rPr>
                <w:rFonts w:eastAsia="Times New Roman"/>
                <w:sz w:val="20"/>
                <w:szCs w:val="20"/>
              </w:rPr>
            </w:pPr>
            <w:r>
              <w:rPr>
                <w:rFonts w:eastAsia="Times New Roman"/>
                <w:sz w:val="20"/>
                <w:szCs w:val="20"/>
              </w:rPr>
              <w:t>(4,376</w:t>
            </w:r>
          </w:p>
        </w:tc>
        <w:tc>
          <w:tcPr>
            <w:tcW w:w="50" w:type="pct"/>
            <w:shd w:val="clear" w:color="auto" w:fill="CCEEFF"/>
            <w:vAlign w:val="bottom"/>
            <w:hideMark/>
          </w:tcPr>
          <w:p w14:paraId="30629376" w14:textId="77777777" w:rsidR="00000000" w:rsidRDefault="00847163">
            <w:pPr>
              <w:rPr>
                <w:rFonts w:eastAsia="Times New Roman"/>
                <w:sz w:val="20"/>
                <w:szCs w:val="20"/>
              </w:rPr>
            </w:pPr>
            <w:r>
              <w:rPr>
                <w:rFonts w:eastAsia="Times New Roman"/>
                <w:sz w:val="20"/>
                <w:szCs w:val="20"/>
              </w:rPr>
              <w:t>)</w:t>
            </w:r>
          </w:p>
        </w:tc>
      </w:tr>
      <w:tr w:rsidR="00000000" w14:paraId="4D391541" w14:textId="77777777">
        <w:trPr>
          <w:tblCellSpacing w:w="0" w:type="dxa"/>
        </w:trPr>
        <w:tc>
          <w:tcPr>
            <w:tcW w:w="3500" w:type="pct"/>
            <w:shd w:val="clear" w:color="auto" w:fill="FFFFFF"/>
            <w:vAlign w:val="bottom"/>
            <w:hideMark/>
          </w:tcPr>
          <w:p w14:paraId="6CB8174E" w14:textId="77777777" w:rsidR="00000000" w:rsidRDefault="00847163">
            <w:pPr>
              <w:pStyle w:val="a3"/>
              <w:spacing w:before="0" w:beforeAutospacing="0" w:after="0" w:afterAutospacing="0"/>
              <w:ind w:left="180"/>
              <w:rPr>
                <w:sz w:val="20"/>
                <w:szCs w:val="20"/>
              </w:rPr>
            </w:pPr>
            <w:r>
              <w:rPr>
                <w:sz w:val="20"/>
                <w:szCs w:val="20"/>
              </w:rPr>
              <w:t>General and administrative</w:t>
            </w:r>
          </w:p>
        </w:tc>
        <w:tc>
          <w:tcPr>
            <w:tcW w:w="50" w:type="pct"/>
            <w:shd w:val="clear" w:color="auto" w:fill="FFFFFF"/>
            <w:vAlign w:val="bottom"/>
            <w:hideMark/>
          </w:tcPr>
          <w:p w14:paraId="6D62FEF3"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9DB949C" w14:textId="77777777" w:rsidR="00000000" w:rsidRDefault="00847163">
            <w:pPr>
              <w:rPr>
                <w:rFonts w:eastAsia="Times New Roman"/>
                <w:sz w:val="20"/>
                <w:szCs w:val="20"/>
              </w:rPr>
            </w:pPr>
            <w:r>
              <w:rPr>
                <w:rFonts w:eastAsia="Times New Roman"/>
                <w:sz w:val="20"/>
                <w:szCs w:val="20"/>
              </w:rPr>
              <w:t> </w:t>
            </w:r>
          </w:p>
        </w:tc>
        <w:tc>
          <w:tcPr>
            <w:tcW w:w="600" w:type="pct"/>
            <w:shd w:val="clear" w:color="auto" w:fill="FFFFFF"/>
            <w:vAlign w:val="bottom"/>
            <w:hideMark/>
          </w:tcPr>
          <w:p w14:paraId="47E0E08A" w14:textId="77777777" w:rsidR="00000000" w:rsidRDefault="00847163">
            <w:pPr>
              <w:jc w:val="right"/>
              <w:rPr>
                <w:rFonts w:eastAsia="Times New Roman"/>
                <w:sz w:val="20"/>
                <w:szCs w:val="20"/>
              </w:rPr>
            </w:pPr>
            <w:r>
              <w:rPr>
                <w:rFonts w:eastAsia="Times New Roman"/>
                <w:sz w:val="20"/>
                <w:szCs w:val="20"/>
              </w:rPr>
              <w:t>21,017</w:t>
            </w:r>
          </w:p>
        </w:tc>
        <w:tc>
          <w:tcPr>
            <w:tcW w:w="50" w:type="pct"/>
            <w:shd w:val="clear" w:color="auto" w:fill="FFFFFF"/>
            <w:vAlign w:val="bottom"/>
            <w:hideMark/>
          </w:tcPr>
          <w:p w14:paraId="1912ECFF"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61AA478"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7243B0D" w14:textId="77777777" w:rsidR="00000000" w:rsidRDefault="00847163">
            <w:pPr>
              <w:rPr>
                <w:rFonts w:eastAsia="Times New Roman"/>
                <w:sz w:val="20"/>
                <w:szCs w:val="20"/>
              </w:rPr>
            </w:pPr>
            <w:r>
              <w:rPr>
                <w:rFonts w:eastAsia="Times New Roman"/>
                <w:sz w:val="20"/>
                <w:szCs w:val="20"/>
              </w:rPr>
              <w:t> </w:t>
            </w:r>
          </w:p>
        </w:tc>
        <w:tc>
          <w:tcPr>
            <w:tcW w:w="600" w:type="pct"/>
            <w:shd w:val="clear" w:color="auto" w:fill="FFFFFF"/>
            <w:vAlign w:val="bottom"/>
            <w:hideMark/>
          </w:tcPr>
          <w:p w14:paraId="53FA490C" w14:textId="77777777" w:rsidR="00000000" w:rsidRDefault="00847163">
            <w:pPr>
              <w:jc w:val="right"/>
              <w:rPr>
                <w:rFonts w:eastAsia="Times New Roman"/>
                <w:sz w:val="20"/>
                <w:szCs w:val="20"/>
              </w:rPr>
            </w:pPr>
            <w:r>
              <w:rPr>
                <w:rFonts w:eastAsia="Times New Roman"/>
                <w:sz w:val="20"/>
                <w:szCs w:val="20"/>
              </w:rPr>
              <w:t>25,831</w:t>
            </w:r>
          </w:p>
        </w:tc>
        <w:tc>
          <w:tcPr>
            <w:tcW w:w="50" w:type="pct"/>
            <w:shd w:val="clear" w:color="auto" w:fill="FFFFFF"/>
            <w:vAlign w:val="bottom"/>
            <w:hideMark/>
          </w:tcPr>
          <w:p w14:paraId="43D13DB5" w14:textId="77777777" w:rsidR="00000000" w:rsidRDefault="00847163">
            <w:pPr>
              <w:rPr>
                <w:rFonts w:eastAsia="Times New Roman"/>
                <w:sz w:val="20"/>
                <w:szCs w:val="20"/>
              </w:rPr>
            </w:pPr>
            <w:r>
              <w:rPr>
                <w:rFonts w:eastAsia="Times New Roman"/>
                <w:sz w:val="20"/>
                <w:szCs w:val="20"/>
              </w:rPr>
              <w:t> </w:t>
            </w:r>
          </w:p>
        </w:tc>
      </w:tr>
      <w:tr w:rsidR="00000000" w14:paraId="3574E017" w14:textId="77777777">
        <w:trPr>
          <w:tblCellSpacing w:w="0" w:type="dxa"/>
        </w:trPr>
        <w:tc>
          <w:tcPr>
            <w:tcW w:w="3500" w:type="pct"/>
            <w:shd w:val="clear" w:color="auto" w:fill="CCEEFF"/>
            <w:vAlign w:val="bottom"/>
            <w:hideMark/>
          </w:tcPr>
          <w:p w14:paraId="21F149EA" w14:textId="77777777" w:rsidR="00000000" w:rsidRDefault="00847163">
            <w:pPr>
              <w:pStyle w:val="a3"/>
              <w:spacing w:before="0" w:beforeAutospacing="0" w:after="0" w:afterAutospacing="0"/>
              <w:ind w:left="180"/>
              <w:rPr>
                <w:sz w:val="20"/>
                <w:szCs w:val="20"/>
              </w:rPr>
            </w:pPr>
            <w:r>
              <w:rPr>
                <w:sz w:val="20"/>
                <w:szCs w:val="20"/>
              </w:rPr>
              <w:t>Impairment charges</w:t>
            </w:r>
          </w:p>
        </w:tc>
        <w:tc>
          <w:tcPr>
            <w:tcW w:w="50" w:type="pct"/>
            <w:shd w:val="clear" w:color="auto" w:fill="CCEEFF"/>
            <w:vAlign w:val="bottom"/>
            <w:hideMark/>
          </w:tcPr>
          <w:p w14:paraId="40AD4DAE"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389E47A" w14:textId="77777777" w:rsidR="00000000" w:rsidRDefault="0084716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6C0EF51C" w14:textId="77777777" w:rsidR="00000000" w:rsidRDefault="00847163">
            <w:pPr>
              <w:jc w:val="right"/>
              <w:rPr>
                <w:rFonts w:eastAsia="Times New Roman"/>
                <w:sz w:val="20"/>
                <w:szCs w:val="20"/>
              </w:rPr>
            </w:pPr>
            <w:r>
              <w:rPr>
                <w:rFonts w:eastAsia="Times New Roman"/>
                <w:sz w:val="20"/>
                <w:szCs w:val="20"/>
              </w:rPr>
              <w:t>2,974</w:t>
            </w:r>
          </w:p>
        </w:tc>
        <w:tc>
          <w:tcPr>
            <w:tcW w:w="50" w:type="pct"/>
            <w:shd w:val="clear" w:color="auto" w:fill="CCEEFF"/>
            <w:vAlign w:val="bottom"/>
            <w:hideMark/>
          </w:tcPr>
          <w:p w14:paraId="14DE1661"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70D4D99"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466AF90" w14:textId="77777777" w:rsidR="00000000" w:rsidRDefault="0084716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3269FE01" w14:textId="77777777" w:rsidR="00000000" w:rsidRDefault="00847163">
            <w:pPr>
              <w:jc w:val="right"/>
              <w:rPr>
                <w:rFonts w:eastAsia="Times New Roman"/>
                <w:sz w:val="20"/>
                <w:szCs w:val="20"/>
              </w:rPr>
            </w:pPr>
            <w:r>
              <w:rPr>
                <w:rFonts w:eastAsia="Times New Roman"/>
                <w:sz w:val="20"/>
                <w:szCs w:val="20"/>
              </w:rPr>
              <w:t>4,175</w:t>
            </w:r>
          </w:p>
        </w:tc>
        <w:tc>
          <w:tcPr>
            <w:tcW w:w="50" w:type="pct"/>
            <w:shd w:val="clear" w:color="auto" w:fill="CCEEFF"/>
            <w:vAlign w:val="bottom"/>
            <w:hideMark/>
          </w:tcPr>
          <w:p w14:paraId="27424C46" w14:textId="77777777" w:rsidR="00000000" w:rsidRDefault="00847163">
            <w:pPr>
              <w:rPr>
                <w:rFonts w:eastAsia="Times New Roman"/>
                <w:sz w:val="20"/>
                <w:szCs w:val="20"/>
              </w:rPr>
            </w:pPr>
            <w:r>
              <w:rPr>
                <w:rFonts w:eastAsia="Times New Roman"/>
                <w:sz w:val="20"/>
                <w:szCs w:val="20"/>
              </w:rPr>
              <w:t> </w:t>
            </w:r>
          </w:p>
        </w:tc>
      </w:tr>
      <w:tr w:rsidR="00000000" w14:paraId="5D276F6F" w14:textId="77777777">
        <w:trPr>
          <w:tblCellSpacing w:w="0" w:type="dxa"/>
        </w:trPr>
        <w:tc>
          <w:tcPr>
            <w:tcW w:w="3500" w:type="pct"/>
            <w:shd w:val="clear" w:color="auto" w:fill="FFFFFF"/>
            <w:vAlign w:val="bottom"/>
            <w:hideMark/>
          </w:tcPr>
          <w:p w14:paraId="5FC590D8" w14:textId="77777777" w:rsidR="00000000" w:rsidRDefault="00847163">
            <w:pPr>
              <w:pStyle w:val="a3"/>
              <w:spacing w:before="0" w:beforeAutospacing="0" w:after="0" w:afterAutospacing="0"/>
              <w:ind w:left="180"/>
              <w:rPr>
                <w:sz w:val="20"/>
                <w:szCs w:val="20"/>
              </w:rPr>
            </w:pPr>
            <w:r>
              <w:rPr>
                <w:sz w:val="20"/>
                <w:szCs w:val="20"/>
              </w:rPr>
              <w:t>Depreciation and amortization</w:t>
            </w:r>
          </w:p>
        </w:tc>
        <w:tc>
          <w:tcPr>
            <w:tcW w:w="50" w:type="pct"/>
            <w:shd w:val="clear" w:color="auto" w:fill="FFFFFF"/>
            <w:vAlign w:val="bottom"/>
            <w:hideMark/>
          </w:tcPr>
          <w:p w14:paraId="39529B0A"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112B00A" w14:textId="77777777" w:rsidR="00000000" w:rsidRDefault="00847163">
            <w:pPr>
              <w:rPr>
                <w:rFonts w:eastAsia="Times New Roman"/>
                <w:sz w:val="20"/>
                <w:szCs w:val="20"/>
              </w:rPr>
            </w:pPr>
            <w:r>
              <w:rPr>
                <w:rFonts w:eastAsia="Times New Roman"/>
                <w:sz w:val="20"/>
                <w:szCs w:val="20"/>
              </w:rPr>
              <w:t> </w:t>
            </w:r>
          </w:p>
        </w:tc>
        <w:tc>
          <w:tcPr>
            <w:tcW w:w="600" w:type="pct"/>
            <w:shd w:val="clear" w:color="auto" w:fill="FFFFFF"/>
            <w:vAlign w:val="bottom"/>
            <w:hideMark/>
          </w:tcPr>
          <w:p w14:paraId="34F84E91" w14:textId="77777777" w:rsidR="00000000" w:rsidRDefault="00847163">
            <w:pPr>
              <w:jc w:val="right"/>
              <w:rPr>
                <w:rFonts w:eastAsia="Times New Roman"/>
                <w:sz w:val="20"/>
                <w:szCs w:val="20"/>
              </w:rPr>
            </w:pPr>
            <w:r>
              <w:rPr>
                <w:rFonts w:eastAsia="Times New Roman"/>
                <w:sz w:val="20"/>
                <w:szCs w:val="20"/>
              </w:rPr>
              <w:t>69,397</w:t>
            </w:r>
          </w:p>
        </w:tc>
        <w:tc>
          <w:tcPr>
            <w:tcW w:w="50" w:type="pct"/>
            <w:shd w:val="clear" w:color="auto" w:fill="FFFFFF"/>
            <w:vAlign w:val="bottom"/>
            <w:hideMark/>
          </w:tcPr>
          <w:p w14:paraId="34EAEFD6"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3FFB272"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36D80C0" w14:textId="77777777" w:rsidR="00000000" w:rsidRDefault="00847163">
            <w:pPr>
              <w:rPr>
                <w:rFonts w:eastAsia="Times New Roman"/>
                <w:sz w:val="20"/>
                <w:szCs w:val="20"/>
              </w:rPr>
            </w:pPr>
            <w:r>
              <w:rPr>
                <w:rFonts w:eastAsia="Times New Roman"/>
                <w:sz w:val="20"/>
                <w:szCs w:val="20"/>
              </w:rPr>
              <w:t> </w:t>
            </w:r>
          </w:p>
        </w:tc>
        <w:tc>
          <w:tcPr>
            <w:tcW w:w="600" w:type="pct"/>
            <w:shd w:val="clear" w:color="auto" w:fill="FFFFFF"/>
            <w:vAlign w:val="bottom"/>
            <w:hideMark/>
          </w:tcPr>
          <w:p w14:paraId="4AF12E93" w14:textId="77777777" w:rsidR="00000000" w:rsidRDefault="00847163">
            <w:pPr>
              <w:jc w:val="right"/>
              <w:rPr>
                <w:rFonts w:eastAsia="Times New Roman"/>
                <w:sz w:val="20"/>
                <w:szCs w:val="20"/>
              </w:rPr>
            </w:pPr>
            <w:r>
              <w:rPr>
                <w:rFonts w:eastAsia="Times New Roman"/>
                <w:sz w:val="20"/>
                <w:szCs w:val="20"/>
              </w:rPr>
              <w:t>71,561</w:t>
            </w:r>
          </w:p>
        </w:tc>
        <w:tc>
          <w:tcPr>
            <w:tcW w:w="50" w:type="pct"/>
            <w:shd w:val="clear" w:color="auto" w:fill="FFFFFF"/>
            <w:vAlign w:val="bottom"/>
            <w:hideMark/>
          </w:tcPr>
          <w:p w14:paraId="21949BBD" w14:textId="77777777" w:rsidR="00000000" w:rsidRDefault="00847163">
            <w:pPr>
              <w:rPr>
                <w:rFonts w:eastAsia="Times New Roman"/>
                <w:sz w:val="20"/>
                <w:szCs w:val="20"/>
              </w:rPr>
            </w:pPr>
            <w:r>
              <w:rPr>
                <w:rFonts w:eastAsia="Times New Roman"/>
                <w:sz w:val="20"/>
                <w:szCs w:val="20"/>
              </w:rPr>
              <w:t> </w:t>
            </w:r>
          </w:p>
        </w:tc>
      </w:tr>
      <w:tr w:rsidR="00000000" w14:paraId="773574C7" w14:textId="77777777">
        <w:trPr>
          <w:tblCellSpacing w:w="0" w:type="dxa"/>
        </w:trPr>
        <w:tc>
          <w:tcPr>
            <w:tcW w:w="3500" w:type="pct"/>
            <w:shd w:val="clear" w:color="auto" w:fill="CCEEFF"/>
            <w:vAlign w:val="bottom"/>
            <w:hideMark/>
          </w:tcPr>
          <w:p w14:paraId="4CEAE3FE" w14:textId="77777777" w:rsidR="00000000" w:rsidRDefault="00847163">
            <w:pPr>
              <w:pStyle w:val="a3"/>
              <w:spacing w:before="0" w:beforeAutospacing="0" w:after="0" w:afterAutospacing="0"/>
              <w:ind w:left="180"/>
              <w:rPr>
                <w:sz w:val="20"/>
                <w:szCs w:val="20"/>
              </w:rPr>
            </w:pPr>
            <w:r>
              <w:rPr>
                <w:sz w:val="20"/>
                <w:szCs w:val="20"/>
              </w:rPr>
              <w:t>Gain on sale of properties</w:t>
            </w:r>
          </w:p>
        </w:tc>
        <w:tc>
          <w:tcPr>
            <w:tcW w:w="50" w:type="pct"/>
            <w:shd w:val="clear" w:color="auto" w:fill="CCEEFF"/>
            <w:vAlign w:val="bottom"/>
            <w:hideMark/>
          </w:tcPr>
          <w:p w14:paraId="6A396BFA"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7F03475" w14:textId="77777777" w:rsidR="00000000" w:rsidRDefault="0084716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15192FCB" w14:textId="77777777" w:rsidR="00000000" w:rsidRDefault="00847163">
            <w:pPr>
              <w:jc w:val="right"/>
              <w:rPr>
                <w:rFonts w:eastAsia="Times New Roman"/>
                <w:sz w:val="20"/>
                <w:szCs w:val="20"/>
              </w:rPr>
            </w:pPr>
            <w:r>
              <w:rPr>
                <w:rFonts w:eastAsia="Times New Roman"/>
                <w:sz w:val="20"/>
                <w:szCs w:val="20"/>
              </w:rPr>
              <w:t>(3,847</w:t>
            </w:r>
          </w:p>
        </w:tc>
        <w:tc>
          <w:tcPr>
            <w:tcW w:w="50" w:type="pct"/>
            <w:shd w:val="clear" w:color="auto" w:fill="CCEEFF"/>
            <w:vAlign w:val="bottom"/>
            <w:hideMark/>
          </w:tcPr>
          <w:p w14:paraId="024B3692" w14:textId="77777777" w:rsidR="00000000" w:rsidRDefault="00847163">
            <w:pPr>
              <w:rPr>
                <w:rFonts w:eastAsia="Times New Roman"/>
                <w:sz w:val="20"/>
                <w:szCs w:val="20"/>
              </w:rPr>
            </w:pPr>
            <w:r>
              <w:rPr>
                <w:rFonts w:eastAsia="Times New Roman"/>
                <w:sz w:val="20"/>
                <w:szCs w:val="20"/>
              </w:rPr>
              <w:t>)</w:t>
            </w:r>
          </w:p>
        </w:tc>
        <w:tc>
          <w:tcPr>
            <w:tcW w:w="50" w:type="pct"/>
            <w:shd w:val="clear" w:color="auto" w:fill="CCEEFF"/>
            <w:vAlign w:val="bottom"/>
            <w:hideMark/>
          </w:tcPr>
          <w:p w14:paraId="1A793EE1"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86E0E4A" w14:textId="77777777" w:rsidR="00000000" w:rsidRDefault="0084716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71270179" w14:textId="77777777" w:rsidR="00000000" w:rsidRDefault="00847163">
            <w:pPr>
              <w:jc w:val="right"/>
              <w:rPr>
                <w:rFonts w:eastAsia="Times New Roman"/>
                <w:sz w:val="20"/>
                <w:szCs w:val="20"/>
              </w:rPr>
            </w:pPr>
            <w:r>
              <w:rPr>
                <w:rFonts w:eastAsia="Times New Roman"/>
                <w:sz w:val="20"/>
                <w:szCs w:val="20"/>
              </w:rPr>
              <w:t>(23,595</w:t>
            </w:r>
          </w:p>
        </w:tc>
        <w:tc>
          <w:tcPr>
            <w:tcW w:w="50" w:type="pct"/>
            <w:shd w:val="clear" w:color="auto" w:fill="CCEEFF"/>
            <w:vAlign w:val="bottom"/>
            <w:hideMark/>
          </w:tcPr>
          <w:p w14:paraId="007081F0" w14:textId="77777777" w:rsidR="00000000" w:rsidRDefault="00847163">
            <w:pPr>
              <w:rPr>
                <w:rFonts w:eastAsia="Times New Roman"/>
                <w:sz w:val="20"/>
                <w:szCs w:val="20"/>
              </w:rPr>
            </w:pPr>
            <w:r>
              <w:rPr>
                <w:rFonts w:eastAsia="Times New Roman"/>
                <w:sz w:val="20"/>
                <w:szCs w:val="20"/>
              </w:rPr>
              <w:t>)</w:t>
            </w:r>
          </w:p>
        </w:tc>
      </w:tr>
      <w:tr w:rsidR="00000000" w14:paraId="2BCE6D57" w14:textId="77777777">
        <w:trPr>
          <w:tblCellSpacing w:w="0" w:type="dxa"/>
        </w:trPr>
        <w:tc>
          <w:tcPr>
            <w:tcW w:w="3500" w:type="pct"/>
            <w:shd w:val="clear" w:color="auto" w:fill="FFFFFF"/>
            <w:vAlign w:val="bottom"/>
            <w:hideMark/>
          </w:tcPr>
          <w:p w14:paraId="58CDF705" w14:textId="77777777" w:rsidR="00000000" w:rsidRDefault="00847163">
            <w:pPr>
              <w:pStyle w:val="a3"/>
              <w:spacing w:before="0" w:beforeAutospacing="0" w:after="0" w:afterAutospacing="0"/>
              <w:ind w:left="180"/>
              <w:rPr>
                <w:sz w:val="20"/>
                <w:szCs w:val="20"/>
              </w:rPr>
            </w:pPr>
            <w:r>
              <w:rPr>
                <w:sz w:val="20"/>
                <w:szCs w:val="20"/>
              </w:rPr>
              <w:t>Interest and other expense, net</w:t>
            </w:r>
          </w:p>
        </w:tc>
        <w:tc>
          <w:tcPr>
            <w:tcW w:w="50" w:type="pct"/>
            <w:shd w:val="clear" w:color="auto" w:fill="FFFFFF"/>
            <w:vAlign w:val="bottom"/>
            <w:hideMark/>
          </w:tcPr>
          <w:p w14:paraId="708A6271"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7EF6AE9" w14:textId="77777777" w:rsidR="00000000" w:rsidRDefault="00847163">
            <w:pPr>
              <w:rPr>
                <w:rFonts w:eastAsia="Times New Roman"/>
                <w:sz w:val="20"/>
                <w:szCs w:val="20"/>
              </w:rPr>
            </w:pPr>
            <w:r>
              <w:rPr>
                <w:rFonts w:eastAsia="Times New Roman"/>
                <w:sz w:val="20"/>
                <w:szCs w:val="20"/>
              </w:rPr>
              <w:t> </w:t>
            </w:r>
          </w:p>
        </w:tc>
        <w:tc>
          <w:tcPr>
            <w:tcW w:w="600" w:type="pct"/>
            <w:shd w:val="clear" w:color="auto" w:fill="FFFFFF"/>
            <w:vAlign w:val="bottom"/>
            <w:hideMark/>
          </w:tcPr>
          <w:p w14:paraId="06E528D1" w14:textId="77777777" w:rsidR="00000000" w:rsidRDefault="00847163">
            <w:pPr>
              <w:jc w:val="right"/>
              <w:rPr>
                <w:rFonts w:eastAsia="Times New Roman"/>
                <w:sz w:val="20"/>
                <w:szCs w:val="20"/>
              </w:rPr>
            </w:pPr>
            <w:r>
              <w:rPr>
                <w:rFonts w:eastAsia="Times New Roman"/>
                <w:sz w:val="20"/>
                <w:szCs w:val="20"/>
              </w:rPr>
              <w:t>49,482</w:t>
            </w:r>
          </w:p>
        </w:tc>
        <w:tc>
          <w:tcPr>
            <w:tcW w:w="50" w:type="pct"/>
            <w:shd w:val="clear" w:color="auto" w:fill="FFFFFF"/>
            <w:vAlign w:val="bottom"/>
            <w:hideMark/>
          </w:tcPr>
          <w:p w14:paraId="205B87EF"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27AA387"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5E06BB9" w14:textId="77777777" w:rsidR="00000000" w:rsidRDefault="00847163">
            <w:pPr>
              <w:rPr>
                <w:rFonts w:eastAsia="Times New Roman"/>
                <w:sz w:val="20"/>
                <w:szCs w:val="20"/>
              </w:rPr>
            </w:pPr>
            <w:r>
              <w:rPr>
                <w:rFonts w:eastAsia="Times New Roman"/>
                <w:sz w:val="20"/>
                <w:szCs w:val="20"/>
              </w:rPr>
              <w:t> </w:t>
            </w:r>
          </w:p>
        </w:tc>
        <w:tc>
          <w:tcPr>
            <w:tcW w:w="600" w:type="pct"/>
            <w:shd w:val="clear" w:color="auto" w:fill="FFFFFF"/>
            <w:vAlign w:val="bottom"/>
            <w:hideMark/>
          </w:tcPr>
          <w:p w14:paraId="6D9197CF" w14:textId="77777777" w:rsidR="00000000" w:rsidRDefault="00847163">
            <w:pPr>
              <w:jc w:val="right"/>
              <w:rPr>
                <w:rFonts w:eastAsia="Times New Roman"/>
                <w:sz w:val="20"/>
                <w:szCs w:val="20"/>
              </w:rPr>
            </w:pPr>
            <w:r>
              <w:rPr>
                <w:rFonts w:eastAsia="Times New Roman"/>
                <w:sz w:val="20"/>
                <w:szCs w:val="20"/>
              </w:rPr>
              <w:t>41,773</w:t>
            </w:r>
          </w:p>
        </w:tc>
        <w:tc>
          <w:tcPr>
            <w:tcW w:w="50" w:type="pct"/>
            <w:shd w:val="clear" w:color="auto" w:fill="FFFFFF"/>
            <w:vAlign w:val="bottom"/>
            <w:hideMark/>
          </w:tcPr>
          <w:p w14:paraId="0579C6DB" w14:textId="77777777" w:rsidR="00000000" w:rsidRDefault="00847163">
            <w:pPr>
              <w:rPr>
                <w:rFonts w:eastAsia="Times New Roman"/>
                <w:sz w:val="20"/>
                <w:szCs w:val="20"/>
              </w:rPr>
            </w:pPr>
            <w:r>
              <w:rPr>
                <w:rFonts w:eastAsia="Times New Roman"/>
                <w:sz w:val="20"/>
                <w:szCs w:val="20"/>
              </w:rPr>
              <w:t> </w:t>
            </w:r>
          </w:p>
        </w:tc>
      </w:tr>
      <w:tr w:rsidR="00000000" w14:paraId="230C947F" w14:textId="77777777">
        <w:trPr>
          <w:tblCellSpacing w:w="0" w:type="dxa"/>
        </w:trPr>
        <w:tc>
          <w:tcPr>
            <w:tcW w:w="3500" w:type="pct"/>
            <w:shd w:val="clear" w:color="auto" w:fill="CCEEFF"/>
            <w:vAlign w:val="bottom"/>
            <w:hideMark/>
          </w:tcPr>
          <w:p w14:paraId="29457BC6" w14:textId="77777777" w:rsidR="00000000" w:rsidRDefault="00847163">
            <w:pPr>
              <w:pStyle w:val="a3"/>
              <w:spacing w:before="0" w:beforeAutospacing="0" w:after="0" w:afterAutospacing="0"/>
              <w:ind w:left="180"/>
              <w:rPr>
                <w:sz w:val="20"/>
                <w:szCs w:val="20"/>
              </w:rPr>
            </w:pPr>
            <w:r>
              <w:rPr>
                <w:sz w:val="20"/>
                <w:szCs w:val="20"/>
              </w:rPr>
              <w:t>Provision for income taxes, net</w:t>
            </w:r>
          </w:p>
        </w:tc>
        <w:tc>
          <w:tcPr>
            <w:tcW w:w="50" w:type="pct"/>
            <w:shd w:val="clear" w:color="auto" w:fill="CCEEFF"/>
            <w:vAlign w:val="bottom"/>
            <w:hideMark/>
          </w:tcPr>
          <w:p w14:paraId="69AA143F"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CD7B35E" w14:textId="77777777" w:rsidR="00000000" w:rsidRDefault="0084716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3A08E801" w14:textId="77777777" w:rsidR="00000000" w:rsidRDefault="00847163">
            <w:pPr>
              <w:jc w:val="right"/>
              <w:rPr>
                <w:rFonts w:eastAsia="Times New Roman"/>
                <w:sz w:val="20"/>
                <w:szCs w:val="20"/>
              </w:rPr>
            </w:pPr>
            <w:r>
              <w:rPr>
                <w:rFonts w:eastAsia="Times New Roman"/>
                <w:sz w:val="20"/>
                <w:szCs w:val="20"/>
              </w:rPr>
              <w:t>43</w:t>
            </w:r>
          </w:p>
        </w:tc>
        <w:tc>
          <w:tcPr>
            <w:tcW w:w="50" w:type="pct"/>
            <w:shd w:val="clear" w:color="auto" w:fill="CCEEFF"/>
            <w:vAlign w:val="bottom"/>
            <w:hideMark/>
          </w:tcPr>
          <w:p w14:paraId="02B93374"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5F78863"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4380DFD" w14:textId="77777777" w:rsidR="00000000" w:rsidRDefault="0084716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057D9375" w14:textId="77777777" w:rsidR="00000000" w:rsidRDefault="00847163">
            <w:pPr>
              <w:jc w:val="right"/>
              <w:rPr>
                <w:rFonts w:eastAsia="Times New Roman"/>
                <w:sz w:val="20"/>
                <w:szCs w:val="20"/>
              </w:rPr>
            </w:pPr>
            <w:r>
              <w:rPr>
                <w:rFonts w:eastAsia="Times New Roman"/>
                <w:sz w:val="20"/>
                <w:szCs w:val="20"/>
              </w:rPr>
              <w:t>630</w:t>
            </w:r>
          </w:p>
        </w:tc>
        <w:tc>
          <w:tcPr>
            <w:tcW w:w="50" w:type="pct"/>
            <w:shd w:val="clear" w:color="auto" w:fill="CCEEFF"/>
            <w:vAlign w:val="bottom"/>
            <w:hideMark/>
          </w:tcPr>
          <w:p w14:paraId="3D8E9C3D" w14:textId="77777777" w:rsidR="00000000" w:rsidRDefault="00847163">
            <w:pPr>
              <w:rPr>
                <w:rFonts w:eastAsia="Times New Roman"/>
                <w:sz w:val="20"/>
                <w:szCs w:val="20"/>
              </w:rPr>
            </w:pPr>
            <w:r>
              <w:rPr>
                <w:rFonts w:eastAsia="Times New Roman"/>
                <w:sz w:val="20"/>
                <w:szCs w:val="20"/>
              </w:rPr>
              <w:t> </w:t>
            </w:r>
          </w:p>
        </w:tc>
      </w:tr>
      <w:tr w:rsidR="00000000" w14:paraId="46409C4C" w14:textId="77777777">
        <w:trPr>
          <w:tblCellSpacing w:w="0" w:type="dxa"/>
        </w:trPr>
        <w:tc>
          <w:tcPr>
            <w:tcW w:w="3500" w:type="pct"/>
            <w:shd w:val="clear" w:color="auto" w:fill="FFFFFF"/>
            <w:vAlign w:val="bottom"/>
            <w:hideMark/>
          </w:tcPr>
          <w:p w14:paraId="34A998CA" w14:textId="77777777" w:rsidR="00000000" w:rsidRDefault="00847163">
            <w:pPr>
              <w:pStyle w:val="a3"/>
              <w:spacing w:before="0" w:beforeAutospacing="0" w:after="0" w:afterAutospacing="0"/>
              <w:ind w:left="180"/>
              <w:rPr>
                <w:sz w:val="20"/>
                <w:szCs w:val="20"/>
              </w:rPr>
            </w:pPr>
            <w:r>
              <w:rPr>
                <w:sz w:val="20"/>
                <w:szCs w:val="20"/>
              </w:rPr>
              <w:t>Equity in income of other real estate investments, net</w:t>
            </w:r>
          </w:p>
        </w:tc>
        <w:tc>
          <w:tcPr>
            <w:tcW w:w="50" w:type="pct"/>
            <w:shd w:val="clear" w:color="auto" w:fill="FFFFFF"/>
            <w:vAlign w:val="bottom"/>
            <w:hideMark/>
          </w:tcPr>
          <w:p w14:paraId="69575040"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5AEA368" w14:textId="77777777" w:rsidR="00000000" w:rsidRDefault="00847163">
            <w:pPr>
              <w:rPr>
                <w:rFonts w:eastAsia="Times New Roman"/>
                <w:sz w:val="20"/>
                <w:szCs w:val="20"/>
              </w:rPr>
            </w:pPr>
            <w:r>
              <w:rPr>
                <w:rFonts w:eastAsia="Times New Roman"/>
                <w:sz w:val="20"/>
                <w:szCs w:val="20"/>
              </w:rPr>
              <w:t> </w:t>
            </w:r>
          </w:p>
        </w:tc>
        <w:tc>
          <w:tcPr>
            <w:tcW w:w="600" w:type="pct"/>
            <w:shd w:val="clear" w:color="auto" w:fill="FFFFFF"/>
            <w:vAlign w:val="bottom"/>
            <w:hideMark/>
          </w:tcPr>
          <w:p w14:paraId="27BFA5CC" w14:textId="77777777" w:rsidR="00000000" w:rsidRDefault="00847163">
            <w:pPr>
              <w:jc w:val="right"/>
              <w:rPr>
                <w:rFonts w:eastAsia="Times New Roman"/>
                <w:sz w:val="20"/>
                <w:szCs w:val="20"/>
              </w:rPr>
            </w:pPr>
            <w:r>
              <w:rPr>
                <w:rFonts w:eastAsia="Times New Roman"/>
                <w:sz w:val="20"/>
                <w:szCs w:val="20"/>
              </w:rPr>
              <w:t>(10,958</w:t>
            </w:r>
          </w:p>
        </w:tc>
        <w:tc>
          <w:tcPr>
            <w:tcW w:w="50" w:type="pct"/>
            <w:shd w:val="clear" w:color="auto" w:fill="FFFFFF"/>
            <w:vAlign w:val="bottom"/>
            <w:hideMark/>
          </w:tcPr>
          <w:p w14:paraId="7E4854DA" w14:textId="77777777" w:rsidR="00000000" w:rsidRDefault="00847163">
            <w:pPr>
              <w:rPr>
                <w:rFonts w:eastAsia="Times New Roman"/>
                <w:sz w:val="20"/>
                <w:szCs w:val="20"/>
              </w:rPr>
            </w:pPr>
            <w:r>
              <w:rPr>
                <w:rFonts w:eastAsia="Times New Roman"/>
                <w:sz w:val="20"/>
                <w:szCs w:val="20"/>
              </w:rPr>
              <w:t>)</w:t>
            </w:r>
          </w:p>
        </w:tc>
        <w:tc>
          <w:tcPr>
            <w:tcW w:w="50" w:type="pct"/>
            <w:shd w:val="clear" w:color="auto" w:fill="FFFFFF"/>
            <w:vAlign w:val="bottom"/>
            <w:hideMark/>
          </w:tcPr>
          <w:p w14:paraId="37EC35EB"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BDD429F" w14:textId="77777777" w:rsidR="00000000" w:rsidRDefault="00847163">
            <w:pPr>
              <w:rPr>
                <w:rFonts w:eastAsia="Times New Roman"/>
                <w:sz w:val="20"/>
                <w:szCs w:val="20"/>
              </w:rPr>
            </w:pPr>
            <w:r>
              <w:rPr>
                <w:rFonts w:eastAsia="Times New Roman"/>
                <w:sz w:val="20"/>
                <w:szCs w:val="20"/>
              </w:rPr>
              <w:t> </w:t>
            </w:r>
          </w:p>
        </w:tc>
        <w:tc>
          <w:tcPr>
            <w:tcW w:w="600" w:type="pct"/>
            <w:shd w:val="clear" w:color="auto" w:fill="FFFFFF"/>
            <w:vAlign w:val="bottom"/>
            <w:hideMark/>
          </w:tcPr>
          <w:p w14:paraId="7251CE30" w14:textId="77777777" w:rsidR="00000000" w:rsidRDefault="00847163">
            <w:pPr>
              <w:jc w:val="right"/>
              <w:rPr>
                <w:rFonts w:eastAsia="Times New Roman"/>
                <w:sz w:val="20"/>
                <w:szCs w:val="20"/>
              </w:rPr>
            </w:pPr>
            <w:r>
              <w:rPr>
                <w:rFonts w:eastAsia="Times New Roman"/>
                <w:sz w:val="20"/>
                <w:szCs w:val="20"/>
              </w:rPr>
              <w:t>(6,224</w:t>
            </w:r>
          </w:p>
        </w:tc>
        <w:tc>
          <w:tcPr>
            <w:tcW w:w="50" w:type="pct"/>
            <w:shd w:val="clear" w:color="auto" w:fill="FFFFFF"/>
            <w:vAlign w:val="bottom"/>
            <w:hideMark/>
          </w:tcPr>
          <w:p w14:paraId="475FEE2A" w14:textId="77777777" w:rsidR="00000000" w:rsidRDefault="00847163">
            <w:pPr>
              <w:rPr>
                <w:rFonts w:eastAsia="Times New Roman"/>
                <w:sz w:val="20"/>
                <w:szCs w:val="20"/>
              </w:rPr>
            </w:pPr>
            <w:r>
              <w:rPr>
                <w:rFonts w:eastAsia="Times New Roman"/>
                <w:sz w:val="20"/>
                <w:szCs w:val="20"/>
              </w:rPr>
              <w:t>)</w:t>
            </w:r>
          </w:p>
        </w:tc>
      </w:tr>
      <w:tr w:rsidR="00000000" w14:paraId="69693330" w14:textId="77777777">
        <w:trPr>
          <w:tblCellSpacing w:w="0" w:type="dxa"/>
        </w:trPr>
        <w:tc>
          <w:tcPr>
            <w:tcW w:w="3500" w:type="pct"/>
            <w:shd w:val="clear" w:color="auto" w:fill="CCEEFF"/>
            <w:vAlign w:val="bottom"/>
            <w:hideMark/>
          </w:tcPr>
          <w:p w14:paraId="37B8DDAF" w14:textId="77777777" w:rsidR="00000000" w:rsidRDefault="00847163">
            <w:pPr>
              <w:pStyle w:val="a3"/>
              <w:spacing w:before="0" w:beforeAutospacing="0" w:after="0" w:afterAutospacing="0"/>
              <w:ind w:left="180"/>
              <w:rPr>
                <w:sz w:val="20"/>
                <w:szCs w:val="20"/>
              </w:rPr>
            </w:pPr>
            <w:r>
              <w:rPr>
                <w:sz w:val="20"/>
                <w:szCs w:val="20"/>
              </w:rPr>
              <w:t>Net income attributable to noncontrolling interests</w:t>
            </w:r>
          </w:p>
        </w:tc>
        <w:tc>
          <w:tcPr>
            <w:tcW w:w="50" w:type="pct"/>
            <w:shd w:val="clear" w:color="auto" w:fill="CCEEFF"/>
            <w:vAlign w:val="bottom"/>
            <w:hideMark/>
          </w:tcPr>
          <w:p w14:paraId="4A1D66C1"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4FBCE55" w14:textId="77777777" w:rsidR="00000000" w:rsidRDefault="0084716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2B277303" w14:textId="77777777" w:rsidR="00000000" w:rsidRDefault="00847163">
            <w:pPr>
              <w:jc w:val="right"/>
              <w:rPr>
                <w:rFonts w:eastAsia="Times New Roman"/>
                <w:sz w:val="20"/>
                <w:szCs w:val="20"/>
              </w:rPr>
            </w:pPr>
            <w:r>
              <w:rPr>
                <w:rFonts w:eastAsia="Times New Roman"/>
                <w:sz w:val="20"/>
                <w:szCs w:val="20"/>
              </w:rPr>
              <w:t>289</w:t>
            </w:r>
          </w:p>
        </w:tc>
        <w:tc>
          <w:tcPr>
            <w:tcW w:w="50" w:type="pct"/>
            <w:shd w:val="clear" w:color="auto" w:fill="CCEEFF"/>
            <w:vAlign w:val="bottom"/>
            <w:hideMark/>
          </w:tcPr>
          <w:p w14:paraId="237415A7"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76F8029"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B946C3A" w14:textId="77777777" w:rsidR="00000000" w:rsidRDefault="0084716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1808C3EA" w14:textId="77777777" w:rsidR="00000000" w:rsidRDefault="00847163">
            <w:pPr>
              <w:jc w:val="right"/>
              <w:rPr>
                <w:rFonts w:eastAsia="Times New Roman"/>
                <w:sz w:val="20"/>
                <w:szCs w:val="20"/>
              </w:rPr>
            </w:pPr>
            <w:r>
              <w:rPr>
                <w:rFonts w:eastAsia="Times New Roman"/>
                <w:sz w:val="20"/>
                <w:szCs w:val="20"/>
              </w:rPr>
              <w:t>509</w:t>
            </w:r>
          </w:p>
        </w:tc>
        <w:tc>
          <w:tcPr>
            <w:tcW w:w="50" w:type="pct"/>
            <w:shd w:val="clear" w:color="auto" w:fill="CCEEFF"/>
            <w:vAlign w:val="bottom"/>
            <w:hideMark/>
          </w:tcPr>
          <w:p w14:paraId="2350AF7E" w14:textId="77777777" w:rsidR="00000000" w:rsidRDefault="00847163">
            <w:pPr>
              <w:rPr>
                <w:rFonts w:eastAsia="Times New Roman"/>
                <w:sz w:val="20"/>
                <w:szCs w:val="20"/>
              </w:rPr>
            </w:pPr>
            <w:r>
              <w:rPr>
                <w:rFonts w:eastAsia="Times New Roman"/>
                <w:sz w:val="20"/>
                <w:szCs w:val="20"/>
              </w:rPr>
              <w:t> </w:t>
            </w:r>
          </w:p>
        </w:tc>
      </w:tr>
      <w:tr w:rsidR="00000000" w14:paraId="6EB4C847" w14:textId="77777777">
        <w:trPr>
          <w:tblCellSpacing w:w="0" w:type="dxa"/>
        </w:trPr>
        <w:tc>
          <w:tcPr>
            <w:tcW w:w="3500" w:type="pct"/>
            <w:shd w:val="clear" w:color="auto" w:fill="FFFFFF"/>
            <w:vAlign w:val="bottom"/>
            <w:hideMark/>
          </w:tcPr>
          <w:p w14:paraId="03DD9E0B" w14:textId="77777777" w:rsidR="00000000" w:rsidRDefault="00847163">
            <w:pPr>
              <w:pStyle w:val="a3"/>
              <w:spacing w:before="0" w:beforeAutospacing="0" w:after="0" w:afterAutospacing="0"/>
              <w:ind w:left="180"/>
              <w:rPr>
                <w:sz w:val="20"/>
                <w:szCs w:val="20"/>
              </w:rPr>
            </w:pPr>
            <w:r>
              <w:rPr>
                <w:sz w:val="20"/>
                <w:szCs w:val="20"/>
              </w:rPr>
              <w:t>Preferred dividends</w:t>
            </w:r>
          </w:p>
        </w:tc>
        <w:tc>
          <w:tcPr>
            <w:tcW w:w="50" w:type="pct"/>
            <w:shd w:val="clear" w:color="auto" w:fill="FFFFFF"/>
            <w:vAlign w:val="bottom"/>
            <w:hideMark/>
          </w:tcPr>
          <w:p w14:paraId="6804CB29"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AF2C275" w14:textId="77777777" w:rsidR="00000000" w:rsidRDefault="00847163">
            <w:pPr>
              <w:rPr>
                <w:rFonts w:eastAsia="Times New Roman"/>
                <w:sz w:val="20"/>
                <w:szCs w:val="20"/>
              </w:rPr>
            </w:pPr>
            <w:r>
              <w:rPr>
                <w:rFonts w:eastAsia="Times New Roman"/>
                <w:sz w:val="20"/>
                <w:szCs w:val="20"/>
              </w:rPr>
              <w:t> </w:t>
            </w:r>
          </w:p>
        </w:tc>
        <w:tc>
          <w:tcPr>
            <w:tcW w:w="600" w:type="pct"/>
            <w:shd w:val="clear" w:color="auto" w:fill="FFFFFF"/>
            <w:vAlign w:val="bottom"/>
            <w:hideMark/>
          </w:tcPr>
          <w:p w14:paraId="6E1ABED2" w14:textId="77777777" w:rsidR="00000000" w:rsidRDefault="00847163">
            <w:pPr>
              <w:jc w:val="right"/>
              <w:rPr>
                <w:rFonts w:eastAsia="Times New Roman"/>
                <w:sz w:val="20"/>
                <w:szCs w:val="20"/>
              </w:rPr>
            </w:pPr>
            <w:r>
              <w:rPr>
                <w:rFonts w:eastAsia="Times New Roman"/>
                <w:sz w:val="20"/>
                <w:szCs w:val="20"/>
              </w:rPr>
              <w:t>6,354</w:t>
            </w:r>
          </w:p>
        </w:tc>
        <w:tc>
          <w:tcPr>
            <w:tcW w:w="50" w:type="pct"/>
            <w:shd w:val="clear" w:color="auto" w:fill="FFFFFF"/>
            <w:vAlign w:val="bottom"/>
            <w:hideMark/>
          </w:tcPr>
          <w:p w14:paraId="13176099"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2E18D0D"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1ECD96E" w14:textId="77777777" w:rsidR="00000000" w:rsidRDefault="00847163">
            <w:pPr>
              <w:rPr>
                <w:rFonts w:eastAsia="Times New Roman"/>
                <w:sz w:val="20"/>
                <w:szCs w:val="20"/>
              </w:rPr>
            </w:pPr>
            <w:r>
              <w:rPr>
                <w:rFonts w:eastAsia="Times New Roman"/>
                <w:sz w:val="20"/>
                <w:szCs w:val="20"/>
              </w:rPr>
              <w:t> </w:t>
            </w:r>
          </w:p>
        </w:tc>
        <w:tc>
          <w:tcPr>
            <w:tcW w:w="600" w:type="pct"/>
            <w:shd w:val="clear" w:color="auto" w:fill="FFFFFF"/>
            <w:vAlign w:val="bottom"/>
            <w:hideMark/>
          </w:tcPr>
          <w:p w14:paraId="165E232A" w14:textId="77777777" w:rsidR="00000000" w:rsidRDefault="00847163">
            <w:pPr>
              <w:jc w:val="right"/>
              <w:rPr>
                <w:rFonts w:eastAsia="Times New Roman"/>
                <w:sz w:val="20"/>
                <w:szCs w:val="20"/>
              </w:rPr>
            </w:pPr>
            <w:r>
              <w:rPr>
                <w:rFonts w:eastAsia="Times New Roman"/>
                <w:sz w:val="20"/>
                <w:szCs w:val="20"/>
              </w:rPr>
              <w:t>14,534</w:t>
            </w:r>
          </w:p>
        </w:tc>
        <w:tc>
          <w:tcPr>
            <w:tcW w:w="50" w:type="pct"/>
            <w:shd w:val="clear" w:color="auto" w:fill="FFFFFF"/>
            <w:vAlign w:val="bottom"/>
            <w:hideMark/>
          </w:tcPr>
          <w:p w14:paraId="3477B057" w14:textId="77777777" w:rsidR="00000000" w:rsidRDefault="00847163">
            <w:pPr>
              <w:rPr>
                <w:rFonts w:eastAsia="Times New Roman"/>
                <w:sz w:val="20"/>
                <w:szCs w:val="20"/>
              </w:rPr>
            </w:pPr>
            <w:r>
              <w:rPr>
                <w:rFonts w:eastAsia="Times New Roman"/>
                <w:sz w:val="20"/>
                <w:szCs w:val="20"/>
              </w:rPr>
              <w:t> </w:t>
            </w:r>
          </w:p>
        </w:tc>
      </w:tr>
      <w:tr w:rsidR="00000000" w14:paraId="7159FF46" w14:textId="77777777">
        <w:trPr>
          <w:tblCellSpacing w:w="0" w:type="dxa"/>
        </w:trPr>
        <w:tc>
          <w:tcPr>
            <w:tcW w:w="3500" w:type="pct"/>
            <w:shd w:val="clear" w:color="auto" w:fill="CCEEFF"/>
            <w:vAlign w:val="bottom"/>
            <w:hideMark/>
          </w:tcPr>
          <w:p w14:paraId="2874415B" w14:textId="77777777" w:rsidR="00000000" w:rsidRDefault="00847163">
            <w:pPr>
              <w:pStyle w:val="a3"/>
              <w:spacing w:before="0" w:beforeAutospacing="0" w:after="0" w:afterAutospacing="0"/>
              <w:ind w:left="180"/>
              <w:rPr>
                <w:sz w:val="20"/>
                <w:szCs w:val="20"/>
              </w:rPr>
            </w:pPr>
            <w:r>
              <w:rPr>
                <w:sz w:val="20"/>
                <w:szCs w:val="20"/>
              </w:rPr>
              <w:t>Non same property net operating income</w:t>
            </w:r>
          </w:p>
        </w:tc>
        <w:tc>
          <w:tcPr>
            <w:tcW w:w="50" w:type="pct"/>
            <w:shd w:val="clear" w:color="auto" w:fill="CCEEFF"/>
            <w:vAlign w:val="bottom"/>
            <w:hideMark/>
          </w:tcPr>
          <w:p w14:paraId="0EFC19C0"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8749E7B" w14:textId="77777777" w:rsidR="00000000" w:rsidRDefault="0084716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2CF0DCAE" w14:textId="77777777" w:rsidR="00000000" w:rsidRDefault="00847163">
            <w:pPr>
              <w:jc w:val="right"/>
              <w:rPr>
                <w:rFonts w:eastAsia="Times New Roman"/>
                <w:sz w:val="20"/>
                <w:szCs w:val="20"/>
              </w:rPr>
            </w:pPr>
            <w:r>
              <w:rPr>
                <w:rFonts w:eastAsia="Times New Roman"/>
                <w:sz w:val="20"/>
                <w:szCs w:val="20"/>
              </w:rPr>
              <w:t>(18,193</w:t>
            </w:r>
          </w:p>
        </w:tc>
        <w:tc>
          <w:tcPr>
            <w:tcW w:w="50" w:type="pct"/>
            <w:shd w:val="clear" w:color="auto" w:fill="CCEEFF"/>
            <w:vAlign w:val="bottom"/>
            <w:hideMark/>
          </w:tcPr>
          <w:p w14:paraId="2F4ECCC3" w14:textId="77777777" w:rsidR="00000000" w:rsidRDefault="00847163">
            <w:pPr>
              <w:rPr>
                <w:rFonts w:eastAsia="Times New Roman"/>
                <w:sz w:val="20"/>
                <w:szCs w:val="20"/>
              </w:rPr>
            </w:pPr>
            <w:r>
              <w:rPr>
                <w:rFonts w:eastAsia="Times New Roman"/>
                <w:sz w:val="20"/>
                <w:szCs w:val="20"/>
              </w:rPr>
              <w:t>)</w:t>
            </w:r>
          </w:p>
        </w:tc>
        <w:tc>
          <w:tcPr>
            <w:tcW w:w="50" w:type="pct"/>
            <w:shd w:val="clear" w:color="auto" w:fill="CCEEFF"/>
            <w:vAlign w:val="bottom"/>
            <w:hideMark/>
          </w:tcPr>
          <w:p w14:paraId="7D122E9A"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D92BB03" w14:textId="77777777" w:rsidR="00000000" w:rsidRDefault="0084716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411D3FAD" w14:textId="77777777" w:rsidR="00000000" w:rsidRDefault="00847163">
            <w:pPr>
              <w:jc w:val="right"/>
              <w:rPr>
                <w:rFonts w:eastAsia="Times New Roman"/>
                <w:sz w:val="20"/>
                <w:szCs w:val="20"/>
              </w:rPr>
            </w:pPr>
            <w:r>
              <w:rPr>
                <w:rFonts w:eastAsia="Times New Roman"/>
                <w:sz w:val="20"/>
                <w:szCs w:val="20"/>
              </w:rPr>
              <w:t>(28,757</w:t>
            </w:r>
          </w:p>
        </w:tc>
        <w:tc>
          <w:tcPr>
            <w:tcW w:w="50" w:type="pct"/>
            <w:shd w:val="clear" w:color="auto" w:fill="CCEEFF"/>
            <w:vAlign w:val="bottom"/>
            <w:hideMark/>
          </w:tcPr>
          <w:p w14:paraId="1A20A4AB" w14:textId="77777777" w:rsidR="00000000" w:rsidRDefault="00847163">
            <w:pPr>
              <w:rPr>
                <w:rFonts w:eastAsia="Times New Roman"/>
                <w:sz w:val="20"/>
                <w:szCs w:val="20"/>
              </w:rPr>
            </w:pPr>
            <w:r>
              <w:rPr>
                <w:rFonts w:eastAsia="Times New Roman"/>
                <w:sz w:val="20"/>
                <w:szCs w:val="20"/>
              </w:rPr>
              <w:t>)</w:t>
            </w:r>
          </w:p>
        </w:tc>
      </w:tr>
      <w:tr w:rsidR="00000000" w14:paraId="7D130FE6" w14:textId="77777777">
        <w:trPr>
          <w:tblCellSpacing w:w="0" w:type="dxa"/>
        </w:trPr>
        <w:tc>
          <w:tcPr>
            <w:tcW w:w="3500" w:type="pct"/>
            <w:shd w:val="clear" w:color="auto" w:fill="FFFFFF"/>
            <w:vAlign w:val="bottom"/>
            <w:hideMark/>
          </w:tcPr>
          <w:p w14:paraId="24A30164" w14:textId="77777777" w:rsidR="00000000" w:rsidRDefault="00847163">
            <w:pPr>
              <w:pStyle w:val="a3"/>
              <w:spacing w:before="0" w:beforeAutospacing="0" w:after="0" w:afterAutospacing="0"/>
              <w:ind w:left="180"/>
              <w:rPr>
                <w:sz w:val="20"/>
                <w:szCs w:val="20"/>
              </w:rPr>
            </w:pPr>
            <w:r>
              <w:rPr>
                <w:sz w:val="20"/>
                <w:szCs w:val="20"/>
              </w:rPr>
              <w:t>Non-operational expense from joint ventures, net</w:t>
            </w:r>
          </w:p>
        </w:tc>
        <w:tc>
          <w:tcPr>
            <w:tcW w:w="50" w:type="pct"/>
            <w:shd w:val="clear" w:color="auto" w:fill="FFFFFF"/>
            <w:vAlign w:val="bottom"/>
            <w:hideMark/>
          </w:tcPr>
          <w:p w14:paraId="1C790E9B" w14:textId="77777777" w:rsidR="00000000" w:rsidRDefault="0084716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6B320967" w14:textId="77777777" w:rsidR="00000000" w:rsidRDefault="00847163">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799F9DFD" w14:textId="77777777" w:rsidR="00000000" w:rsidRDefault="00847163">
            <w:pPr>
              <w:jc w:val="right"/>
              <w:rPr>
                <w:rFonts w:eastAsia="Times New Roman"/>
                <w:sz w:val="20"/>
                <w:szCs w:val="20"/>
              </w:rPr>
            </w:pPr>
            <w:r>
              <w:rPr>
                <w:rFonts w:eastAsia="Times New Roman"/>
                <w:sz w:val="20"/>
                <w:szCs w:val="20"/>
              </w:rPr>
              <w:t>19,016</w:t>
            </w:r>
          </w:p>
        </w:tc>
        <w:tc>
          <w:tcPr>
            <w:tcW w:w="50" w:type="pct"/>
            <w:shd w:val="clear" w:color="auto" w:fill="FFFFFF"/>
            <w:tcMar>
              <w:top w:w="0" w:type="dxa"/>
              <w:left w:w="0" w:type="dxa"/>
              <w:bottom w:w="15" w:type="dxa"/>
              <w:right w:w="0" w:type="dxa"/>
            </w:tcMar>
            <w:vAlign w:val="bottom"/>
            <w:hideMark/>
          </w:tcPr>
          <w:p w14:paraId="7B7CF090"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325B5AF" w14:textId="77777777" w:rsidR="00000000" w:rsidRDefault="0084716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58B7A74E" w14:textId="77777777" w:rsidR="00000000" w:rsidRDefault="00847163">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189A460A" w14:textId="77777777" w:rsidR="00000000" w:rsidRDefault="00847163">
            <w:pPr>
              <w:jc w:val="right"/>
              <w:rPr>
                <w:rFonts w:eastAsia="Times New Roman"/>
                <w:sz w:val="20"/>
                <w:szCs w:val="20"/>
              </w:rPr>
            </w:pPr>
            <w:r>
              <w:rPr>
                <w:rFonts w:eastAsia="Times New Roman"/>
                <w:sz w:val="20"/>
                <w:szCs w:val="20"/>
              </w:rPr>
              <w:t>14,793</w:t>
            </w:r>
          </w:p>
        </w:tc>
        <w:tc>
          <w:tcPr>
            <w:tcW w:w="50" w:type="pct"/>
            <w:shd w:val="clear" w:color="auto" w:fill="FFFFFF"/>
            <w:tcMar>
              <w:top w:w="0" w:type="dxa"/>
              <w:left w:w="0" w:type="dxa"/>
              <w:bottom w:w="15" w:type="dxa"/>
              <w:right w:w="0" w:type="dxa"/>
            </w:tcMar>
            <w:vAlign w:val="bottom"/>
            <w:hideMark/>
          </w:tcPr>
          <w:p w14:paraId="717DAAEC" w14:textId="77777777" w:rsidR="00000000" w:rsidRDefault="00847163">
            <w:pPr>
              <w:rPr>
                <w:rFonts w:eastAsia="Times New Roman"/>
                <w:sz w:val="20"/>
                <w:szCs w:val="20"/>
              </w:rPr>
            </w:pPr>
            <w:r>
              <w:rPr>
                <w:rFonts w:eastAsia="Times New Roman"/>
                <w:sz w:val="20"/>
                <w:szCs w:val="20"/>
              </w:rPr>
              <w:t> </w:t>
            </w:r>
          </w:p>
        </w:tc>
      </w:tr>
      <w:tr w:rsidR="00000000" w14:paraId="16FEC224" w14:textId="77777777">
        <w:trPr>
          <w:tblCellSpacing w:w="0" w:type="dxa"/>
        </w:trPr>
        <w:tc>
          <w:tcPr>
            <w:tcW w:w="3500" w:type="pct"/>
            <w:shd w:val="clear" w:color="auto" w:fill="CCEEFF"/>
            <w:vAlign w:val="bottom"/>
            <w:hideMark/>
          </w:tcPr>
          <w:p w14:paraId="5F55E79C" w14:textId="77777777" w:rsidR="00000000" w:rsidRDefault="00847163">
            <w:pPr>
              <w:pStyle w:val="a3"/>
              <w:spacing w:before="0" w:beforeAutospacing="0" w:after="0" w:afterAutospacing="0"/>
              <w:rPr>
                <w:sz w:val="20"/>
                <w:szCs w:val="20"/>
              </w:rPr>
            </w:pPr>
            <w:r>
              <w:rPr>
                <w:b/>
                <w:bCs/>
                <w:sz w:val="20"/>
                <w:szCs w:val="20"/>
              </w:rPr>
              <w:t>Same property NOI</w:t>
            </w:r>
          </w:p>
        </w:tc>
        <w:tc>
          <w:tcPr>
            <w:tcW w:w="50" w:type="pct"/>
            <w:shd w:val="clear" w:color="auto" w:fill="CCEEFF"/>
            <w:vAlign w:val="bottom"/>
            <w:hideMark/>
          </w:tcPr>
          <w:p w14:paraId="7DA32BA7" w14:textId="77777777" w:rsidR="00000000" w:rsidRDefault="0084716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77CE99A7" w14:textId="77777777" w:rsidR="00000000" w:rsidRDefault="00847163">
            <w:pPr>
              <w:rPr>
                <w:rFonts w:eastAsia="Times New Roman"/>
                <w:sz w:val="20"/>
                <w:szCs w:val="20"/>
              </w:rPr>
            </w:pPr>
            <w:r>
              <w:rPr>
                <w:rFonts w:eastAsia="Times New Roman"/>
                <w:b/>
                <w:bCs/>
                <w:sz w:val="20"/>
                <w:szCs w:val="20"/>
              </w:rPr>
              <w:t>$</w:t>
            </w:r>
          </w:p>
        </w:tc>
        <w:tc>
          <w:tcPr>
            <w:tcW w:w="600" w:type="pct"/>
            <w:tcBorders>
              <w:bottom w:val="double" w:sz="6" w:space="0" w:color="000000"/>
            </w:tcBorders>
            <w:shd w:val="clear" w:color="auto" w:fill="CCEEFF"/>
            <w:vAlign w:val="bottom"/>
            <w:hideMark/>
          </w:tcPr>
          <w:p w14:paraId="4BE9A2C3" w14:textId="77777777" w:rsidR="00000000" w:rsidRDefault="00847163">
            <w:pPr>
              <w:jc w:val="right"/>
              <w:rPr>
                <w:rFonts w:eastAsia="Times New Roman"/>
                <w:sz w:val="20"/>
                <w:szCs w:val="20"/>
              </w:rPr>
            </w:pPr>
            <w:r>
              <w:rPr>
                <w:rFonts w:eastAsia="Times New Roman"/>
                <w:b/>
                <w:bCs/>
                <w:sz w:val="20"/>
                <w:szCs w:val="20"/>
              </w:rPr>
              <w:t>215,580</w:t>
            </w:r>
          </w:p>
        </w:tc>
        <w:tc>
          <w:tcPr>
            <w:tcW w:w="50" w:type="pct"/>
            <w:shd w:val="clear" w:color="auto" w:fill="CCEEFF"/>
            <w:tcMar>
              <w:top w:w="0" w:type="dxa"/>
              <w:left w:w="0" w:type="dxa"/>
              <w:bottom w:w="45" w:type="dxa"/>
              <w:right w:w="0" w:type="dxa"/>
            </w:tcMar>
            <w:vAlign w:val="bottom"/>
            <w:hideMark/>
          </w:tcPr>
          <w:p w14:paraId="5D15FFDC"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0057FC7" w14:textId="77777777" w:rsidR="00000000" w:rsidRDefault="0084716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5E03BB80" w14:textId="77777777" w:rsidR="00000000" w:rsidRDefault="00847163">
            <w:pPr>
              <w:rPr>
                <w:rFonts w:eastAsia="Times New Roman"/>
                <w:sz w:val="20"/>
                <w:szCs w:val="20"/>
              </w:rPr>
            </w:pPr>
            <w:r>
              <w:rPr>
                <w:rFonts w:eastAsia="Times New Roman"/>
                <w:b/>
                <w:bCs/>
                <w:sz w:val="20"/>
                <w:szCs w:val="20"/>
              </w:rPr>
              <w:t>$</w:t>
            </w:r>
          </w:p>
        </w:tc>
        <w:tc>
          <w:tcPr>
            <w:tcW w:w="600" w:type="pct"/>
            <w:tcBorders>
              <w:bottom w:val="double" w:sz="6" w:space="0" w:color="000000"/>
            </w:tcBorders>
            <w:shd w:val="clear" w:color="auto" w:fill="CCEEFF"/>
            <w:vAlign w:val="bottom"/>
            <w:hideMark/>
          </w:tcPr>
          <w:p w14:paraId="503CFEE8" w14:textId="77777777" w:rsidR="00000000" w:rsidRDefault="00847163">
            <w:pPr>
              <w:jc w:val="right"/>
              <w:rPr>
                <w:rFonts w:eastAsia="Times New Roman"/>
                <w:sz w:val="20"/>
                <w:szCs w:val="20"/>
              </w:rPr>
            </w:pPr>
            <w:r>
              <w:rPr>
                <w:rFonts w:eastAsia="Times New Roman"/>
                <w:b/>
                <w:bCs/>
                <w:sz w:val="20"/>
                <w:szCs w:val="20"/>
              </w:rPr>
              <w:t xml:space="preserve">212,489 </w:t>
            </w:r>
          </w:p>
        </w:tc>
        <w:tc>
          <w:tcPr>
            <w:tcW w:w="50" w:type="pct"/>
            <w:shd w:val="clear" w:color="auto" w:fill="CCEEFF"/>
            <w:tcMar>
              <w:top w:w="0" w:type="dxa"/>
              <w:left w:w="0" w:type="dxa"/>
              <w:bottom w:w="45" w:type="dxa"/>
              <w:right w:w="0" w:type="dxa"/>
            </w:tcMar>
            <w:vAlign w:val="bottom"/>
            <w:hideMark/>
          </w:tcPr>
          <w:p w14:paraId="4F0BE937" w14:textId="77777777" w:rsidR="00000000" w:rsidRDefault="00847163">
            <w:pPr>
              <w:rPr>
                <w:rFonts w:eastAsia="Times New Roman"/>
                <w:sz w:val="20"/>
                <w:szCs w:val="20"/>
              </w:rPr>
            </w:pPr>
            <w:r>
              <w:rPr>
                <w:rFonts w:eastAsia="Times New Roman"/>
                <w:sz w:val="20"/>
                <w:szCs w:val="20"/>
              </w:rPr>
              <w:t> </w:t>
            </w:r>
          </w:p>
        </w:tc>
      </w:tr>
    </w:tbl>
    <w:p w14:paraId="466AACC7" w14:textId="77777777" w:rsidR="00000000" w:rsidRDefault="00847163">
      <w:pPr>
        <w:pStyle w:val="a3"/>
        <w:spacing w:before="0" w:beforeAutospacing="0" w:after="0" w:afterAutospacing="0"/>
        <w:ind w:firstLine="360"/>
        <w:jc w:val="both"/>
        <w:rPr>
          <w:sz w:val="20"/>
          <w:szCs w:val="20"/>
        </w:rPr>
      </w:pPr>
      <w:r>
        <w:rPr>
          <w:sz w:val="20"/>
          <w:szCs w:val="20"/>
        </w:rPr>
        <w:t> </w:t>
      </w:r>
    </w:p>
    <w:p w14:paraId="057335FF" w14:textId="77777777" w:rsidR="00000000" w:rsidRDefault="00847163">
      <w:pPr>
        <w:pStyle w:val="a3"/>
        <w:spacing w:before="0" w:beforeAutospacing="0" w:after="0" w:afterAutospacing="0"/>
        <w:ind w:firstLine="360"/>
        <w:jc w:val="both"/>
        <w:rPr>
          <w:sz w:val="20"/>
          <w:szCs w:val="20"/>
        </w:rPr>
      </w:pPr>
      <w:r>
        <w:rPr>
          <w:sz w:val="20"/>
          <w:szCs w:val="20"/>
        </w:rPr>
        <w:t>Same property NOI increased by $3.1 million or 1.5% for the three months ended March 31, 2020, as compared to the corresponding period in 2019. This increase is primarily the result of (i) an increase in revenues from rental properties of $6.4 million prim</w:t>
      </w:r>
      <w:r>
        <w:rPr>
          <w:sz w:val="20"/>
          <w:szCs w:val="20"/>
        </w:rPr>
        <w:t>arily related to lease-up and rent commencements in the portfolio, partially offset by (ii) an increase in operating expenses of $3.3 million.</w:t>
      </w:r>
    </w:p>
    <w:p w14:paraId="2FEB3A19" w14:textId="77777777" w:rsidR="00000000" w:rsidRDefault="00847163">
      <w:pPr>
        <w:pStyle w:val="a3"/>
        <w:spacing w:before="0" w:beforeAutospacing="0" w:after="0" w:afterAutospacing="0"/>
        <w:jc w:val="both"/>
        <w:rPr>
          <w:sz w:val="20"/>
          <w:szCs w:val="20"/>
        </w:rPr>
      </w:pPr>
      <w:r>
        <w:rPr>
          <w:sz w:val="20"/>
          <w:szCs w:val="20"/>
        </w:rPr>
        <w:t> </w:t>
      </w:r>
    </w:p>
    <w:p w14:paraId="6E20AF57" w14:textId="77777777" w:rsidR="00000000" w:rsidRDefault="00847163">
      <w:pPr>
        <w:pStyle w:val="a3"/>
        <w:spacing w:before="0" w:beforeAutospacing="0" w:after="0" w:afterAutospacing="0"/>
        <w:jc w:val="both"/>
        <w:rPr>
          <w:sz w:val="20"/>
          <w:szCs w:val="20"/>
        </w:rPr>
      </w:pPr>
      <w:r>
        <w:rPr>
          <w:sz w:val="20"/>
          <w:szCs w:val="20"/>
          <w:u w:val="single"/>
        </w:rPr>
        <w:t>Leasing Activity</w:t>
      </w:r>
    </w:p>
    <w:p w14:paraId="76F389C6" w14:textId="77777777" w:rsidR="00000000" w:rsidRDefault="00847163">
      <w:pPr>
        <w:pStyle w:val="a3"/>
        <w:spacing w:before="0" w:beforeAutospacing="0" w:after="0" w:afterAutospacing="0"/>
        <w:jc w:val="both"/>
        <w:rPr>
          <w:sz w:val="20"/>
          <w:szCs w:val="20"/>
        </w:rPr>
      </w:pPr>
      <w:r>
        <w:rPr>
          <w:sz w:val="20"/>
          <w:szCs w:val="20"/>
        </w:rPr>
        <w:t> </w:t>
      </w:r>
    </w:p>
    <w:p w14:paraId="77F963CB" w14:textId="77777777" w:rsidR="00000000" w:rsidRDefault="00847163">
      <w:pPr>
        <w:pStyle w:val="a3"/>
        <w:spacing w:before="0" w:beforeAutospacing="0" w:after="0" w:afterAutospacing="0"/>
        <w:ind w:firstLine="360"/>
        <w:jc w:val="both"/>
        <w:rPr>
          <w:sz w:val="20"/>
          <w:szCs w:val="20"/>
        </w:rPr>
      </w:pPr>
      <w:r>
        <w:rPr>
          <w:sz w:val="20"/>
          <w:szCs w:val="20"/>
        </w:rPr>
        <w:t>During the three months ended March 31, 2020, the Company executed 224 leases totaling over 1.9 million square feet in the Company’s consolidated operating portfolio comprised of 46 new leases and 178 renewals and options. The leasing costs associated with</w:t>
      </w:r>
      <w:r>
        <w:rPr>
          <w:sz w:val="20"/>
          <w:szCs w:val="20"/>
        </w:rPr>
        <w:t xml:space="preserve"> these new leases are estimated to aggregate $13.9 million or $44.38 per square foot. These costs include $11.5 million of tenant improvements and $2.4 million of external leasing commissions. The average rent per square foot on new leases was $19.70 and o</w:t>
      </w:r>
      <w:r>
        <w:rPr>
          <w:sz w:val="20"/>
          <w:szCs w:val="20"/>
        </w:rPr>
        <w:t>n renewals and options was $16.91.</w:t>
      </w:r>
    </w:p>
    <w:p w14:paraId="35764E1F" w14:textId="77777777" w:rsidR="00000000" w:rsidRDefault="00847163">
      <w:pPr>
        <w:pStyle w:val="a3"/>
        <w:spacing w:before="0" w:beforeAutospacing="0" w:after="0" w:afterAutospacing="0"/>
        <w:jc w:val="both"/>
        <w:rPr>
          <w:sz w:val="20"/>
          <w:szCs w:val="20"/>
        </w:rPr>
      </w:pPr>
      <w:r>
        <w:rPr>
          <w:sz w:val="20"/>
          <w:szCs w:val="20"/>
        </w:rPr>
        <w:t> </w:t>
      </w:r>
    </w:p>
    <w:p w14:paraId="169FB9FB" w14:textId="77777777" w:rsidR="00000000" w:rsidRDefault="00847163">
      <w:pPr>
        <w:pStyle w:val="a3"/>
        <w:spacing w:before="0" w:beforeAutospacing="0" w:after="0" w:afterAutospacing="0"/>
        <w:jc w:val="both"/>
        <w:rPr>
          <w:sz w:val="20"/>
          <w:szCs w:val="20"/>
        </w:rPr>
      </w:pPr>
      <w:r>
        <w:rPr>
          <w:sz w:val="20"/>
          <w:szCs w:val="20"/>
          <w:u w:val="single"/>
        </w:rPr>
        <w:t>Tenant Lease Expirations</w:t>
      </w:r>
    </w:p>
    <w:p w14:paraId="08AE86F0" w14:textId="77777777" w:rsidR="00000000" w:rsidRDefault="00847163">
      <w:pPr>
        <w:pStyle w:val="a3"/>
        <w:spacing w:before="0" w:beforeAutospacing="0" w:after="0" w:afterAutospacing="0"/>
        <w:jc w:val="both"/>
        <w:rPr>
          <w:sz w:val="20"/>
          <w:szCs w:val="20"/>
        </w:rPr>
      </w:pPr>
      <w:r>
        <w:rPr>
          <w:sz w:val="20"/>
          <w:szCs w:val="20"/>
        </w:rPr>
        <w:t> </w:t>
      </w:r>
    </w:p>
    <w:p w14:paraId="2A7B53DF" w14:textId="77777777" w:rsidR="00000000" w:rsidRDefault="00847163">
      <w:pPr>
        <w:pStyle w:val="a3"/>
        <w:spacing w:before="0" w:beforeAutospacing="0" w:after="0" w:afterAutospacing="0"/>
        <w:ind w:firstLine="360"/>
        <w:jc w:val="both"/>
        <w:rPr>
          <w:sz w:val="20"/>
          <w:szCs w:val="20"/>
        </w:rPr>
      </w:pPr>
      <w:r>
        <w:rPr>
          <w:sz w:val="20"/>
          <w:szCs w:val="20"/>
        </w:rPr>
        <w:t xml:space="preserve">At March 31, 2020, the Company has a total of 5,418 leases in the U.S. consolidated operating portfolio. The following table sets forth the aggregate lease expirations for each of the next ten years, assuming no renewal options are exercised. For purposes </w:t>
      </w:r>
      <w:r>
        <w:rPr>
          <w:sz w:val="20"/>
          <w:szCs w:val="20"/>
        </w:rPr>
        <w:t>of the table, the Total Annual Base Rent Expiring represents annualized rental revenue, excluding the impact of straight-line rent, for each lease that expires during the respective year. Amounts in thousands, except for number of lease data:</w:t>
      </w:r>
    </w:p>
    <w:p w14:paraId="584D4BB5" w14:textId="77777777" w:rsidR="00000000" w:rsidRDefault="00847163">
      <w:pPr>
        <w:pStyle w:val="a3"/>
        <w:spacing w:before="0" w:beforeAutospacing="0" w:after="0" w:afterAutospacing="0"/>
        <w:ind w:firstLine="720"/>
        <w:jc w:val="both"/>
        <w:rPr>
          <w:sz w:val="20"/>
          <w:szCs w:val="20"/>
        </w:rPr>
      </w:pPr>
      <w:r>
        <w:rPr>
          <w:sz w:val="20"/>
          <w:szCs w:val="20"/>
        </w:rPr>
        <w:t> </w:t>
      </w:r>
    </w:p>
    <w:tbl>
      <w:tblPr>
        <w:tblW w:w="4250" w:type="pct"/>
        <w:tblCellSpacing w:w="0" w:type="dxa"/>
        <w:tblInd w:w="7" w:type="dxa"/>
        <w:tblCellMar>
          <w:left w:w="0" w:type="dxa"/>
          <w:right w:w="0" w:type="dxa"/>
        </w:tblCellMar>
        <w:tblLook w:val="04A0" w:firstRow="1" w:lastRow="0" w:firstColumn="1" w:lastColumn="0" w:noHBand="0" w:noVBand="1"/>
      </w:tblPr>
      <w:tblGrid>
        <w:gridCol w:w="1393"/>
        <w:gridCol w:w="53"/>
        <w:gridCol w:w="1394"/>
        <w:gridCol w:w="53"/>
        <w:gridCol w:w="53"/>
        <w:gridCol w:w="1394"/>
        <w:gridCol w:w="53"/>
        <w:gridCol w:w="53"/>
        <w:gridCol w:w="277"/>
        <w:gridCol w:w="1182"/>
        <w:gridCol w:w="53"/>
        <w:gridCol w:w="53"/>
        <w:gridCol w:w="53"/>
        <w:gridCol w:w="829"/>
        <w:gridCol w:w="167"/>
      </w:tblGrid>
      <w:tr w:rsidR="00000000" w14:paraId="1C16C69F" w14:textId="77777777">
        <w:trPr>
          <w:tblCellSpacing w:w="0" w:type="dxa"/>
        </w:trPr>
        <w:tc>
          <w:tcPr>
            <w:tcW w:w="1000" w:type="pct"/>
            <w:tcBorders>
              <w:bottom w:val="single" w:sz="6" w:space="0" w:color="000000"/>
            </w:tcBorders>
            <w:vAlign w:val="bottom"/>
            <w:hideMark/>
          </w:tcPr>
          <w:p w14:paraId="285E335A" w14:textId="77777777" w:rsidR="00000000" w:rsidRDefault="00847163">
            <w:pPr>
              <w:pStyle w:val="a3"/>
              <w:spacing w:before="0" w:beforeAutospacing="0" w:after="0" w:afterAutospacing="0"/>
              <w:jc w:val="center"/>
              <w:rPr>
                <w:sz w:val="20"/>
                <w:szCs w:val="20"/>
              </w:rPr>
            </w:pPr>
            <w:r>
              <w:rPr>
                <w:b/>
                <w:bCs/>
                <w:sz w:val="20"/>
                <w:szCs w:val="20"/>
              </w:rPr>
              <w:t>Year Ending</w:t>
            </w:r>
            <w:r>
              <w:rPr>
                <w:b/>
                <w:bCs/>
                <w:sz w:val="20"/>
                <w:szCs w:val="20"/>
              </w:rPr>
              <w:t xml:space="preserve"> </w:t>
            </w:r>
          </w:p>
          <w:p w14:paraId="40E4B9F2" w14:textId="77777777" w:rsidR="00000000" w:rsidRDefault="00847163">
            <w:pPr>
              <w:pStyle w:val="a3"/>
              <w:spacing w:before="0" w:beforeAutospacing="0" w:after="0" w:afterAutospacing="0"/>
              <w:jc w:val="center"/>
              <w:rPr>
                <w:sz w:val="20"/>
                <w:szCs w:val="20"/>
              </w:rPr>
            </w:pPr>
            <w:r>
              <w:rPr>
                <w:b/>
                <w:bCs/>
                <w:sz w:val="20"/>
                <w:szCs w:val="20"/>
              </w:rPr>
              <w:t>December 31,</w:t>
            </w:r>
          </w:p>
        </w:tc>
        <w:tc>
          <w:tcPr>
            <w:tcW w:w="50" w:type="pct"/>
            <w:vAlign w:val="bottom"/>
            <w:hideMark/>
          </w:tcPr>
          <w:p w14:paraId="21BE3FE0" w14:textId="77777777" w:rsidR="00000000" w:rsidRDefault="00847163">
            <w:pPr>
              <w:rPr>
                <w:rFonts w:eastAsia="Times New Roman"/>
                <w:sz w:val="20"/>
                <w:szCs w:val="20"/>
              </w:rPr>
            </w:pPr>
            <w:r>
              <w:rPr>
                <w:rFonts w:eastAsia="Times New Roman"/>
                <w:sz w:val="20"/>
                <w:szCs w:val="20"/>
              </w:rPr>
              <w:t> </w:t>
            </w:r>
          </w:p>
        </w:tc>
        <w:tc>
          <w:tcPr>
            <w:tcW w:w="1000" w:type="pct"/>
            <w:tcBorders>
              <w:bottom w:val="single" w:sz="6" w:space="0" w:color="000000"/>
            </w:tcBorders>
            <w:vAlign w:val="bottom"/>
            <w:hideMark/>
          </w:tcPr>
          <w:p w14:paraId="1AA52861" w14:textId="77777777" w:rsidR="00000000" w:rsidRDefault="00847163">
            <w:pPr>
              <w:pStyle w:val="a3"/>
              <w:spacing w:before="0" w:beforeAutospacing="0" w:after="0" w:afterAutospacing="0"/>
              <w:jc w:val="center"/>
              <w:rPr>
                <w:sz w:val="20"/>
                <w:szCs w:val="20"/>
              </w:rPr>
            </w:pPr>
            <w:r>
              <w:rPr>
                <w:b/>
                <w:bCs/>
                <w:sz w:val="20"/>
                <w:szCs w:val="20"/>
              </w:rPr>
              <w:t>Number of Leases</w:t>
            </w:r>
          </w:p>
          <w:p w14:paraId="4D0AC6F6" w14:textId="77777777" w:rsidR="00000000" w:rsidRDefault="00847163">
            <w:pPr>
              <w:pStyle w:val="a3"/>
              <w:spacing w:before="0" w:beforeAutospacing="0" w:after="0" w:afterAutospacing="0"/>
              <w:jc w:val="center"/>
              <w:rPr>
                <w:sz w:val="20"/>
                <w:szCs w:val="20"/>
              </w:rPr>
            </w:pPr>
            <w:r>
              <w:rPr>
                <w:b/>
                <w:bCs/>
                <w:sz w:val="20"/>
                <w:szCs w:val="20"/>
              </w:rPr>
              <w:t>Expiring</w:t>
            </w:r>
          </w:p>
        </w:tc>
        <w:tc>
          <w:tcPr>
            <w:tcW w:w="50" w:type="pct"/>
            <w:tcMar>
              <w:top w:w="0" w:type="dxa"/>
              <w:left w:w="0" w:type="dxa"/>
              <w:bottom w:w="15" w:type="dxa"/>
              <w:right w:w="0" w:type="dxa"/>
            </w:tcMar>
            <w:vAlign w:val="bottom"/>
            <w:hideMark/>
          </w:tcPr>
          <w:p w14:paraId="317FAE46" w14:textId="77777777" w:rsidR="00000000" w:rsidRDefault="00847163">
            <w:pPr>
              <w:rPr>
                <w:rFonts w:eastAsia="Times New Roman"/>
                <w:sz w:val="20"/>
                <w:szCs w:val="20"/>
              </w:rPr>
            </w:pPr>
            <w:r>
              <w:rPr>
                <w:rFonts w:eastAsia="Times New Roman"/>
                <w:sz w:val="20"/>
                <w:szCs w:val="20"/>
              </w:rPr>
              <w:t> </w:t>
            </w:r>
          </w:p>
        </w:tc>
        <w:tc>
          <w:tcPr>
            <w:tcW w:w="50" w:type="pct"/>
            <w:vAlign w:val="bottom"/>
            <w:hideMark/>
          </w:tcPr>
          <w:p w14:paraId="0A4D8448" w14:textId="77777777" w:rsidR="00000000" w:rsidRDefault="00847163">
            <w:pPr>
              <w:rPr>
                <w:rFonts w:eastAsia="Times New Roman"/>
                <w:sz w:val="20"/>
                <w:szCs w:val="20"/>
              </w:rPr>
            </w:pPr>
            <w:r>
              <w:rPr>
                <w:rFonts w:eastAsia="Times New Roman"/>
                <w:sz w:val="20"/>
                <w:szCs w:val="20"/>
              </w:rPr>
              <w:t> </w:t>
            </w:r>
          </w:p>
        </w:tc>
        <w:tc>
          <w:tcPr>
            <w:tcW w:w="1000" w:type="pct"/>
            <w:tcBorders>
              <w:bottom w:val="single" w:sz="6" w:space="0" w:color="000000"/>
            </w:tcBorders>
            <w:vAlign w:val="bottom"/>
            <w:hideMark/>
          </w:tcPr>
          <w:p w14:paraId="5AD87142" w14:textId="77777777" w:rsidR="00000000" w:rsidRDefault="00847163">
            <w:pPr>
              <w:pStyle w:val="a3"/>
              <w:spacing w:before="0" w:beforeAutospacing="0" w:after="0" w:afterAutospacing="0"/>
              <w:jc w:val="center"/>
              <w:rPr>
                <w:sz w:val="20"/>
                <w:szCs w:val="20"/>
              </w:rPr>
            </w:pPr>
            <w:r>
              <w:rPr>
                <w:b/>
                <w:bCs/>
                <w:sz w:val="20"/>
                <w:szCs w:val="20"/>
              </w:rPr>
              <w:t xml:space="preserve">Square Feet </w:t>
            </w:r>
          </w:p>
          <w:p w14:paraId="3C7DC62C" w14:textId="77777777" w:rsidR="00000000" w:rsidRDefault="00847163">
            <w:pPr>
              <w:pStyle w:val="a3"/>
              <w:spacing w:before="0" w:beforeAutospacing="0" w:after="0" w:afterAutospacing="0"/>
              <w:jc w:val="center"/>
              <w:rPr>
                <w:sz w:val="20"/>
                <w:szCs w:val="20"/>
              </w:rPr>
            </w:pPr>
            <w:r>
              <w:rPr>
                <w:b/>
                <w:bCs/>
                <w:sz w:val="20"/>
                <w:szCs w:val="20"/>
              </w:rPr>
              <w:t>Expiring</w:t>
            </w:r>
          </w:p>
        </w:tc>
        <w:tc>
          <w:tcPr>
            <w:tcW w:w="50" w:type="pct"/>
            <w:tcMar>
              <w:top w:w="0" w:type="dxa"/>
              <w:left w:w="0" w:type="dxa"/>
              <w:bottom w:w="15" w:type="dxa"/>
              <w:right w:w="0" w:type="dxa"/>
            </w:tcMar>
            <w:vAlign w:val="bottom"/>
            <w:hideMark/>
          </w:tcPr>
          <w:p w14:paraId="40284D9E" w14:textId="77777777" w:rsidR="00000000" w:rsidRDefault="00847163">
            <w:pPr>
              <w:rPr>
                <w:rFonts w:eastAsia="Times New Roman"/>
                <w:sz w:val="20"/>
                <w:szCs w:val="20"/>
              </w:rPr>
            </w:pPr>
            <w:r>
              <w:rPr>
                <w:rFonts w:eastAsia="Times New Roman"/>
                <w:sz w:val="20"/>
                <w:szCs w:val="20"/>
              </w:rPr>
              <w:t> </w:t>
            </w:r>
          </w:p>
        </w:tc>
        <w:tc>
          <w:tcPr>
            <w:tcW w:w="50" w:type="pct"/>
            <w:vAlign w:val="bottom"/>
            <w:hideMark/>
          </w:tcPr>
          <w:p w14:paraId="653672C0" w14:textId="77777777" w:rsidR="00000000" w:rsidRDefault="00847163">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74DD0D1C" w14:textId="77777777" w:rsidR="00000000" w:rsidRDefault="00847163">
            <w:pPr>
              <w:pStyle w:val="a3"/>
              <w:spacing w:before="0" w:beforeAutospacing="0" w:after="0" w:afterAutospacing="0"/>
              <w:jc w:val="center"/>
              <w:rPr>
                <w:sz w:val="20"/>
                <w:szCs w:val="20"/>
              </w:rPr>
            </w:pPr>
            <w:r>
              <w:rPr>
                <w:b/>
                <w:bCs/>
                <w:sz w:val="20"/>
                <w:szCs w:val="20"/>
              </w:rPr>
              <w:t xml:space="preserve">Total Annual Base </w:t>
            </w:r>
          </w:p>
          <w:p w14:paraId="5F4CD173" w14:textId="77777777" w:rsidR="00000000" w:rsidRDefault="00847163">
            <w:pPr>
              <w:pStyle w:val="a3"/>
              <w:spacing w:before="0" w:beforeAutospacing="0" w:after="0" w:afterAutospacing="0"/>
              <w:jc w:val="center"/>
              <w:rPr>
                <w:sz w:val="20"/>
                <w:szCs w:val="20"/>
              </w:rPr>
            </w:pPr>
            <w:r>
              <w:rPr>
                <w:b/>
                <w:bCs/>
                <w:sz w:val="20"/>
                <w:szCs w:val="20"/>
              </w:rPr>
              <w:t>Rent Expiring</w:t>
            </w:r>
          </w:p>
        </w:tc>
        <w:tc>
          <w:tcPr>
            <w:tcW w:w="50" w:type="pct"/>
            <w:tcMar>
              <w:top w:w="0" w:type="dxa"/>
              <w:left w:w="0" w:type="dxa"/>
              <w:bottom w:w="15" w:type="dxa"/>
              <w:right w:w="0" w:type="dxa"/>
            </w:tcMar>
            <w:vAlign w:val="bottom"/>
            <w:hideMark/>
          </w:tcPr>
          <w:p w14:paraId="210C005F" w14:textId="77777777" w:rsidR="00000000" w:rsidRDefault="00847163">
            <w:pPr>
              <w:rPr>
                <w:rFonts w:eastAsia="Times New Roman"/>
                <w:sz w:val="20"/>
                <w:szCs w:val="20"/>
              </w:rPr>
            </w:pPr>
            <w:r>
              <w:rPr>
                <w:rFonts w:eastAsia="Times New Roman"/>
                <w:sz w:val="20"/>
                <w:szCs w:val="20"/>
              </w:rPr>
              <w:t> </w:t>
            </w:r>
          </w:p>
        </w:tc>
        <w:tc>
          <w:tcPr>
            <w:tcW w:w="50" w:type="pct"/>
            <w:vAlign w:val="bottom"/>
            <w:hideMark/>
          </w:tcPr>
          <w:p w14:paraId="6476FCF3" w14:textId="77777777" w:rsidR="00000000" w:rsidRDefault="00847163">
            <w:pPr>
              <w:rPr>
                <w:rFonts w:eastAsia="Times New Roman"/>
                <w:sz w:val="20"/>
                <w:szCs w:val="20"/>
              </w:rPr>
            </w:pPr>
            <w:r>
              <w:rPr>
                <w:rFonts w:eastAsia="Times New Roman"/>
                <w:sz w:val="20"/>
                <w:szCs w:val="20"/>
              </w:rPr>
              <w:t> </w:t>
            </w:r>
          </w:p>
        </w:tc>
        <w:tc>
          <w:tcPr>
            <w:tcW w:w="650" w:type="pct"/>
            <w:gridSpan w:val="3"/>
            <w:tcBorders>
              <w:bottom w:val="single" w:sz="6" w:space="0" w:color="000000"/>
            </w:tcBorders>
            <w:vAlign w:val="bottom"/>
            <w:hideMark/>
          </w:tcPr>
          <w:p w14:paraId="43D2D835" w14:textId="77777777" w:rsidR="00000000" w:rsidRDefault="00847163">
            <w:pPr>
              <w:pStyle w:val="a3"/>
              <w:spacing w:before="0" w:beforeAutospacing="0" w:after="0" w:afterAutospacing="0"/>
              <w:jc w:val="center"/>
              <w:rPr>
                <w:sz w:val="20"/>
                <w:szCs w:val="20"/>
              </w:rPr>
            </w:pPr>
            <w:r>
              <w:rPr>
                <w:b/>
                <w:bCs/>
                <w:sz w:val="20"/>
                <w:szCs w:val="20"/>
              </w:rPr>
              <w:t xml:space="preserve">% of Gross </w:t>
            </w:r>
          </w:p>
          <w:p w14:paraId="0ABD529B" w14:textId="77777777" w:rsidR="00000000" w:rsidRDefault="00847163">
            <w:pPr>
              <w:pStyle w:val="a3"/>
              <w:spacing w:before="0" w:beforeAutospacing="0" w:after="0" w:afterAutospacing="0"/>
              <w:jc w:val="center"/>
              <w:rPr>
                <w:sz w:val="20"/>
                <w:szCs w:val="20"/>
              </w:rPr>
            </w:pPr>
            <w:r>
              <w:rPr>
                <w:b/>
                <w:bCs/>
                <w:sz w:val="20"/>
                <w:szCs w:val="20"/>
              </w:rPr>
              <w:t>Annual Rent</w:t>
            </w:r>
          </w:p>
        </w:tc>
      </w:tr>
      <w:tr w:rsidR="00000000" w14:paraId="35E4CEF8" w14:textId="77777777">
        <w:trPr>
          <w:tblCellSpacing w:w="0" w:type="dxa"/>
        </w:trPr>
        <w:tc>
          <w:tcPr>
            <w:tcW w:w="1000" w:type="pct"/>
            <w:shd w:val="clear" w:color="auto" w:fill="CCEEFF"/>
            <w:vAlign w:val="bottom"/>
            <w:hideMark/>
          </w:tcPr>
          <w:p w14:paraId="30CE9216" w14:textId="77777777" w:rsidR="00000000" w:rsidRDefault="00847163">
            <w:pPr>
              <w:jc w:val="center"/>
              <w:rPr>
                <w:rFonts w:eastAsia="Times New Roman"/>
                <w:sz w:val="20"/>
                <w:szCs w:val="20"/>
              </w:rPr>
            </w:pPr>
            <w:r>
              <w:rPr>
                <w:rFonts w:eastAsia="Times New Roman"/>
                <w:sz w:val="20"/>
                <w:szCs w:val="20"/>
              </w:rPr>
              <w:t>(1)</w:t>
            </w:r>
          </w:p>
        </w:tc>
        <w:tc>
          <w:tcPr>
            <w:tcW w:w="50" w:type="pct"/>
            <w:shd w:val="clear" w:color="auto" w:fill="CCEEFF"/>
            <w:vAlign w:val="bottom"/>
            <w:hideMark/>
          </w:tcPr>
          <w:p w14:paraId="7FC7250A" w14:textId="77777777" w:rsidR="00000000" w:rsidRDefault="00847163">
            <w:pPr>
              <w:rPr>
                <w:rFonts w:eastAsia="Times New Roman"/>
                <w:sz w:val="20"/>
                <w:szCs w:val="20"/>
              </w:rPr>
            </w:pPr>
            <w:r>
              <w:rPr>
                <w:rFonts w:eastAsia="Times New Roman"/>
                <w:sz w:val="20"/>
                <w:szCs w:val="20"/>
              </w:rPr>
              <w:t> </w:t>
            </w:r>
          </w:p>
        </w:tc>
        <w:tc>
          <w:tcPr>
            <w:tcW w:w="1000" w:type="pct"/>
            <w:shd w:val="clear" w:color="auto" w:fill="CCEEFF"/>
            <w:vAlign w:val="bottom"/>
            <w:hideMark/>
          </w:tcPr>
          <w:p w14:paraId="15E4E2AD" w14:textId="77777777" w:rsidR="00000000" w:rsidRDefault="00847163">
            <w:pPr>
              <w:ind w:left="176"/>
              <w:jc w:val="center"/>
              <w:rPr>
                <w:rFonts w:eastAsia="Times New Roman"/>
                <w:sz w:val="20"/>
                <w:szCs w:val="20"/>
              </w:rPr>
            </w:pPr>
            <w:r>
              <w:rPr>
                <w:rFonts w:eastAsia="Times New Roman"/>
                <w:sz w:val="20"/>
                <w:szCs w:val="20"/>
              </w:rPr>
              <w:t>169</w:t>
            </w:r>
          </w:p>
        </w:tc>
        <w:tc>
          <w:tcPr>
            <w:tcW w:w="50" w:type="pct"/>
            <w:shd w:val="clear" w:color="auto" w:fill="CCEEFF"/>
            <w:vAlign w:val="bottom"/>
            <w:hideMark/>
          </w:tcPr>
          <w:p w14:paraId="08D8CC03"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017354F" w14:textId="77777777" w:rsidR="00000000" w:rsidRDefault="00847163">
            <w:pPr>
              <w:rPr>
                <w:rFonts w:eastAsia="Times New Roman"/>
                <w:sz w:val="20"/>
                <w:szCs w:val="20"/>
              </w:rPr>
            </w:pPr>
            <w:r>
              <w:rPr>
                <w:rFonts w:eastAsia="Times New Roman"/>
                <w:sz w:val="20"/>
                <w:szCs w:val="20"/>
              </w:rPr>
              <w:t> </w:t>
            </w:r>
          </w:p>
        </w:tc>
        <w:tc>
          <w:tcPr>
            <w:tcW w:w="1000" w:type="pct"/>
            <w:shd w:val="clear" w:color="auto" w:fill="CCEEFF"/>
            <w:vAlign w:val="bottom"/>
            <w:hideMark/>
          </w:tcPr>
          <w:p w14:paraId="1564BD3E" w14:textId="77777777" w:rsidR="00000000" w:rsidRDefault="00847163">
            <w:pPr>
              <w:ind w:left="176"/>
              <w:jc w:val="center"/>
              <w:rPr>
                <w:rFonts w:eastAsia="Times New Roman"/>
                <w:sz w:val="20"/>
                <w:szCs w:val="20"/>
              </w:rPr>
            </w:pPr>
            <w:r>
              <w:rPr>
                <w:rFonts w:eastAsia="Times New Roman"/>
                <w:sz w:val="20"/>
                <w:szCs w:val="20"/>
              </w:rPr>
              <w:t>488</w:t>
            </w:r>
          </w:p>
        </w:tc>
        <w:tc>
          <w:tcPr>
            <w:tcW w:w="50" w:type="pct"/>
            <w:shd w:val="clear" w:color="auto" w:fill="CCEEFF"/>
            <w:vAlign w:val="bottom"/>
            <w:hideMark/>
          </w:tcPr>
          <w:p w14:paraId="54BCA713"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4626A32"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E90F62D" w14:textId="77777777" w:rsidR="00000000" w:rsidRDefault="00847163">
            <w:pPr>
              <w:ind w:left="176"/>
              <w:rPr>
                <w:rFonts w:eastAsia="Times New Roman"/>
                <w:sz w:val="20"/>
                <w:szCs w:val="20"/>
              </w:rPr>
            </w:pPr>
            <w:r>
              <w:rPr>
                <w:rFonts w:eastAsia="Times New Roman"/>
                <w:sz w:val="20"/>
                <w:szCs w:val="20"/>
              </w:rPr>
              <w:t>$</w:t>
            </w:r>
          </w:p>
        </w:tc>
        <w:tc>
          <w:tcPr>
            <w:tcW w:w="850" w:type="pct"/>
            <w:shd w:val="clear" w:color="auto" w:fill="CCEEFF"/>
            <w:vAlign w:val="bottom"/>
            <w:hideMark/>
          </w:tcPr>
          <w:p w14:paraId="0A40F96A" w14:textId="77777777" w:rsidR="00000000" w:rsidRDefault="00847163">
            <w:pPr>
              <w:ind w:left="176"/>
              <w:jc w:val="right"/>
              <w:rPr>
                <w:rFonts w:eastAsia="Times New Roman"/>
                <w:sz w:val="20"/>
                <w:szCs w:val="20"/>
              </w:rPr>
            </w:pPr>
            <w:r>
              <w:rPr>
                <w:rFonts w:eastAsia="Times New Roman"/>
                <w:sz w:val="20"/>
                <w:szCs w:val="20"/>
              </w:rPr>
              <w:t>11,161</w:t>
            </w:r>
          </w:p>
        </w:tc>
        <w:tc>
          <w:tcPr>
            <w:tcW w:w="50" w:type="pct"/>
            <w:shd w:val="clear" w:color="auto" w:fill="CCEEFF"/>
            <w:vAlign w:val="bottom"/>
            <w:hideMark/>
          </w:tcPr>
          <w:p w14:paraId="79ACFB8C"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C3B11DB"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1290343" w14:textId="77777777" w:rsidR="00000000" w:rsidRDefault="0084716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1D6EC8D4" w14:textId="77777777" w:rsidR="00000000" w:rsidRDefault="00847163">
            <w:pPr>
              <w:ind w:left="176"/>
              <w:jc w:val="right"/>
              <w:rPr>
                <w:rFonts w:eastAsia="Times New Roman"/>
                <w:sz w:val="20"/>
                <w:szCs w:val="20"/>
              </w:rPr>
            </w:pPr>
            <w:r>
              <w:rPr>
                <w:rFonts w:eastAsia="Times New Roman"/>
                <w:sz w:val="20"/>
                <w:szCs w:val="20"/>
              </w:rPr>
              <w:t>1.4</w:t>
            </w:r>
          </w:p>
        </w:tc>
        <w:tc>
          <w:tcPr>
            <w:tcW w:w="100" w:type="pct"/>
            <w:shd w:val="clear" w:color="auto" w:fill="CCEEFF"/>
            <w:vAlign w:val="bottom"/>
            <w:hideMark/>
          </w:tcPr>
          <w:p w14:paraId="3E1B3C4B" w14:textId="77777777" w:rsidR="00000000" w:rsidRDefault="00847163">
            <w:pPr>
              <w:pStyle w:val="a3"/>
              <w:spacing w:before="0" w:beforeAutospacing="0" w:after="0" w:afterAutospacing="0"/>
              <w:rPr>
                <w:sz w:val="20"/>
                <w:szCs w:val="20"/>
              </w:rPr>
            </w:pPr>
            <w:r>
              <w:rPr>
                <w:sz w:val="20"/>
                <w:szCs w:val="20"/>
              </w:rPr>
              <w:t>%</w:t>
            </w:r>
          </w:p>
        </w:tc>
      </w:tr>
      <w:tr w:rsidR="00000000" w14:paraId="7B0904BA" w14:textId="77777777">
        <w:trPr>
          <w:tblCellSpacing w:w="0" w:type="dxa"/>
        </w:trPr>
        <w:tc>
          <w:tcPr>
            <w:tcW w:w="1000" w:type="pct"/>
            <w:shd w:val="clear" w:color="auto" w:fill="FFFFFF"/>
            <w:vAlign w:val="bottom"/>
            <w:hideMark/>
          </w:tcPr>
          <w:p w14:paraId="25E4C76D" w14:textId="77777777" w:rsidR="00000000" w:rsidRDefault="00847163">
            <w:pPr>
              <w:pStyle w:val="a3"/>
              <w:spacing w:before="0" w:beforeAutospacing="0" w:after="0" w:afterAutospacing="0"/>
              <w:ind w:left="352" w:hanging="176"/>
              <w:jc w:val="center"/>
              <w:rPr>
                <w:sz w:val="20"/>
                <w:szCs w:val="20"/>
              </w:rPr>
            </w:pPr>
            <w:r>
              <w:rPr>
                <w:sz w:val="20"/>
                <w:szCs w:val="20"/>
              </w:rPr>
              <w:t>2020</w:t>
            </w:r>
          </w:p>
        </w:tc>
        <w:tc>
          <w:tcPr>
            <w:tcW w:w="50" w:type="pct"/>
            <w:shd w:val="clear" w:color="auto" w:fill="FFFFFF"/>
            <w:vAlign w:val="bottom"/>
            <w:hideMark/>
          </w:tcPr>
          <w:p w14:paraId="54C37770" w14:textId="77777777" w:rsidR="00000000" w:rsidRDefault="00847163">
            <w:pPr>
              <w:rPr>
                <w:rFonts w:eastAsia="Times New Roman"/>
                <w:sz w:val="20"/>
                <w:szCs w:val="20"/>
              </w:rPr>
            </w:pPr>
            <w:r>
              <w:rPr>
                <w:rFonts w:eastAsia="Times New Roman"/>
                <w:sz w:val="20"/>
                <w:szCs w:val="20"/>
              </w:rPr>
              <w:t> </w:t>
            </w:r>
          </w:p>
        </w:tc>
        <w:tc>
          <w:tcPr>
            <w:tcW w:w="1000" w:type="pct"/>
            <w:shd w:val="clear" w:color="auto" w:fill="FFFFFF"/>
            <w:vAlign w:val="bottom"/>
            <w:hideMark/>
          </w:tcPr>
          <w:p w14:paraId="69C9F188" w14:textId="77777777" w:rsidR="00000000" w:rsidRDefault="00847163">
            <w:pPr>
              <w:ind w:left="176"/>
              <w:jc w:val="center"/>
              <w:rPr>
                <w:rFonts w:eastAsia="Times New Roman"/>
                <w:sz w:val="20"/>
                <w:szCs w:val="20"/>
              </w:rPr>
            </w:pPr>
            <w:r>
              <w:rPr>
                <w:rFonts w:eastAsia="Times New Roman"/>
                <w:sz w:val="20"/>
                <w:szCs w:val="20"/>
              </w:rPr>
              <w:t>355</w:t>
            </w:r>
          </w:p>
        </w:tc>
        <w:tc>
          <w:tcPr>
            <w:tcW w:w="50" w:type="pct"/>
            <w:shd w:val="clear" w:color="auto" w:fill="FFFFFF"/>
            <w:vAlign w:val="bottom"/>
            <w:hideMark/>
          </w:tcPr>
          <w:p w14:paraId="0343D330"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C0997AD" w14:textId="77777777" w:rsidR="00000000" w:rsidRDefault="00847163">
            <w:pPr>
              <w:rPr>
                <w:rFonts w:eastAsia="Times New Roman"/>
                <w:sz w:val="20"/>
                <w:szCs w:val="20"/>
              </w:rPr>
            </w:pPr>
            <w:r>
              <w:rPr>
                <w:rFonts w:eastAsia="Times New Roman"/>
                <w:sz w:val="20"/>
                <w:szCs w:val="20"/>
              </w:rPr>
              <w:t> </w:t>
            </w:r>
          </w:p>
        </w:tc>
        <w:tc>
          <w:tcPr>
            <w:tcW w:w="1000" w:type="pct"/>
            <w:shd w:val="clear" w:color="auto" w:fill="FFFFFF"/>
            <w:vAlign w:val="bottom"/>
            <w:hideMark/>
          </w:tcPr>
          <w:p w14:paraId="770CAD60" w14:textId="77777777" w:rsidR="00000000" w:rsidRDefault="00847163">
            <w:pPr>
              <w:ind w:left="176"/>
              <w:jc w:val="center"/>
              <w:rPr>
                <w:rFonts w:eastAsia="Times New Roman"/>
                <w:sz w:val="20"/>
                <w:szCs w:val="20"/>
              </w:rPr>
            </w:pPr>
            <w:r>
              <w:rPr>
                <w:rFonts w:eastAsia="Times New Roman"/>
                <w:sz w:val="20"/>
                <w:szCs w:val="20"/>
              </w:rPr>
              <w:t>1,646</w:t>
            </w:r>
          </w:p>
        </w:tc>
        <w:tc>
          <w:tcPr>
            <w:tcW w:w="50" w:type="pct"/>
            <w:shd w:val="clear" w:color="auto" w:fill="FFFFFF"/>
            <w:vAlign w:val="bottom"/>
            <w:hideMark/>
          </w:tcPr>
          <w:p w14:paraId="3C643170"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AC96F60"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CC29FF9" w14:textId="77777777" w:rsidR="00000000" w:rsidRDefault="00847163">
            <w:pPr>
              <w:ind w:left="176"/>
              <w:rPr>
                <w:rFonts w:eastAsia="Times New Roman"/>
                <w:sz w:val="20"/>
                <w:szCs w:val="20"/>
              </w:rPr>
            </w:pPr>
            <w:r>
              <w:rPr>
                <w:rFonts w:eastAsia="Times New Roman"/>
                <w:sz w:val="20"/>
                <w:szCs w:val="20"/>
              </w:rPr>
              <w:t>$</w:t>
            </w:r>
          </w:p>
        </w:tc>
        <w:tc>
          <w:tcPr>
            <w:tcW w:w="850" w:type="pct"/>
            <w:shd w:val="clear" w:color="auto" w:fill="FFFFFF"/>
            <w:vAlign w:val="bottom"/>
            <w:hideMark/>
          </w:tcPr>
          <w:p w14:paraId="617FF516" w14:textId="77777777" w:rsidR="00000000" w:rsidRDefault="00847163">
            <w:pPr>
              <w:ind w:left="176"/>
              <w:jc w:val="right"/>
              <w:rPr>
                <w:rFonts w:eastAsia="Times New Roman"/>
                <w:sz w:val="20"/>
                <w:szCs w:val="20"/>
              </w:rPr>
            </w:pPr>
            <w:r>
              <w:rPr>
                <w:rFonts w:eastAsia="Times New Roman"/>
                <w:sz w:val="20"/>
                <w:szCs w:val="20"/>
              </w:rPr>
              <w:t>30,684</w:t>
            </w:r>
          </w:p>
        </w:tc>
        <w:tc>
          <w:tcPr>
            <w:tcW w:w="50" w:type="pct"/>
            <w:shd w:val="clear" w:color="auto" w:fill="FFFFFF"/>
            <w:vAlign w:val="bottom"/>
            <w:hideMark/>
          </w:tcPr>
          <w:p w14:paraId="04EA40D6"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9C5FE2D"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BB4D32C" w14:textId="77777777" w:rsidR="00000000" w:rsidRDefault="00847163">
            <w:pPr>
              <w:rPr>
                <w:rFonts w:eastAsia="Times New Roman"/>
                <w:sz w:val="20"/>
                <w:szCs w:val="20"/>
              </w:rPr>
            </w:pPr>
            <w:r>
              <w:rPr>
                <w:rFonts w:eastAsia="Times New Roman"/>
                <w:sz w:val="20"/>
                <w:szCs w:val="20"/>
              </w:rPr>
              <w:t> </w:t>
            </w:r>
          </w:p>
        </w:tc>
        <w:tc>
          <w:tcPr>
            <w:tcW w:w="600" w:type="pct"/>
            <w:shd w:val="clear" w:color="auto" w:fill="FFFFFF"/>
            <w:vAlign w:val="bottom"/>
            <w:hideMark/>
          </w:tcPr>
          <w:p w14:paraId="53161C1F" w14:textId="77777777" w:rsidR="00000000" w:rsidRDefault="00847163">
            <w:pPr>
              <w:ind w:left="176"/>
              <w:jc w:val="right"/>
              <w:rPr>
                <w:rFonts w:eastAsia="Times New Roman"/>
                <w:sz w:val="20"/>
                <w:szCs w:val="20"/>
              </w:rPr>
            </w:pPr>
            <w:r>
              <w:rPr>
                <w:rFonts w:eastAsia="Times New Roman"/>
                <w:sz w:val="20"/>
                <w:szCs w:val="20"/>
              </w:rPr>
              <w:t>3.7</w:t>
            </w:r>
          </w:p>
        </w:tc>
        <w:tc>
          <w:tcPr>
            <w:tcW w:w="100" w:type="pct"/>
            <w:shd w:val="clear" w:color="auto" w:fill="FFFFFF"/>
            <w:vAlign w:val="bottom"/>
            <w:hideMark/>
          </w:tcPr>
          <w:p w14:paraId="1241A2A3" w14:textId="77777777" w:rsidR="00000000" w:rsidRDefault="00847163">
            <w:pPr>
              <w:pStyle w:val="a3"/>
              <w:spacing w:before="0" w:beforeAutospacing="0" w:after="0" w:afterAutospacing="0"/>
              <w:rPr>
                <w:sz w:val="20"/>
                <w:szCs w:val="20"/>
              </w:rPr>
            </w:pPr>
            <w:r>
              <w:rPr>
                <w:sz w:val="20"/>
                <w:szCs w:val="20"/>
              </w:rPr>
              <w:t>%</w:t>
            </w:r>
          </w:p>
        </w:tc>
      </w:tr>
      <w:tr w:rsidR="00000000" w14:paraId="6F5D4BBD" w14:textId="77777777">
        <w:trPr>
          <w:tblCellSpacing w:w="0" w:type="dxa"/>
        </w:trPr>
        <w:tc>
          <w:tcPr>
            <w:tcW w:w="1000" w:type="pct"/>
            <w:shd w:val="clear" w:color="auto" w:fill="CCEEFF"/>
            <w:vAlign w:val="bottom"/>
            <w:hideMark/>
          </w:tcPr>
          <w:p w14:paraId="240758A5" w14:textId="77777777" w:rsidR="00000000" w:rsidRDefault="00847163">
            <w:pPr>
              <w:pStyle w:val="a3"/>
              <w:spacing w:before="0" w:beforeAutospacing="0" w:after="0" w:afterAutospacing="0"/>
              <w:ind w:left="352" w:hanging="176"/>
              <w:jc w:val="center"/>
              <w:rPr>
                <w:sz w:val="20"/>
                <w:szCs w:val="20"/>
              </w:rPr>
            </w:pPr>
            <w:r>
              <w:rPr>
                <w:sz w:val="20"/>
                <w:szCs w:val="20"/>
              </w:rPr>
              <w:t>2021</w:t>
            </w:r>
          </w:p>
        </w:tc>
        <w:tc>
          <w:tcPr>
            <w:tcW w:w="50" w:type="pct"/>
            <w:shd w:val="clear" w:color="auto" w:fill="CCEEFF"/>
            <w:vAlign w:val="bottom"/>
            <w:hideMark/>
          </w:tcPr>
          <w:p w14:paraId="48E07C32" w14:textId="77777777" w:rsidR="00000000" w:rsidRDefault="00847163">
            <w:pPr>
              <w:rPr>
                <w:rFonts w:eastAsia="Times New Roman"/>
                <w:sz w:val="20"/>
                <w:szCs w:val="20"/>
              </w:rPr>
            </w:pPr>
            <w:r>
              <w:rPr>
                <w:rFonts w:eastAsia="Times New Roman"/>
                <w:sz w:val="20"/>
                <w:szCs w:val="20"/>
              </w:rPr>
              <w:t> </w:t>
            </w:r>
          </w:p>
        </w:tc>
        <w:tc>
          <w:tcPr>
            <w:tcW w:w="1000" w:type="pct"/>
            <w:shd w:val="clear" w:color="auto" w:fill="CCEEFF"/>
            <w:vAlign w:val="bottom"/>
            <w:hideMark/>
          </w:tcPr>
          <w:p w14:paraId="6709643A" w14:textId="77777777" w:rsidR="00000000" w:rsidRDefault="00847163">
            <w:pPr>
              <w:ind w:left="176"/>
              <w:jc w:val="center"/>
              <w:rPr>
                <w:rFonts w:eastAsia="Times New Roman"/>
                <w:sz w:val="20"/>
                <w:szCs w:val="20"/>
              </w:rPr>
            </w:pPr>
            <w:r>
              <w:rPr>
                <w:rFonts w:eastAsia="Times New Roman"/>
                <w:sz w:val="20"/>
                <w:szCs w:val="20"/>
              </w:rPr>
              <w:t>759</w:t>
            </w:r>
          </w:p>
        </w:tc>
        <w:tc>
          <w:tcPr>
            <w:tcW w:w="50" w:type="pct"/>
            <w:shd w:val="clear" w:color="auto" w:fill="CCEEFF"/>
            <w:vAlign w:val="bottom"/>
            <w:hideMark/>
          </w:tcPr>
          <w:p w14:paraId="6E56EBA5"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79B0C55" w14:textId="77777777" w:rsidR="00000000" w:rsidRDefault="00847163">
            <w:pPr>
              <w:rPr>
                <w:rFonts w:eastAsia="Times New Roman"/>
                <w:sz w:val="20"/>
                <w:szCs w:val="20"/>
              </w:rPr>
            </w:pPr>
            <w:r>
              <w:rPr>
                <w:rFonts w:eastAsia="Times New Roman"/>
                <w:sz w:val="20"/>
                <w:szCs w:val="20"/>
              </w:rPr>
              <w:t> </w:t>
            </w:r>
          </w:p>
        </w:tc>
        <w:tc>
          <w:tcPr>
            <w:tcW w:w="1000" w:type="pct"/>
            <w:shd w:val="clear" w:color="auto" w:fill="CCEEFF"/>
            <w:vAlign w:val="bottom"/>
            <w:hideMark/>
          </w:tcPr>
          <w:p w14:paraId="3234E83B" w14:textId="77777777" w:rsidR="00000000" w:rsidRDefault="00847163">
            <w:pPr>
              <w:ind w:left="176"/>
              <w:jc w:val="center"/>
              <w:rPr>
                <w:rFonts w:eastAsia="Times New Roman"/>
                <w:sz w:val="20"/>
                <w:szCs w:val="20"/>
              </w:rPr>
            </w:pPr>
            <w:r>
              <w:rPr>
                <w:rFonts w:eastAsia="Times New Roman"/>
                <w:sz w:val="20"/>
                <w:szCs w:val="20"/>
              </w:rPr>
              <w:t>5,499</w:t>
            </w:r>
          </w:p>
        </w:tc>
        <w:tc>
          <w:tcPr>
            <w:tcW w:w="50" w:type="pct"/>
            <w:shd w:val="clear" w:color="auto" w:fill="CCEEFF"/>
            <w:vAlign w:val="bottom"/>
            <w:hideMark/>
          </w:tcPr>
          <w:p w14:paraId="32BDE09F"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95F0EA7"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EC1DCCF" w14:textId="77777777" w:rsidR="00000000" w:rsidRDefault="00847163">
            <w:pPr>
              <w:ind w:left="176"/>
              <w:rPr>
                <w:rFonts w:eastAsia="Times New Roman"/>
                <w:sz w:val="20"/>
                <w:szCs w:val="20"/>
              </w:rPr>
            </w:pPr>
            <w:r>
              <w:rPr>
                <w:rFonts w:eastAsia="Times New Roman"/>
                <w:sz w:val="20"/>
                <w:szCs w:val="20"/>
              </w:rPr>
              <w:t>$</w:t>
            </w:r>
          </w:p>
        </w:tc>
        <w:tc>
          <w:tcPr>
            <w:tcW w:w="850" w:type="pct"/>
            <w:shd w:val="clear" w:color="auto" w:fill="CCEEFF"/>
            <w:vAlign w:val="bottom"/>
            <w:hideMark/>
          </w:tcPr>
          <w:p w14:paraId="3E40B742" w14:textId="77777777" w:rsidR="00000000" w:rsidRDefault="00847163">
            <w:pPr>
              <w:ind w:left="176"/>
              <w:jc w:val="right"/>
              <w:rPr>
                <w:rFonts w:eastAsia="Times New Roman"/>
                <w:sz w:val="20"/>
                <w:szCs w:val="20"/>
              </w:rPr>
            </w:pPr>
            <w:r>
              <w:rPr>
                <w:rFonts w:eastAsia="Times New Roman"/>
                <w:sz w:val="20"/>
                <w:szCs w:val="20"/>
              </w:rPr>
              <w:t>87,791</w:t>
            </w:r>
          </w:p>
        </w:tc>
        <w:tc>
          <w:tcPr>
            <w:tcW w:w="50" w:type="pct"/>
            <w:shd w:val="clear" w:color="auto" w:fill="CCEEFF"/>
            <w:vAlign w:val="bottom"/>
            <w:hideMark/>
          </w:tcPr>
          <w:p w14:paraId="53C33272"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2732698"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69C4D45" w14:textId="77777777" w:rsidR="00000000" w:rsidRDefault="0084716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054CFE74" w14:textId="77777777" w:rsidR="00000000" w:rsidRDefault="00847163">
            <w:pPr>
              <w:ind w:left="176"/>
              <w:jc w:val="right"/>
              <w:rPr>
                <w:rFonts w:eastAsia="Times New Roman"/>
                <w:sz w:val="20"/>
                <w:szCs w:val="20"/>
              </w:rPr>
            </w:pPr>
            <w:r>
              <w:rPr>
                <w:rFonts w:eastAsia="Times New Roman"/>
                <w:sz w:val="20"/>
                <w:szCs w:val="20"/>
              </w:rPr>
              <w:t>10.7</w:t>
            </w:r>
          </w:p>
        </w:tc>
        <w:tc>
          <w:tcPr>
            <w:tcW w:w="100" w:type="pct"/>
            <w:shd w:val="clear" w:color="auto" w:fill="CCEEFF"/>
            <w:vAlign w:val="bottom"/>
            <w:hideMark/>
          </w:tcPr>
          <w:p w14:paraId="75CA5CF6" w14:textId="77777777" w:rsidR="00000000" w:rsidRDefault="00847163">
            <w:pPr>
              <w:pStyle w:val="a3"/>
              <w:spacing w:before="0" w:beforeAutospacing="0" w:after="0" w:afterAutospacing="0"/>
              <w:rPr>
                <w:sz w:val="20"/>
                <w:szCs w:val="20"/>
              </w:rPr>
            </w:pPr>
            <w:r>
              <w:rPr>
                <w:sz w:val="20"/>
                <w:szCs w:val="20"/>
              </w:rPr>
              <w:t>%</w:t>
            </w:r>
          </w:p>
        </w:tc>
      </w:tr>
      <w:tr w:rsidR="00000000" w14:paraId="73F3B00C" w14:textId="77777777">
        <w:trPr>
          <w:tblCellSpacing w:w="0" w:type="dxa"/>
        </w:trPr>
        <w:tc>
          <w:tcPr>
            <w:tcW w:w="1000" w:type="pct"/>
            <w:shd w:val="clear" w:color="auto" w:fill="FFFFFF"/>
            <w:vAlign w:val="bottom"/>
            <w:hideMark/>
          </w:tcPr>
          <w:p w14:paraId="692F93F5" w14:textId="77777777" w:rsidR="00000000" w:rsidRDefault="00847163">
            <w:pPr>
              <w:pStyle w:val="a3"/>
              <w:spacing w:before="0" w:beforeAutospacing="0" w:after="0" w:afterAutospacing="0"/>
              <w:ind w:left="352" w:hanging="176"/>
              <w:jc w:val="center"/>
              <w:rPr>
                <w:sz w:val="20"/>
                <w:szCs w:val="20"/>
              </w:rPr>
            </w:pPr>
            <w:r>
              <w:rPr>
                <w:sz w:val="20"/>
                <w:szCs w:val="20"/>
              </w:rPr>
              <w:t>2022</w:t>
            </w:r>
          </w:p>
        </w:tc>
        <w:tc>
          <w:tcPr>
            <w:tcW w:w="50" w:type="pct"/>
            <w:shd w:val="clear" w:color="auto" w:fill="FFFFFF"/>
            <w:vAlign w:val="bottom"/>
            <w:hideMark/>
          </w:tcPr>
          <w:p w14:paraId="614C1969" w14:textId="77777777" w:rsidR="00000000" w:rsidRDefault="00847163">
            <w:pPr>
              <w:rPr>
                <w:rFonts w:eastAsia="Times New Roman"/>
                <w:sz w:val="20"/>
                <w:szCs w:val="20"/>
              </w:rPr>
            </w:pPr>
            <w:r>
              <w:rPr>
                <w:rFonts w:eastAsia="Times New Roman"/>
                <w:sz w:val="20"/>
                <w:szCs w:val="20"/>
              </w:rPr>
              <w:t> </w:t>
            </w:r>
          </w:p>
        </w:tc>
        <w:tc>
          <w:tcPr>
            <w:tcW w:w="1000" w:type="pct"/>
            <w:shd w:val="clear" w:color="auto" w:fill="FFFFFF"/>
            <w:vAlign w:val="bottom"/>
            <w:hideMark/>
          </w:tcPr>
          <w:p w14:paraId="3F77B134" w14:textId="77777777" w:rsidR="00000000" w:rsidRDefault="00847163">
            <w:pPr>
              <w:ind w:left="176"/>
              <w:jc w:val="center"/>
              <w:rPr>
                <w:rFonts w:eastAsia="Times New Roman"/>
                <w:sz w:val="20"/>
                <w:szCs w:val="20"/>
              </w:rPr>
            </w:pPr>
            <w:r>
              <w:rPr>
                <w:rFonts w:eastAsia="Times New Roman"/>
                <w:sz w:val="20"/>
                <w:szCs w:val="20"/>
              </w:rPr>
              <w:t>827</w:t>
            </w:r>
          </w:p>
        </w:tc>
        <w:tc>
          <w:tcPr>
            <w:tcW w:w="50" w:type="pct"/>
            <w:shd w:val="clear" w:color="auto" w:fill="FFFFFF"/>
            <w:vAlign w:val="bottom"/>
            <w:hideMark/>
          </w:tcPr>
          <w:p w14:paraId="6DD5EC7B"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2DE2DA9" w14:textId="77777777" w:rsidR="00000000" w:rsidRDefault="00847163">
            <w:pPr>
              <w:rPr>
                <w:rFonts w:eastAsia="Times New Roman"/>
                <w:sz w:val="20"/>
                <w:szCs w:val="20"/>
              </w:rPr>
            </w:pPr>
            <w:r>
              <w:rPr>
                <w:rFonts w:eastAsia="Times New Roman"/>
                <w:sz w:val="20"/>
                <w:szCs w:val="20"/>
              </w:rPr>
              <w:t> </w:t>
            </w:r>
          </w:p>
        </w:tc>
        <w:tc>
          <w:tcPr>
            <w:tcW w:w="1000" w:type="pct"/>
            <w:shd w:val="clear" w:color="auto" w:fill="FFFFFF"/>
            <w:vAlign w:val="bottom"/>
            <w:hideMark/>
          </w:tcPr>
          <w:p w14:paraId="608A735A" w14:textId="77777777" w:rsidR="00000000" w:rsidRDefault="00847163">
            <w:pPr>
              <w:ind w:left="176"/>
              <w:jc w:val="center"/>
              <w:rPr>
                <w:rFonts w:eastAsia="Times New Roman"/>
                <w:sz w:val="20"/>
                <w:szCs w:val="20"/>
              </w:rPr>
            </w:pPr>
            <w:r>
              <w:rPr>
                <w:rFonts w:eastAsia="Times New Roman"/>
                <w:sz w:val="20"/>
                <w:szCs w:val="20"/>
              </w:rPr>
              <w:t>5,943</w:t>
            </w:r>
          </w:p>
        </w:tc>
        <w:tc>
          <w:tcPr>
            <w:tcW w:w="50" w:type="pct"/>
            <w:shd w:val="clear" w:color="auto" w:fill="FFFFFF"/>
            <w:vAlign w:val="bottom"/>
            <w:hideMark/>
          </w:tcPr>
          <w:p w14:paraId="3A781E0F"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D26018A"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615C7AD" w14:textId="77777777" w:rsidR="00000000" w:rsidRDefault="00847163">
            <w:pPr>
              <w:ind w:left="176"/>
              <w:rPr>
                <w:rFonts w:eastAsia="Times New Roman"/>
                <w:sz w:val="20"/>
                <w:szCs w:val="20"/>
              </w:rPr>
            </w:pPr>
            <w:r>
              <w:rPr>
                <w:rFonts w:eastAsia="Times New Roman"/>
                <w:sz w:val="20"/>
                <w:szCs w:val="20"/>
              </w:rPr>
              <w:t>$</w:t>
            </w:r>
          </w:p>
        </w:tc>
        <w:tc>
          <w:tcPr>
            <w:tcW w:w="850" w:type="pct"/>
            <w:shd w:val="clear" w:color="auto" w:fill="FFFFFF"/>
            <w:vAlign w:val="bottom"/>
            <w:hideMark/>
          </w:tcPr>
          <w:p w14:paraId="2C9A08B2" w14:textId="77777777" w:rsidR="00000000" w:rsidRDefault="00847163">
            <w:pPr>
              <w:ind w:left="176"/>
              <w:jc w:val="right"/>
              <w:rPr>
                <w:rFonts w:eastAsia="Times New Roman"/>
                <w:sz w:val="20"/>
                <w:szCs w:val="20"/>
              </w:rPr>
            </w:pPr>
            <w:r>
              <w:rPr>
                <w:rFonts w:eastAsia="Times New Roman"/>
                <w:sz w:val="20"/>
                <w:szCs w:val="20"/>
              </w:rPr>
              <w:t>103,750</w:t>
            </w:r>
          </w:p>
        </w:tc>
        <w:tc>
          <w:tcPr>
            <w:tcW w:w="50" w:type="pct"/>
            <w:shd w:val="clear" w:color="auto" w:fill="FFFFFF"/>
            <w:vAlign w:val="bottom"/>
            <w:hideMark/>
          </w:tcPr>
          <w:p w14:paraId="2C4C6E21"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B29BD2F"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B4B7BB4" w14:textId="77777777" w:rsidR="00000000" w:rsidRDefault="00847163">
            <w:pPr>
              <w:rPr>
                <w:rFonts w:eastAsia="Times New Roman"/>
                <w:sz w:val="20"/>
                <w:szCs w:val="20"/>
              </w:rPr>
            </w:pPr>
            <w:r>
              <w:rPr>
                <w:rFonts w:eastAsia="Times New Roman"/>
                <w:sz w:val="20"/>
                <w:szCs w:val="20"/>
              </w:rPr>
              <w:t> </w:t>
            </w:r>
          </w:p>
        </w:tc>
        <w:tc>
          <w:tcPr>
            <w:tcW w:w="600" w:type="pct"/>
            <w:shd w:val="clear" w:color="auto" w:fill="FFFFFF"/>
            <w:vAlign w:val="bottom"/>
            <w:hideMark/>
          </w:tcPr>
          <w:p w14:paraId="79D59B1A" w14:textId="77777777" w:rsidR="00000000" w:rsidRDefault="00847163">
            <w:pPr>
              <w:ind w:left="176"/>
              <w:jc w:val="right"/>
              <w:rPr>
                <w:rFonts w:eastAsia="Times New Roman"/>
                <w:sz w:val="20"/>
                <w:szCs w:val="20"/>
              </w:rPr>
            </w:pPr>
            <w:r>
              <w:rPr>
                <w:rFonts w:eastAsia="Times New Roman"/>
                <w:sz w:val="20"/>
                <w:szCs w:val="20"/>
              </w:rPr>
              <w:t>12.7</w:t>
            </w:r>
          </w:p>
        </w:tc>
        <w:tc>
          <w:tcPr>
            <w:tcW w:w="100" w:type="pct"/>
            <w:shd w:val="clear" w:color="auto" w:fill="FFFFFF"/>
            <w:vAlign w:val="bottom"/>
            <w:hideMark/>
          </w:tcPr>
          <w:p w14:paraId="12AC382C" w14:textId="77777777" w:rsidR="00000000" w:rsidRDefault="00847163">
            <w:pPr>
              <w:pStyle w:val="a3"/>
              <w:spacing w:before="0" w:beforeAutospacing="0" w:after="0" w:afterAutospacing="0"/>
              <w:rPr>
                <w:sz w:val="20"/>
                <w:szCs w:val="20"/>
              </w:rPr>
            </w:pPr>
            <w:r>
              <w:rPr>
                <w:sz w:val="20"/>
                <w:szCs w:val="20"/>
              </w:rPr>
              <w:t>%</w:t>
            </w:r>
          </w:p>
        </w:tc>
      </w:tr>
      <w:tr w:rsidR="00000000" w14:paraId="63979A5A" w14:textId="77777777">
        <w:trPr>
          <w:tblCellSpacing w:w="0" w:type="dxa"/>
        </w:trPr>
        <w:tc>
          <w:tcPr>
            <w:tcW w:w="1000" w:type="pct"/>
            <w:shd w:val="clear" w:color="auto" w:fill="CCEEFF"/>
            <w:vAlign w:val="bottom"/>
            <w:hideMark/>
          </w:tcPr>
          <w:p w14:paraId="66B5A1CF" w14:textId="77777777" w:rsidR="00000000" w:rsidRDefault="00847163">
            <w:pPr>
              <w:pStyle w:val="a3"/>
              <w:spacing w:before="0" w:beforeAutospacing="0" w:after="0" w:afterAutospacing="0"/>
              <w:ind w:left="352" w:hanging="176"/>
              <w:jc w:val="center"/>
              <w:rPr>
                <w:sz w:val="20"/>
                <w:szCs w:val="20"/>
              </w:rPr>
            </w:pPr>
            <w:r>
              <w:rPr>
                <w:sz w:val="20"/>
                <w:szCs w:val="20"/>
              </w:rPr>
              <w:t>2023</w:t>
            </w:r>
          </w:p>
        </w:tc>
        <w:tc>
          <w:tcPr>
            <w:tcW w:w="50" w:type="pct"/>
            <w:shd w:val="clear" w:color="auto" w:fill="CCEEFF"/>
            <w:vAlign w:val="bottom"/>
            <w:hideMark/>
          </w:tcPr>
          <w:p w14:paraId="610D804D" w14:textId="77777777" w:rsidR="00000000" w:rsidRDefault="00847163">
            <w:pPr>
              <w:rPr>
                <w:rFonts w:eastAsia="Times New Roman"/>
                <w:sz w:val="20"/>
                <w:szCs w:val="20"/>
              </w:rPr>
            </w:pPr>
            <w:r>
              <w:rPr>
                <w:rFonts w:eastAsia="Times New Roman"/>
                <w:sz w:val="20"/>
                <w:szCs w:val="20"/>
              </w:rPr>
              <w:t> </w:t>
            </w:r>
          </w:p>
        </w:tc>
        <w:tc>
          <w:tcPr>
            <w:tcW w:w="1000" w:type="pct"/>
            <w:shd w:val="clear" w:color="auto" w:fill="CCEEFF"/>
            <w:vAlign w:val="bottom"/>
            <w:hideMark/>
          </w:tcPr>
          <w:p w14:paraId="5DFFFEB6" w14:textId="77777777" w:rsidR="00000000" w:rsidRDefault="00847163">
            <w:pPr>
              <w:ind w:left="176"/>
              <w:jc w:val="center"/>
              <w:rPr>
                <w:rFonts w:eastAsia="Times New Roman"/>
                <w:sz w:val="20"/>
                <w:szCs w:val="20"/>
              </w:rPr>
            </w:pPr>
            <w:r>
              <w:rPr>
                <w:rFonts w:eastAsia="Times New Roman"/>
                <w:sz w:val="20"/>
                <w:szCs w:val="20"/>
              </w:rPr>
              <w:t>719</w:t>
            </w:r>
          </w:p>
        </w:tc>
        <w:tc>
          <w:tcPr>
            <w:tcW w:w="50" w:type="pct"/>
            <w:shd w:val="clear" w:color="auto" w:fill="CCEEFF"/>
            <w:vAlign w:val="bottom"/>
            <w:hideMark/>
          </w:tcPr>
          <w:p w14:paraId="40DB65CE"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BDD79EF" w14:textId="77777777" w:rsidR="00000000" w:rsidRDefault="00847163">
            <w:pPr>
              <w:rPr>
                <w:rFonts w:eastAsia="Times New Roman"/>
                <w:sz w:val="20"/>
                <w:szCs w:val="20"/>
              </w:rPr>
            </w:pPr>
            <w:r>
              <w:rPr>
                <w:rFonts w:eastAsia="Times New Roman"/>
                <w:sz w:val="20"/>
                <w:szCs w:val="20"/>
              </w:rPr>
              <w:t> </w:t>
            </w:r>
          </w:p>
        </w:tc>
        <w:tc>
          <w:tcPr>
            <w:tcW w:w="1000" w:type="pct"/>
            <w:shd w:val="clear" w:color="auto" w:fill="CCEEFF"/>
            <w:vAlign w:val="bottom"/>
            <w:hideMark/>
          </w:tcPr>
          <w:p w14:paraId="3A9BA775" w14:textId="77777777" w:rsidR="00000000" w:rsidRDefault="00847163">
            <w:pPr>
              <w:ind w:left="176"/>
              <w:jc w:val="center"/>
              <w:rPr>
                <w:rFonts w:eastAsia="Times New Roman"/>
                <w:sz w:val="20"/>
                <w:szCs w:val="20"/>
              </w:rPr>
            </w:pPr>
            <w:r>
              <w:rPr>
                <w:rFonts w:eastAsia="Times New Roman"/>
                <w:sz w:val="20"/>
                <w:szCs w:val="20"/>
              </w:rPr>
              <w:t>5,783</w:t>
            </w:r>
          </w:p>
        </w:tc>
        <w:tc>
          <w:tcPr>
            <w:tcW w:w="50" w:type="pct"/>
            <w:shd w:val="clear" w:color="auto" w:fill="CCEEFF"/>
            <w:vAlign w:val="bottom"/>
            <w:hideMark/>
          </w:tcPr>
          <w:p w14:paraId="007400FC"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D566FFA"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812BF02" w14:textId="77777777" w:rsidR="00000000" w:rsidRDefault="00847163">
            <w:pPr>
              <w:ind w:left="176"/>
              <w:rPr>
                <w:rFonts w:eastAsia="Times New Roman"/>
                <w:sz w:val="20"/>
                <w:szCs w:val="20"/>
              </w:rPr>
            </w:pPr>
            <w:r>
              <w:rPr>
                <w:rFonts w:eastAsia="Times New Roman"/>
                <w:sz w:val="20"/>
                <w:szCs w:val="20"/>
              </w:rPr>
              <w:t>$</w:t>
            </w:r>
          </w:p>
        </w:tc>
        <w:tc>
          <w:tcPr>
            <w:tcW w:w="850" w:type="pct"/>
            <w:shd w:val="clear" w:color="auto" w:fill="CCEEFF"/>
            <w:vAlign w:val="bottom"/>
            <w:hideMark/>
          </w:tcPr>
          <w:p w14:paraId="02369868" w14:textId="77777777" w:rsidR="00000000" w:rsidRDefault="00847163">
            <w:pPr>
              <w:ind w:left="176"/>
              <w:jc w:val="right"/>
              <w:rPr>
                <w:rFonts w:eastAsia="Times New Roman"/>
                <w:sz w:val="20"/>
                <w:szCs w:val="20"/>
              </w:rPr>
            </w:pPr>
            <w:r>
              <w:rPr>
                <w:rFonts w:eastAsia="Times New Roman"/>
                <w:sz w:val="20"/>
                <w:szCs w:val="20"/>
              </w:rPr>
              <w:t>98,796</w:t>
            </w:r>
          </w:p>
        </w:tc>
        <w:tc>
          <w:tcPr>
            <w:tcW w:w="50" w:type="pct"/>
            <w:shd w:val="clear" w:color="auto" w:fill="CCEEFF"/>
            <w:vAlign w:val="bottom"/>
            <w:hideMark/>
          </w:tcPr>
          <w:p w14:paraId="038177D2"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8DE62F3"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686BC77" w14:textId="77777777" w:rsidR="00000000" w:rsidRDefault="0084716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19F8F4AA" w14:textId="77777777" w:rsidR="00000000" w:rsidRDefault="00847163">
            <w:pPr>
              <w:ind w:left="176"/>
              <w:jc w:val="right"/>
              <w:rPr>
                <w:rFonts w:eastAsia="Times New Roman"/>
                <w:sz w:val="20"/>
                <w:szCs w:val="20"/>
              </w:rPr>
            </w:pPr>
            <w:r>
              <w:rPr>
                <w:rFonts w:eastAsia="Times New Roman"/>
                <w:sz w:val="20"/>
                <w:szCs w:val="20"/>
              </w:rPr>
              <w:t>12.1</w:t>
            </w:r>
          </w:p>
        </w:tc>
        <w:tc>
          <w:tcPr>
            <w:tcW w:w="100" w:type="pct"/>
            <w:shd w:val="clear" w:color="auto" w:fill="CCEEFF"/>
            <w:vAlign w:val="bottom"/>
            <w:hideMark/>
          </w:tcPr>
          <w:p w14:paraId="7ECEEE44" w14:textId="77777777" w:rsidR="00000000" w:rsidRDefault="00847163">
            <w:pPr>
              <w:pStyle w:val="a3"/>
              <w:spacing w:before="0" w:beforeAutospacing="0" w:after="0" w:afterAutospacing="0"/>
              <w:rPr>
                <w:sz w:val="20"/>
                <w:szCs w:val="20"/>
              </w:rPr>
            </w:pPr>
            <w:r>
              <w:rPr>
                <w:sz w:val="20"/>
                <w:szCs w:val="20"/>
              </w:rPr>
              <w:t>%</w:t>
            </w:r>
          </w:p>
        </w:tc>
      </w:tr>
      <w:tr w:rsidR="00000000" w14:paraId="57198DD4" w14:textId="77777777">
        <w:trPr>
          <w:tblCellSpacing w:w="0" w:type="dxa"/>
        </w:trPr>
        <w:tc>
          <w:tcPr>
            <w:tcW w:w="1000" w:type="pct"/>
            <w:shd w:val="clear" w:color="auto" w:fill="FFFFFF"/>
            <w:vAlign w:val="bottom"/>
            <w:hideMark/>
          </w:tcPr>
          <w:p w14:paraId="4A0969A7" w14:textId="77777777" w:rsidR="00000000" w:rsidRDefault="00847163">
            <w:pPr>
              <w:pStyle w:val="a3"/>
              <w:spacing w:before="0" w:beforeAutospacing="0" w:after="0" w:afterAutospacing="0"/>
              <w:ind w:left="352" w:hanging="176"/>
              <w:jc w:val="center"/>
              <w:rPr>
                <w:sz w:val="20"/>
                <w:szCs w:val="20"/>
              </w:rPr>
            </w:pPr>
            <w:r>
              <w:rPr>
                <w:sz w:val="20"/>
                <w:szCs w:val="20"/>
              </w:rPr>
              <w:t>2024</w:t>
            </w:r>
          </w:p>
        </w:tc>
        <w:tc>
          <w:tcPr>
            <w:tcW w:w="50" w:type="pct"/>
            <w:shd w:val="clear" w:color="auto" w:fill="FFFFFF"/>
            <w:vAlign w:val="bottom"/>
            <w:hideMark/>
          </w:tcPr>
          <w:p w14:paraId="66270847" w14:textId="77777777" w:rsidR="00000000" w:rsidRDefault="00847163">
            <w:pPr>
              <w:rPr>
                <w:rFonts w:eastAsia="Times New Roman"/>
                <w:sz w:val="20"/>
                <w:szCs w:val="20"/>
              </w:rPr>
            </w:pPr>
            <w:r>
              <w:rPr>
                <w:rFonts w:eastAsia="Times New Roman"/>
                <w:sz w:val="20"/>
                <w:szCs w:val="20"/>
              </w:rPr>
              <w:t> </w:t>
            </w:r>
          </w:p>
        </w:tc>
        <w:tc>
          <w:tcPr>
            <w:tcW w:w="1000" w:type="pct"/>
            <w:shd w:val="clear" w:color="auto" w:fill="FFFFFF"/>
            <w:vAlign w:val="bottom"/>
            <w:hideMark/>
          </w:tcPr>
          <w:p w14:paraId="0275791E" w14:textId="77777777" w:rsidR="00000000" w:rsidRDefault="00847163">
            <w:pPr>
              <w:ind w:left="176"/>
              <w:jc w:val="center"/>
              <w:rPr>
                <w:rFonts w:eastAsia="Times New Roman"/>
                <w:sz w:val="20"/>
                <w:szCs w:val="20"/>
              </w:rPr>
            </w:pPr>
            <w:r>
              <w:rPr>
                <w:rFonts w:eastAsia="Times New Roman"/>
                <w:sz w:val="20"/>
                <w:szCs w:val="20"/>
              </w:rPr>
              <w:t>671</w:t>
            </w:r>
          </w:p>
        </w:tc>
        <w:tc>
          <w:tcPr>
            <w:tcW w:w="50" w:type="pct"/>
            <w:shd w:val="clear" w:color="auto" w:fill="FFFFFF"/>
            <w:vAlign w:val="bottom"/>
            <w:hideMark/>
          </w:tcPr>
          <w:p w14:paraId="6FB427E5"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D6B7EA4" w14:textId="77777777" w:rsidR="00000000" w:rsidRDefault="00847163">
            <w:pPr>
              <w:rPr>
                <w:rFonts w:eastAsia="Times New Roman"/>
                <w:sz w:val="20"/>
                <w:szCs w:val="20"/>
              </w:rPr>
            </w:pPr>
            <w:r>
              <w:rPr>
                <w:rFonts w:eastAsia="Times New Roman"/>
                <w:sz w:val="20"/>
                <w:szCs w:val="20"/>
              </w:rPr>
              <w:t> </w:t>
            </w:r>
          </w:p>
        </w:tc>
        <w:tc>
          <w:tcPr>
            <w:tcW w:w="1000" w:type="pct"/>
            <w:shd w:val="clear" w:color="auto" w:fill="FFFFFF"/>
            <w:vAlign w:val="bottom"/>
            <w:hideMark/>
          </w:tcPr>
          <w:p w14:paraId="4FE6537C" w14:textId="77777777" w:rsidR="00000000" w:rsidRDefault="00847163">
            <w:pPr>
              <w:ind w:left="176"/>
              <w:jc w:val="center"/>
              <w:rPr>
                <w:rFonts w:eastAsia="Times New Roman"/>
                <w:sz w:val="20"/>
                <w:szCs w:val="20"/>
              </w:rPr>
            </w:pPr>
            <w:r>
              <w:rPr>
                <w:rFonts w:eastAsia="Times New Roman"/>
                <w:sz w:val="20"/>
                <w:szCs w:val="20"/>
              </w:rPr>
              <w:t>5,238</w:t>
            </w:r>
          </w:p>
        </w:tc>
        <w:tc>
          <w:tcPr>
            <w:tcW w:w="50" w:type="pct"/>
            <w:shd w:val="clear" w:color="auto" w:fill="FFFFFF"/>
            <w:vAlign w:val="bottom"/>
            <w:hideMark/>
          </w:tcPr>
          <w:p w14:paraId="521DAA44"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719D3F5"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4E5555E" w14:textId="77777777" w:rsidR="00000000" w:rsidRDefault="00847163">
            <w:pPr>
              <w:ind w:left="176"/>
              <w:rPr>
                <w:rFonts w:eastAsia="Times New Roman"/>
                <w:sz w:val="20"/>
                <w:szCs w:val="20"/>
              </w:rPr>
            </w:pPr>
            <w:r>
              <w:rPr>
                <w:rFonts w:eastAsia="Times New Roman"/>
                <w:sz w:val="20"/>
                <w:szCs w:val="20"/>
              </w:rPr>
              <w:t>$</w:t>
            </w:r>
          </w:p>
        </w:tc>
        <w:tc>
          <w:tcPr>
            <w:tcW w:w="850" w:type="pct"/>
            <w:shd w:val="clear" w:color="auto" w:fill="FFFFFF"/>
            <w:vAlign w:val="bottom"/>
            <w:hideMark/>
          </w:tcPr>
          <w:p w14:paraId="3D08B830" w14:textId="77777777" w:rsidR="00000000" w:rsidRDefault="00847163">
            <w:pPr>
              <w:ind w:left="176"/>
              <w:jc w:val="right"/>
              <w:rPr>
                <w:rFonts w:eastAsia="Times New Roman"/>
                <w:sz w:val="20"/>
                <w:szCs w:val="20"/>
              </w:rPr>
            </w:pPr>
            <w:r>
              <w:rPr>
                <w:rFonts w:eastAsia="Times New Roman"/>
                <w:sz w:val="20"/>
                <w:szCs w:val="20"/>
              </w:rPr>
              <w:t>94,827</w:t>
            </w:r>
          </w:p>
        </w:tc>
        <w:tc>
          <w:tcPr>
            <w:tcW w:w="50" w:type="pct"/>
            <w:shd w:val="clear" w:color="auto" w:fill="FFFFFF"/>
            <w:vAlign w:val="bottom"/>
            <w:hideMark/>
          </w:tcPr>
          <w:p w14:paraId="128ED664"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CC382B6"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37A456D" w14:textId="77777777" w:rsidR="00000000" w:rsidRDefault="00847163">
            <w:pPr>
              <w:rPr>
                <w:rFonts w:eastAsia="Times New Roman"/>
                <w:sz w:val="20"/>
                <w:szCs w:val="20"/>
              </w:rPr>
            </w:pPr>
            <w:r>
              <w:rPr>
                <w:rFonts w:eastAsia="Times New Roman"/>
                <w:sz w:val="20"/>
                <w:szCs w:val="20"/>
              </w:rPr>
              <w:t> </w:t>
            </w:r>
          </w:p>
        </w:tc>
        <w:tc>
          <w:tcPr>
            <w:tcW w:w="600" w:type="pct"/>
            <w:shd w:val="clear" w:color="auto" w:fill="FFFFFF"/>
            <w:vAlign w:val="bottom"/>
            <w:hideMark/>
          </w:tcPr>
          <w:p w14:paraId="44C6411C" w14:textId="77777777" w:rsidR="00000000" w:rsidRDefault="00847163">
            <w:pPr>
              <w:ind w:left="176"/>
              <w:jc w:val="right"/>
              <w:rPr>
                <w:rFonts w:eastAsia="Times New Roman"/>
                <w:sz w:val="20"/>
                <w:szCs w:val="20"/>
              </w:rPr>
            </w:pPr>
            <w:r>
              <w:rPr>
                <w:rFonts w:eastAsia="Times New Roman"/>
                <w:sz w:val="20"/>
                <w:szCs w:val="20"/>
              </w:rPr>
              <w:t>11.6</w:t>
            </w:r>
          </w:p>
        </w:tc>
        <w:tc>
          <w:tcPr>
            <w:tcW w:w="100" w:type="pct"/>
            <w:shd w:val="clear" w:color="auto" w:fill="FFFFFF"/>
            <w:vAlign w:val="bottom"/>
            <w:hideMark/>
          </w:tcPr>
          <w:p w14:paraId="04BCB933" w14:textId="77777777" w:rsidR="00000000" w:rsidRDefault="00847163">
            <w:pPr>
              <w:pStyle w:val="a3"/>
              <w:spacing w:before="0" w:beforeAutospacing="0" w:after="0" w:afterAutospacing="0"/>
              <w:rPr>
                <w:sz w:val="20"/>
                <w:szCs w:val="20"/>
              </w:rPr>
            </w:pPr>
            <w:r>
              <w:rPr>
                <w:sz w:val="20"/>
                <w:szCs w:val="20"/>
              </w:rPr>
              <w:t>%</w:t>
            </w:r>
          </w:p>
        </w:tc>
      </w:tr>
      <w:tr w:rsidR="00000000" w14:paraId="0746741D" w14:textId="77777777">
        <w:trPr>
          <w:tblCellSpacing w:w="0" w:type="dxa"/>
        </w:trPr>
        <w:tc>
          <w:tcPr>
            <w:tcW w:w="1000" w:type="pct"/>
            <w:shd w:val="clear" w:color="auto" w:fill="CCEEFF"/>
            <w:vAlign w:val="bottom"/>
            <w:hideMark/>
          </w:tcPr>
          <w:p w14:paraId="0A62CF9E" w14:textId="77777777" w:rsidR="00000000" w:rsidRDefault="00847163">
            <w:pPr>
              <w:pStyle w:val="a3"/>
              <w:spacing w:before="0" w:beforeAutospacing="0" w:after="0" w:afterAutospacing="0"/>
              <w:ind w:left="352" w:hanging="176"/>
              <w:jc w:val="center"/>
              <w:rPr>
                <w:sz w:val="20"/>
                <w:szCs w:val="20"/>
              </w:rPr>
            </w:pPr>
            <w:r>
              <w:rPr>
                <w:sz w:val="20"/>
                <w:szCs w:val="20"/>
              </w:rPr>
              <w:t>2025</w:t>
            </w:r>
          </w:p>
        </w:tc>
        <w:tc>
          <w:tcPr>
            <w:tcW w:w="50" w:type="pct"/>
            <w:shd w:val="clear" w:color="auto" w:fill="CCEEFF"/>
            <w:vAlign w:val="bottom"/>
            <w:hideMark/>
          </w:tcPr>
          <w:p w14:paraId="0BC38C76" w14:textId="77777777" w:rsidR="00000000" w:rsidRDefault="00847163">
            <w:pPr>
              <w:rPr>
                <w:rFonts w:eastAsia="Times New Roman"/>
                <w:sz w:val="20"/>
                <w:szCs w:val="20"/>
              </w:rPr>
            </w:pPr>
            <w:r>
              <w:rPr>
                <w:rFonts w:eastAsia="Times New Roman"/>
                <w:sz w:val="20"/>
                <w:szCs w:val="20"/>
              </w:rPr>
              <w:t> </w:t>
            </w:r>
          </w:p>
        </w:tc>
        <w:tc>
          <w:tcPr>
            <w:tcW w:w="1000" w:type="pct"/>
            <w:shd w:val="clear" w:color="auto" w:fill="CCEEFF"/>
            <w:vAlign w:val="bottom"/>
            <w:hideMark/>
          </w:tcPr>
          <w:p w14:paraId="67F036D9" w14:textId="77777777" w:rsidR="00000000" w:rsidRDefault="00847163">
            <w:pPr>
              <w:ind w:left="176"/>
              <w:jc w:val="center"/>
              <w:rPr>
                <w:rFonts w:eastAsia="Times New Roman"/>
                <w:sz w:val="20"/>
                <w:szCs w:val="20"/>
              </w:rPr>
            </w:pPr>
            <w:r>
              <w:rPr>
                <w:rFonts w:eastAsia="Times New Roman"/>
                <w:sz w:val="20"/>
                <w:szCs w:val="20"/>
              </w:rPr>
              <w:t>497</w:t>
            </w:r>
          </w:p>
        </w:tc>
        <w:tc>
          <w:tcPr>
            <w:tcW w:w="50" w:type="pct"/>
            <w:shd w:val="clear" w:color="auto" w:fill="CCEEFF"/>
            <w:vAlign w:val="bottom"/>
            <w:hideMark/>
          </w:tcPr>
          <w:p w14:paraId="05751494"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7A31AE6" w14:textId="77777777" w:rsidR="00000000" w:rsidRDefault="00847163">
            <w:pPr>
              <w:rPr>
                <w:rFonts w:eastAsia="Times New Roman"/>
                <w:sz w:val="20"/>
                <w:szCs w:val="20"/>
              </w:rPr>
            </w:pPr>
            <w:r>
              <w:rPr>
                <w:rFonts w:eastAsia="Times New Roman"/>
                <w:sz w:val="20"/>
                <w:szCs w:val="20"/>
              </w:rPr>
              <w:t> </w:t>
            </w:r>
          </w:p>
        </w:tc>
        <w:tc>
          <w:tcPr>
            <w:tcW w:w="1000" w:type="pct"/>
            <w:shd w:val="clear" w:color="auto" w:fill="CCEEFF"/>
            <w:vAlign w:val="bottom"/>
            <w:hideMark/>
          </w:tcPr>
          <w:p w14:paraId="474BDF0B" w14:textId="77777777" w:rsidR="00000000" w:rsidRDefault="00847163">
            <w:pPr>
              <w:ind w:left="176"/>
              <w:jc w:val="center"/>
              <w:rPr>
                <w:rFonts w:eastAsia="Times New Roman"/>
                <w:sz w:val="20"/>
                <w:szCs w:val="20"/>
              </w:rPr>
            </w:pPr>
            <w:r>
              <w:rPr>
                <w:rFonts w:eastAsia="Times New Roman"/>
                <w:sz w:val="20"/>
                <w:szCs w:val="20"/>
              </w:rPr>
              <w:t>4,514</w:t>
            </w:r>
          </w:p>
        </w:tc>
        <w:tc>
          <w:tcPr>
            <w:tcW w:w="50" w:type="pct"/>
            <w:shd w:val="clear" w:color="auto" w:fill="CCEEFF"/>
            <w:vAlign w:val="bottom"/>
            <w:hideMark/>
          </w:tcPr>
          <w:p w14:paraId="44B87BA4"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46C29D4"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48D8F64" w14:textId="77777777" w:rsidR="00000000" w:rsidRDefault="00847163">
            <w:pPr>
              <w:ind w:left="176"/>
              <w:rPr>
                <w:rFonts w:eastAsia="Times New Roman"/>
                <w:sz w:val="20"/>
                <w:szCs w:val="20"/>
              </w:rPr>
            </w:pPr>
            <w:r>
              <w:rPr>
                <w:rFonts w:eastAsia="Times New Roman"/>
                <w:sz w:val="20"/>
                <w:szCs w:val="20"/>
              </w:rPr>
              <w:t>$</w:t>
            </w:r>
          </w:p>
        </w:tc>
        <w:tc>
          <w:tcPr>
            <w:tcW w:w="850" w:type="pct"/>
            <w:shd w:val="clear" w:color="auto" w:fill="CCEEFF"/>
            <w:vAlign w:val="bottom"/>
            <w:hideMark/>
          </w:tcPr>
          <w:p w14:paraId="75C2E663" w14:textId="77777777" w:rsidR="00000000" w:rsidRDefault="00847163">
            <w:pPr>
              <w:ind w:left="176"/>
              <w:jc w:val="right"/>
              <w:rPr>
                <w:rFonts w:eastAsia="Times New Roman"/>
                <w:sz w:val="20"/>
                <w:szCs w:val="20"/>
              </w:rPr>
            </w:pPr>
            <w:r>
              <w:rPr>
                <w:rFonts w:eastAsia="Times New Roman"/>
                <w:sz w:val="20"/>
                <w:szCs w:val="20"/>
              </w:rPr>
              <w:t>76,368</w:t>
            </w:r>
          </w:p>
        </w:tc>
        <w:tc>
          <w:tcPr>
            <w:tcW w:w="50" w:type="pct"/>
            <w:shd w:val="clear" w:color="auto" w:fill="CCEEFF"/>
            <w:vAlign w:val="bottom"/>
            <w:hideMark/>
          </w:tcPr>
          <w:p w14:paraId="510D55EE"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7A66FF2"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7213A48" w14:textId="77777777" w:rsidR="00000000" w:rsidRDefault="0084716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70C5ABCD" w14:textId="77777777" w:rsidR="00000000" w:rsidRDefault="00847163">
            <w:pPr>
              <w:ind w:left="176"/>
              <w:jc w:val="right"/>
              <w:rPr>
                <w:rFonts w:eastAsia="Times New Roman"/>
                <w:sz w:val="20"/>
                <w:szCs w:val="20"/>
              </w:rPr>
            </w:pPr>
            <w:r>
              <w:rPr>
                <w:rFonts w:eastAsia="Times New Roman"/>
                <w:sz w:val="20"/>
                <w:szCs w:val="20"/>
              </w:rPr>
              <w:t>9.3</w:t>
            </w:r>
          </w:p>
        </w:tc>
        <w:tc>
          <w:tcPr>
            <w:tcW w:w="100" w:type="pct"/>
            <w:shd w:val="clear" w:color="auto" w:fill="CCEEFF"/>
            <w:vAlign w:val="bottom"/>
            <w:hideMark/>
          </w:tcPr>
          <w:p w14:paraId="6A5CDAE5" w14:textId="77777777" w:rsidR="00000000" w:rsidRDefault="00847163">
            <w:pPr>
              <w:pStyle w:val="a3"/>
              <w:spacing w:before="0" w:beforeAutospacing="0" w:after="0" w:afterAutospacing="0"/>
              <w:rPr>
                <w:sz w:val="20"/>
                <w:szCs w:val="20"/>
              </w:rPr>
            </w:pPr>
            <w:r>
              <w:rPr>
                <w:sz w:val="20"/>
                <w:szCs w:val="20"/>
              </w:rPr>
              <w:t>%</w:t>
            </w:r>
          </w:p>
        </w:tc>
      </w:tr>
      <w:tr w:rsidR="00000000" w14:paraId="06188562" w14:textId="77777777">
        <w:trPr>
          <w:tblCellSpacing w:w="0" w:type="dxa"/>
        </w:trPr>
        <w:tc>
          <w:tcPr>
            <w:tcW w:w="1000" w:type="pct"/>
            <w:shd w:val="clear" w:color="auto" w:fill="FFFFFF"/>
            <w:vAlign w:val="bottom"/>
            <w:hideMark/>
          </w:tcPr>
          <w:p w14:paraId="34E125BF" w14:textId="77777777" w:rsidR="00000000" w:rsidRDefault="00847163">
            <w:pPr>
              <w:pStyle w:val="a3"/>
              <w:spacing w:before="0" w:beforeAutospacing="0" w:after="0" w:afterAutospacing="0"/>
              <w:ind w:left="352" w:hanging="176"/>
              <w:jc w:val="center"/>
              <w:rPr>
                <w:sz w:val="20"/>
                <w:szCs w:val="20"/>
              </w:rPr>
            </w:pPr>
            <w:r>
              <w:rPr>
                <w:sz w:val="20"/>
                <w:szCs w:val="20"/>
              </w:rPr>
              <w:t>2026</w:t>
            </w:r>
          </w:p>
        </w:tc>
        <w:tc>
          <w:tcPr>
            <w:tcW w:w="50" w:type="pct"/>
            <w:shd w:val="clear" w:color="auto" w:fill="FFFFFF"/>
            <w:vAlign w:val="bottom"/>
            <w:hideMark/>
          </w:tcPr>
          <w:p w14:paraId="3C71E67B" w14:textId="77777777" w:rsidR="00000000" w:rsidRDefault="00847163">
            <w:pPr>
              <w:rPr>
                <w:rFonts w:eastAsia="Times New Roman"/>
                <w:sz w:val="20"/>
                <w:szCs w:val="20"/>
              </w:rPr>
            </w:pPr>
            <w:r>
              <w:rPr>
                <w:rFonts w:eastAsia="Times New Roman"/>
                <w:sz w:val="20"/>
                <w:szCs w:val="20"/>
              </w:rPr>
              <w:t> </w:t>
            </w:r>
          </w:p>
        </w:tc>
        <w:tc>
          <w:tcPr>
            <w:tcW w:w="1000" w:type="pct"/>
            <w:shd w:val="clear" w:color="auto" w:fill="FFFFFF"/>
            <w:vAlign w:val="bottom"/>
            <w:hideMark/>
          </w:tcPr>
          <w:p w14:paraId="78A3CB35" w14:textId="77777777" w:rsidR="00000000" w:rsidRDefault="00847163">
            <w:pPr>
              <w:ind w:left="176"/>
              <w:jc w:val="center"/>
              <w:rPr>
                <w:rFonts w:eastAsia="Times New Roman"/>
                <w:sz w:val="20"/>
                <w:szCs w:val="20"/>
              </w:rPr>
            </w:pPr>
            <w:r>
              <w:rPr>
                <w:rFonts w:eastAsia="Times New Roman"/>
                <w:sz w:val="20"/>
                <w:szCs w:val="20"/>
              </w:rPr>
              <w:t>269</w:t>
            </w:r>
          </w:p>
        </w:tc>
        <w:tc>
          <w:tcPr>
            <w:tcW w:w="50" w:type="pct"/>
            <w:shd w:val="clear" w:color="auto" w:fill="FFFFFF"/>
            <w:vAlign w:val="bottom"/>
            <w:hideMark/>
          </w:tcPr>
          <w:p w14:paraId="3EB797E1"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44A74AC" w14:textId="77777777" w:rsidR="00000000" w:rsidRDefault="00847163">
            <w:pPr>
              <w:rPr>
                <w:rFonts w:eastAsia="Times New Roman"/>
                <w:sz w:val="20"/>
                <w:szCs w:val="20"/>
              </w:rPr>
            </w:pPr>
            <w:r>
              <w:rPr>
                <w:rFonts w:eastAsia="Times New Roman"/>
                <w:sz w:val="20"/>
                <w:szCs w:val="20"/>
              </w:rPr>
              <w:t> </w:t>
            </w:r>
          </w:p>
        </w:tc>
        <w:tc>
          <w:tcPr>
            <w:tcW w:w="1000" w:type="pct"/>
            <w:shd w:val="clear" w:color="auto" w:fill="FFFFFF"/>
            <w:vAlign w:val="bottom"/>
            <w:hideMark/>
          </w:tcPr>
          <w:p w14:paraId="576AAD78" w14:textId="77777777" w:rsidR="00000000" w:rsidRDefault="00847163">
            <w:pPr>
              <w:ind w:left="176"/>
              <w:jc w:val="center"/>
              <w:rPr>
                <w:rFonts w:eastAsia="Times New Roman"/>
                <w:sz w:val="20"/>
                <w:szCs w:val="20"/>
              </w:rPr>
            </w:pPr>
            <w:r>
              <w:rPr>
                <w:rFonts w:eastAsia="Times New Roman"/>
                <w:sz w:val="20"/>
                <w:szCs w:val="20"/>
              </w:rPr>
              <w:t>4,050</w:t>
            </w:r>
          </w:p>
        </w:tc>
        <w:tc>
          <w:tcPr>
            <w:tcW w:w="50" w:type="pct"/>
            <w:shd w:val="clear" w:color="auto" w:fill="FFFFFF"/>
            <w:vAlign w:val="bottom"/>
            <w:hideMark/>
          </w:tcPr>
          <w:p w14:paraId="328DBD45"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2A2D065"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B215B61" w14:textId="77777777" w:rsidR="00000000" w:rsidRDefault="00847163">
            <w:pPr>
              <w:ind w:left="176"/>
              <w:rPr>
                <w:rFonts w:eastAsia="Times New Roman"/>
                <w:sz w:val="20"/>
                <w:szCs w:val="20"/>
              </w:rPr>
            </w:pPr>
            <w:r>
              <w:rPr>
                <w:rFonts w:eastAsia="Times New Roman"/>
                <w:sz w:val="20"/>
                <w:szCs w:val="20"/>
              </w:rPr>
              <w:t>$</w:t>
            </w:r>
          </w:p>
        </w:tc>
        <w:tc>
          <w:tcPr>
            <w:tcW w:w="850" w:type="pct"/>
            <w:shd w:val="clear" w:color="auto" w:fill="FFFFFF"/>
            <w:vAlign w:val="bottom"/>
            <w:hideMark/>
          </w:tcPr>
          <w:p w14:paraId="09BB63EC" w14:textId="77777777" w:rsidR="00000000" w:rsidRDefault="00847163">
            <w:pPr>
              <w:ind w:left="176"/>
              <w:jc w:val="right"/>
              <w:rPr>
                <w:rFonts w:eastAsia="Times New Roman"/>
                <w:sz w:val="20"/>
                <w:szCs w:val="20"/>
              </w:rPr>
            </w:pPr>
            <w:r>
              <w:rPr>
                <w:rFonts w:eastAsia="Times New Roman"/>
                <w:sz w:val="20"/>
                <w:szCs w:val="20"/>
              </w:rPr>
              <w:t>57,768</w:t>
            </w:r>
          </w:p>
        </w:tc>
        <w:tc>
          <w:tcPr>
            <w:tcW w:w="50" w:type="pct"/>
            <w:shd w:val="clear" w:color="auto" w:fill="FFFFFF"/>
            <w:vAlign w:val="bottom"/>
            <w:hideMark/>
          </w:tcPr>
          <w:p w14:paraId="74F50A61"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79C2D89"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D8BDC2D" w14:textId="77777777" w:rsidR="00000000" w:rsidRDefault="00847163">
            <w:pPr>
              <w:rPr>
                <w:rFonts w:eastAsia="Times New Roman"/>
                <w:sz w:val="20"/>
                <w:szCs w:val="20"/>
              </w:rPr>
            </w:pPr>
            <w:r>
              <w:rPr>
                <w:rFonts w:eastAsia="Times New Roman"/>
                <w:sz w:val="20"/>
                <w:szCs w:val="20"/>
              </w:rPr>
              <w:t> </w:t>
            </w:r>
          </w:p>
        </w:tc>
        <w:tc>
          <w:tcPr>
            <w:tcW w:w="600" w:type="pct"/>
            <w:shd w:val="clear" w:color="auto" w:fill="FFFFFF"/>
            <w:vAlign w:val="bottom"/>
            <w:hideMark/>
          </w:tcPr>
          <w:p w14:paraId="398A8A7B" w14:textId="77777777" w:rsidR="00000000" w:rsidRDefault="00847163">
            <w:pPr>
              <w:ind w:left="176"/>
              <w:jc w:val="right"/>
              <w:rPr>
                <w:rFonts w:eastAsia="Times New Roman"/>
                <w:sz w:val="20"/>
                <w:szCs w:val="20"/>
              </w:rPr>
            </w:pPr>
            <w:r>
              <w:rPr>
                <w:rFonts w:eastAsia="Times New Roman"/>
                <w:sz w:val="20"/>
                <w:szCs w:val="20"/>
              </w:rPr>
              <w:t>7.1</w:t>
            </w:r>
          </w:p>
        </w:tc>
        <w:tc>
          <w:tcPr>
            <w:tcW w:w="100" w:type="pct"/>
            <w:shd w:val="clear" w:color="auto" w:fill="FFFFFF"/>
            <w:vAlign w:val="bottom"/>
            <w:hideMark/>
          </w:tcPr>
          <w:p w14:paraId="12EF6C40" w14:textId="77777777" w:rsidR="00000000" w:rsidRDefault="00847163">
            <w:pPr>
              <w:pStyle w:val="a3"/>
              <w:spacing w:before="0" w:beforeAutospacing="0" w:after="0" w:afterAutospacing="0"/>
              <w:rPr>
                <w:sz w:val="20"/>
                <w:szCs w:val="20"/>
              </w:rPr>
            </w:pPr>
            <w:r>
              <w:rPr>
                <w:sz w:val="20"/>
                <w:szCs w:val="20"/>
              </w:rPr>
              <w:t>%</w:t>
            </w:r>
          </w:p>
        </w:tc>
      </w:tr>
      <w:tr w:rsidR="00000000" w14:paraId="62EE39C8" w14:textId="77777777">
        <w:trPr>
          <w:tblCellSpacing w:w="0" w:type="dxa"/>
        </w:trPr>
        <w:tc>
          <w:tcPr>
            <w:tcW w:w="1000" w:type="pct"/>
            <w:shd w:val="clear" w:color="auto" w:fill="CCEEFF"/>
            <w:vAlign w:val="bottom"/>
            <w:hideMark/>
          </w:tcPr>
          <w:p w14:paraId="75C1A191" w14:textId="77777777" w:rsidR="00000000" w:rsidRDefault="00847163">
            <w:pPr>
              <w:pStyle w:val="a3"/>
              <w:spacing w:before="0" w:beforeAutospacing="0" w:after="0" w:afterAutospacing="0"/>
              <w:ind w:left="352" w:hanging="176"/>
              <w:jc w:val="center"/>
              <w:rPr>
                <w:sz w:val="20"/>
                <w:szCs w:val="20"/>
              </w:rPr>
            </w:pPr>
            <w:r>
              <w:rPr>
                <w:sz w:val="20"/>
                <w:szCs w:val="20"/>
              </w:rPr>
              <w:t>2027</w:t>
            </w:r>
          </w:p>
        </w:tc>
        <w:tc>
          <w:tcPr>
            <w:tcW w:w="50" w:type="pct"/>
            <w:shd w:val="clear" w:color="auto" w:fill="CCEEFF"/>
            <w:vAlign w:val="bottom"/>
            <w:hideMark/>
          </w:tcPr>
          <w:p w14:paraId="206034E2" w14:textId="77777777" w:rsidR="00000000" w:rsidRDefault="00847163">
            <w:pPr>
              <w:rPr>
                <w:rFonts w:eastAsia="Times New Roman"/>
                <w:sz w:val="20"/>
                <w:szCs w:val="20"/>
              </w:rPr>
            </w:pPr>
            <w:r>
              <w:rPr>
                <w:rFonts w:eastAsia="Times New Roman"/>
                <w:sz w:val="20"/>
                <w:szCs w:val="20"/>
              </w:rPr>
              <w:t> </w:t>
            </w:r>
          </w:p>
        </w:tc>
        <w:tc>
          <w:tcPr>
            <w:tcW w:w="1000" w:type="pct"/>
            <w:shd w:val="clear" w:color="auto" w:fill="CCEEFF"/>
            <w:vAlign w:val="bottom"/>
            <w:hideMark/>
          </w:tcPr>
          <w:p w14:paraId="25D989A9" w14:textId="77777777" w:rsidR="00000000" w:rsidRDefault="00847163">
            <w:pPr>
              <w:ind w:left="176"/>
              <w:jc w:val="center"/>
              <w:rPr>
                <w:rFonts w:eastAsia="Times New Roman"/>
                <w:sz w:val="20"/>
                <w:szCs w:val="20"/>
              </w:rPr>
            </w:pPr>
            <w:r>
              <w:rPr>
                <w:rFonts w:eastAsia="Times New Roman"/>
                <w:sz w:val="20"/>
                <w:szCs w:val="20"/>
              </w:rPr>
              <w:t>249</w:t>
            </w:r>
          </w:p>
        </w:tc>
        <w:tc>
          <w:tcPr>
            <w:tcW w:w="50" w:type="pct"/>
            <w:shd w:val="clear" w:color="auto" w:fill="CCEEFF"/>
            <w:vAlign w:val="bottom"/>
            <w:hideMark/>
          </w:tcPr>
          <w:p w14:paraId="2582DDC8"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882FCC7" w14:textId="77777777" w:rsidR="00000000" w:rsidRDefault="00847163">
            <w:pPr>
              <w:rPr>
                <w:rFonts w:eastAsia="Times New Roman"/>
                <w:sz w:val="20"/>
                <w:szCs w:val="20"/>
              </w:rPr>
            </w:pPr>
            <w:r>
              <w:rPr>
                <w:rFonts w:eastAsia="Times New Roman"/>
                <w:sz w:val="20"/>
                <w:szCs w:val="20"/>
              </w:rPr>
              <w:t> </w:t>
            </w:r>
          </w:p>
        </w:tc>
        <w:tc>
          <w:tcPr>
            <w:tcW w:w="1000" w:type="pct"/>
            <w:shd w:val="clear" w:color="auto" w:fill="CCEEFF"/>
            <w:vAlign w:val="bottom"/>
            <w:hideMark/>
          </w:tcPr>
          <w:p w14:paraId="44281DD5" w14:textId="77777777" w:rsidR="00000000" w:rsidRDefault="00847163">
            <w:pPr>
              <w:ind w:left="176"/>
              <w:jc w:val="center"/>
              <w:rPr>
                <w:rFonts w:eastAsia="Times New Roman"/>
                <w:sz w:val="20"/>
                <w:szCs w:val="20"/>
              </w:rPr>
            </w:pPr>
            <w:r>
              <w:rPr>
                <w:rFonts w:eastAsia="Times New Roman"/>
                <w:sz w:val="20"/>
                <w:szCs w:val="20"/>
              </w:rPr>
              <w:t>3,226</w:t>
            </w:r>
          </w:p>
        </w:tc>
        <w:tc>
          <w:tcPr>
            <w:tcW w:w="50" w:type="pct"/>
            <w:shd w:val="clear" w:color="auto" w:fill="CCEEFF"/>
            <w:vAlign w:val="bottom"/>
            <w:hideMark/>
          </w:tcPr>
          <w:p w14:paraId="520D4F6A"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3AC89F2"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D34ED17" w14:textId="77777777" w:rsidR="00000000" w:rsidRDefault="00847163">
            <w:pPr>
              <w:ind w:left="176"/>
              <w:rPr>
                <w:rFonts w:eastAsia="Times New Roman"/>
                <w:sz w:val="20"/>
                <w:szCs w:val="20"/>
              </w:rPr>
            </w:pPr>
            <w:r>
              <w:rPr>
                <w:rFonts w:eastAsia="Times New Roman"/>
                <w:sz w:val="20"/>
                <w:szCs w:val="20"/>
              </w:rPr>
              <w:t>$</w:t>
            </w:r>
          </w:p>
        </w:tc>
        <w:tc>
          <w:tcPr>
            <w:tcW w:w="850" w:type="pct"/>
            <w:shd w:val="clear" w:color="auto" w:fill="CCEEFF"/>
            <w:vAlign w:val="bottom"/>
            <w:hideMark/>
          </w:tcPr>
          <w:p w14:paraId="227885F1" w14:textId="77777777" w:rsidR="00000000" w:rsidRDefault="00847163">
            <w:pPr>
              <w:ind w:left="176"/>
              <w:jc w:val="right"/>
              <w:rPr>
                <w:rFonts w:eastAsia="Times New Roman"/>
                <w:sz w:val="20"/>
                <w:szCs w:val="20"/>
              </w:rPr>
            </w:pPr>
            <w:r>
              <w:rPr>
                <w:rFonts w:eastAsia="Times New Roman"/>
                <w:sz w:val="20"/>
                <w:szCs w:val="20"/>
              </w:rPr>
              <w:t>49,630</w:t>
            </w:r>
          </w:p>
        </w:tc>
        <w:tc>
          <w:tcPr>
            <w:tcW w:w="50" w:type="pct"/>
            <w:shd w:val="clear" w:color="auto" w:fill="CCEEFF"/>
            <w:vAlign w:val="bottom"/>
            <w:hideMark/>
          </w:tcPr>
          <w:p w14:paraId="04B72853"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192AD5B"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3112E2F" w14:textId="77777777" w:rsidR="00000000" w:rsidRDefault="0084716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7525AEC4" w14:textId="77777777" w:rsidR="00000000" w:rsidRDefault="00847163">
            <w:pPr>
              <w:ind w:left="176"/>
              <w:jc w:val="right"/>
              <w:rPr>
                <w:rFonts w:eastAsia="Times New Roman"/>
                <w:sz w:val="20"/>
                <w:szCs w:val="20"/>
              </w:rPr>
            </w:pPr>
            <w:r>
              <w:rPr>
                <w:rFonts w:eastAsia="Times New Roman"/>
                <w:sz w:val="20"/>
                <w:szCs w:val="20"/>
              </w:rPr>
              <w:t>6.1</w:t>
            </w:r>
          </w:p>
        </w:tc>
        <w:tc>
          <w:tcPr>
            <w:tcW w:w="100" w:type="pct"/>
            <w:shd w:val="clear" w:color="auto" w:fill="CCEEFF"/>
            <w:vAlign w:val="bottom"/>
            <w:hideMark/>
          </w:tcPr>
          <w:p w14:paraId="41AE9DF3" w14:textId="77777777" w:rsidR="00000000" w:rsidRDefault="00847163">
            <w:pPr>
              <w:pStyle w:val="a3"/>
              <w:spacing w:before="0" w:beforeAutospacing="0" w:after="0" w:afterAutospacing="0"/>
              <w:rPr>
                <w:sz w:val="20"/>
                <w:szCs w:val="20"/>
              </w:rPr>
            </w:pPr>
            <w:r>
              <w:rPr>
                <w:sz w:val="20"/>
                <w:szCs w:val="20"/>
              </w:rPr>
              <w:t>%</w:t>
            </w:r>
          </w:p>
        </w:tc>
      </w:tr>
      <w:tr w:rsidR="00000000" w14:paraId="60E49756" w14:textId="77777777">
        <w:trPr>
          <w:tblCellSpacing w:w="0" w:type="dxa"/>
        </w:trPr>
        <w:tc>
          <w:tcPr>
            <w:tcW w:w="1000" w:type="pct"/>
            <w:shd w:val="clear" w:color="auto" w:fill="FFFFFF"/>
            <w:vAlign w:val="bottom"/>
            <w:hideMark/>
          </w:tcPr>
          <w:p w14:paraId="682BAAEF" w14:textId="77777777" w:rsidR="00000000" w:rsidRDefault="00847163">
            <w:pPr>
              <w:pStyle w:val="a3"/>
              <w:spacing w:before="0" w:beforeAutospacing="0" w:after="0" w:afterAutospacing="0"/>
              <w:ind w:left="352" w:hanging="176"/>
              <w:jc w:val="center"/>
              <w:rPr>
                <w:sz w:val="20"/>
                <w:szCs w:val="20"/>
              </w:rPr>
            </w:pPr>
            <w:r>
              <w:rPr>
                <w:sz w:val="20"/>
                <w:szCs w:val="20"/>
              </w:rPr>
              <w:t>2028</w:t>
            </w:r>
          </w:p>
        </w:tc>
        <w:tc>
          <w:tcPr>
            <w:tcW w:w="50" w:type="pct"/>
            <w:shd w:val="clear" w:color="auto" w:fill="FFFFFF"/>
            <w:vAlign w:val="bottom"/>
            <w:hideMark/>
          </w:tcPr>
          <w:p w14:paraId="6E4987A3" w14:textId="77777777" w:rsidR="00000000" w:rsidRDefault="00847163">
            <w:pPr>
              <w:rPr>
                <w:rFonts w:eastAsia="Times New Roman"/>
                <w:sz w:val="20"/>
                <w:szCs w:val="20"/>
              </w:rPr>
            </w:pPr>
            <w:r>
              <w:rPr>
                <w:rFonts w:eastAsia="Times New Roman"/>
                <w:sz w:val="20"/>
                <w:szCs w:val="20"/>
              </w:rPr>
              <w:t> </w:t>
            </w:r>
          </w:p>
        </w:tc>
        <w:tc>
          <w:tcPr>
            <w:tcW w:w="1000" w:type="pct"/>
            <w:shd w:val="clear" w:color="auto" w:fill="FFFFFF"/>
            <w:vAlign w:val="bottom"/>
            <w:hideMark/>
          </w:tcPr>
          <w:p w14:paraId="15E558E0" w14:textId="77777777" w:rsidR="00000000" w:rsidRDefault="00847163">
            <w:pPr>
              <w:ind w:left="176"/>
              <w:jc w:val="center"/>
              <w:rPr>
                <w:rFonts w:eastAsia="Times New Roman"/>
                <w:sz w:val="20"/>
                <w:szCs w:val="20"/>
              </w:rPr>
            </w:pPr>
            <w:r>
              <w:rPr>
                <w:rFonts w:eastAsia="Times New Roman"/>
                <w:sz w:val="20"/>
                <w:szCs w:val="20"/>
              </w:rPr>
              <w:t>314</w:t>
            </w:r>
          </w:p>
        </w:tc>
        <w:tc>
          <w:tcPr>
            <w:tcW w:w="50" w:type="pct"/>
            <w:shd w:val="clear" w:color="auto" w:fill="FFFFFF"/>
            <w:vAlign w:val="bottom"/>
            <w:hideMark/>
          </w:tcPr>
          <w:p w14:paraId="1A8F4924"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5F5B3A9" w14:textId="77777777" w:rsidR="00000000" w:rsidRDefault="00847163">
            <w:pPr>
              <w:rPr>
                <w:rFonts w:eastAsia="Times New Roman"/>
                <w:sz w:val="20"/>
                <w:szCs w:val="20"/>
              </w:rPr>
            </w:pPr>
            <w:r>
              <w:rPr>
                <w:rFonts w:eastAsia="Times New Roman"/>
                <w:sz w:val="20"/>
                <w:szCs w:val="20"/>
              </w:rPr>
              <w:t> </w:t>
            </w:r>
          </w:p>
        </w:tc>
        <w:tc>
          <w:tcPr>
            <w:tcW w:w="1000" w:type="pct"/>
            <w:shd w:val="clear" w:color="auto" w:fill="FFFFFF"/>
            <w:vAlign w:val="bottom"/>
            <w:hideMark/>
          </w:tcPr>
          <w:p w14:paraId="3DFA1C1B" w14:textId="77777777" w:rsidR="00000000" w:rsidRDefault="00847163">
            <w:pPr>
              <w:ind w:left="176"/>
              <w:jc w:val="center"/>
              <w:rPr>
                <w:rFonts w:eastAsia="Times New Roman"/>
                <w:sz w:val="20"/>
                <w:szCs w:val="20"/>
              </w:rPr>
            </w:pPr>
            <w:r>
              <w:rPr>
                <w:rFonts w:eastAsia="Times New Roman"/>
                <w:sz w:val="20"/>
                <w:szCs w:val="20"/>
              </w:rPr>
              <w:t>3,241</w:t>
            </w:r>
          </w:p>
        </w:tc>
        <w:tc>
          <w:tcPr>
            <w:tcW w:w="50" w:type="pct"/>
            <w:shd w:val="clear" w:color="auto" w:fill="FFFFFF"/>
            <w:vAlign w:val="bottom"/>
            <w:hideMark/>
          </w:tcPr>
          <w:p w14:paraId="3F151D1D"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80AAB31"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C563F7B" w14:textId="77777777" w:rsidR="00000000" w:rsidRDefault="00847163">
            <w:pPr>
              <w:ind w:left="176"/>
              <w:rPr>
                <w:rFonts w:eastAsia="Times New Roman"/>
                <w:sz w:val="20"/>
                <w:szCs w:val="20"/>
              </w:rPr>
            </w:pPr>
            <w:r>
              <w:rPr>
                <w:rFonts w:eastAsia="Times New Roman"/>
                <w:sz w:val="20"/>
                <w:szCs w:val="20"/>
              </w:rPr>
              <w:t>$</w:t>
            </w:r>
          </w:p>
        </w:tc>
        <w:tc>
          <w:tcPr>
            <w:tcW w:w="850" w:type="pct"/>
            <w:shd w:val="clear" w:color="auto" w:fill="FFFFFF"/>
            <w:vAlign w:val="bottom"/>
            <w:hideMark/>
          </w:tcPr>
          <w:p w14:paraId="53CE32DD" w14:textId="77777777" w:rsidR="00000000" w:rsidRDefault="00847163">
            <w:pPr>
              <w:ind w:left="176"/>
              <w:jc w:val="right"/>
              <w:rPr>
                <w:rFonts w:eastAsia="Times New Roman"/>
                <w:sz w:val="20"/>
                <w:szCs w:val="20"/>
              </w:rPr>
            </w:pPr>
            <w:r>
              <w:rPr>
                <w:rFonts w:eastAsia="Times New Roman"/>
                <w:sz w:val="20"/>
                <w:szCs w:val="20"/>
              </w:rPr>
              <w:t>61,421</w:t>
            </w:r>
          </w:p>
        </w:tc>
        <w:tc>
          <w:tcPr>
            <w:tcW w:w="50" w:type="pct"/>
            <w:shd w:val="clear" w:color="auto" w:fill="FFFFFF"/>
            <w:vAlign w:val="bottom"/>
            <w:hideMark/>
          </w:tcPr>
          <w:p w14:paraId="288238AE"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6C5305F"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5DD7916" w14:textId="77777777" w:rsidR="00000000" w:rsidRDefault="00847163">
            <w:pPr>
              <w:rPr>
                <w:rFonts w:eastAsia="Times New Roman"/>
                <w:sz w:val="20"/>
                <w:szCs w:val="20"/>
              </w:rPr>
            </w:pPr>
            <w:r>
              <w:rPr>
                <w:rFonts w:eastAsia="Times New Roman"/>
                <w:sz w:val="20"/>
                <w:szCs w:val="20"/>
              </w:rPr>
              <w:t> </w:t>
            </w:r>
          </w:p>
        </w:tc>
        <w:tc>
          <w:tcPr>
            <w:tcW w:w="600" w:type="pct"/>
            <w:shd w:val="clear" w:color="auto" w:fill="FFFFFF"/>
            <w:vAlign w:val="bottom"/>
            <w:hideMark/>
          </w:tcPr>
          <w:p w14:paraId="4C7B3342" w14:textId="77777777" w:rsidR="00000000" w:rsidRDefault="00847163">
            <w:pPr>
              <w:ind w:left="176"/>
              <w:jc w:val="right"/>
              <w:rPr>
                <w:rFonts w:eastAsia="Times New Roman"/>
                <w:sz w:val="20"/>
                <w:szCs w:val="20"/>
              </w:rPr>
            </w:pPr>
            <w:r>
              <w:rPr>
                <w:rFonts w:eastAsia="Times New Roman"/>
                <w:sz w:val="20"/>
                <w:szCs w:val="20"/>
              </w:rPr>
              <w:t>7.5</w:t>
            </w:r>
          </w:p>
        </w:tc>
        <w:tc>
          <w:tcPr>
            <w:tcW w:w="100" w:type="pct"/>
            <w:shd w:val="clear" w:color="auto" w:fill="FFFFFF"/>
            <w:vAlign w:val="bottom"/>
            <w:hideMark/>
          </w:tcPr>
          <w:p w14:paraId="2D6A44F8" w14:textId="77777777" w:rsidR="00000000" w:rsidRDefault="00847163">
            <w:pPr>
              <w:pStyle w:val="a3"/>
              <w:spacing w:before="0" w:beforeAutospacing="0" w:after="0" w:afterAutospacing="0"/>
              <w:rPr>
                <w:sz w:val="20"/>
                <w:szCs w:val="20"/>
              </w:rPr>
            </w:pPr>
            <w:r>
              <w:rPr>
                <w:sz w:val="20"/>
                <w:szCs w:val="20"/>
              </w:rPr>
              <w:t>%</w:t>
            </w:r>
          </w:p>
        </w:tc>
      </w:tr>
      <w:tr w:rsidR="00000000" w14:paraId="17E1ED5D" w14:textId="77777777">
        <w:trPr>
          <w:tblCellSpacing w:w="0" w:type="dxa"/>
        </w:trPr>
        <w:tc>
          <w:tcPr>
            <w:tcW w:w="1000" w:type="pct"/>
            <w:shd w:val="clear" w:color="auto" w:fill="CCEEFF"/>
            <w:vAlign w:val="bottom"/>
            <w:hideMark/>
          </w:tcPr>
          <w:p w14:paraId="3C8EB5C1" w14:textId="77777777" w:rsidR="00000000" w:rsidRDefault="00847163">
            <w:pPr>
              <w:pStyle w:val="a3"/>
              <w:spacing w:before="0" w:beforeAutospacing="0" w:after="0" w:afterAutospacing="0"/>
              <w:ind w:left="352" w:hanging="176"/>
              <w:jc w:val="center"/>
              <w:rPr>
                <w:sz w:val="20"/>
                <w:szCs w:val="20"/>
              </w:rPr>
            </w:pPr>
            <w:r>
              <w:rPr>
                <w:sz w:val="20"/>
                <w:szCs w:val="20"/>
              </w:rPr>
              <w:t>2029</w:t>
            </w:r>
          </w:p>
        </w:tc>
        <w:tc>
          <w:tcPr>
            <w:tcW w:w="50" w:type="pct"/>
            <w:shd w:val="clear" w:color="auto" w:fill="CCEEFF"/>
            <w:vAlign w:val="bottom"/>
            <w:hideMark/>
          </w:tcPr>
          <w:p w14:paraId="49DF7C16" w14:textId="77777777" w:rsidR="00000000" w:rsidRDefault="00847163">
            <w:pPr>
              <w:rPr>
                <w:rFonts w:eastAsia="Times New Roman"/>
                <w:sz w:val="20"/>
                <w:szCs w:val="20"/>
              </w:rPr>
            </w:pPr>
            <w:r>
              <w:rPr>
                <w:rFonts w:eastAsia="Times New Roman"/>
                <w:sz w:val="20"/>
                <w:szCs w:val="20"/>
              </w:rPr>
              <w:t> </w:t>
            </w:r>
          </w:p>
        </w:tc>
        <w:tc>
          <w:tcPr>
            <w:tcW w:w="1000" w:type="pct"/>
            <w:shd w:val="clear" w:color="auto" w:fill="CCEEFF"/>
            <w:vAlign w:val="bottom"/>
            <w:hideMark/>
          </w:tcPr>
          <w:p w14:paraId="1DA84311" w14:textId="77777777" w:rsidR="00000000" w:rsidRDefault="00847163">
            <w:pPr>
              <w:ind w:left="176"/>
              <w:jc w:val="center"/>
              <w:rPr>
                <w:rFonts w:eastAsia="Times New Roman"/>
                <w:sz w:val="20"/>
                <w:szCs w:val="20"/>
              </w:rPr>
            </w:pPr>
            <w:r>
              <w:rPr>
                <w:rFonts w:eastAsia="Times New Roman"/>
                <w:sz w:val="20"/>
                <w:szCs w:val="20"/>
              </w:rPr>
              <w:t>254</w:t>
            </w:r>
          </w:p>
        </w:tc>
        <w:tc>
          <w:tcPr>
            <w:tcW w:w="50" w:type="pct"/>
            <w:shd w:val="clear" w:color="auto" w:fill="CCEEFF"/>
            <w:vAlign w:val="bottom"/>
            <w:hideMark/>
          </w:tcPr>
          <w:p w14:paraId="5B21AC4E"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5DC10F7" w14:textId="77777777" w:rsidR="00000000" w:rsidRDefault="00847163">
            <w:pPr>
              <w:rPr>
                <w:rFonts w:eastAsia="Times New Roman"/>
                <w:sz w:val="20"/>
                <w:szCs w:val="20"/>
              </w:rPr>
            </w:pPr>
            <w:r>
              <w:rPr>
                <w:rFonts w:eastAsia="Times New Roman"/>
                <w:sz w:val="20"/>
                <w:szCs w:val="20"/>
              </w:rPr>
              <w:t> </w:t>
            </w:r>
          </w:p>
        </w:tc>
        <w:tc>
          <w:tcPr>
            <w:tcW w:w="1000" w:type="pct"/>
            <w:shd w:val="clear" w:color="auto" w:fill="CCEEFF"/>
            <w:vAlign w:val="bottom"/>
            <w:hideMark/>
          </w:tcPr>
          <w:p w14:paraId="5683AB65" w14:textId="77777777" w:rsidR="00000000" w:rsidRDefault="00847163">
            <w:pPr>
              <w:ind w:left="176"/>
              <w:jc w:val="center"/>
              <w:rPr>
                <w:rFonts w:eastAsia="Times New Roman"/>
                <w:sz w:val="20"/>
                <w:szCs w:val="20"/>
              </w:rPr>
            </w:pPr>
            <w:r>
              <w:rPr>
                <w:rFonts w:eastAsia="Times New Roman"/>
                <w:sz w:val="20"/>
                <w:szCs w:val="20"/>
              </w:rPr>
              <w:t>2,639</w:t>
            </w:r>
          </w:p>
        </w:tc>
        <w:tc>
          <w:tcPr>
            <w:tcW w:w="50" w:type="pct"/>
            <w:shd w:val="clear" w:color="auto" w:fill="CCEEFF"/>
            <w:vAlign w:val="bottom"/>
            <w:hideMark/>
          </w:tcPr>
          <w:p w14:paraId="14532F77"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6509FAD"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E0A9992" w14:textId="77777777" w:rsidR="00000000" w:rsidRDefault="00847163">
            <w:pPr>
              <w:ind w:left="176"/>
              <w:rPr>
                <w:rFonts w:eastAsia="Times New Roman"/>
                <w:sz w:val="20"/>
                <w:szCs w:val="20"/>
              </w:rPr>
            </w:pPr>
            <w:r>
              <w:rPr>
                <w:rFonts w:eastAsia="Times New Roman"/>
                <w:sz w:val="20"/>
                <w:szCs w:val="20"/>
              </w:rPr>
              <w:t>$</w:t>
            </w:r>
          </w:p>
        </w:tc>
        <w:tc>
          <w:tcPr>
            <w:tcW w:w="850" w:type="pct"/>
            <w:shd w:val="clear" w:color="auto" w:fill="CCEEFF"/>
            <w:vAlign w:val="bottom"/>
            <w:hideMark/>
          </w:tcPr>
          <w:p w14:paraId="27B25B32" w14:textId="77777777" w:rsidR="00000000" w:rsidRDefault="00847163">
            <w:pPr>
              <w:ind w:left="176"/>
              <w:jc w:val="right"/>
              <w:rPr>
                <w:rFonts w:eastAsia="Times New Roman"/>
                <w:sz w:val="20"/>
                <w:szCs w:val="20"/>
              </w:rPr>
            </w:pPr>
            <w:r>
              <w:rPr>
                <w:rFonts w:eastAsia="Times New Roman"/>
                <w:sz w:val="20"/>
                <w:szCs w:val="20"/>
              </w:rPr>
              <w:t>45,857</w:t>
            </w:r>
          </w:p>
        </w:tc>
        <w:tc>
          <w:tcPr>
            <w:tcW w:w="50" w:type="pct"/>
            <w:shd w:val="clear" w:color="auto" w:fill="CCEEFF"/>
            <w:vAlign w:val="bottom"/>
            <w:hideMark/>
          </w:tcPr>
          <w:p w14:paraId="00614909"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F3B96C4"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C13B566" w14:textId="77777777" w:rsidR="00000000" w:rsidRDefault="0084716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3B22C3E6" w14:textId="77777777" w:rsidR="00000000" w:rsidRDefault="00847163">
            <w:pPr>
              <w:ind w:left="176"/>
              <w:jc w:val="right"/>
              <w:rPr>
                <w:rFonts w:eastAsia="Times New Roman"/>
                <w:sz w:val="20"/>
                <w:szCs w:val="20"/>
              </w:rPr>
            </w:pPr>
            <w:r>
              <w:rPr>
                <w:rFonts w:eastAsia="Times New Roman"/>
                <w:sz w:val="20"/>
                <w:szCs w:val="20"/>
              </w:rPr>
              <w:t>5.6</w:t>
            </w:r>
          </w:p>
        </w:tc>
        <w:tc>
          <w:tcPr>
            <w:tcW w:w="100" w:type="pct"/>
            <w:shd w:val="clear" w:color="auto" w:fill="CCEEFF"/>
            <w:vAlign w:val="bottom"/>
            <w:hideMark/>
          </w:tcPr>
          <w:p w14:paraId="3FC23116" w14:textId="77777777" w:rsidR="00000000" w:rsidRDefault="00847163">
            <w:pPr>
              <w:pStyle w:val="a3"/>
              <w:spacing w:before="0" w:beforeAutospacing="0" w:after="0" w:afterAutospacing="0"/>
              <w:rPr>
                <w:sz w:val="20"/>
                <w:szCs w:val="20"/>
              </w:rPr>
            </w:pPr>
            <w:r>
              <w:rPr>
                <w:sz w:val="20"/>
                <w:szCs w:val="20"/>
              </w:rPr>
              <w:t>%</w:t>
            </w:r>
          </w:p>
        </w:tc>
      </w:tr>
      <w:tr w:rsidR="00000000" w14:paraId="12380EEA" w14:textId="77777777">
        <w:trPr>
          <w:tblCellSpacing w:w="0" w:type="dxa"/>
        </w:trPr>
        <w:tc>
          <w:tcPr>
            <w:tcW w:w="1000" w:type="pct"/>
            <w:shd w:val="clear" w:color="auto" w:fill="FFFFFF"/>
            <w:vAlign w:val="bottom"/>
            <w:hideMark/>
          </w:tcPr>
          <w:p w14:paraId="515BD07E" w14:textId="77777777" w:rsidR="00000000" w:rsidRDefault="00847163">
            <w:pPr>
              <w:pStyle w:val="a3"/>
              <w:spacing w:before="0" w:beforeAutospacing="0" w:after="0" w:afterAutospacing="0"/>
              <w:ind w:left="352" w:hanging="176"/>
              <w:jc w:val="center"/>
              <w:rPr>
                <w:sz w:val="20"/>
                <w:szCs w:val="20"/>
              </w:rPr>
            </w:pPr>
            <w:r>
              <w:rPr>
                <w:sz w:val="20"/>
                <w:szCs w:val="20"/>
              </w:rPr>
              <w:t>2030</w:t>
            </w:r>
          </w:p>
        </w:tc>
        <w:tc>
          <w:tcPr>
            <w:tcW w:w="50" w:type="pct"/>
            <w:shd w:val="clear" w:color="auto" w:fill="FFFFFF"/>
            <w:vAlign w:val="bottom"/>
            <w:hideMark/>
          </w:tcPr>
          <w:p w14:paraId="4A5A4518" w14:textId="77777777" w:rsidR="00000000" w:rsidRDefault="00847163">
            <w:pPr>
              <w:rPr>
                <w:rFonts w:eastAsia="Times New Roman"/>
                <w:sz w:val="20"/>
                <w:szCs w:val="20"/>
              </w:rPr>
            </w:pPr>
            <w:r>
              <w:rPr>
                <w:rFonts w:eastAsia="Times New Roman"/>
                <w:sz w:val="20"/>
                <w:szCs w:val="20"/>
              </w:rPr>
              <w:t> </w:t>
            </w:r>
          </w:p>
        </w:tc>
        <w:tc>
          <w:tcPr>
            <w:tcW w:w="1000" w:type="pct"/>
            <w:shd w:val="clear" w:color="auto" w:fill="FFFFFF"/>
            <w:vAlign w:val="bottom"/>
            <w:hideMark/>
          </w:tcPr>
          <w:p w14:paraId="041982F6" w14:textId="77777777" w:rsidR="00000000" w:rsidRDefault="00847163">
            <w:pPr>
              <w:ind w:left="176"/>
              <w:jc w:val="center"/>
              <w:rPr>
                <w:rFonts w:eastAsia="Times New Roman"/>
                <w:sz w:val="20"/>
                <w:szCs w:val="20"/>
              </w:rPr>
            </w:pPr>
            <w:r>
              <w:rPr>
                <w:rFonts w:eastAsia="Times New Roman"/>
                <w:sz w:val="20"/>
                <w:szCs w:val="20"/>
              </w:rPr>
              <w:t>171</w:t>
            </w:r>
          </w:p>
        </w:tc>
        <w:tc>
          <w:tcPr>
            <w:tcW w:w="50" w:type="pct"/>
            <w:shd w:val="clear" w:color="auto" w:fill="FFFFFF"/>
            <w:vAlign w:val="bottom"/>
            <w:hideMark/>
          </w:tcPr>
          <w:p w14:paraId="61C1D7A7"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47B1C06" w14:textId="77777777" w:rsidR="00000000" w:rsidRDefault="00847163">
            <w:pPr>
              <w:rPr>
                <w:rFonts w:eastAsia="Times New Roman"/>
                <w:sz w:val="20"/>
                <w:szCs w:val="20"/>
              </w:rPr>
            </w:pPr>
            <w:r>
              <w:rPr>
                <w:rFonts w:eastAsia="Times New Roman"/>
                <w:sz w:val="20"/>
                <w:szCs w:val="20"/>
              </w:rPr>
              <w:t> </w:t>
            </w:r>
          </w:p>
        </w:tc>
        <w:tc>
          <w:tcPr>
            <w:tcW w:w="1000" w:type="pct"/>
            <w:shd w:val="clear" w:color="auto" w:fill="FFFFFF"/>
            <w:vAlign w:val="bottom"/>
            <w:hideMark/>
          </w:tcPr>
          <w:p w14:paraId="61EF03C5" w14:textId="77777777" w:rsidR="00000000" w:rsidRDefault="00847163">
            <w:pPr>
              <w:ind w:left="176"/>
              <w:jc w:val="center"/>
              <w:rPr>
                <w:rFonts w:eastAsia="Times New Roman"/>
                <w:sz w:val="20"/>
                <w:szCs w:val="20"/>
              </w:rPr>
            </w:pPr>
            <w:r>
              <w:rPr>
                <w:rFonts w:eastAsia="Times New Roman"/>
                <w:sz w:val="20"/>
                <w:szCs w:val="20"/>
              </w:rPr>
              <w:t>1,624</w:t>
            </w:r>
          </w:p>
        </w:tc>
        <w:tc>
          <w:tcPr>
            <w:tcW w:w="50" w:type="pct"/>
            <w:shd w:val="clear" w:color="auto" w:fill="FFFFFF"/>
            <w:vAlign w:val="bottom"/>
            <w:hideMark/>
          </w:tcPr>
          <w:p w14:paraId="2970847E"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C97AD23"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1DA0FFA" w14:textId="77777777" w:rsidR="00000000" w:rsidRDefault="00847163">
            <w:pPr>
              <w:ind w:left="176"/>
              <w:rPr>
                <w:rFonts w:eastAsia="Times New Roman"/>
                <w:sz w:val="20"/>
                <w:szCs w:val="20"/>
              </w:rPr>
            </w:pPr>
            <w:r>
              <w:rPr>
                <w:rFonts w:eastAsia="Times New Roman"/>
                <w:sz w:val="20"/>
                <w:szCs w:val="20"/>
              </w:rPr>
              <w:t>$</w:t>
            </w:r>
          </w:p>
        </w:tc>
        <w:tc>
          <w:tcPr>
            <w:tcW w:w="850" w:type="pct"/>
            <w:shd w:val="clear" w:color="auto" w:fill="FFFFFF"/>
            <w:vAlign w:val="bottom"/>
            <w:hideMark/>
          </w:tcPr>
          <w:p w14:paraId="65A3B1C0" w14:textId="77777777" w:rsidR="00000000" w:rsidRDefault="00847163">
            <w:pPr>
              <w:ind w:left="176"/>
              <w:jc w:val="right"/>
              <w:rPr>
                <w:rFonts w:eastAsia="Times New Roman"/>
                <w:sz w:val="20"/>
                <w:szCs w:val="20"/>
              </w:rPr>
            </w:pPr>
            <w:r>
              <w:rPr>
                <w:rFonts w:eastAsia="Times New Roman"/>
                <w:sz w:val="20"/>
                <w:szCs w:val="20"/>
              </w:rPr>
              <w:t>29,474</w:t>
            </w:r>
          </w:p>
        </w:tc>
        <w:tc>
          <w:tcPr>
            <w:tcW w:w="50" w:type="pct"/>
            <w:shd w:val="clear" w:color="auto" w:fill="FFFFFF"/>
            <w:vAlign w:val="bottom"/>
            <w:hideMark/>
          </w:tcPr>
          <w:p w14:paraId="53E6FAF9"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F3715B2"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F483570" w14:textId="77777777" w:rsidR="00000000" w:rsidRDefault="00847163">
            <w:pPr>
              <w:rPr>
                <w:rFonts w:eastAsia="Times New Roman"/>
                <w:sz w:val="20"/>
                <w:szCs w:val="20"/>
              </w:rPr>
            </w:pPr>
            <w:r>
              <w:rPr>
                <w:rFonts w:eastAsia="Times New Roman"/>
                <w:sz w:val="20"/>
                <w:szCs w:val="20"/>
              </w:rPr>
              <w:t> </w:t>
            </w:r>
          </w:p>
        </w:tc>
        <w:tc>
          <w:tcPr>
            <w:tcW w:w="600" w:type="pct"/>
            <w:shd w:val="clear" w:color="auto" w:fill="FFFFFF"/>
            <w:vAlign w:val="bottom"/>
            <w:hideMark/>
          </w:tcPr>
          <w:p w14:paraId="7036F97A" w14:textId="77777777" w:rsidR="00000000" w:rsidRDefault="00847163">
            <w:pPr>
              <w:ind w:left="176"/>
              <w:jc w:val="right"/>
              <w:rPr>
                <w:rFonts w:eastAsia="Times New Roman"/>
                <w:sz w:val="20"/>
                <w:szCs w:val="20"/>
              </w:rPr>
            </w:pPr>
            <w:r>
              <w:rPr>
                <w:rFonts w:eastAsia="Times New Roman"/>
                <w:sz w:val="20"/>
                <w:szCs w:val="20"/>
              </w:rPr>
              <w:t>3.6</w:t>
            </w:r>
          </w:p>
        </w:tc>
        <w:tc>
          <w:tcPr>
            <w:tcW w:w="100" w:type="pct"/>
            <w:shd w:val="clear" w:color="auto" w:fill="FFFFFF"/>
            <w:vAlign w:val="bottom"/>
            <w:hideMark/>
          </w:tcPr>
          <w:p w14:paraId="080DBDD3" w14:textId="77777777" w:rsidR="00000000" w:rsidRDefault="00847163">
            <w:pPr>
              <w:pStyle w:val="a3"/>
              <w:spacing w:before="0" w:beforeAutospacing="0" w:after="0" w:afterAutospacing="0"/>
              <w:rPr>
                <w:sz w:val="20"/>
                <w:szCs w:val="20"/>
              </w:rPr>
            </w:pPr>
            <w:r>
              <w:rPr>
                <w:sz w:val="20"/>
                <w:szCs w:val="20"/>
              </w:rPr>
              <w:t>%</w:t>
            </w:r>
          </w:p>
        </w:tc>
      </w:tr>
    </w:tbl>
    <w:p w14:paraId="0BA0D086" w14:textId="77777777" w:rsidR="00000000" w:rsidRDefault="00847163">
      <w:pPr>
        <w:pStyle w:val="a3"/>
        <w:spacing w:before="0" w:beforeAutospacing="0" w:after="0" w:afterAutospacing="0"/>
        <w:ind w:firstLine="72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127EADDC" w14:textId="77777777">
        <w:trPr>
          <w:tblCellSpacing w:w="0" w:type="dxa"/>
        </w:trPr>
        <w:tc>
          <w:tcPr>
            <w:tcW w:w="720" w:type="dxa"/>
            <w:vAlign w:val="center"/>
            <w:hideMark/>
          </w:tcPr>
          <w:p w14:paraId="336C49EC" w14:textId="77777777" w:rsidR="00000000" w:rsidRDefault="00847163">
            <w:pPr>
              <w:rPr>
                <w:rFonts w:eastAsia="Times New Roman"/>
                <w:sz w:val="20"/>
                <w:szCs w:val="20"/>
              </w:rPr>
            </w:pPr>
            <w:r>
              <w:rPr>
                <w:rFonts w:eastAsia="Times New Roman"/>
                <w:sz w:val="20"/>
                <w:szCs w:val="20"/>
              </w:rPr>
              <w:t> </w:t>
            </w:r>
          </w:p>
        </w:tc>
        <w:tc>
          <w:tcPr>
            <w:tcW w:w="360" w:type="dxa"/>
            <w:hideMark/>
          </w:tcPr>
          <w:p w14:paraId="5C5CA0C6" w14:textId="77777777" w:rsidR="00000000" w:rsidRDefault="00847163">
            <w:pPr>
              <w:pStyle w:val="a3"/>
              <w:spacing w:before="0" w:beforeAutospacing="0" w:after="0" w:afterAutospacing="0"/>
              <w:jc w:val="both"/>
              <w:rPr>
                <w:sz w:val="20"/>
                <w:szCs w:val="20"/>
              </w:rPr>
            </w:pPr>
            <w:r>
              <w:rPr>
                <w:sz w:val="20"/>
                <w:szCs w:val="20"/>
              </w:rPr>
              <w:t>(1)</w:t>
            </w:r>
          </w:p>
        </w:tc>
        <w:tc>
          <w:tcPr>
            <w:tcW w:w="0" w:type="auto"/>
            <w:hideMark/>
          </w:tcPr>
          <w:p w14:paraId="6890B50D" w14:textId="77777777" w:rsidR="00000000" w:rsidRDefault="00847163">
            <w:pPr>
              <w:pStyle w:val="a3"/>
              <w:spacing w:before="0" w:beforeAutospacing="0" w:after="0" w:afterAutospacing="0"/>
              <w:jc w:val="both"/>
              <w:rPr>
                <w:sz w:val="20"/>
                <w:szCs w:val="20"/>
              </w:rPr>
            </w:pPr>
            <w:r>
              <w:rPr>
                <w:sz w:val="20"/>
                <w:szCs w:val="20"/>
              </w:rPr>
              <w:t>Leases currently under month-to-month lease or in process of renewal.</w:t>
            </w:r>
          </w:p>
        </w:tc>
      </w:tr>
    </w:tbl>
    <w:p w14:paraId="20E0873F" w14:textId="77777777" w:rsidR="00000000" w:rsidRDefault="00847163">
      <w:pPr>
        <w:pStyle w:val="a3"/>
        <w:spacing w:before="0" w:beforeAutospacing="0" w:after="0" w:afterAutospacing="0"/>
        <w:rPr>
          <w:sz w:val="20"/>
          <w:szCs w:val="20"/>
        </w:rPr>
      </w:pPr>
      <w:r>
        <w:rPr>
          <w:sz w:val="20"/>
          <w:szCs w:val="20"/>
        </w:rPr>
        <w:t> </w:t>
      </w:r>
    </w:p>
    <w:p w14:paraId="60B149CF" w14:textId="77777777" w:rsidR="00000000" w:rsidRDefault="00847163">
      <w:pPr>
        <w:jc w:val="center"/>
        <w:divId w:val="1348826042"/>
        <w:rPr>
          <w:rFonts w:eastAsia="Times New Roman"/>
          <w:sz w:val="20"/>
          <w:szCs w:val="20"/>
        </w:rPr>
      </w:pPr>
      <w:r>
        <w:rPr>
          <w:rFonts w:eastAsia="Times New Roman"/>
          <w:sz w:val="20"/>
          <w:szCs w:val="20"/>
        </w:rPr>
        <w:t xml:space="preserve">29 </w:t>
      </w:r>
    </w:p>
    <w:p w14:paraId="0C6986CF" w14:textId="77777777" w:rsidR="00000000" w:rsidRDefault="00847163">
      <w:pPr>
        <w:divId w:val="1198815189"/>
        <w:rPr>
          <w:rFonts w:eastAsia="Times New Roman"/>
          <w:sz w:val="20"/>
          <w:szCs w:val="20"/>
        </w:rPr>
      </w:pPr>
      <w:r>
        <w:rPr>
          <w:rFonts w:eastAsia="Times New Roman"/>
          <w:sz w:val="20"/>
          <w:szCs w:val="20"/>
        </w:rPr>
        <w:pict w14:anchorId="7B3D6E90">
          <v:rect id="_x0000_i1057" style="width:0;height:1.5pt" o:hralign="center" o:hrstd="t" o:hr="t" fillcolor="#a0a0a0" stroked="f"/>
        </w:pict>
      </w:r>
    </w:p>
    <w:p w14:paraId="4765694C" w14:textId="77777777" w:rsidR="00000000" w:rsidRDefault="00847163">
      <w:pPr>
        <w:divId w:val="1621916556"/>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188567FF" w14:textId="77777777" w:rsidR="00000000" w:rsidRDefault="00847163">
      <w:pPr>
        <w:divId w:val="1079719083"/>
        <w:rPr>
          <w:rFonts w:eastAsia="Times New Roman"/>
          <w:sz w:val="20"/>
          <w:szCs w:val="20"/>
        </w:rPr>
      </w:pPr>
      <w:r>
        <w:rPr>
          <w:rFonts w:eastAsia="Times New Roman"/>
          <w:sz w:val="20"/>
          <w:szCs w:val="20"/>
        </w:rPr>
        <w:t xml:space="preserve">  </w:t>
      </w:r>
    </w:p>
    <w:p w14:paraId="50F35DE1" w14:textId="77777777" w:rsidR="00000000" w:rsidRDefault="00847163">
      <w:pPr>
        <w:pStyle w:val="a3"/>
        <w:spacing w:before="0" w:beforeAutospacing="0" w:after="0" w:afterAutospacing="0"/>
        <w:rPr>
          <w:sz w:val="20"/>
          <w:szCs w:val="20"/>
        </w:rPr>
      </w:pPr>
      <w:r>
        <w:rPr>
          <w:sz w:val="20"/>
          <w:szCs w:val="20"/>
        </w:rPr>
        <w:t> </w:t>
      </w:r>
    </w:p>
    <w:p w14:paraId="23655C14" w14:textId="77777777" w:rsidR="00000000" w:rsidRDefault="00847163">
      <w:pPr>
        <w:pStyle w:val="a3"/>
        <w:spacing w:before="0" w:beforeAutospacing="0" w:after="0" w:afterAutospacing="0"/>
        <w:rPr>
          <w:sz w:val="20"/>
          <w:szCs w:val="20"/>
        </w:rPr>
      </w:pPr>
      <w:r>
        <w:rPr>
          <w:b/>
          <w:bCs/>
          <w:sz w:val="20"/>
          <w:szCs w:val="20"/>
        </w:rPr>
        <w:t>Item 3. Quantitative and Qualitative Disclosures About Market Risk.</w:t>
      </w:r>
    </w:p>
    <w:p w14:paraId="028A2EDB" w14:textId="77777777" w:rsidR="00000000" w:rsidRDefault="00847163">
      <w:pPr>
        <w:pStyle w:val="a3"/>
        <w:spacing w:before="0" w:beforeAutospacing="0" w:after="0" w:afterAutospacing="0"/>
        <w:jc w:val="both"/>
        <w:rPr>
          <w:sz w:val="20"/>
          <w:szCs w:val="20"/>
        </w:rPr>
      </w:pPr>
      <w:r>
        <w:rPr>
          <w:sz w:val="20"/>
          <w:szCs w:val="20"/>
        </w:rPr>
        <w:t> </w:t>
      </w:r>
    </w:p>
    <w:p w14:paraId="0A3434E5" w14:textId="77777777" w:rsidR="00000000" w:rsidRDefault="00847163">
      <w:pPr>
        <w:pStyle w:val="a3"/>
        <w:spacing w:before="0" w:beforeAutospacing="0" w:after="0" w:afterAutospacing="0"/>
        <w:ind w:firstLine="360"/>
        <w:jc w:val="both"/>
        <w:rPr>
          <w:sz w:val="20"/>
          <w:szCs w:val="20"/>
        </w:rPr>
      </w:pPr>
      <w:r>
        <w:rPr>
          <w:sz w:val="20"/>
          <w:szCs w:val="20"/>
        </w:rPr>
        <w:t>The Company’</w:t>
      </w:r>
      <w:r>
        <w:rPr>
          <w:sz w:val="20"/>
          <w:szCs w:val="20"/>
        </w:rPr>
        <w:t xml:space="preserve">s primary market risk exposure is interest rate risk. The Company periodically evaluates its exposure to short-term interest rates and will, from time-to-time, enter into interest rate protection agreements which mitigate, but do not eliminate, the effect </w:t>
      </w:r>
      <w:r>
        <w:rPr>
          <w:sz w:val="20"/>
          <w:szCs w:val="20"/>
        </w:rPr>
        <w:t>of changes in interest rates on its floating-rate debt. The Company has not, and does not plan to, enter into any derivative financial instruments for trading or speculative purposes. The following table presents the Company’s aggregate fixed rate and vari</w:t>
      </w:r>
      <w:r>
        <w:rPr>
          <w:sz w:val="20"/>
          <w:szCs w:val="20"/>
        </w:rPr>
        <w:t>able rate debt obligations outstanding, including fair market value adjustments and unamortized deferred financing costs, as of March 31, 2020, with corresponding weighted average interest rates sorted by maturity date. The table does not include extension</w:t>
      </w:r>
      <w:r>
        <w:rPr>
          <w:sz w:val="20"/>
          <w:szCs w:val="20"/>
        </w:rPr>
        <w:t xml:space="preserve"> options where available (amounts in millions).</w:t>
      </w:r>
    </w:p>
    <w:p w14:paraId="0FDDE48D" w14:textId="77777777" w:rsidR="00000000" w:rsidRDefault="00847163">
      <w:pPr>
        <w:pStyle w:val="a3"/>
        <w:spacing w:before="0" w:beforeAutospacing="0" w:after="0" w:afterAutospacing="0"/>
        <w:ind w:firstLine="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715"/>
        <w:gridCol w:w="50"/>
        <w:gridCol w:w="100"/>
        <w:gridCol w:w="350"/>
        <w:gridCol w:w="167"/>
        <w:gridCol w:w="50"/>
        <w:gridCol w:w="100"/>
        <w:gridCol w:w="450"/>
        <w:gridCol w:w="167"/>
        <w:gridCol w:w="50"/>
        <w:gridCol w:w="100"/>
        <w:gridCol w:w="450"/>
        <w:gridCol w:w="167"/>
        <w:gridCol w:w="50"/>
        <w:gridCol w:w="100"/>
        <w:gridCol w:w="450"/>
        <w:gridCol w:w="167"/>
        <w:gridCol w:w="50"/>
        <w:gridCol w:w="100"/>
        <w:gridCol w:w="450"/>
        <w:gridCol w:w="167"/>
        <w:gridCol w:w="50"/>
        <w:gridCol w:w="154"/>
        <w:gridCol w:w="768"/>
        <w:gridCol w:w="167"/>
        <w:gridCol w:w="50"/>
        <w:gridCol w:w="100"/>
        <w:gridCol w:w="600"/>
        <w:gridCol w:w="167"/>
        <w:gridCol w:w="50"/>
        <w:gridCol w:w="100"/>
        <w:gridCol w:w="600"/>
        <w:gridCol w:w="50"/>
      </w:tblGrid>
      <w:tr w:rsidR="00000000" w14:paraId="0C2FAFED" w14:textId="77777777">
        <w:trPr>
          <w:tblCellSpacing w:w="0" w:type="dxa"/>
        </w:trPr>
        <w:tc>
          <w:tcPr>
            <w:tcW w:w="1750" w:type="pct"/>
            <w:vAlign w:val="bottom"/>
            <w:hideMark/>
          </w:tcPr>
          <w:p w14:paraId="4E95B7E6" w14:textId="77777777" w:rsidR="00000000" w:rsidRDefault="00847163">
            <w:pPr>
              <w:rPr>
                <w:rFonts w:eastAsia="Times New Roman"/>
                <w:sz w:val="20"/>
                <w:szCs w:val="20"/>
              </w:rPr>
            </w:pPr>
            <w:r>
              <w:rPr>
                <w:rFonts w:eastAsia="Times New Roman"/>
                <w:sz w:val="20"/>
                <w:szCs w:val="20"/>
              </w:rPr>
              <w:t> </w:t>
            </w:r>
          </w:p>
        </w:tc>
        <w:tc>
          <w:tcPr>
            <w:tcW w:w="50" w:type="pct"/>
            <w:vAlign w:val="bottom"/>
            <w:hideMark/>
          </w:tcPr>
          <w:p w14:paraId="60BCD678" w14:textId="77777777" w:rsidR="00000000" w:rsidRDefault="00847163">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477CAEEE" w14:textId="77777777" w:rsidR="00000000" w:rsidRDefault="00847163">
            <w:pPr>
              <w:pStyle w:val="a3"/>
              <w:spacing w:before="0" w:beforeAutospacing="0" w:after="0" w:afterAutospacing="0"/>
              <w:jc w:val="center"/>
              <w:rPr>
                <w:sz w:val="20"/>
                <w:szCs w:val="20"/>
              </w:rPr>
            </w:pPr>
            <w:r>
              <w:rPr>
                <w:b/>
                <w:bCs/>
                <w:sz w:val="20"/>
                <w:szCs w:val="20"/>
              </w:rPr>
              <w:t>2020</w:t>
            </w:r>
          </w:p>
        </w:tc>
        <w:tc>
          <w:tcPr>
            <w:tcW w:w="50" w:type="pct"/>
            <w:tcMar>
              <w:top w:w="0" w:type="dxa"/>
              <w:left w:w="0" w:type="dxa"/>
              <w:bottom w:w="15" w:type="dxa"/>
              <w:right w:w="0" w:type="dxa"/>
            </w:tcMar>
            <w:vAlign w:val="bottom"/>
            <w:hideMark/>
          </w:tcPr>
          <w:p w14:paraId="154FCB89" w14:textId="77777777" w:rsidR="00000000" w:rsidRDefault="00847163">
            <w:pPr>
              <w:rPr>
                <w:rFonts w:eastAsia="Times New Roman"/>
                <w:sz w:val="20"/>
                <w:szCs w:val="20"/>
              </w:rPr>
            </w:pPr>
            <w:r>
              <w:rPr>
                <w:rFonts w:eastAsia="Times New Roman"/>
                <w:sz w:val="20"/>
                <w:szCs w:val="20"/>
              </w:rPr>
              <w:t> </w:t>
            </w:r>
          </w:p>
        </w:tc>
        <w:tc>
          <w:tcPr>
            <w:tcW w:w="50" w:type="pct"/>
            <w:vAlign w:val="bottom"/>
            <w:hideMark/>
          </w:tcPr>
          <w:p w14:paraId="31400FE7" w14:textId="77777777" w:rsidR="00000000" w:rsidRDefault="00847163">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01AECF30" w14:textId="77777777" w:rsidR="00000000" w:rsidRDefault="00847163">
            <w:pPr>
              <w:pStyle w:val="a3"/>
              <w:spacing w:before="0" w:beforeAutospacing="0" w:after="0" w:afterAutospacing="0"/>
              <w:jc w:val="center"/>
              <w:rPr>
                <w:sz w:val="20"/>
                <w:szCs w:val="20"/>
              </w:rPr>
            </w:pPr>
            <w:r>
              <w:rPr>
                <w:b/>
                <w:bCs/>
                <w:sz w:val="20"/>
                <w:szCs w:val="20"/>
              </w:rPr>
              <w:t>2021</w:t>
            </w:r>
          </w:p>
        </w:tc>
        <w:tc>
          <w:tcPr>
            <w:tcW w:w="50" w:type="pct"/>
            <w:tcMar>
              <w:top w:w="0" w:type="dxa"/>
              <w:left w:w="0" w:type="dxa"/>
              <w:bottom w:w="15" w:type="dxa"/>
              <w:right w:w="0" w:type="dxa"/>
            </w:tcMar>
            <w:vAlign w:val="bottom"/>
            <w:hideMark/>
          </w:tcPr>
          <w:p w14:paraId="2A4F15BE" w14:textId="77777777" w:rsidR="00000000" w:rsidRDefault="00847163">
            <w:pPr>
              <w:rPr>
                <w:rFonts w:eastAsia="Times New Roman"/>
                <w:sz w:val="20"/>
                <w:szCs w:val="20"/>
              </w:rPr>
            </w:pPr>
            <w:r>
              <w:rPr>
                <w:rFonts w:eastAsia="Times New Roman"/>
                <w:sz w:val="20"/>
                <w:szCs w:val="20"/>
              </w:rPr>
              <w:t> </w:t>
            </w:r>
          </w:p>
        </w:tc>
        <w:tc>
          <w:tcPr>
            <w:tcW w:w="50" w:type="pct"/>
            <w:vAlign w:val="bottom"/>
            <w:hideMark/>
          </w:tcPr>
          <w:p w14:paraId="3701E16F" w14:textId="77777777" w:rsidR="00000000" w:rsidRDefault="00847163">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5E322DC6" w14:textId="77777777" w:rsidR="00000000" w:rsidRDefault="00847163">
            <w:pPr>
              <w:pStyle w:val="a3"/>
              <w:spacing w:before="0" w:beforeAutospacing="0" w:after="0" w:afterAutospacing="0"/>
              <w:jc w:val="center"/>
              <w:rPr>
                <w:sz w:val="20"/>
                <w:szCs w:val="20"/>
              </w:rPr>
            </w:pPr>
            <w:r>
              <w:rPr>
                <w:b/>
                <w:bCs/>
                <w:sz w:val="20"/>
                <w:szCs w:val="20"/>
              </w:rPr>
              <w:t>2022</w:t>
            </w:r>
          </w:p>
        </w:tc>
        <w:tc>
          <w:tcPr>
            <w:tcW w:w="50" w:type="pct"/>
            <w:tcMar>
              <w:top w:w="0" w:type="dxa"/>
              <w:left w:w="0" w:type="dxa"/>
              <w:bottom w:w="15" w:type="dxa"/>
              <w:right w:w="0" w:type="dxa"/>
            </w:tcMar>
            <w:vAlign w:val="bottom"/>
            <w:hideMark/>
          </w:tcPr>
          <w:p w14:paraId="4612E596" w14:textId="77777777" w:rsidR="00000000" w:rsidRDefault="00847163">
            <w:pPr>
              <w:rPr>
                <w:rFonts w:eastAsia="Times New Roman"/>
                <w:sz w:val="20"/>
                <w:szCs w:val="20"/>
              </w:rPr>
            </w:pPr>
            <w:r>
              <w:rPr>
                <w:rFonts w:eastAsia="Times New Roman"/>
                <w:sz w:val="20"/>
                <w:szCs w:val="20"/>
              </w:rPr>
              <w:t> </w:t>
            </w:r>
          </w:p>
        </w:tc>
        <w:tc>
          <w:tcPr>
            <w:tcW w:w="50" w:type="pct"/>
            <w:vAlign w:val="bottom"/>
            <w:hideMark/>
          </w:tcPr>
          <w:p w14:paraId="5DFE9178" w14:textId="77777777" w:rsidR="00000000" w:rsidRDefault="00847163">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0A1F8A9B" w14:textId="77777777" w:rsidR="00000000" w:rsidRDefault="00847163">
            <w:pPr>
              <w:pStyle w:val="a3"/>
              <w:spacing w:before="0" w:beforeAutospacing="0" w:after="0" w:afterAutospacing="0"/>
              <w:jc w:val="center"/>
              <w:rPr>
                <w:sz w:val="20"/>
                <w:szCs w:val="20"/>
              </w:rPr>
            </w:pPr>
            <w:r>
              <w:rPr>
                <w:b/>
                <w:bCs/>
                <w:sz w:val="20"/>
                <w:szCs w:val="20"/>
              </w:rPr>
              <w:t>2023</w:t>
            </w:r>
          </w:p>
        </w:tc>
        <w:tc>
          <w:tcPr>
            <w:tcW w:w="50" w:type="pct"/>
            <w:tcMar>
              <w:top w:w="0" w:type="dxa"/>
              <w:left w:w="0" w:type="dxa"/>
              <w:bottom w:w="15" w:type="dxa"/>
              <w:right w:w="0" w:type="dxa"/>
            </w:tcMar>
            <w:vAlign w:val="bottom"/>
            <w:hideMark/>
          </w:tcPr>
          <w:p w14:paraId="7714FFE6" w14:textId="77777777" w:rsidR="00000000" w:rsidRDefault="00847163">
            <w:pPr>
              <w:rPr>
                <w:rFonts w:eastAsia="Times New Roman"/>
                <w:sz w:val="20"/>
                <w:szCs w:val="20"/>
              </w:rPr>
            </w:pPr>
            <w:r>
              <w:rPr>
                <w:rFonts w:eastAsia="Times New Roman"/>
                <w:sz w:val="20"/>
                <w:szCs w:val="20"/>
              </w:rPr>
              <w:t> </w:t>
            </w:r>
          </w:p>
        </w:tc>
        <w:tc>
          <w:tcPr>
            <w:tcW w:w="50" w:type="pct"/>
            <w:vAlign w:val="bottom"/>
            <w:hideMark/>
          </w:tcPr>
          <w:p w14:paraId="7BA9FF1B" w14:textId="77777777" w:rsidR="00000000" w:rsidRDefault="00847163">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43ACA605" w14:textId="77777777" w:rsidR="00000000" w:rsidRDefault="00847163">
            <w:pPr>
              <w:pStyle w:val="a3"/>
              <w:spacing w:before="0" w:beforeAutospacing="0" w:after="0" w:afterAutospacing="0"/>
              <w:jc w:val="center"/>
              <w:rPr>
                <w:sz w:val="20"/>
                <w:szCs w:val="20"/>
              </w:rPr>
            </w:pPr>
            <w:r>
              <w:rPr>
                <w:b/>
                <w:bCs/>
                <w:sz w:val="20"/>
                <w:szCs w:val="20"/>
              </w:rPr>
              <w:t>2024</w:t>
            </w:r>
          </w:p>
        </w:tc>
        <w:tc>
          <w:tcPr>
            <w:tcW w:w="50" w:type="pct"/>
            <w:tcMar>
              <w:top w:w="0" w:type="dxa"/>
              <w:left w:w="0" w:type="dxa"/>
              <w:bottom w:w="15" w:type="dxa"/>
              <w:right w:w="0" w:type="dxa"/>
            </w:tcMar>
            <w:vAlign w:val="bottom"/>
            <w:hideMark/>
          </w:tcPr>
          <w:p w14:paraId="5169E75B" w14:textId="77777777" w:rsidR="00000000" w:rsidRDefault="00847163">
            <w:pPr>
              <w:rPr>
                <w:rFonts w:eastAsia="Times New Roman"/>
                <w:sz w:val="20"/>
                <w:szCs w:val="20"/>
              </w:rPr>
            </w:pPr>
            <w:r>
              <w:rPr>
                <w:rFonts w:eastAsia="Times New Roman"/>
                <w:sz w:val="20"/>
                <w:szCs w:val="20"/>
              </w:rPr>
              <w:t> </w:t>
            </w:r>
          </w:p>
        </w:tc>
        <w:tc>
          <w:tcPr>
            <w:tcW w:w="50" w:type="pct"/>
            <w:vAlign w:val="bottom"/>
            <w:hideMark/>
          </w:tcPr>
          <w:p w14:paraId="66DD6A38" w14:textId="77777777" w:rsidR="00000000" w:rsidRDefault="00847163">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5740D037" w14:textId="77777777" w:rsidR="00000000" w:rsidRDefault="00847163">
            <w:pPr>
              <w:pStyle w:val="a3"/>
              <w:spacing w:before="0" w:beforeAutospacing="0" w:after="0" w:afterAutospacing="0"/>
              <w:jc w:val="center"/>
              <w:rPr>
                <w:sz w:val="20"/>
                <w:szCs w:val="20"/>
              </w:rPr>
            </w:pPr>
            <w:r>
              <w:rPr>
                <w:b/>
                <w:bCs/>
                <w:sz w:val="20"/>
                <w:szCs w:val="20"/>
              </w:rPr>
              <w:t>Thereafter</w:t>
            </w:r>
          </w:p>
        </w:tc>
        <w:tc>
          <w:tcPr>
            <w:tcW w:w="50" w:type="pct"/>
            <w:tcMar>
              <w:top w:w="0" w:type="dxa"/>
              <w:left w:w="0" w:type="dxa"/>
              <w:bottom w:w="15" w:type="dxa"/>
              <w:right w:w="0" w:type="dxa"/>
            </w:tcMar>
            <w:vAlign w:val="bottom"/>
            <w:hideMark/>
          </w:tcPr>
          <w:p w14:paraId="6C80C111" w14:textId="77777777" w:rsidR="00000000" w:rsidRDefault="00847163">
            <w:pPr>
              <w:rPr>
                <w:rFonts w:eastAsia="Times New Roman"/>
                <w:sz w:val="20"/>
                <w:szCs w:val="20"/>
              </w:rPr>
            </w:pPr>
            <w:r>
              <w:rPr>
                <w:rFonts w:eastAsia="Times New Roman"/>
                <w:sz w:val="20"/>
                <w:szCs w:val="20"/>
              </w:rPr>
              <w:t> </w:t>
            </w:r>
          </w:p>
        </w:tc>
        <w:tc>
          <w:tcPr>
            <w:tcW w:w="50" w:type="pct"/>
            <w:vAlign w:val="bottom"/>
            <w:hideMark/>
          </w:tcPr>
          <w:p w14:paraId="227BA961" w14:textId="77777777" w:rsidR="00000000" w:rsidRDefault="00847163">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7D1DBFFB" w14:textId="77777777" w:rsidR="00000000" w:rsidRDefault="00847163">
            <w:pPr>
              <w:pStyle w:val="a3"/>
              <w:spacing w:before="0" w:beforeAutospacing="0" w:after="0" w:afterAutospacing="0"/>
              <w:jc w:val="center"/>
              <w:rPr>
                <w:sz w:val="20"/>
                <w:szCs w:val="20"/>
              </w:rPr>
            </w:pPr>
            <w:r>
              <w:rPr>
                <w:b/>
                <w:bCs/>
                <w:sz w:val="20"/>
                <w:szCs w:val="20"/>
              </w:rPr>
              <w:t>Total</w:t>
            </w:r>
          </w:p>
        </w:tc>
        <w:tc>
          <w:tcPr>
            <w:tcW w:w="50" w:type="pct"/>
            <w:tcMar>
              <w:top w:w="0" w:type="dxa"/>
              <w:left w:w="0" w:type="dxa"/>
              <w:bottom w:w="15" w:type="dxa"/>
              <w:right w:w="0" w:type="dxa"/>
            </w:tcMar>
            <w:vAlign w:val="bottom"/>
            <w:hideMark/>
          </w:tcPr>
          <w:p w14:paraId="795B06E7" w14:textId="77777777" w:rsidR="00000000" w:rsidRDefault="00847163">
            <w:pPr>
              <w:rPr>
                <w:rFonts w:eastAsia="Times New Roman"/>
                <w:sz w:val="20"/>
                <w:szCs w:val="20"/>
              </w:rPr>
            </w:pPr>
            <w:r>
              <w:rPr>
                <w:rFonts w:eastAsia="Times New Roman"/>
                <w:sz w:val="20"/>
                <w:szCs w:val="20"/>
              </w:rPr>
              <w:t> </w:t>
            </w:r>
          </w:p>
        </w:tc>
        <w:tc>
          <w:tcPr>
            <w:tcW w:w="50" w:type="pct"/>
            <w:vAlign w:val="bottom"/>
            <w:hideMark/>
          </w:tcPr>
          <w:p w14:paraId="3424BC89" w14:textId="77777777" w:rsidR="00000000" w:rsidRDefault="00847163">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0061ADEA" w14:textId="77777777" w:rsidR="00000000" w:rsidRDefault="00847163">
            <w:pPr>
              <w:pStyle w:val="a3"/>
              <w:spacing w:before="0" w:beforeAutospacing="0" w:after="0" w:afterAutospacing="0"/>
              <w:jc w:val="center"/>
              <w:rPr>
                <w:sz w:val="20"/>
                <w:szCs w:val="20"/>
              </w:rPr>
            </w:pPr>
            <w:r>
              <w:rPr>
                <w:b/>
                <w:bCs/>
                <w:sz w:val="20"/>
                <w:szCs w:val="20"/>
              </w:rPr>
              <w:t>Fair Value</w:t>
            </w:r>
          </w:p>
        </w:tc>
        <w:tc>
          <w:tcPr>
            <w:tcW w:w="50" w:type="pct"/>
            <w:tcMar>
              <w:top w:w="0" w:type="dxa"/>
              <w:left w:w="0" w:type="dxa"/>
              <w:bottom w:w="15" w:type="dxa"/>
              <w:right w:w="0" w:type="dxa"/>
            </w:tcMar>
            <w:vAlign w:val="bottom"/>
            <w:hideMark/>
          </w:tcPr>
          <w:p w14:paraId="3E598AD4" w14:textId="77777777" w:rsidR="00000000" w:rsidRDefault="00847163">
            <w:pPr>
              <w:rPr>
                <w:rFonts w:eastAsia="Times New Roman"/>
                <w:sz w:val="20"/>
                <w:szCs w:val="20"/>
              </w:rPr>
            </w:pPr>
            <w:r>
              <w:rPr>
                <w:rFonts w:eastAsia="Times New Roman"/>
                <w:sz w:val="20"/>
                <w:szCs w:val="20"/>
              </w:rPr>
              <w:t> </w:t>
            </w:r>
          </w:p>
        </w:tc>
      </w:tr>
      <w:tr w:rsidR="00847163" w14:paraId="65E8348B" w14:textId="77777777">
        <w:trPr>
          <w:tblCellSpacing w:w="0" w:type="dxa"/>
        </w:trPr>
        <w:tc>
          <w:tcPr>
            <w:tcW w:w="1750" w:type="pct"/>
            <w:shd w:val="clear" w:color="auto" w:fill="CCEEFF"/>
            <w:vAlign w:val="bottom"/>
            <w:hideMark/>
          </w:tcPr>
          <w:p w14:paraId="1C7CCED9" w14:textId="77777777" w:rsidR="00000000" w:rsidRDefault="00847163">
            <w:pPr>
              <w:pStyle w:val="a3"/>
              <w:spacing w:before="0" w:beforeAutospacing="0" w:after="0" w:afterAutospacing="0"/>
              <w:rPr>
                <w:sz w:val="20"/>
                <w:szCs w:val="20"/>
              </w:rPr>
            </w:pPr>
            <w:r>
              <w:rPr>
                <w:b/>
                <w:bCs/>
                <w:sz w:val="20"/>
                <w:szCs w:val="20"/>
                <w:u w:val="single"/>
              </w:rPr>
              <w:t>Secured Debt</w:t>
            </w:r>
          </w:p>
        </w:tc>
        <w:tc>
          <w:tcPr>
            <w:tcW w:w="50" w:type="pct"/>
            <w:shd w:val="clear" w:color="auto" w:fill="CCEEFF"/>
            <w:vAlign w:val="bottom"/>
            <w:hideMark/>
          </w:tcPr>
          <w:p w14:paraId="7B1813B3"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5B8B50F" w14:textId="77777777" w:rsidR="00000000" w:rsidRDefault="00847163">
            <w:pPr>
              <w:rPr>
                <w:rFonts w:eastAsia="Times New Roman"/>
                <w:sz w:val="20"/>
                <w:szCs w:val="20"/>
              </w:rPr>
            </w:pPr>
            <w:r>
              <w:rPr>
                <w:rFonts w:eastAsia="Times New Roman"/>
                <w:b/>
                <w:bCs/>
                <w:sz w:val="20"/>
                <w:szCs w:val="20"/>
              </w:rPr>
              <w:t> </w:t>
            </w:r>
          </w:p>
        </w:tc>
        <w:tc>
          <w:tcPr>
            <w:tcW w:w="250" w:type="pct"/>
            <w:shd w:val="clear" w:color="auto" w:fill="CCEEFF"/>
            <w:vAlign w:val="bottom"/>
            <w:hideMark/>
          </w:tcPr>
          <w:p w14:paraId="7A06E42D" w14:textId="77777777" w:rsidR="00000000" w:rsidRDefault="00847163">
            <w:pPr>
              <w:rPr>
                <w:rFonts w:eastAsia="Times New Roman"/>
                <w:sz w:val="20"/>
                <w:szCs w:val="20"/>
              </w:rPr>
            </w:pPr>
            <w:r>
              <w:rPr>
                <w:rFonts w:eastAsia="Times New Roman"/>
                <w:b/>
                <w:bCs/>
                <w:sz w:val="20"/>
                <w:szCs w:val="20"/>
              </w:rPr>
              <w:t> </w:t>
            </w:r>
          </w:p>
        </w:tc>
        <w:tc>
          <w:tcPr>
            <w:tcW w:w="50" w:type="pct"/>
            <w:shd w:val="clear" w:color="auto" w:fill="CCEEFF"/>
            <w:vAlign w:val="bottom"/>
            <w:hideMark/>
          </w:tcPr>
          <w:p w14:paraId="756C897B" w14:textId="77777777" w:rsidR="00000000" w:rsidRDefault="00847163">
            <w:pPr>
              <w:rPr>
                <w:rFonts w:eastAsia="Times New Roman"/>
                <w:sz w:val="20"/>
                <w:szCs w:val="20"/>
              </w:rPr>
            </w:pPr>
            <w:r>
              <w:rPr>
                <w:rFonts w:eastAsia="Times New Roman"/>
                <w:b/>
                <w:bCs/>
                <w:sz w:val="20"/>
                <w:szCs w:val="20"/>
              </w:rPr>
              <w:t> </w:t>
            </w:r>
          </w:p>
        </w:tc>
        <w:tc>
          <w:tcPr>
            <w:tcW w:w="50" w:type="pct"/>
            <w:shd w:val="clear" w:color="auto" w:fill="CCEEFF"/>
            <w:vAlign w:val="bottom"/>
            <w:hideMark/>
          </w:tcPr>
          <w:p w14:paraId="5FE32CB1"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93669A1" w14:textId="77777777" w:rsidR="00000000" w:rsidRDefault="00847163">
            <w:pPr>
              <w:rPr>
                <w:rFonts w:eastAsia="Times New Roman"/>
                <w:sz w:val="20"/>
                <w:szCs w:val="20"/>
              </w:rPr>
            </w:pPr>
            <w:r>
              <w:rPr>
                <w:rFonts w:eastAsia="Times New Roman"/>
                <w:b/>
                <w:bCs/>
                <w:sz w:val="20"/>
                <w:szCs w:val="20"/>
              </w:rPr>
              <w:t> </w:t>
            </w:r>
          </w:p>
        </w:tc>
        <w:tc>
          <w:tcPr>
            <w:tcW w:w="250" w:type="pct"/>
            <w:shd w:val="clear" w:color="auto" w:fill="CCEEFF"/>
            <w:vAlign w:val="bottom"/>
            <w:hideMark/>
          </w:tcPr>
          <w:p w14:paraId="277F0B79" w14:textId="77777777" w:rsidR="00000000" w:rsidRDefault="00847163">
            <w:pPr>
              <w:rPr>
                <w:rFonts w:eastAsia="Times New Roman"/>
                <w:sz w:val="20"/>
                <w:szCs w:val="20"/>
              </w:rPr>
            </w:pPr>
            <w:r>
              <w:rPr>
                <w:rFonts w:eastAsia="Times New Roman"/>
                <w:b/>
                <w:bCs/>
                <w:sz w:val="20"/>
                <w:szCs w:val="20"/>
              </w:rPr>
              <w:t> </w:t>
            </w:r>
          </w:p>
        </w:tc>
        <w:tc>
          <w:tcPr>
            <w:tcW w:w="50" w:type="pct"/>
            <w:shd w:val="clear" w:color="auto" w:fill="CCEEFF"/>
            <w:vAlign w:val="bottom"/>
            <w:hideMark/>
          </w:tcPr>
          <w:p w14:paraId="4FE7ED75" w14:textId="77777777" w:rsidR="00000000" w:rsidRDefault="00847163">
            <w:pPr>
              <w:rPr>
                <w:rFonts w:eastAsia="Times New Roman"/>
                <w:sz w:val="20"/>
                <w:szCs w:val="20"/>
              </w:rPr>
            </w:pPr>
            <w:r>
              <w:rPr>
                <w:rFonts w:eastAsia="Times New Roman"/>
                <w:b/>
                <w:bCs/>
                <w:sz w:val="20"/>
                <w:szCs w:val="20"/>
              </w:rPr>
              <w:t> </w:t>
            </w:r>
          </w:p>
        </w:tc>
        <w:tc>
          <w:tcPr>
            <w:tcW w:w="50" w:type="pct"/>
            <w:shd w:val="clear" w:color="auto" w:fill="CCEEFF"/>
            <w:vAlign w:val="bottom"/>
            <w:hideMark/>
          </w:tcPr>
          <w:p w14:paraId="0F8D8CCE"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45F7282" w14:textId="77777777" w:rsidR="00000000" w:rsidRDefault="00847163">
            <w:pPr>
              <w:rPr>
                <w:rFonts w:eastAsia="Times New Roman"/>
                <w:sz w:val="20"/>
                <w:szCs w:val="20"/>
              </w:rPr>
            </w:pPr>
            <w:r>
              <w:rPr>
                <w:rFonts w:eastAsia="Times New Roman"/>
                <w:b/>
                <w:bCs/>
                <w:sz w:val="20"/>
                <w:szCs w:val="20"/>
              </w:rPr>
              <w:t> </w:t>
            </w:r>
          </w:p>
        </w:tc>
        <w:tc>
          <w:tcPr>
            <w:tcW w:w="250" w:type="pct"/>
            <w:shd w:val="clear" w:color="auto" w:fill="CCEEFF"/>
            <w:vAlign w:val="bottom"/>
            <w:hideMark/>
          </w:tcPr>
          <w:p w14:paraId="1CB8BD7F" w14:textId="77777777" w:rsidR="00000000" w:rsidRDefault="00847163">
            <w:pPr>
              <w:rPr>
                <w:rFonts w:eastAsia="Times New Roman"/>
                <w:sz w:val="20"/>
                <w:szCs w:val="20"/>
              </w:rPr>
            </w:pPr>
            <w:r>
              <w:rPr>
                <w:rFonts w:eastAsia="Times New Roman"/>
                <w:b/>
                <w:bCs/>
                <w:sz w:val="20"/>
                <w:szCs w:val="20"/>
              </w:rPr>
              <w:t> </w:t>
            </w:r>
          </w:p>
        </w:tc>
        <w:tc>
          <w:tcPr>
            <w:tcW w:w="50" w:type="pct"/>
            <w:shd w:val="clear" w:color="auto" w:fill="CCEEFF"/>
            <w:vAlign w:val="bottom"/>
            <w:hideMark/>
          </w:tcPr>
          <w:p w14:paraId="764A638F" w14:textId="77777777" w:rsidR="00000000" w:rsidRDefault="00847163">
            <w:pPr>
              <w:rPr>
                <w:rFonts w:eastAsia="Times New Roman"/>
                <w:sz w:val="20"/>
                <w:szCs w:val="20"/>
              </w:rPr>
            </w:pPr>
            <w:r>
              <w:rPr>
                <w:rFonts w:eastAsia="Times New Roman"/>
                <w:b/>
                <w:bCs/>
                <w:sz w:val="20"/>
                <w:szCs w:val="20"/>
              </w:rPr>
              <w:t> </w:t>
            </w:r>
          </w:p>
        </w:tc>
        <w:tc>
          <w:tcPr>
            <w:tcW w:w="50" w:type="pct"/>
            <w:shd w:val="clear" w:color="auto" w:fill="CCEEFF"/>
            <w:vAlign w:val="bottom"/>
            <w:hideMark/>
          </w:tcPr>
          <w:p w14:paraId="1EDA6E85"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CCEAAAD" w14:textId="77777777" w:rsidR="00000000" w:rsidRDefault="00847163">
            <w:pPr>
              <w:rPr>
                <w:rFonts w:eastAsia="Times New Roman"/>
                <w:sz w:val="20"/>
                <w:szCs w:val="20"/>
              </w:rPr>
            </w:pPr>
            <w:r>
              <w:rPr>
                <w:rFonts w:eastAsia="Times New Roman"/>
                <w:b/>
                <w:bCs/>
                <w:sz w:val="20"/>
                <w:szCs w:val="20"/>
              </w:rPr>
              <w:t> </w:t>
            </w:r>
          </w:p>
        </w:tc>
        <w:tc>
          <w:tcPr>
            <w:tcW w:w="250" w:type="pct"/>
            <w:shd w:val="clear" w:color="auto" w:fill="CCEEFF"/>
            <w:vAlign w:val="bottom"/>
            <w:hideMark/>
          </w:tcPr>
          <w:p w14:paraId="5F7677D4" w14:textId="77777777" w:rsidR="00000000" w:rsidRDefault="00847163">
            <w:pPr>
              <w:rPr>
                <w:rFonts w:eastAsia="Times New Roman"/>
                <w:sz w:val="20"/>
                <w:szCs w:val="20"/>
              </w:rPr>
            </w:pPr>
            <w:r>
              <w:rPr>
                <w:rFonts w:eastAsia="Times New Roman"/>
                <w:b/>
                <w:bCs/>
                <w:sz w:val="20"/>
                <w:szCs w:val="20"/>
              </w:rPr>
              <w:t> </w:t>
            </w:r>
          </w:p>
        </w:tc>
        <w:tc>
          <w:tcPr>
            <w:tcW w:w="50" w:type="pct"/>
            <w:shd w:val="clear" w:color="auto" w:fill="CCEEFF"/>
            <w:vAlign w:val="bottom"/>
            <w:hideMark/>
          </w:tcPr>
          <w:p w14:paraId="5EDFD6B5" w14:textId="77777777" w:rsidR="00000000" w:rsidRDefault="00847163">
            <w:pPr>
              <w:rPr>
                <w:rFonts w:eastAsia="Times New Roman"/>
                <w:sz w:val="20"/>
                <w:szCs w:val="20"/>
              </w:rPr>
            </w:pPr>
            <w:r>
              <w:rPr>
                <w:rFonts w:eastAsia="Times New Roman"/>
                <w:b/>
                <w:bCs/>
                <w:sz w:val="20"/>
                <w:szCs w:val="20"/>
              </w:rPr>
              <w:t> </w:t>
            </w:r>
          </w:p>
        </w:tc>
        <w:tc>
          <w:tcPr>
            <w:tcW w:w="50" w:type="pct"/>
            <w:shd w:val="clear" w:color="auto" w:fill="CCEEFF"/>
            <w:vAlign w:val="bottom"/>
            <w:hideMark/>
          </w:tcPr>
          <w:p w14:paraId="4C3CBDA9"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144E96A" w14:textId="77777777" w:rsidR="00000000" w:rsidRDefault="00847163">
            <w:pPr>
              <w:rPr>
                <w:rFonts w:eastAsia="Times New Roman"/>
                <w:sz w:val="20"/>
                <w:szCs w:val="20"/>
              </w:rPr>
            </w:pPr>
            <w:r>
              <w:rPr>
                <w:rFonts w:eastAsia="Times New Roman"/>
                <w:b/>
                <w:bCs/>
                <w:sz w:val="20"/>
                <w:szCs w:val="20"/>
              </w:rPr>
              <w:t> </w:t>
            </w:r>
          </w:p>
        </w:tc>
        <w:tc>
          <w:tcPr>
            <w:tcW w:w="250" w:type="pct"/>
            <w:shd w:val="clear" w:color="auto" w:fill="CCEEFF"/>
            <w:vAlign w:val="bottom"/>
            <w:hideMark/>
          </w:tcPr>
          <w:p w14:paraId="5BBB6C5C" w14:textId="77777777" w:rsidR="00000000" w:rsidRDefault="00847163">
            <w:pPr>
              <w:rPr>
                <w:rFonts w:eastAsia="Times New Roman"/>
                <w:sz w:val="20"/>
                <w:szCs w:val="20"/>
              </w:rPr>
            </w:pPr>
            <w:r>
              <w:rPr>
                <w:rFonts w:eastAsia="Times New Roman"/>
                <w:b/>
                <w:bCs/>
                <w:sz w:val="20"/>
                <w:szCs w:val="20"/>
              </w:rPr>
              <w:t> </w:t>
            </w:r>
          </w:p>
        </w:tc>
        <w:tc>
          <w:tcPr>
            <w:tcW w:w="50" w:type="pct"/>
            <w:shd w:val="clear" w:color="auto" w:fill="CCEEFF"/>
            <w:vAlign w:val="bottom"/>
            <w:hideMark/>
          </w:tcPr>
          <w:p w14:paraId="4038F1FE" w14:textId="77777777" w:rsidR="00000000" w:rsidRDefault="00847163">
            <w:pPr>
              <w:rPr>
                <w:rFonts w:eastAsia="Times New Roman"/>
                <w:sz w:val="20"/>
                <w:szCs w:val="20"/>
              </w:rPr>
            </w:pPr>
            <w:r>
              <w:rPr>
                <w:rFonts w:eastAsia="Times New Roman"/>
                <w:b/>
                <w:bCs/>
                <w:sz w:val="20"/>
                <w:szCs w:val="20"/>
              </w:rPr>
              <w:t> </w:t>
            </w:r>
          </w:p>
        </w:tc>
        <w:tc>
          <w:tcPr>
            <w:tcW w:w="50" w:type="pct"/>
            <w:shd w:val="clear" w:color="auto" w:fill="CCEEFF"/>
            <w:vAlign w:val="bottom"/>
            <w:hideMark/>
          </w:tcPr>
          <w:p w14:paraId="63A87EAE"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210B825" w14:textId="77777777" w:rsidR="00000000" w:rsidRDefault="00847163">
            <w:pPr>
              <w:rPr>
                <w:rFonts w:eastAsia="Times New Roman"/>
                <w:sz w:val="20"/>
                <w:szCs w:val="20"/>
              </w:rPr>
            </w:pPr>
            <w:r>
              <w:rPr>
                <w:rFonts w:eastAsia="Times New Roman"/>
                <w:b/>
                <w:bCs/>
                <w:sz w:val="20"/>
                <w:szCs w:val="20"/>
              </w:rPr>
              <w:t> </w:t>
            </w:r>
          </w:p>
        </w:tc>
        <w:tc>
          <w:tcPr>
            <w:tcW w:w="250" w:type="pct"/>
            <w:shd w:val="clear" w:color="auto" w:fill="CCEEFF"/>
            <w:vAlign w:val="bottom"/>
            <w:hideMark/>
          </w:tcPr>
          <w:p w14:paraId="66754299" w14:textId="77777777" w:rsidR="00000000" w:rsidRDefault="00847163">
            <w:pPr>
              <w:rPr>
                <w:rFonts w:eastAsia="Times New Roman"/>
                <w:sz w:val="20"/>
                <w:szCs w:val="20"/>
              </w:rPr>
            </w:pPr>
            <w:r>
              <w:rPr>
                <w:rFonts w:eastAsia="Times New Roman"/>
                <w:b/>
                <w:bCs/>
                <w:sz w:val="20"/>
                <w:szCs w:val="20"/>
              </w:rPr>
              <w:t> </w:t>
            </w:r>
          </w:p>
        </w:tc>
        <w:tc>
          <w:tcPr>
            <w:tcW w:w="50" w:type="pct"/>
            <w:shd w:val="clear" w:color="auto" w:fill="CCEEFF"/>
            <w:vAlign w:val="bottom"/>
            <w:hideMark/>
          </w:tcPr>
          <w:p w14:paraId="3B88DBA6" w14:textId="77777777" w:rsidR="00000000" w:rsidRDefault="00847163">
            <w:pPr>
              <w:rPr>
                <w:rFonts w:eastAsia="Times New Roman"/>
                <w:sz w:val="20"/>
                <w:szCs w:val="20"/>
              </w:rPr>
            </w:pPr>
            <w:r>
              <w:rPr>
                <w:rFonts w:eastAsia="Times New Roman"/>
                <w:b/>
                <w:bCs/>
                <w:sz w:val="20"/>
                <w:szCs w:val="20"/>
              </w:rPr>
              <w:t> </w:t>
            </w:r>
          </w:p>
        </w:tc>
        <w:tc>
          <w:tcPr>
            <w:tcW w:w="50" w:type="pct"/>
            <w:shd w:val="clear" w:color="auto" w:fill="CCEEFF"/>
            <w:vAlign w:val="bottom"/>
            <w:hideMark/>
          </w:tcPr>
          <w:p w14:paraId="0C5F30A5"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AD9EC67" w14:textId="77777777" w:rsidR="00000000" w:rsidRDefault="00847163">
            <w:pPr>
              <w:rPr>
                <w:rFonts w:eastAsia="Times New Roman"/>
                <w:sz w:val="20"/>
                <w:szCs w:val="20"/>
              </w:rPr>
            </w:pPr>
            <w:r>
              <w:rPr>
                <w:rFonts w:eastAsia="Times New Roman"/>
                <w:b/>
                <w:bCs/>
                <w:sz w:val="20"/>
                <w:szCs w:val="20"/>
              </w:rPr>
              <w:t> </w:t>
            </w:r>
          </w:p>
        </w:tc>
        <w:tc>
          <w:tcPr>
            <w:tcW w:w="250" w:type="pct"/>
            <w:shd w:val="clear" w:color="auto" w:fill="CCEEFF"/>
            <w:vAlign w:val="bottom"/>
            <w:hideMark/>
          </w:tcPr>
          <w:p w14:paraId="554F09AD" w14:textId="77777777" w:rsidR="00000000" w:rsidRDefault="00847163">
            <w:pPr>
              <w:rPr>
                <w:rFonts w:eastAsia="Times New Roman"/>
                <w:sz w:val="20"/>
                <w:szCs w:val="20"/>
              </w:rPr>
            </w:pPr>
            <w:r>
              <w:rPr>
                <w:rFonts w:eastAsia="Times New Roman"/>
                <w:b/>
                <w:bCs/>
                <w:sz w:val="20"/>
                <w:szCs w:val="20"/>
              </w:rPr>
              <w:t> </w:t>
            </w:r>
          </w:p>
        </w:tc>
        <w:tc>
          <w:tcPr>
            <w:tcW w:w="50" w:type="pct"/>
            <w:shd w:val="clear" w:color="auto" w:fill="CCEEFF"/>
            <w:vAlign w:val="bottom"/>
            <w:hideMark/>
          </w:tcPr>
          <w:p w14:paraId="54331F04" w14:textId="77777777" w:rsidR="00000000" w:rsidRDefault="00847163">
            <w:pPr>
              <w:rPr>
                <w:rFonts w:eastAsia="Times New Roman"/>
                <w:sz w:val="20"/>
                <w:szCs w:val="20"/>
              </w:rPr>
            </w:pPr>
            <w:r>
              <w:rPr>
                <w:rFonts w:eastAsia="Times New Roman"/>
                <w:b/>
                <w:bCs/>
                <w:sz w:val="20"/>
                <w:szCs w:val="20"/>
              </w:rPr>
              <w:t> </w:t>
            </w:r>
          </w:p>
        </w:tc>
        <w:tc>
          <w:tcPr>
            <w:tcW w:w="50" w:type="pct"/>
            <w:shd w:val="clear" w:color="auto" w:fill="CCEEFF"/>
            <w:vAlign w:val="bottom"/>
            <w:hideMark/>
          </w:tcPr>
          <w:p w14:paraId="4839CF3E"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CD061DA" w14:textId="77777777" w:rsidR="00000000" w:rsidRDefault="00847163">
            <w:pPr>
              <w:rPr>
                <w:rFonts w:eastAsia="Times New Roman"/>
                <w:sz w:val="20"/>
                <w:szCs w:val="20"/>
              </w:rPr>
            </w:pPr>
            <w:r>
              <w:rPr>
                <w:rFonts w:eastAsia="Times New Roman"/>
                <w:b/>
                <w:bCs/>
                <w:sz w:val="20"/>
                <w:szCs w:val="20"/>
              </w:rPr>
              <w:t> </w:t>
            </w:r>
          </w:p>
        </w:tc>
        <w:tc>
          <w:tcPr>
            <w:tcW w:w="300" w:type="pct"/>
            <w:shd w:val="clear" w:color="auto" w:fill="CCEEFF"/>
            <w:vAlign w:val="bottom"/>
            <w:hideMark/>
          </w:tcPr>
          <w:p w14:paraId="1146CA5B" w14:textId="77777777" w:rsidR="00000000" w:rsidRDefault="00847163">
            <w:pPr>
              <w:rPr>
                <w:rFonts w:eastAsia="Times New Roman"/>
                <w:sz w:val="20"/>
                <w:szCs w:val="20"/>
              </w:rPr>
            </w:pPr>
            <w:r>
              <w:rPr>
                <w:rFonts w:eastAsia="Times New Roman"/>
                <w:b/>
                <w:bCs/>
                <w:sz w:val="20"/>
                <w:szCs w:val="20"/>
              </w:rPr>
              <w:t> </w:t>
            </w:r>
          </w:p>
        </w:tc>
        <w:tc>
          <w:tcPr>
            <w:tcW w:w="50" w:type="pct"/>
            <w:shd w:val="clear" w:color="auto" w:fill="CCEEFF"/>
            <w:vAlign w:val="bottom"/>
            <w:hideMark/>
          </w:tcPr>
          <w:p w14:paraId="63CDB6BC" w14:textId="77777777" w:rsidR="00000000" w:rsidRDefault="00847163">
            <w:pPr>
              <w:rPr>
                <w:rFonts w:eastAsia="Times New Roman"/>
                <w:sz w:val="20"/>
                <w:szCs w:val="20"/>
              </w:rPr>
            </w:pPr>
            <w:r>
              <w:rPr>
                <w:rFonts w:eastAsia="Times New Roman"/>
                <w:b/>
                <w:bCs/>
                <w:sz w:val="20"/>
                <w:szCs w:val="20"/>
              </w:rPr>
              <w:t> </w:t>
            </w:r>
          </w:p>
        </w:tc>
      </w:tr>
      <w:tr w:rsidR="00847163" w14:paraId="386006B3" w14:textId="77777777">
        <w:trPr>
          <w:tblCellSpacing w:w="0" w:type="dxa"/>
        </w:trPr>
        <w:tc>
          <w:tcPr>
            <w:tcW w:w="1750" w:type="pct"/>
            <w:shd w:val="clear" w:color="auto" w:fill="FFFFFF"/>
            <w:vAlign w:val="bottom"/>
            <w:hideMark/>
          </w:tcPr>
          <w:p w14:paraId="1834A811" w14:textId="77777777" w:rsidR="00000000" w:rsidRDefault="00847163">
            <w:pPr>
              <w:pStyle w:val="a3"/>
              <w:spacing w:before="0" w:beforeAutospacing="0" w:after="0" w:afterAutospacing="0"/>
              <w:rPr>
                <w:sz w:val="20"/>
                <w:szCs w:val="20"/>
              </w:rPr>
            </w:pPr>
            <w:r>
              <w:rPr>
                <w:sz w:val="20"/>
                <w:szCs w:val="20"/>
              </w:rPr>
              <w:t>Fixed Rate</w:t>
            </w:r>
          </w:p>
        </w:tc>
        <w:tc>
          <w:tcPr>
            <w:tcW w:w="50" w:type="pct"/>
            <w:shd w:val="clear" w:color="auto" w:fill="FFFFFF"/>
            <w:vAlign w:val="bottom"/>
            <w:hideMark/>
          </w:tcPr>
          <w:p w14:paraId="37205969"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F12E4B0" w14:textId="77777777" w:rsidR="00000000" w:rsidRDefault="00847163">
            <w:pPr>
              <w:rPr>
                <w:rFonts w:eastAsia="Times New Roman"/>
                <w:sz w:val="20"/>
                <w:szCs w:val="20"/>
              </w:rPr>
            </w:pPr>
            <w:r>
              <w:rPr>
                <w:rFonts w:eastAsia="Times New Roman"/>
                <w:sz w:val="20"/>
                <w:szCs w:val="20"/>
              </w:rPr>
              <w:t>$</w:t>
            </w:r>
          </w:p>
        </w:tc>
        <w:tc>
          <w:tcPr>
            <w:tcW w:w="250" w:type="pct"/>
            <w:shd w:val="clear" w:color="auto" w:fill="FFFFFF"/>
            <w:vAlign w:val="bottom"/>
            <w:hideMark/>
          </w:tcPr>
          <w:p w14:paraId="42DC2215" w14:textId="77777777" w:rsidR="00000000" w:rsidRDefault="00847163">
            <w:pPr>
              <w:jc w:val="right"/>
              <w:rPr>
                <w:rFonts w:eastAsia="Times New Roman"/>
                <w:sz w:val="20"/>
                <w:szCs w:val="20"/>
              </w:rPr>
            </w:pPr>
            <w:r>
              <w:rPr>
                <w:rFonts w:eastAsia="Times New Roman"/>
                <w:sz w:val="20"/>
                <w:szCs w:val="20"/>
              </w:rPr>
              <w:t>83.6</w:t>
            </w:r>
          </w:p>
        </w:tc>
        <w:tc>
          <w:tcPr>
            <w:tcW w:w="50" w:type="pct"/>
            <w:shd w:val="clear" w:color="auto" w:fill="FFFFFF"/>
            <w:vAlign w:val="bottom"/>
            <w:hideMark/>
          </w:tcPr>
          <w:p w14:paraId="12145A12"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1D0213B"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897B338" w14:textId="77777777" w:rsidR="00000000" w:rsidRDefault="00847163">
            <w:pPr>
              <w:rPr>
                <w:rFonts w:eastAsia="Times New Roman"/>
                <w:sz w:val="20"/>
                <w:szCs w:val="20"/>
              </w:rPr>
            </w:pPr>
            <w:r>
              <w:rPr>
                <w:rFonts w:eastAsia="Times New Roman"/>
                <w:sz w:val="20"/>
                <w:szCs w:val="20"/>
              </w:rPr>
              <w:t>$</w:t>
            </w:r>
          </w:p>
        </w:tc>
        <w:tc>
          <w:tcPr>
            <w:tcW w:w="250" w:type="pct"/>
            <w:shd w:val="clear" w:color="auto" w:fill="FFFFFF"/>
            <w:vAlign w:val="bottom"/>
            <w:hideMark/>
          </w:tcPr>
          <w:p w14:paraId="0EC33C92" w14:textId="77777777" w:rsidR="00000000" w:rsidRDefault="00847163">
            <w:pPr>
              <w:jc w:val="right"/>
              <w:rPr>
                <w:rFonts w:eastAsia="Times New Roman"/>
                <w:sz w:val="20"/>
                <w:szCs w:val="20"/>
              </w:rPr>
            </w:pPr>
            <w:r>
              <w:rPr>
                <w:rFonts w:eastAsia="Times New Roman"/>
                <w:sz w:val="20"/>
                <w:szCs w:val="20"/>
              </w:rPr>
              <w:t>143.7</w:t>
            </w:r>
          </w:p>
        </w:tc>
        <w:tc>
          <w:tcPr>
            <w:tcW w:w="50" w:type="pct"/>
            <w:shd w:val="clear" w:color="auto" w:fill="FFFFFF"/>
            <w:vAlign w:val="bottom"/>
            <w:hideMark/>
          </w:tcPr>
          <w:p w14:paraId="72F75C9E"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6A9005A"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C7F4659" w14:textId="77777777" w:rsidR="00000000" w:rsidRDefault="00847163">
            <w:pPr>
              <w:rPr>
                <w:rFonts w:eastAsia="Times New Roman"/>
                <w:sz w:val="20"/>
                <w:szCs w:val="20"/>
              </w:rPr>
            </w:pPr>
            <w:r>
              <w:rPr>
                <w:rFonts w:eastAsia="Times New Roman"/>
                <w:sz w:val="20"/>
                <w:szCs w:val="20"/>
              </w:rPr>
              <w:t>$</w:t>
            </w:r>
          </w:p>
        </w:tc>
        <w:tc>
          <w:tcPr>
            <w:tcW w:w="250" w:type="pct"/>
            <w:shd w:val="clear" w:color="auto" w:fill="FFFFFF"/>
            <w:vAlign w:val="bottom"/>
            <w:hideMark/>
          </w:tcPr>
          <w:p w14:paraId="69BAB360" w14:textId="77777777" w:rsidR="00000000" w:rsidRDefault="00847163">
            <w:pPr>
              <w:jc w:val="right"/>
              <w:rPr>
                <w:rFonts w:eastAsia="Times New Roman"/>
                <w:sz w:val="20"/>
                <w:szCs w:val="20"/>
              </w:rPr>
            </w:pPr>
            <w:r>
              <w:rPr>
                <w:rFonts w:eastAsia="Times New Roman"/>
                <w:sz w:val="20"/>
                <w:szCs w:val="20"/>
              </w:rPr>
              <w:t>150.8</w:t>
            </w:r>
          </w:p>
        </w:tc>
        <w:tc>
          <w:tcPr>
            <w:tcW w:w="50" w:type="pct"/>
            <w:shd w:val="clear" w:color="auto" w:fill="FFFFFF"/>
            <w:vAlign w:val="bottom"/>
            <w:hideMark/>
          </w:tcPr>
          <w:p w14:paraId="3A804B35"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6D20838"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2922FA0" w14:textId="77777777" w:rsidR="00000000" w:rsidRDefault="00847163">
            <w:pPr>
              <w:rPr>
                <w:rFonts w:eastAsia="Times New Roman"/>
                <w:sz w:val="20"/>
                <w:szCs w:val="20"/>
              </w:rPr>
            </w:pPr>
            <w:r>
              <w:rPr>
                <w:rFonts w:eastAsia="Times New Roman"/>
                <w:sz w:val="20"/>
                <w:szCs w:val="20"/>
              </w:rPr>
              <w:t>$</w:t>
            </w:r>
          </w:p>
        </w:tc>
        <w:tc>
          <w:tcPr>
            <w:tcW w:w="250" w:type="pct"/>
            <w:shd w:val="clear" w:color="auto" w:fill="FFFFFF"/>
            <w:vAlign w:val="bottom"/>
            <w:hideMark/>
          </w:tcPr>
          <w:p w14:paraId="5D39DA73" w14:textId="77777777" w:rsidR="00000000" w:rsidRDefault="00847163">
            <w:pPr>
              <w:jc w:val="right"/>
              <w:rPr>
                <w:rFonts w:eastAsia="Times New Roman"/>
                <w:sz w:val="20"/>
                <w:szCs w:val="20"/>
              </w:rPr>
            </w:pPr>
            <w:r>
              <w:rPr>
                <w:rFonts w:eastAsia="Times New Roman"/>
                <w:sz w:val="20"/>
                <w:szCs w:val="20"/>
              </w:rPr>
              <w:t>12.0</w:t>
            </w:r>
          </w:p>
        </w:tc>
        <w:tc>
          <w:tcPr>
            <w:tcW w:w="50" w:type="pct"/>
            <w:shd w:val="clear" w:color="auto" w:fill="FFFFFF"/>
            <w:vAlign w:val="bottom"/>
            <w:hideMark/>
          </w:tcPr>
          <w:p w14:paraId="0F7E5901"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D292C10"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F8C6490" w14:textId="77777777" w:rsidR="00000000" w:rsidRDefault="00847163">
            <w:pPr>
              <w:rPr>
                <w:rFonts w:eastAsia="Times New Roman"/>
                <w:sz w:val="20"/>
                <w:szCs w:val="20"/>
              </w:rPr>
            </w:pPr>
            <w:r>
              <w:rPr>
                <w:rFonts w:eastAsia="Times New Roman"/>
                <w:sz w:val="20"/>
                <w:szCs w:val="20"/>
              </w:rPr>
              <w:t>$</w:t>
            </w:r>
          </w:p>
        </w:tc>
        <w:tc>
          <w:tcPr>
            <w:tcW w:w="250" w:type="pct"/>
            <w:shd w:val="clear" w:color="auto" w:fill="FFFFFF"/>
            <w:vAlign w:val="bottom"/>
            <w:hideMark/>
          </w:tcPr>
          <w:p w14:paraId="37FAC0CE" w14:textId="77777777" w:rsidR="00000000" w:rsidRDefault="00847163">
            <w:pPr>
              <w:jc w:val="right"/>
              <w:rPr>
                <w:rFonts w:eastAsia="Times New Roman"/>
                <w:sz w:val="20"/>
                <w:szCs w:val="20"/>
              </w:rPr>
            </w:pPr>
            <w:r>
              <w:rPr>
                <w:rFonts w:eastAsia="Times New Roman"/>
                <w:sz w:val="20"/>
                <w:szCs w:val="20"/>
              </w:rPr>
              <w:t>9.9</w:t>
            </w:r>
          </w:p>
        </w:tc>
        <w:tc>
          <w:tcPr>
            <w:tcW w:w="50" w:type="pct"/>
            <w:shd w:val="clear" w:color="auto" w:fill="FFFFFF"/>
            <w:vAlign w:val="bottom"/>
            <w:hideMark/>
          </w:tcPr>
          <w:p w14:paraId="29C3662B"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8335676"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488DAB6" w14:textId="77777777" w:rsidR="00000000" w:rsidRDefault="00847163">
            <w:pPr>
              <w:rPr>
                <w:rFonts w:eastAsia="Times New Roman"/>
                <w:sz w:val="20"/>
                <w:szCs w:val="20"/>
              </w:rPr>
            </w:pPr>
            <w:r>
              <w:rPr>
                <w:rFonts w:eastAsia="Times New Roman"/>
                <w:sz w:val="20"/>
                <w:szCs w:val="20"/>
              </w:rPr>
              <w:t>$</w:t>
            </w:r>
          </w:p>
        </w:tc>
        <w:tc>
          <w:tcPr>
            <w:tcW w:w="250" w:type="pct"/>
            <w:shd w:val="clear" w:color="auto" w:fill="FFFFFF"/>
            <w:vAlign w:val="bottom"/>
            <w:hideMark/>
          </w:tcPr>
          <w:p w14:paraId="413B5CE5" w14:textId="77777777" w:rsidR="00000000" w:rsidRDefault="00847163">
            <w:pPr>
              <w:jc w:val="right"/>
              <w:rPr>
                <w:rFonts w:eastAsia="Times New Roman"/>
                <w:sz w:val="20"/>
                <w:szCs w:val="20"/>
              </w:rPr>
            </w:pPr>
            <w:r>
              <w:rPr>
                <w:rFonts w:eastAsia="Times New Roman"/>
                <w:sz w:val="20"/>
                <w:szCs w:val="20"/>
              </w:rPr>
              <w:t>4.9</w:t>
            </w:r>
          </w:p>
        </w:tc>
        <w:tc>
          <w:tcPr>
            <w:tcW w:w="50" w:type="pct"/>
            <w:shd w:val="clear" w:color="auto" w:fill="FFFFFF"/>
            <w:vAlign w:val="bottom"/>
            <w:hideMark/>
          </w:tcPr>
          <w:p w14:paraId="1D67A2DF"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BE00B25"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D1864E1" w14:textId="77777777" w:rsidR="00000000" w:rsidRDefault="00847163">
            <w:pPr>
              <w:rPr>
                <w:rFonts w:eastAsia="Times New Roman"/>
                <w:sz w:val="20"/>
                <w:szCs w:val="20"/>
              </w:rPr>
            </w:pPr>
            <w:r>
              <w:rPr>
                <w:rFonts w:eastAsia="Times New Roman"/>
                <w:sz w:val="20"/>
                <w:szCs w:val="20"/>
              </w:rPr>
              <w:t>$</w:t>
            </w:r>
          </w:p>
        </w:tc>
        <w:tc>
          <w:tcPr>
            <w:tcW w:w="250" w:type="pct"/>
            <w:shd w:val="clear" w:color="auto" w:fill="FFFFFF"/>
            <w:vAlign w:val="bottom"/>
            <w:hideMark/>
          </w:tcPr>
          <w:p w14:paraId="3BE2EECB" w14:textId="77777777" w:rsidR="00000000" w:rsidRDefault="00847163">
            <w:pPr>
              <w:jc w:val="right"/>
              <w:rPr>
                <w:rFonts w:eastAsia="Times New Roman"/>
                <w:sz w:val="20"/>
                <w:szCs w:val="20"/>
              </w:rPr>
            </w:pPr>
            <w:r>
              <w:rPr>
                <w:rFonts w:eastAsia="Times New Roman"/>
                <w:sz w:val="20"/>
                <w:szCs w:val="20"/>
              </w:rPr>
              <w:t>404.9</w:t>
            </w:r>
          </w:p>
        </w:tc>
        <w:tc>
          <w:tcPr>
            <w:tcW w:w="50" w:type="pct"/>
            <w:shd w:val="clear" w:color="auto" w:fill="FFFFFF"/>
            <w:vAlign w:val="bottom"/>
            <w:hideMark/>
          </w:tcPr>
          <w:p w14:paraId="0BEFC089"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7B9F2A2"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39DE06F" w14:textId="77777777" w:rsidR="00000000" w:rsidRDefault="00847163">
            <w:pPr>
              <w:rPr>
                <w:rFonts w:eastAsia="Times New Roman"/>
                <w:sz w:val="20"/>
                <w:szCs w:val="20"/>
              </w:rPr>
            </w:pPr>
            <w:r>
              <w:rPr>
                <w:rFonts w:eastAsia="Times New Roman"/>
                <w:sz w:val="20"/>
                <w:szCs w:val="20"/>
              </w:rPr>
              <w:t>$</w:t>
            </w:r>
          </w:p>
        </w:tc>
        <w:tc>
          <w:tcPr>
            <w:tcW w:w="300" w:type="pct"/>
            <w:shd w:val="clear" w:color="auto" w:fill="FFFFFF"/>
            <w:vAlign w:val="bottom"/>
            <w:hideMark/>
          </w:tcPr>
          <w:p w14:paraId="5AB7C2E9" w14:textId="77777777" w:rsidR="00000000" w:rsidRDefault="00847163">
            <w:pPr>
              <w:jc w:val="right"/>
              <w:rPr>
                <w:rFonts w:eastAsia="Times New Roman"/>
                <w:sz w:val="20"/>
                <w:szCs w:val="20"/>
              </w:rPr>
            </w:pPr>
            <w:r>
              <w:rPr>
                <w:rFonts w:eastAsia="Times New Roman"/>
                <w:sz w:val="20"/>
                <w:szCs w:val="20"/>
              </w:rPr>
              <w:t>405.6</w:t>
            </w:r>
          </w:p>
        </w:tc>
        <w:tc>
          <w:tcPr>
            <w:tcW w:w="50" w:type="pct"/>
            <w:shd w:val="clear" w:color="auto" w:fill="FFFFFF"/>
            <w:vAlign w:val="bottom"/>
            <w:hideMark/>
          </w:tcPr>
          <w:p w14:paraId="56BD5483" w14:textId="77777777" w:rsidR="00000000" w:rsidRDefault="00847163">
            <w:pPr>
              <w:rPr>
                <w:rFonts w:eastAsia="Times New Roman"/>
                <w:sz w:val="20"/>
                <w:szCs w:val="20"/>
              </w:rPr>
            </w:pPr>
            <w:r>
              <w:rPr>
                <w:rFonts w:eastAsia="Times New Roman"/>
                <w:sz w:val="20"/>
                <w:szCs w:val="20"/>
              </w:rPr>
              <w:t> </w:t>
            </w:r>
          </w:p>
        </w:tc>
      </w:tr>
      <w:tr w:rsidR="00847163" w14:paraId="1034BCBF" w14:textId="77777777">
        <w:trPr>
          <w:tblCellSpacing w:w="0" w:type="dxa"/>
        </w:trPr>
        <w:tc>
          <w:tcPr>
            <w:tcW w:w="1750" w:type="pct"/>
            <w:shd w:val="clear" w:color="auto" w:fill="CCEEFF"/>
            <w:vAlign w:val="bottom"/>
            <w:hideMark/>
          </w:tcPr>
          <w:p w14:paraId="56EDC416" w14:textId="77777777" w:rsidR="00000000" w:rsidRDefault="00847163">
            <w:pPr>
              <w:pStyle w:val="a3"/>
              <w:spacing w:before="0" w:beforeAutospacing="0" w:after="0" w:afterAutospacing="0"/>
              <w:rPr>
                <w:sz w:val="20"/>
                <w:szCs w:val="20"/>
              </w:rPr>
            </w:pPr>
            <w:r>
              <w:rPr>
                <w:sz w:val="20"/>
                <w:szCs w:val="20"/>
              </w:rPr>
              <w:t>Average Interest Rate</w:t>
            </w:r>
          </w:p>
        </w:tc>
        <w:tc>
          <w:tcPr>
            <w:tcW w:w="50" w:type="pct"/>
            <w:shd w:val="clear" w:color="auto" w:fill="CCEEFF"/>
            <w:vAlign w:val="bottom"/>
            <w:hideMark/>
          </w:tcPr>
          <w:p w14:paraId="7A886FA2"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F2F8C6A" w14:textId="77777777" w:rsidR="00000000" w:rsidRDefault="00847163">
            <w:pPr>
              <w:rPr>
                <w:rFonts w:eastAsia="Times New Roman"/>
                <w:sz w:val="20"/>
                <w:szCs w:val="20"/>
              </w:rPr>
            </w:pPr>
            <w:r>
              <w:rPr>
                <w:rFonts w:eastAsia="Times New Roman"/>
                <w:sz w:val="20"/>
                <w:szCs w:val="20"/>
              </w:rPr>
              <w:t> </w:t>
            </w:r>
          </w:p>
        </w:tc>
        <w:tc>
          <w:tcPr>
            <w:tcW w:w="250" w:type="pct"/>
            <w:shd w:val="clear" w:color="auto" w:fill="CCEEFF"/>
            <w:vAlign w:val="bottom"/>
            <w:hideMark/>
          </w:tcPr>
          <w:p w14:paraId="3E2AB45F" w14:textId="77777777" w:rsidR="00000000" w:rsidRDefault="00847163">
            <w:pPr>
              <w:jc w:val="right"/>
              <w:rPr>
                <w:rFonts w:eastAsia="Times New Roman"/>
                <w:sz w:val="20"/>
                <w:szCs w:val="20"/>
              </w:rPr>
            </w:pPr>
            <w:r>
              <w:rPr>
                <w:rFonts w:eastAsia="Times New Roman"/>
                <w:sz w:val="20"/>
                <w:szCs w:val="20"/>
              </w:rPr>
              <w:t>5.29</w:t>
            </w:r>
          </w:p>
        </w:tc>
        <w:tc>
          <w:tcPr>
            <w:tcW w:w="50" w:type="pct"/>
            <w:shd w:val="clear" w:color="auto" w:fill="CCEEFF"/>
            <w:vAlign w:val="bottom"/>
            <w:hideMark/>
          </w:tcPr>
          <w:p w14:paraId="07566FA4" w14:textId="77777777" w:rsidR="00000000" w:rsidRDefault="00847163">
            <w:pPr>
              <w:pStyle w:val="a3"/>
              <w:spacing w:before="0" w:beforeAutospacing="0" w:after="0" w:afterAutospacing="0"/>
              <w:jc w:val="right"/>
              <w:rPr>
                <w:sz w:val="20"/>
                <w:szCs w:val="20"/>
              </w:rPr>
            </w:pPr>
            <w:r>
              <w:rPr>
                <w:sz w:val="20"/>
                <w:szCs w:val="20"/>
              </w:rPr>
              <w:t>%</w:t>
            </w:r>
          </w:p>
        </w:tc>
        <w:tc>
          <w:tcPr>
            <w:tcW w:w="50" w:type="pct"/>
            <w:shd w:val="clear" w:color="auto" w:fill="CCEEFF"/>
            <w:vAlign w:val="bottom"/>
            <w:hideMark/>
          </w:tcPr>
          <w:p w14:paraId="1A0592DD"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2DFE92C" w14:textId="77777777" w:rsidR="00000000" w:rsidRDefault="00847163">
            <w:pPr>
              <w:rPr>
                <w:rFonts w:eastAsia="Times New Roman"/>
                <w:sz w:val="20"/>
                <w:szCs w:val="20"/>
              </w:rPr>
            </w:pPr>
            <w:r>
              <w:rPr>
                <w:rFonts w:eastAsia="Times New Roman"/>
                <w:sz w:val="20"/>
                <w:szCs w:val="20"/>
              </w:rPr>
              <w:t> </w:t>
            </w:r>
          </w:p>
        </w:tc>
        <w:tc>
          <w:tcPr>
            <w:tcW w:w="250" w:type="pct"/>
            <w:shd w:val="clear" w:color="auto" w:fill="CCEEFF"/>
            <w:vAlign w:val="bottom"/>
            <w:hideMark/>
          </w:tcPr>
          <w:p w14:paraId="4301225D" w14:textId="77777777" w:rsidR="00000000" w:rsidRDefault="00847163">
            <w:pPr>
              <w:jc w:val="right"/>
              <w:rPr>
                <w:rFonts w:eastAsia="Times New Roman"/>
                <w:sz w:val="20"/>
                <w:szCs w:val="20"/>
              </w:rPr>
            </w:pPr>
            <w:r>
              <w:rPr>
                <w:rFonts w:eastAsia="Times New Roman"/>
                <w:sz w:val="20"/>
                <w:szCs w:val="20"/>
              </w:rPr>
              <w:t>5.39</w:t>
            </w:r>
          </w:p>
        </w:tc>
        <w:tc>
          <w:tcPr>
            <w:tcW w:w="50" w:type="pct"/>
            <w:shd w:val="clear" w:color="auto" w:fill="CCEEFF"/>
            <w:vAlign w:val="bottom"/>
            <w:hideMark/>
          </w:tcPr>
          <w:p w14:paraId="1D901A69" w14:textId="77777777" w:rsidR="00000000" w:rsidRDefault="00847163">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14:paraId="3C51F2B4"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ED8C4F3" w14:textId="77777777" w:rsidR="00000000" w:rsidRDefault="00847163">
            <w:pPr>
              <w:rPr>
                <w:rFonts w:eastAsia="Times New Roman"/>
                <w:sz w:val="20"/>
                <w:szCs w:val="20"/>
              </w:rPr>
            </w:pPr>
            <w:r>
              <w:rPr>
                <w:rFonts w:eastAsia="Times New Roman"/>
                <w:sz w:val="20"/>
                <w:szCs w:val="20"/>
              </w:rPr>
              <w:t> </w:t>
            </w:r>
          </w:p>
        </w:tc>
        <w:tc>
          <w:tcPr>
            <w:tcW w:w="250" w:type="pct"/>
            <w:shd w:val="clear" w:color="auto" w:fill="CCEEFF"/>
            <w:vAlign w:val="bottom"/>
            <w:hideMark/>
          </w:tcPr>
          <w:p w14:paraId="4D0864C9" w14:textId="77777777" w:rsidR="00000000" w:rsidRDefault="00847163">
            <w:pPr>
              <w:jc w:val="right"/>
              <w:rPr>
                <w:rFonts w:eastAsia="Times New Roman"/>
                <w:sz w:val="20"/>
                <w:szCs w:val="20"/>
              </w:rPr>
            </w:pPr>
            <w:r>
              <w:rPr>
                <w:rFonts w:eastAsia="Times New Roman"/>
                <w:sz w:val="20"/>
                <w:szCs w:val="20"/>
              </w:rPr>
              <w:t>4.06</w:t>
            </w:r>
          </w:p>
        </w:tc>
        <w:tc>
          <w:tcPr>
            <w:tcW w:w="50" w:type="pct"/>
            <w:shd w:val="clear" w:color="auto" w:fill="CCEEFF"/>
            <w:vAlign w:val="bottom"/>
            <w:hideMark/>
          </w:tcPr>
          <w:p w14:paraId="560F49EF" w14:textId="77777777" w:rsidR="00000000" w:rsidRDefault="00847163">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14:paraId="23944AA4"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B002FE0" w14:textId="77777777" w:rsidR="00000000" w:rsidRDefault="00847163">
            <w:pPr>
              <w:rPr>
                <w:rFonts w:eastAsia="Times New Roman"/>
                <w:sz w:val="20"/>
                <w:szCs w:val="20"/>
              </w:rPr>
            </w:pPr>
            <w:r>
              <w:rPr>
                <w:rFonts w:eastAsia="Times New Roman"/>
                <w:sz w:val="20"/>
                <w:szCs w:val="20"/>
              </w:rPr>
              <w:t> </w:t>
            </w:r>
          </w:p>
        </w:tc>
        <w:tc>
          <w:tcPr>
            <w:tcW w:w="250" w:type="pct"/>
            <w:shd w:val="clear" w:color="auto" w:fill="CCEEFF"/>
            <w:vAlign w:val="bottom"/>
            <w:hideMark/>
          </w:tcPr>
          <w:p w14:paraId="213963FE" w14:textId="77777777" w:rsidR="00000000" w:rsidRDefault="00847163">
            <w:pPr>
              <w:jc w:val="right"/>
              <w:rPr>
                <w:rFonts w:eastAsia="Times New Roman"/>
                <w:sz w:val="20"/>
                <w:szCs w:val="20"/>
              </w:rPr>
            </w:pPr>
            <w:r>
              <w:rPr>
                <w:rFonts w:eastAsia="Times New Roman"/>
                <w:sz w:val="20"/>
                <w:szCs w:val="20"/>
              </w:rPr>
              <w:t>3.23</w:t>
            </w:r>
          </w:p>
        </w:tc>
        <w:tc>
          <w:tcPr>
            <w:tcW w:w="50" w:type="pct"/>
            <w:shd w:val="clear" w:color="auto" w:fill="CCEEFF"/>
            <w:vAlign w:val="bottom"/>
            <w:hideMark/>
          </w:tcPr>
          <w:p w14:paraId="31BDC2EB" w14:textId="77777777" w:rsidR="00000000" w:rsidRDefault="00847163">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14:paraId="57EB7B53"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FE703B4" w14:textId="77777777" w:rsidR="00000000" w:rsidRDefault="00847163">
            <w:pPr>
              <w:rPr>
                <w:rFonts w:eastAsia="Times New Roman"/>
                <w:sz w:val="20"/>
                <w:szCs w:val="20"/>
              </w:rPr>
            </w:pPr>
            <w:r>
              <w:rPr>
                <w:rFonts w:eastAsia="Times New Roman"/>
                <w:sz w:val="20"/>
                <w:szCs w:val="20"/>
              </w:rPr>
              <w:t> </w:t>
            </w:r>
          </w:p>
        </w:tc>
        <w:tc>
          <w:tcPr>
            <w:tcW w:w="250" w:type="pct"/>
            <w:shd w:val="clear" w:color="auto" w:fill="CCEEFF"/>
            <w:vAlign w:val="bottom"/>
            <w:hideMark/>
          </w:tcPr>
          <w:p w14:paraId="5C860773" w14:textId="77777777" w:rsidR="00000000" w:rsidRDefault="00847163">
            <w:pPr>
              <w:jc w:val="right"/>
              <w:rPr>
                <w:rFonts w:eastAsia="Times New Roman"/>
                <w:sz w:val="20"/>
                <w:szCs w:val="20"/>
              </w:rPr>
            </w:pPr>
            <w:r>
              <w:rPr>
                <w:rFonts w:eastAsia="Times New Roman"/>
                <w:sz w:val="20"/>
                <w:szCs w:val="20"/>
              </w:rPr>
              <w:t>6.73</w:t>
            </w:r>
          </w:p>
        </w:tc>
        <w:tc>
          <w:tcPr>
            <w:tcW w:w="50" w:type="pct"/>
            <w:shd w:val="clear" w:color="auto" w:fill="CCEEFF"/>
            <w:vAlign w:val="bottom"/>
            <w:hideMark/>
          </w:tcPr>
          <w:p w14:paraId="1CD8B8BF" w14:textId="77777777" w:rsidR="00000000" w:rsidRDefault="00847163">
            <w:pPr>
              <w:pStyle w:val="a3"/>
              <w:spacing w:before="0" w:beforeAutospacing="0" w:after="0" w:afterAutospacing="0"/>
              <w:jc w:val="right"/>
              <w:rPr>
                <w:sz w:val="20"/>
                <w:szCs w:val="20"/>
              </w:rPr>
            </w:pPr>
            <w:r>
              <w:rPr>
                <w:sz w:val="20"/>
                <w:szCs w:val="20"/>
              </w:rPr>
              <w:t>%</w:t>
            </w:r>
          </w:p>
        </w:tc>
        <w:tc>
          <w:tcPr>
            <w:tcW w:w="50" w:type="pct"/>
            <w:shd w:val="clear" w:color="auto" w:fill="CCEEFF"/>
            <w:vAlign w:val="bottom"/>
            <w:hideMark/>
          </w:tcPr>
          <w:p w14:paraId="4134356D"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AF27FBA" w14:textId="77777777" w:rsidR="00000000" w:rsidRDefault="00847163">
            <w:pPr>
              <w:rPr>
                <w:rFonts w:eastAsia="Times New Roman"/>
                <w:sz w:val="20"/>
                <w:szCs w:val="20"/>
              </w:rPr>
            </w:pPr>
            <w:r>
              <w:rPr>
                <w:rFonts w:eastAsia="Times New Roman"/>
                <w:sz w:val="20"/>
                <w:szCs w:val="20"/>
              </w:rPr>
              <w:t> </w:t>
            </w:r>
          </w:p>
        </w:tc>
        <w:tc>
          <w:tcPr>
            <w:tcW w:w="250" w:type="pct"/>
            <w:shd w:val="clear" w:color="auto" w:fill="CCEEFF"/>
            <w:vAlign w:val="bottom"/>
            <w:hideMark/>
          </w:tcPr>
          <w:p w14:paraId="141AAFFB" w14:textId="77777777" w:rsidR="00000000" w:rsidRDefault="00847163">
            <w:pPr>
              <w:jc w:val="right"/>
              <w:rPr>
                <w:rFonts w:eastAsia="Times New Roman"/>
                <w:sz w:val="20"/>
                <w:szCs w:val="20"/>
              </w:rPr>
            </w:pPr>
            <w:r>
              <w:rPr>
                <w:rFonts w:eastAsia="Times New Roman"/>
                <w:sz w:val="20"/>
                <w:szCs w:val="20"/>
              </w:rPr>
              <w:t>7.08</w:t>
            </w:r>
          </w:p>
        </w:tc>
        <w:tc>
          <w:tcPr>
            <w:tcW w:w="50" w:type="pct"/>
            <w:shd w:val="clear" w:color="auto" w:fill="CCEEFF"/>
            <w:vAlign w:val="bottom"/>
            <w:hideMark/>
          </w:tcPr>
          <w:p w14:paraId="5EDDE681" w14:textId="77777777" w:rsidR="00000000" w:rsidRDefault="00847163">
            <w:pPr>
              <w:pStyle w:val="a3"/>
              <w:spacing w:before="0" w:beforeAutospacing="0" w:after="0" w:afterAutospacing="0"/>
              <w:jc w:val="right"/>
              <w:rPr>
                <w:sz w:val="20"/>
                <w:szCs w:val="20"/>
              </w:rPr>
            </w:pPr>
            <w:r>
              <w:rPr>
                <w:sz w:val="20"/>
                <w:szCs w:val="20"/>
              </w:rPr>
              <w:t>%</w:t>
            </w:r>
          </w:p>
        </w:tc>
        <w:tc>
          <w:tcPr>
            <w:tcW w:w="50" w:type="pct"/>
            <w:shd w:val="clear" w:color="auto" w:fill="CCEEFF"/>
            <w:vAlign w:val="bottom"/>
            <w:hideMark/>
          </w:tcPr>
          <w:p w14:paraId="01E0D728"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9AAC96A" w14:textId="77777777" w:rsidR="00000000" w:rsidRDefault="00847163">
            <w:pPr>
              <w:rPr>
                <w:rFonts w:eastAsia="Times New Roman"/>
                <w:sz w:val="20"/>
                <w:szCs w:val="20"/>
              </w:rPr>
            </w:pPr>
            <w:r>
              <w:rPr>
                <w:rFonts w:eastAsia="Times New Roman"/>
                <w:sz w:val="20"/>
                <w:szCs w:val="20"/>
              </w:rPr>
              <w:t> </w:t>
            </w:r>
          </w:p>
        </w:tc>
        <w:tc>
          <w:tcPr>
            <w:tcW w:w="250" w:type="pct"/>
            <w:shd w:val="clear" w:color="auto" w:fill="CCEEFF"/>
            <w:vAlign w:val="bottom"/>
            <w:hideMark/>
          </w:tcPr>
          <w:p w14:paraId="17FD9D9C" w14:textId="77777777" w:rsidR="00000000" w:rsidRDefault="00847163">
            <w:pPr>
              <w:jc w:val="right"/>
              <w:rPr>
                <w:rFonts w:eastAsia="Times New Roman"/>
                <w:sz w:val="20"/>
                <w:szCs w:val="20"/>
              </w:rPr>
            </w:pPr>
            <w:r>
              <w:rPr>
                <w:rFonts w:eastAsia="Times New Roman"/>
                <w:sz w:val="20"/>
                <w:szCs w:val="20"/>
              </w:rPr>
              <w:t>4.86</w:t>
            </w:r>
          </w:p>
        </w:tc>
        <w:tc>
          <w:tcPr>
            <w:tcW w:w="50" w:type="pct"/>
            <w:shd w:val="clear" w:color="auto" w:fill="CCEEFF"/>
            <w:vAlign w:val="bottom"/>
            <w:hideMark/>
          </w:tcPr>
          <w:p w14:paraId="779439B1" w14:textId="77777777" w:rsidR="00000000" w:rsidRDefault="00847163">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14:paraId="0C763B35"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ECA1621" w14:textId="77777777" w:rsidR="00000000" w:rsidRDefault="0084716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19BFBA78" w14:textId="77777777" w:rsidR="00000000" w:rsidRDefault="00847163">
            <w:pPr>
              <w:jc w:val="right"/>
              <w:rPr>
                <w:rFonts w:eastAsia="Times New Roman"/>
                <w:sz w:val="20"/>
                <w:szCs w:val="20"/>
              </w:rPr>
            </w:pPr>
            <w:r>
              <w:rPr>
                <w:rFonts w:eastAsia="Times New Roman"/>
                <w:sz w:val="20"/>
                <w:szCs w:val="20"/>
              </w:rPr>
              <w:t> </w:t>
            </w:r>
          </w:p>
        </w:tc>
        <w:tc>
          <w:tcPr>
            <w:tcW w:w="50" w:type="pct"/>
            <w:shd w:val="clear" w:color="auto" w:fill="CCEEFF"/>
            <w:vAlign w:val="bottom"/>
            <w:hideMark/>
          </w:tcPr>
          <w:p w14:paraId="6B615632" w14:textId="77777777" w:rsidR="00000000" w:rsidRDefault="00847163">
            <w:pPr>
              <w:rPr>
                <w:rFonts w:eastAsia="Times New Roman"/>
                <w:sz w:val="20"/>
                <w:szCs w:val="20"/>
              </w:rPr>
            </w:pPr>
            <w:r>
              <w:rPr>
                <w:rFonts w:eastAsia="Times New Roman"/>
                <w:sz w:val="20"/>
                <w:szCs w:val="20"/>
              </w:rPr>
              <w:t> </w:t>
            </w:r>
          </w:p>
        </w:tc>
      </w:tr>
      <w:tr w:rsidR="00847163" w14:paraId="1B660698" w14:textId="77777777">
        <w:trPr>
          <w:tblCellSpacing w:w="0" w:type="dxa"/>
        </w:trPr>
        <w:tc>
          <w:tcPr>
            <w:tcW w:w="1750" w:type="pct"/>
            <w:shd w:val="clear" w:color="auto" w:fill="FFFFFF"/>
            <w:vAlign w:val="bottom"/>
            <w:hideMark/>
          </w:tcPr>
          <w:p w14:paraId="5239932C"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5CFEA23"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455EA74" w14:textId="77777777" w:rsidR="00000000" w:rsidRDefault="00847163">
            <w:pPr>
              <w:rPr>
                <w:rFonts w:eastAsia="Times New Roman"/>
                <w:sz w:val="20"/>
                <w:szCs w:val="20"/>
              </w:rPr>
            </w:pPr>
            <w:r>
              <w:rPr>
                <w:rFonts w:eastAsia="Times New Roman"/>
                <w:sz w:val="20"/>
                <w:szCs w:val="20"/>
              </w:rPr>
              <w:t> </w:t>
            </w:r>
          </w:p>
        </w:tc>
        <w:tc>
          <w:tcPr>
            <w:tcW w:w="250" w:type="pct"/>
            <w:shd w:val="clear" w:color="auto" w:fill="FFFFFF"/>
            <w:vAlign w:val="bottom"/>
            <w:hideMark/>
          </w:tcPr>
          <w:p w14:paraId="3F101E49"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866AE8F"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6438E33"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8B303BC" w14:textId="77777777" w:rsidR="00000000" w:rsidRDefault="00847163">
            <w:pPr>
              <w:rPr>
                <w:rFonts w:eastAsia="Times New Roman"/>
                <w:sz w:val="20"/>
                <w:szCs w:val="20"/>
              </w:rPr>
            </w:pPr>
            <w:r>
              <w:rPr>
                <w:rFonts w:eastAsia="Times New Roman"/>
                <w:sz w:val="20"/>
                <w:szCs w:val="20"/>
              </w:rPr>
              <w:t> </w:t>
            </w:r>
          </w:p>
        </w:tc>
        <w:tc>
          <w:tcPr>
            <w:tcW w:w="250" w:type="pct"/>
            <w:shd w:val="clear" w:color="auto" w:fill="FFFFFF"/>
            <w:vAlign w:val="bottom"/>
            <w:hideMark/>
          </w:tcPr>
          <w:p w14:paraId="76A30887"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78B1CF3"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EE2847F"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301DD65" w14:textId="77777777" w:rsidR="00000000" w:rsidRDefault="00847163">
            <w:pPr>
              <w:rPr>
                <w:rFonts w:eastAsia="Times New Roman"/>
                <w:sz w:val="20"/>
                <w:szCs w:val="20"/>
              </w:rPr>
            </w:pPr>
            <w:r>
              <w:rPr>
                <w:rFonts w:eastAsia="Times New Roman"/>
                <w:sz w:val="20"/>
                <w:szCs w:val="20"/>
              </w:rPr>
              <w:t> </w:t>
            </w:r>
          </w:p>
        </w:tc>
        <w:tc>
          <w:tcPr>
            <w:tcW w:w="250" w:type="pct"/>
            <w:shd w:val="clear" w:color="auto" w:fill="FFFFFF"/>
            <w:vAlign w:val="bottom"/>
            <w:hideMark/>
          </w:tcPr>
          <w:p w14:paraId="69973CB0"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A001356"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FF2BD8F"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E5EDF55" w14:textId="77777777" w:rsidR="00000000" w:rsidRDefault="00847163">
            <w:pPr>
              <w:rPr>
                <w:rFonts w:eastAsia="Times New Roman"/>
                <w:sz w:val="20"/>
                <w:szCs w:val="20"/>
              </w:rPr>
            </w:pPr>
            <w:r>
              <w:rPr>
                <w:rFonts w:eastAsia="Times New Roman"/>
                <w:sz w:val="20"/>
                <w:szCs w:val="20"/>
              </w:rPr>
              <w:t> </w:t>
            </w:r>
          </w:p>
        </w:tc>
        <w:tc>
          <w:tcPr>
            <w:tcW w:w="250" w:type="pct"/>
            <w:shd w:val="clear" w:color="auto" w:fill="FFFFFF"/>
            <w:vAlign w:val="bottom"/>
            <w:hideMark/>
          </w:tcPr>
          <w:p w14:paraId="58AA8530"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0C45CF4"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82EC04D"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49424A3" w14:textId="77777777" w:rsidR="00000000" w:rsidRDefault="00847163">
            <w:pPr>
              <w:rPr>
                <w:rFonts w:eastAsia="Times New Roman"/>
                <w:sz w:val="20"/>
                <w:szCs w:val="20"/>
              </w:rPr>
            </w:pPr>
            <w:r>
              <w:rPr>
                <w:rFonts w:eastAsia="Times New Roman"/>
                <w:sz w:val="20"/>
                <w:szCs w:val="20"/>
              </w:rPr>
              <w:t> </w:t>
            </w:r>
          </w:p>
        </w:tc>
        <w:tc>
          <w:tcPr>
            <w:tcW w:w="250" w:type="pct"/>
            <w:shd w:val="clear" w:color="auto" w:fill="FFFFFF"/>
            <w:vAlign w:val="bottom"/>
            <w:hideMark/>
          </w:tcPr>
          <w:p w14:paraId="624E52CF"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1CBC7FB"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1C3E0E5"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2977CA5" w14:textId="77777777" w:rsidR="00000000" w:rsidRDefault="00847163">
            <w:pPr>
              <w:rPr>
                <w:rFonts w:eastAsia="Times New Roman"/>
                <w:sz w:val="20"/>
                <w:szCs w:val="20"/>
              </w:rPr>
            </w:pPr>
            <w:r>
              <w:rPr>
                <w:rFonts w:eastAsia="Times New Roman"/>
                <w:sz w:val="20"/>
                <w:szCs w:val="20"/>
              </w:rPr>
              <w:t> </w:t>
            </w:r>
          </w:p>
        </w:tc>
        <w:tc>
          <w:tcPr>
            <w:tcW w:w="250" w:type="pct"/>
            <w:shd w:val="clear" w:color="auto" w:fill="FFFFFF"/>
            <w:vAlign w:val="bottom"/>
            <w:hideMark/>
          </w:tcPr>
          <w:p w14:paraId="48959C69"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E9E3326"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61D0BD4"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35B8162" w14:textId="77777777" w:rsidR="00000000" w:rsidRDefault="00847163">
            <w:pPr>
              <w:rPr>
                <w:rFonts w:eastAsia="Times New Roman"/>
                <w:sz w:val="20"/>
                <w:szCs w:val="20"/>
              </w:rPr>
            </w:pPr>
            <w:r>
              <w:rPr>
                <w:rFonts w:eastAsia="Times New Roman"/>
                <w:sz w:val="20"/>
                <w:szCs w:val="20"/>
              </w:rPr>
              <w:t> </w:t>
            </w:r>
          </w:p>
        </w:tc>
        <w:tc>
          <w:tcPr>
            <w:tcW w:w="250" w:type="pct"/>
            <w:shd w:val="clear" w:color="auto" w:fill="FFFFFF"/>
            <w:vAlign w:val="bottom"/>
            <w:hideMark/>
          </w:tcPr>
          <w:p w14:paraId="087F5D61"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92DFE60"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4845BD4"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4C39B46" w14:textId="77777777" w:rsidR="00000000" w:rsidRDefault="0084716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4F289C4D"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40127F0" w14:textId="77777777" w:rsidR="00000000" w:rsidRDefault="00847163">
            <w:pPr>
              <w:rPr>
                <w:rFonts w:eastAsia="Times New Roman"/>
                <w:sz w:val="20"/>
                <w:szCs w:val="20"/>
              </w:rPr>
            </w:pPr>
            <w:r>
              <w:rPr>
                <w:rFonts w:eastAsia="Times New Roman"/>
                <w:sz w:val="20"/>
                <w:szCs w:val="20"/>
              </w:rPr>
              <w:t> </w:t>
            </w:r>
          </w:p>
        </w:tc>
      </w:tr>
      <w:tr w:rsidR="00847163" w14:paraId="7C848266" w14:textId="77777777">
        <w:trPr>
          <w:tblCellSpacing w:w="0" w:type="dxa"/>
        </w:trPr>
        <w:tc>
          <w:tcPr>
            <w:tcW w:w="1750" w:type="pct"/>
            <w:shd w:val="clear" w:color="auto" w:fill="CCEEFF"/>
            <w:vAlign w:val="bottom"/>
            <w:hideMark/>
          </w:tcPr>
          <w:p w14:paraId="3417B7FB" w14:textId="77777777" w:rsidR="00000000" w:rsidRDefault="00847163">
            <w:pPr>
              <w:pStyle w:val="a3"/>
              <w:spacing w:before="0" w:beforeAutospacing="0" w:after="0" w:afterAutospacing="0"/>
              <w:rPr>
                <w:sz w:val="20"/>
                <w:szCs w:val="20"/>
              </w:rPr>
            </w:pPr>
            <w:r>
              <w:rPr>
                <w:b/>
                <w:bCs/>
                <w:sz w:val="20"/>
                <w:szCs w:val="20"/>
                <w:u w:val="single"/>
              </w:rPr>
              <w:t>Unsecured Debt</w:t>
            </w:r>
          </w:p>
        </w:tc>
        <w:tc>
          <w:tcPr>
            <w:tcW w:w="50" w:type="pct"/>
            <w:shd w:val="clear" w:color="auto" w:fill="CCEEFF"/>
            <w:vAlign w:val="bottom"/>
            <w:hideMark/>
          </w:tcPr>
          <w:p w14:paraId="0CF9EBF5"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ADDCC53" w14:textId="77777777" w:rsidR="00000000" w:rsidRDefault="00847163">
            <w:pPr>
              <w:rPr>
                <w:rFonts w:eastAsia="Times New Roman"/>
                <w:sz w:val="20"/>
                <w:szCs w:val="20"/>
              </w:rPr>
            </w:pPr>
            <w:r>
              <w:rPr>
                <w:rFonts w:eastAsia="Times New Roman"/>
                <w:b/>
                <w:bCs/>
                <w:sz w:val="20"/>
                <w:szCs w:val="20"/>
              </w:rPr>
              <w:t> </w:t>
            </w:r>
          </w:p>
        </w:tc>
        <w:tc>
          <w:tcPr>
            <w:tcW w:w="250" w:type="pct"/>
            <w:shd w:val="clear" w:color="auto" w:fill="CCEEFF"/>
            <w:vAlign w:val="bottom"/>
            <w:hideMark/>
          </w:tcPr>
          <w:p w14:paraId="59F48071" w14:textId="77777777" w:rsidR="00000000" w:rsidRDefault="00847163">
            <w:pPr>
              <w:rPr>
                <w:rFonts w:eastAsia="Times New Roman"/>
                <w:sz w:val="20"/>
                <w:szCs w:val="20"/>
              </w:rPr>
            </w:pPr>
            <w:r>
              <w:rPr>
                <w:rFonts w:eastAsia="Times New Roman"/>
                <w:b/>
                <w:bCs/>
                <w:sz w:val="20"/>
                <w:szCs w:val="20"/>
              </w:rPr>
              <w:t> </w:t>
            </w:r>
          </w:p>
        </w:tc>
        <w:tc>
          <w:tcPr>
            <w:tcW w:w="50" w:type="pct"/>
            <w:shd w:val="clear" w:color="auto" w:fill="CCEEFF"/>
            <w:vAlign w:val="bottom"/>
            <w:hideMark/>
          </w:tcPr>
          <w:p w14:paraId="13F0454C" w14:textId="77777777" w:rsidR="00000000" w:rsidRDefault="00847163">
            <w:pPr>
              <w:rPr>
                <w:rFonts w:eastAsia="Times New Roman"/>
                <w:sz w:val="20"/>
                <w:szCs w:val="20"/>
              </w:rPr>
            </w:pPr>
            <w:r>
              <w:rPr>
                <w:rFonts w:eastAsia="Times New Roman"/>
                <w:b/>
                <w:bCs/>
                <w:sz w:val="20"/>
                <w:szCs w:val="20"/>
              </w:rPr>
              <w:t> </w:t>
            </w:r>
          </w:p>
        </w:tc>
        <w:tc>
          <w:tcPr>
            <w:tcW w:w="50" w:type="pct"/>
            <w:shd w:val="clear" w:color="auto" w:fill="CCEEFF"/>
            <w:vAlign w:val="bottom"/>
            <w:hideMark/>
          </w:tcPr>
          <w:p w14:paraId="039F2AB6"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C364124" w14:textId="77777777" w:rsidR="00000000" w:rsidRDefault="00847163">
            <w:pPr>
              <w:rPr>
                <w:rFonts w:eastAsia="Times New Roman"/>
                <w:sz w:val="20"/>
                <w:szCs w:val="20"/>
              </w:rPr>
            </w:pPr>
            <w:r>
              <w:rPr>
                <w:rFonts w:eastAsia="Times New Roman"/>
                <w:b/>
                <w:bCs/>
                <w:sz w:val="20"/>
                <w:szCs w:val="20"/>
              </w:rPr>
              <w:t> </w:t>
            </w:r>
          </w:p>
        </w:tc>
        <w:tc>
          <w:tcPr>
            <w:tcW w:w="250" w:type="pct"/>
            <w:shd w:val="clear" w:color="auto" w:fill="CCEEFF"/>
            <w:vAlign w:val="bottom"/>
            <w:hideMark/>
          </w:tcPr>
          <w:p w14:paraId="186DBE53" w14:textId="77777777" w:rsidR="00000000" w:rsidRDefault="00847163">
            <w:pPr>
              <w:rPr>
                <w:rFonts w:eastAsia="Times New Roman"/>
                <w:sz w:val="20"/>
                <w:szCs w:val="20"/>
              </w:rPr>
            </w:pPr>
            <w:r>
              <w:rPr>
                <w:rFonts w:eastAsia="Times New Roman"/>
                <w:b/>
                <w:bCs/>
                <w:sz w:val="20"/>
                <w:szCs w:val="20"/>
              </w:rPr>
              <w:t> </w:t>
            </w:r>
          </w:p>
        </w:tc>
        <w:tc>
          <w:tcPr>
            <w:tcW w:w="50" w:type="pct"/>
            <w:shd w:val="clear" w:color="auto" w:fill="CCEEFF"/>
            <w:vAlign w:val="bottom"/>
            <w:hideMark/>
          </w:tcPr>
          <w:p w14:paraId="452B2B20" w14:textId="77777777" w:rsidR="00000000" w:rsidRDefault="00847163">
            <w:pPr>
              <w:rPr>
                <w:rFonts w:eastAsia="Times New Roman"/>
                <w:sz w:val="20"/>
                <w:szCs w:val="20"/>
              </w:rPr>
            </w:pPr>
            <w:r>
              <w:rPr>
                <w:rFonts w:eastAsia="Times New Roman"/>
                <w:b/>
                <w:bCs/>
                <w:sz w:val="20"/>
                <w:szCs w:val="20"/>
              </w:rPr>
              <w:t> </w:t>
            </w:r>
          </w:p>
        </w:tc>
        <w:tc>
          <w:tcPr>
            <w:tcW w:w="50" w:type="pct"/>
            <w:shd w:val="clear" w:color="auto" w:fill="CCEEFF"/>
            <w:vAlign w:val="bottom"/>
            <w:hideMark/>
          </w:tcPr>
          <w:p w14:paraId="24225493"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4135F19" w14:textId="77777777" w:rsidR="00000000" w:rsidRDefault="00847163">
            <w:pPr>
              <w:rPr>
                <w:rFonts w:eastAsia="Times New Roman"/>
                <w:sz w:val="20"/>
                <w:szCs w:val="20"/>
              </w:rPr>
            </w:pPr>
            <w:r>
              <w:rPr>
                <w:rFonts w:eastAsia="Times New Roman"/>
                <w:b/>
                <w:bCs/>
                <w:sz w:val="20"/>
                <w:szCs w:val="20"/>
              </w:rPr>
              <w:t> </w:t>
            </w:r>
          </w:p>
        </w:tc>
        <w:tc>
          <w:tcPr>
            <w:tcW w:w="250" w:type="pct"/>
            <w:shd w:val="clear" w:color="auto" w:fill="CCEEFF"/>
            <w:vAlign w:val="bottom"/>
            <w:hideMark/>
          </w:tcPr>
          <w:p w14:paraId="063417CE" w14:textId="77777777" w:rsidR="00000000" w:rsidRDefault="00847163">
            <w:pPr>
              <w:rPr>
                <w:rFonts w:eastAsia="Times New Roman"/>
                <w:sz w:val="20"/>
                <w:szCs w:val="20"/>
              </w:rPr>
            </w:pPr>
            <w:r>
              <w:rPr>
                <w:rFonts w:eastAsia="Times New Roman"/>
                <w:b/>
                <w:bCs/>
                <w:sz w:val="20"/>
                <w:szCs w:val="20"/>
              </w:rPr>
              <w:t> </w:t>
            </w:r>
          </w:p>
        </w:tc>
        <w:tc>
          <w:tcPr>
            <w:tcW w:w="50" w:type="pct"/>
            <w:shd w:val="clear" w:color="auto" w:fill="CCEEFF"/>
            <w:vAlign w:val="bottom"/>
            <w:hideMark/>
          </w:tcPr>
          <w:p w14:paraId="1781E586" w14:textId="77777777" w:rsidR="00000000" w:rsidRDefault="00847163">
            <w:pPr>
              <w:rPr>
                <w:rFonts w:eastAsia="Times New Roman"/>
                <w:sz w:val="20"/>
                <w:szCs w:val="20"/>
              </w:rPr>
            </w:pPr>
            <w:r>
              <w:rPr>
                <w:rFonts w:eastAsia="Times New Roman"/>
                <w:b/>
                <w:bCs/>
                <w:sz w:val="20"/>
                <w:szCs w:val="20"/>
              </w:rPr>
              <w:t> </w:t>
            </w:r>
          </w:p>
        </w:tc>
        <w:tc>
          <w:tcPr>
            <w:tcW w:w="50" w:type="pct"/>
            <w:shd w:val="clear" w:color="auto" w:fill="CCEEFF"/>
            <w:vAlign w:val="bottom"/>
            <w:hideMark/>
          </w:tcPr>
          <w:p w14:paraId="6D4EF52F"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920EC10" w14:textId="77777777" w:rsidR="00000000" w:rsidRDefault="00847163">
            <w:pPr>
              <w:rPr>
                <w:rFonts w:eastAsia="Times New Roman"/>
                <w:sz w:val="20"/>
                <w:szCs w:val="20"/>
              </w:rPr>
            </w:pPr>
            <w:r>
              <w:rPr>
                <w:rFonts w:eastAsia="Times New Roman"/>
                <w:b/>
                <w:bCs/>
                <w:sz w:val="20"/>
                <w:szCs w:val="20"/>
              </w:rPr>
              <w:t> </w:t>
            </w:r>
          </w:p>
        </w:tc>
        <w:tc>
          <w:tcPr>
            <w:tcW w:w="250" w:type="pct"/>
            <w:shd w:val="clear" w:color="auto" w:fill="CCEEFF"/>
            <w:vAlign w:val="bottom"/>
            <w:hideMark/>
          </w:tcPr>
          <w:p w14:paraId="4F0CC926" w14:textId="77777777" w:rsidR="00000000" w:rsidRDefault="00847163">
            <w:pPr>
              <w:rPr>
                <w:rFonts w:eastAsia="Times New Roman"/>
                <w:sz w:val="20"/>
                <w:szCs w:val="20"/>
              </w:rPr>
            </w:pPr>
            <w:r>
              <w:rPr>
                <w:rFonts w:eastAsia="Times New Roman"/>
                <w:b/>
                <w:bCs/>
                <w:sz w:val="20"/>
                <w:szCs w:val="20"/>
              </w:rPr>
              <w:t> </w:t>
            </w:r>
          </w:p>
        </w:tc>
        <w:tc>
          <w:tcPr>
            <w:tcW w:w="50" w:type="pct"/>
            <w:shd w:val="clear" w:color="auto" w:fill="CCEEFF"/>
            <w:vAlign w:val="bottom"/>
            <w:hideMark/>
          </w:tcPr>
          <w:p w14:paraId="388D9E82" w14:textId="77777777" w:rsidR="00000000" w:rsidRDefault="00847163">
            <w:pPr>
              <w:rPr>
                <w:rFonts w:eastAsia="Times New Roman"/>
                <w:sz w:val="20"/>
                <w:szCs w:val="20"/>
              </w:rPr>
            </w:pPr>
            <w:r>
              <w:rPr>
                <w:rFonts w:eastAsia="Times New Roman"/>
                <w:b/>
                <w:bCs/>
                <w:sz w:val="20"/>
                <w:szCs w:val="20"/>
              </w:rPr>
              <w:t> </w:t>
            </w:r>
          </w:p>
        </w:tc>
        <w:tc>
          <w:tcPr>
            <w:tcW w:w="50" w:type="pct"/>
            <w:shd w:val="clear" w:color="auto" w:fill="CCEEFF"/>
            <w:vAlign w:val="bottom"/>
            <w:hideMark/>
          </w:tcPr>
          <w:p w14:paraId="2C06A3B1"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5C27533" w14:textId="77777777" w:rsidR="00000000" w:rsidRDefault="00847163">
            <w:pPr>
              <w:rPr>
                <w:rFonts w:eastAsia="Times New Roman"/>
                <w:sz w:val="20"/>
                <w:szCs w:val="20"/>
              </w:rPr>
            </w:pPr>
            <w:r>
              <w:rPr>
                <w:rFonts w:eastAsia="Times New Roman"/>
                <w:b/>
                <w:bCs/>
                <w:sz w:val="20"/>
                <w:szCs w:val="20"/>
              </w:rPr>
              <w:t> </w:t>
            </w:r>
          </w:p>
        </w:tc>
        <w:tc>
          <w:tcPr>
            <w:tcW w:w="250" w:type="pct"/>
            <w:shd w:val="clear" w:color="auto" w:fill="CCEEFF"/>
            <w:vAlign w:val="bottom"/>
            <w:hideMark/>
          </w:tcPr>
          <w:p w14:paraId="6016EC55" w14:textId="77777777" w:rsidR="00000000" w:rsidRDefault="00847163">
            <w:pPr>
              <w:rPr>
                <w:rFonts w:eastAsia="Times New Roman"/>
                <w:sz w:val="20"/>
                <w:szCs w:val="20"/>
              </w:rPr>
            </w:pPr>
            <w:r>
              <w:rPr>
                <w:rFonts w:eastAsia="Times New Roman"/>
                <w:b/>
                <w:bCs/>
                <w:sz w:val="20"/>
                <w:szCs w:val="20"/>
              </w:rPr>
              <w:t> </w:t>
            </w:r>
          </w:p>
        </w:tc>
        <w:tc>
          <w:tcPr>
            <w:tcW w:w="50" w:type="pct"/>
            <w:shd w:val="clear" w:color="auto" w:fill="CCEEFF"/>
            <w:vAlign w:val="bottom"/>
            <w:hideMark/>
          </w:tcPr>
          <w:p w14:paraId="6A756BAB" w14:textId="77777777" w:rsidR="00000000" w:rsidRDefault="00847163">
            <w:pPr>
              <w:rPr>
                <w:rFonts w:eastAsia="Times New Roman"/>
                <w:sz w:val="20"/>
                <w:szCs w:val="20"/>
              </w:rPr>
            </w:pPr>
            <w:r>
              <w:rPr>
                <w:rFonts w:eastAsia="Times New Roman"/>
                <w:b/>
                <w:bCs/>
                <w:sz w:val="20"/>
                <w:szCs w:val="20"/>
              </w:rPr>
              <w:t> </w:t>
            </w:r>
          </w:p>
        </w:tc>
        <w:tc>
          <w:tcPr>
            <w:tcW w:w="50" w:type="pct"/>
            <w:shd w:val="clear" w:color="auto" w:fill="CCEEFF"/>
            <w:vAlign w:val="bottom"/>
            <w:hideMark/>
          </w:tcPr>
          <w:p w14:paraId="35B06373"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AE414EF" w14:textId="77777777" w:rsidR="00000000" w:rsidRDefault="00847163">
            <w:pPr>
              <w:rPr>
                <w:rFonts w:eastAsia="Times New Roman"/>
                <w:sz w:val="20"/>
                <w:szCs w:val="20"/>
              </w:rPr>
            </w:pPr>
            <w:r>
              <w:rPr>
                <w:rFonts w:eastAsia="Times New Roman"/>
                <w:b/>
                <w:bCs/>
                <w:sz w:val="20"/>
                <w:szCs w:val="20"/>
              </w:rPr>
              <w:t> </w:t>
            </w:r>
          </w:p>
        </w:tc>
        <w:tc>
          <w:tcPr>
            <w:tcW w:w="250" w:type="pct"/>
            <w:shd w:val="clear" w:color="auto" w:fill="CCEEFF"/>
            <w:vAlign w:val="bottom"/>
            <w:hideMark/>
          </w:tcPr>
          <w:p w14:paraId="2B03ECB7" w14:textId="77777777" w:rsidR="00000000" w:rsidRDefault="00847163">
            <w:pPr>
              <w:rPr>
                <w:rFonts w:eastAsia="Times New Roman"/>
                <w:sz w:val="20"/>
                <w:szCs w:val="20"/>
              </w:rPr>
            </w:pPr>
            <w:r>
              <w:rPr>
                <w:rFonts w:eastAsia="Times New Roman"/>
                <w:b/>
                <w:bCs/>
                <w:sz w:val="20"/>
                <w:szCs w:val="20"/>
              </w:rPr>
              <w:t> </w:t>
            </w:r>
          </w:p>
        </w:tc>
        <w:tc>
          <w:tcPr>
            <w:tcW w:w="50" w:type="pct"/>
            <w:shd w:val="clear" w:color="auto" w:fill="CCEEFF"/>
            <w:vAlign w:val="bottom"/>
            <w:hideMark/>
          </w:tcPr>
          <w:p w14:paraId="509D04CB" w14:textId="77777777" w:rsidR="00000000" w:rsidRDefault="00847163">
            <w:pPr>
              <w:rPr>
                <w:rFonts w:eastAsia="Times New Roman"/>
                <w:sz w:val="20"/>
                <w:szCs w:val="20"/>
              </w:rPr>
            </w:pPr>
            <w:r>
              <w:rPr>
                <w:rFonts w:eastAsia="Times New Roman"/>
                <w:b/>
                <w:bCs/>
                <w:sz w:val="20"/>
                <w:szCs w:val="20"/>
              </w:rPr>
              <w:t> </w:t>
            </w:r>
          </w:p>
        </w:tc>
        <w:tc>
          <w:tcPr>
            <w:tcW w:w="50" w:type="pct"/>
            <w:shd w:val="clear" w:color="auto" w:fill="CCEEFF"/>
            <w:vAlign w:val="bottom"/>
            <w:hideMark/>
          </w:tcPr>
          <w:p w14:paraId="32CDB132"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8138FA7" w14:textId="77777777" w:rsidR="00000000" w:rsidRDefault="00847163">
            <w:pPr>
              <w:rPr>
                <w:rFonts w:eastAsia="Times New Roman"/>
                <w:sz w:val="20"/>
                <w:szCs w:val="20"/>
              </w:rPr>
            </w:pPr>
            <w:r>
              <w:rPr>
                <w:rFonts w:eastAsia="Times New Roman"/>
                <w:b/>
                <w:bCs/>
                <w:sz w:val="20"/>
                <w:szCs w:val="20"/>
              </w:rPr>
              <w:t> </w:t>
            </w:r>
          </w:p>
        </w:tc>
        <w:tc>
          <w:tcPr>
            <w:tcW w:w="250" w:type="pct"/>
            <w:shd w:val="clear" w:color="auto" w:fill="CCEEFF"/>
            <w:vAlign w:val="bottom"/>
            <w:hideMark/>
          </w:tcPr>
          <w:p w14:paraId="417AADE5" w14:textId="77777777" w:rsidR="00000000" w:rsidRDefault="00847163">
            <w:pPr>
              <w:rPr>
                <w:rFonts w:eastAsia="Times New Roman"/>
                <w:sz w:val="20"/>
                <w:szCs w:val="20"/>
              </w:rPr>
            </w:pPr>
            <w:r>
              <w:rPr>
                <w:rFonts w:eastAsia="Times New Roman"/>
                <w:b/>
                <w:bCs/>
                <w:sz w:val="20"/>
                <w:szCs w:val="20"/>
              </w:rPr>
              <w:t> </w:t>
            </w:r>
          </w:p>
        </w:tc>
        <w:tc>
          <w:tcPr>
            <w:tcW w:w="50" w:type="pct"/>
            <w:shd w:val="clear" w:color="auto" w:fill="CCEEFF"/>
            <w:vAlign w:val="bottom"/>
            <w:hideMark/>
          </w:tcPr>
          <w:p w14:paraId="1A6DF4D3" w14:textId="77777777" w:rsidR="00000000" w:rsidRDefault="00847163">
            <w:pPr>
              <w:rPr>
                <w:rFonts w:eastAsia="Times New Roman"/>
                <w:sz w:val="20"/>
                <w:szCs w:val="20"/>
              </w:rPr>
            </w:pPr>
            <w:r>
              <w:rPr>
                <w:rFonts w:eastAsia="Times New Roman"/>
                <w:b/>
                <w:bCs/>
                <w:sz w:val="20"/>
                <w:szCs w:val="20"/>
              </w:rPr>
              <w:t> </w:t>
            </w:r>
          </w:p>
        </w:tc>
        <w:tc>
          <w:tcPr>
            <w:tcW w:w="50" w:type="pct"/>
            <w:shd w:val="clear" w:color="auto" w:fill="CCEEFF"/>
            <w:vAlign w:val="bottom"/>
            <w:hideMark/>
          </w:tcPr>
          <w:p w14:paraId="0755F2D6"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751A75B" w14:textId="77777777" w:rsidR="00000000" w:rsidRDefault="00847163">
            <w:pPr>
              <w:rPr>
                <w:rFonts w:eastAsia="Times New Roman"/>
                <w:sz w:val="20"/>
                <w:szCs w:val="20"/>
              </w:rPr>
            </w:pPr>
            <w:r>
              <w:rPr>
                <w:rFonts w:eastAsia="Times New Roman"/>
                <w:b/>
                <w:bCs/>
                <w:sz w:val="20"/>
                <w:szCs w:val="20"/>
              </w:rPr>
              <w:t> </w:t>
            </w:r>
          </w:p>
        </w:tc>
        <w:tc>
          <w:tcPr>
            <w:tcW w:w="300" w:type="pct"/>
            <w:shd w:val="clear" w:color="auto" w:fill="CCEEFF"/>
            <w:vAlign w:val="bottom"/>
            <w:hideMark/>
          </w:tcPr>
          <w:p w14:paraId="628DF698" w14:textId="77777777" w:rsidR="00000000" w:rsidRDefault="00847163">
            <w:pPr>
              <w:rPr>
                <w:rFonts w:eastAsia="Times New Roman"/>
                <w:sz w:val="20"/>
                <w:szCs w:val="20"/>
              </w:rPr>
            </w:pPr>
            <w:r>
              <w:rPr>
                <w:rFonts w:eastAsia="Times New Roman"/>
                <w:b/>
                <w:bCs/>
                <w:sz w:val="20"/>
                <w:szCs w:val="20"/>
              </w:rPr>
              <w:t> </w:t>
            </w:r>
          </w:p>
        </w:tc>
        <w:tc>
          <w:tcPr>
            <w:tcW w:w="50" w:type="pct"/>
            <w:shd w:val="clear" w:color="auto" w:fill="CCEEFF"/>
            <w:vAlign w:val="bottom"/>
            <w:hideMark/>
          </w:tcPr>
          <w:p w14:paraId="7B3A0952" w14:textId="77777777" w:rsidR="00000000" w:rsidRDefault="00847163">
            <w:pPr>
              <w:rPr>
                <w:rFonts w:eastAsia="Times New Roman"/>
                <w:sz w:val="20"/>
                <w:szCs w:val="20"/>
              </w:rPr>
            </w:pPr>
            <w:r>
              <w:rPr>
                <w:rFonts w:eastAsia="Times New Roman"/>
                <w:b/>
                <w:bCs/>
                <w:sz w:val="20"/>
                <w:szCs w:val="20"/>
              </w:rPr>
              <w:t> </w:t>
            </w:r>
          </w:p>
        </w:tc>
      </w:tr>
      <w:tr w:rsidR="00847163" w14:paraId="077B4FB1" w14:textId="77777777">
        <w:trPr>
          <w:tblCellSpacing w:w="0" w:type="dxa"/>
        </w:trPr>
        <w:tc>
          <w:tcPr>
            <w:tcW w:w="1750" w:type="pct"/>
            <w:shd w:val="clear" w:color="auto" w:fill="FFFFFF"/>
            <w:vAlign w:val="bottom"/>
            <w:hideMark/>
          </w:tcPr>
          <w:p w14:paraId="028B8DC0" w14:textId="77777777" w:rsidR="00000000" w:rsidRDefault="00847163">
            <w:pPr>
              <w:pStyle w:val="a3"/>
              <w:spacing w:before="0" w:beforeAutospacing="0" w:after="0" w:afterAutospacing="0"/>
              <w:rPr>
                <w:sz w:val="20"/>
                <w:szCs w:val="20"/>
              </w:rPr>
            </w:pPr>
            <w:r>
              <w:rPr>
                <w:sz w:val="20"/>
                <w:szCs w:val="20"/>
              </w:rPr>
              <w:t>Fixed Rate</w:t>
            </w:r>
          </w:p>
        </w:tc>
        <w:tc>
          <w:tcPr>
            <w:tcW w:w="50" w:type="pct"/>
            <w:shd w:val="clear" w:color="auto" w:fill="FFFFFF"/>
            <w:vAlign w:val="bottom"/>
            <w:hideMark/>
          </w:tcPr>
          <w:p w14:paraId="3EC9BA9E"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C091E42" w14:textId="77777777" w:rsidR="00000000" w:rsidRDefault="00847163">
            <w:pPr>
              <w:rPr>
                <w:rFonts w:eastAsia="Times New Roman"/>
                <w:sz w:val="20"/>
                <w:szCs w:val="20"/>
              </w:rPr>
            </w:pPr>
            <w:r>
              <w:rPr>
                <w:rFonts w:eastAsia="Times New Roman"/>
                <w:sz w:val="20"/>
                <w:szCs w:val="20"/>
              </w:rPr>
              <w:t>$</w:t>
            </w:r>
          </w:p>
        </w:tc>
        <w:tc>
          <w:tcPr>
            <w:tcW w:w="250" w:type="pct"/>
            <w:shd w:val="clear" w:color="auto" w:fill="FFFFFF"/>
            <w:vAlign w:val="bottom"/>
            <w:hideMark/>
          </w:tcPr>
          <w:p w14:paraId="64DAB92B" w14:textId="77777777" w:rsidR="00000000" w:rsidRDefault="00847163">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35FE95BE"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2C35BD1"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BA60079" w14:textId="77777777" w:rsidR="00000000" w:rsidRDefault="00847163">
            <w:pPr>
              <w:rPr>
                <w:rFonts w:eastAsia="Times New Roman"/>
                <w:sz w:val="20"/>
                <w:szCs w:val="20"/>
              </w:rPr>
            </w:pPr>
            <w:r>
              <w:rPr>
                <w:rFonts w:eastAsia="Times New Roman"/>
                <w:sz w:val="20"/>
                <w:szCs w:val="20"/>
              </w:rPr>
              <w:t>$</w:t>
            </w:r>
          </w:p>
        </w:tc>
        <w:tc>
          <w:tcPr>
            <w:tcW w:w="250" w:type="pct"/>
            <w:shd w:val="clear" w:color="auto" w:fill="FFFFFF"/>
            <w:vAlign w:val="bottom"/>
            <w:hideMark/>
          </w:tcPr>
          <w:p w14:paraId="4A6CE77E" w14:textId="77777777" w:rsidR="00000000" w:rsidRDefault="00847163">
            <w:pPr>
              <w:jc w:val="right"/>
              <w:rPr>
                <w:rFonts w:eastAsia="Times New Roman"/>
                <w:sz w:val="20"/>
                <w:szCs w:val="20"/>
              </w:rPr>
            </w:pPr>
            <w:r>
              <w:rPr>
                <w:rFonts w:eastAsia="Times New Roman"/>
                <w:sz w:val="20"/>
                <w:szCs w:val="20"/>
              </w:rPr>
              <w:t>484.1</w:t>
            </w:r>
          </w:p>
        </w:tc>
        <w:tc>
          <w:tcPr>
            <w:tcW w:w="50" w:type="pct"/>
            <w:shd w:val="clear" w:color="auto" w:fill="FFFFFF"/>
            <w:vAlign w:val="bottom"/>
            <w:hideMark/>
          </w:tcPr>
          <w:p w14:paraId="4EF9ACD5"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B683BF9"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8D19C11" w14:textId="77777777" w:rsidR="00000000" w:rsidRDefault="00847163">
            <w:pPr>
              <w:rPr>
                <w:rFonts w:eastAsia="Times New Roman"/>
                <w:sz w:val="20"/>
                <w:szCs w:val="20"/>
              </w:rPr>
            </w:pPr>
            <w:r>
              <w:rPr>
                <w:rFonts w:eastAsia="Times New Roman"/>
                <w:sz w:val="20"/>
                <w:szCs w:val="20"/>
              </w:rPr>
              <w:t>$</w:t>
            </w:r>
          </w:p>
        </w:tc>
        <w:tc>
          <w:tcPr>
            <w:tcW w:w="250" w:type="pct"/>
            <w:shd w:val="clear" w:color="auto" w:fill="FFFFFF"/>
            <w:vAlign w:val="bottom"/>
            <w:hideMark/>
          </w:tcPr>
          <w:p w14:paraId="2C5D257F" w14:textId="77777777" w:rsidR="00000000" w:rsidRDefault="00847163">
            <w:pPr>
              <w:jc w:val="right"/>
              <w:rPr>
                <w:rFonts w:eastAsia="Times New Roman"/>
                <w:sz w:val="20"/>
                <w:szCs w:val="20"/>
              </w:rPr>
            </w:pPr>
            <w:r>
              <w:rPr>
                <w:rFonts w:eastAsia="Times New Roman"/>
                <w:sz w:val="20"/>
                <w:szCs w:val="20"/>
              </w:rPr>
              <w:t>497.3</w:t>
            </w:r>
          </w:p>
        </w:tc>
        <w:tc>
          <w:tcPr>
            <w:tcW w:w="50" w:type="pct"/>
            <w:shd w:val="clear" w:color="auto" w:fill="FFFFFF"/>
            <w:vAlign w:val="bottom"/>
            <w:hideMark/>
          </w:tcPr>
          <w:p w14:paraId="0C745381"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5B43196"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CDF2A66" w14:textId="77777777" w:rsidR="00000000" w:rsidRDefault="00847163">
            <w:pPr>
              <w:rPr>
                <w:rFonts w:eastAsia="Times New Roman"/>
                <w:sz w:val="20"/>
                <w:szCs w:val="20"/>
              </w:rPr>
            </w:pPr>
            <w:r>
              <w:rPr>
                <w:rFonts w:eastAsia="Times New Roman"/>
                <w:sz w:val="20"/>
                <w:szCs w:val="20"/>
              </w:rPr>
              <w:t>$</w:t>
            </w:r>
          </w:p>
        </w:tc>
        <w:tc>
          <w:tcPr>
            <w:tcW w:w="250" w:type="pct"/>
            <w:shd w:val="clear" w:color="auto" w:fill="FFFFFF"/>
            <w:vAlign w:val="bottom"/>
            <w:hideMark/>
          </w:tcPr>
          <w:p w14:paraId="286A5BE7" w14:textId="77777777" w:rsidR="00000000" w:rsidRDefault="00847163">
            <w:pPr>
              <w:jc w:val="right"/>
              <w:rPr>
                <w:rFonts w:eastAsia="Times New Roman"/>
                <w:sz w:val="20"/>
                <w:szCs w:val="20"/>
              </w:rPr>
            </w:pPr>
            <w:r>
              <w:rPr>
                <w:rFonts w:eastAsia="Times New Roman"/>
                <w:sz w:val="20"/>
                <w:szCs w:val="20"/>
              </w:rPr>
              <w:t>348.4</w:t>
            </w:r>
          </w:p>
        </w:tc>
        <w:tc>
          <w:tcPr>
            <w:tcW w:w="50" w:type="pct"/>
            <w:shd w:val="clear" w:color="auto" w:fill="FFFFFF"/>
            <w:vAlign w:val="bottom"/>
            <w:hideMark/>
          </w:tcPr>
          <w:p w14:paraId="13548663"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CB432CC"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80D83BE" w14:textId="77777777" w:rsidR="00000000" w:rsidRDefault="00847163">
            <w:pPr>
              <w:rPr>
                <w:rFonts w:eastAsia="Times New Roman"/>
                <w:sz w:val="20"/>
                <w:szCs w:val="20"/>
              </w:rPr>
            </w:pPr>
            <w:r>
              <w:rPr>
                <w:rFonts w:eastAsia="Times New Roman"/>
                <w:sz w:val="20"/>
                <w:szCs w:val="20"/>
              </w:rPr>
              <w:t>$</w:t>
            </w:r>
          </w:p>
        </w:tc>
        <w:tc>
          <w:tcPr>
            <w:tcW w:w="250" w:type="pct"/>
            <w:shd w:val="clear" w:color="auto" w:fill="FFFFFF"/>
            <w:vAlign w:val="bottom"/>
            <w:hideMark/>
          </w:tcPr>
          <w:p w14:paraId="5983DC60" w14:textId="77777777" w:rsidR="00000000" w:rsidRDefault="00847163">
            <w:pPr>
              <w:jc w:val="right"/>
              <w:rPr>
                <w:rFonts w:eastAsia="Times New Roman"/>
                <w:sz w:val="20"/>
                <w:szCs w:val="20"/>
              </w:rPr>
            </w:pPr>
            <w:r>
              <w:rPr>
                <w:rFonts w:eastAsia="Times New Roman"/>
                <w:sz w:val="20"/>
                <w:szCs w:val="20"/>
              </w:rPr>
              <w:t>397.3</w:t>
            </w:r>
          </w:p>
        </w:tc>
        <w:tc>
          <w:tcPr>
            <w:tcW w:w="50" w:type="pct"/>
            <w:shd w:val="clear" w:color="auto" w:fill="FFFFFF"/>
            <w:vAlign w:val="bottom"/>
            <w:hideMark/>
          </w:tcPr>
          <w:p w14:paraId="32AA2C3D"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56FE013"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FF4106A" w14:textId="77777777" w:rsidR="00000000" w:rsidRDefault="00847163">
            <w:pPr>
              <w:rPr>
                <w:rFonts w:eastAsia="Times New Roman"/>
                <w:sz w:val="20"/>
                <w:szCs w:val="20"/>
              </w:rPr>
            </w:pPr>
            <w:r>
              <w:rPr>
                <w:rFonts w:eastAsia="Times New Roman"/>
                <w:sz w:val="20"/>
                <w:szCs w:val="20"/>
              </w:rPr>
              <w:t>$</w:t>
            </w:r>
          </w:p>
        </w:tc>
        <w:tc>
          <w:tcPr>
            <w:tcW w:w="250" w:type="pct"/>
            <w:shd w:val="clear" w:color="auto" w:fill="FFFFFF"/>
            <w:vAlign w:val="bottom"/>
            <w:hideMark/>
          </w:tcPr>
          <w:p w14:paraId="0126B8B5" w14:textId="77777777" w:rsidR="00000000" w:rsidRDefault="00847163">
            <w:pPr>
              <w:jc w:val="right"/>
              <w:rPr>
                <w:rFonts w:eastAsia="Times New Roman"/>
                <w:sz w:val="20"/>
                <w:szCs w:val="20"/>
              </w:rPr>
            </w:pPr>
            <w:r>
              <w:rPr>
                <w:rFonts w:eastAsia="Times New Roman"/>
                <w:sz w:val="20"/>
                <w:szCs w:val="20"/>
              </w:rPr>
              <w:t>2,908.4</w:t>
            </w:r>
          </w:p>
        </w:tc>
        <w:tc>
          <w:tcPr>
            <w:tcW w:w="50" w:type="pct"/>
            <w:shd w:val="clear" w:color="auto" w:fill="FFFFFF"/>
            <w:vAlign w:val="bottom"/>
            <w:hideMark/>
          </w:tcPr>
          <w:p w14:paraId="4588B785"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8F532E6"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1AE6EBB" w14:textId="77777777" w:rsidR="00000000" w:rsidRDefault="00847163">
            <w:pPr>
              <w:rPr>
                <w:rFonts w:eastAsia="Times New Roman"/>
                <w:sz w:val="20"/>
                <w:szCs w:val="20"/>
              </w:rPr>
            </w:pPr>
            <w:r>
              <w:rPr>
                <w:rFonts w:eastAsia="Times New Roman"/>
                <w:sz w:val="20"/>
                <w:szCs w:val="20"/>
              </w:rPr>
              <w:t>$</w:t>
            </w:r>
          </w:p>
        </w:tc>
        <w:tc>
          <w:tcPr>
            <w:tcW w:w="250" w:type="pct"/>
            <w:shd w:val="clear" w:color="auto" w:fill="FFFFFF"/>
            <w:vAlign w:val="bottom"/>
            <w:hideMark/>
          </w:tcPr>
          <w:p w14:paraId="7BDAD937" w14:textId="77777777" w:rsidR="00000000" w:rsidRDefault="00847163">
            <w:pPr>
              <w:jc w:val="right"/>
              <w:rPr>
                <w:rFonts w:eastAsia="Times New Roman"/>
                <w:sz w:val="20"/>
                <w:szCs w:val="20"/>
              </w:rPr>
            </w:pPr>
            <w:r>
              <w:rPr>
                <w:rFonts w:eastAsia="Times New Roman"/>
                <w:sz w:val="20"/>
                <w:szCs w:val="20"/>
              </w:rPr>
              <w:t>4,635.5</w:t>
            </w:r>
          </w:p>
        </w:tc>
        <w:tc>
          <w:tcPr>
            <w:tcW w:w="50" w:type="pct"/>
            <w:shd w:val="clear" w:color="auto" w:fill="FFFFFF"/>
            <w:vAlign w:val="bottom"/>
            <w:hideMark/>
          </w:tcPr>
          <w:p w14:paraId="15CC18A8"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1DA9A4E"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A5E81CB" w14:textId="77777777" w:rsidR="00000000" w:rsidRDefault="00847163">
            <w:pPr>
              <w:rPr>
                <w:rFonts w:eastAsia="Times New Roman"/>
                <w:sz w:val="20"/>
                <w:szCs w:val="20"/>
              </w:rPr>
            </w:pPr>
            <w:r>
              <w:rPr>
                <w:rFonts w:eastAsia="Times New Roman"/>
                <w:sz w:val="20"/>
                <w:szCs w:val="20"/>
              </w:rPr>
              <w:t>$</w:t>
            </w:r>
          </w:p>
        </w:tc>
        <w:tc>
          <w:tcPr>
            <w:tcW w:w="300" w:type="pct"/>
            <w:shd w:val="clear" w:color="auto" w:fill="FFFFFF"/>
            <w:vAlign w:val="bottom"/>
            <w:hideMark/>
          </w:tcPr>
          <w:p w14:paraId="26A63252" w14:textId="77777777" w:rsidR="00000000" w:rsidRDefault="00847163">
            <w:pPr>
              <w:jc w:val="right"/>
              <w:rPr>
                <w:rFonts w:eastAsia="Times New Roman"/>
                <w:sz w:val="20"/>
                <w:szCs w:val="20"/>
              </w:rPr>
            </w:pPr>
            <w:r>
              <w:rPr>
                <w:rFonts w:eastAsia="Times New Roman"/>
                <w:sz w:val="20"/>
                <w:szCs w:val="20"/>
              </w:rPr>
              <w:t>4,416.5</w:t>
            </w:r>
          </w:p>
        </w:tc>
        <w:tc>
          <w:tcPr>
            <w:tcW w:w="50" w:type="pct"/>
            <w:shd w:val="clear" w:color="auto" w:fill="FFFFFF"/>
            <w:vAlign w:val="bottom"/>
            <w:hideMark/>
          </w:tcPr>
          <w:p w14:paraId="50E54B01" w14:textId="77777777" w:rsidR="00000000" w:rsidRDefault="00847163">
            <w:pPr>
              <w:rPr>
                <w:rFonts w:eastAsia="Times New Roman"/>
                <w:sz w:val="20"/>
                <w:szCs w:val="20"/>
              </w:rPr>
            </w:pPr>
            <w:r>
              <w:rPr>
                <w:rFonts w:eastAsia="Times New Roman"/>
                <w:sz w:val="20"/>
                <w:szCs w:val="20"/>
              </w:rPr>
              <w:t> </w:t>
            </w:r>
          </w:p>
        </w:tc>
      </w:tr>
      <w:tr w:rsidR="00847163" w14:paraId="520BC700" w14:textId="77777777">
        <w:trPr>
          <w:tblCellSpacing w:w="0" w:type="dxa"/>
        </w:trPr>
        <w:tc>
          <w:tcPr>
            <w:tcW w:w="1750" w:type="pct"/>
            <w:shd w:val="clear" w:color="auto" w:fill="CCEEFF"/>
            <w:vAlign w:val="bottom"/>
            <w:hideMark/>
          </w:tcPr>
          <w:p w14:paraId="20ACE31D" w14:textId="77777777" w:rsidR="00000000" w:rsidRDefault="00847163">
            <w:pPr>
              <w:pStyle w:val="a3"/>
              <w:spacing w:before="0" w:beforeAutospacing="0" w:after="0" w:afterAutospacing="0"/>
              <w:rPr>
                <w:sz w:val="20"/>
                <w:szCs w:val="20"/>
              </w:rPr>
            </w:pPr>
            <w:r>
              <w:rPr>
                <w:sz w:val="20"/>
                <w:szCs w:val="20"/>
              </w:rPr>
              <w:t>Average Interest Rate</w:t>
            </w:r>
          </w:p>
        </w:tc>
        <w:tc>
          <w:tcPr>
            <w:tcW w:w="50" w:type="pct"/>
            <w:shd w:val="clear" w:color="auto" w:fill="CCEEFF"/>
            <w:vAlign w:val="bottom"/>
            <w:hideMark/>
          </w:tcPr>
          <w:p w14:paraId="239190A6"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267043A" w14:textId="77777777" w:rsidR="00000000" w:rsidRDefault="00847163">
            <w:pPr>
              <w:rPr>
                <w:rFonts w:eastAsia="Times New Roman"/>
                <w:sz w:val="20"/>
                <w:szCs w:val="20"/>
              </w:rPr>
            </w:pPr>
            <w:r>
              <w:rPr>
                <w:rFonts w:eastAsia="Times New Roman"/>
                <w:sz w:val="20"/>
                <w:szCs w:val="20"/>
              </w:rPr>
              <w:t> </w:t>
            </w:r>
          </w:p>
        </w:tc>
        <w:tc>
          <w:tcPr>
            <w:tcW w:w="250" w:type="pct"/>
            <w:shd w:val="clear" w:color="auto" w:fill="CCEEFF"/>
            <w:vAlign w:val="bottom"/>
            <w:hideMark/>
          </w:tcPr>
          <w:p w14:paraId="6519E954" w14:textId="77777777" w:rsidR="00000000" w:rsidRDefault="0084716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2E192790"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60F964F"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F0603C0" w14:textId="77777777" w:rsidR="00000000" w:rsidRDefault="00847163">
            <w:pPr>
              <w:rPr>
                <w:rFonts w:eastAsia="Times New Roman"/>
                <w:sz w:val="20"/>
                <w:szCs w:val="20"/>
              </w:rPr>
            </w:pPr>
            <w:r>
              <w:rPr>
                <w:rFonts w:eastAsia="Times New Roman"/>
                <w:sz w:val="20"/>
                <w:szCs w:val="20"/>
              </w:rPr>
              <w:t> </w:t>
            </w:r>
          </w:p>
        </w:tc>
        <w:tc>
          <w:tcPr>
            <w:tcW w:w="250" w:type="pct"/>
            <w:shd w:val="clear" w:color="auto" w:fill="CCEEFF"/>
            <w:vAlign w:val="bottom"/>
            <w:hideMark/>
          </w:tcPr>
          <w:p w14:paraId="54CADFA6" w14:textId="77777777" w:rsidR="00000000" w:rsidRDefault="00847163">
            <w:pPr>
              <w:jc w:val="right"/>
              <w:rPr>
                <w:rFonts w:eastAsia="Times New Roman"/>
                <w:sz w:val="20"/>
                <w:szCs w:val="20"/>
              </w:rPr>
            </w:pPr>
            <w:r>
              <w:rPr>
                <w:rFonts w:eastAsia="Times New Roman"/>
                <w:sz w:val="20"/>
                <w:szCs w:val="20"/>
              </w:rPr>
              <w:t>3.20</w:t>
            </w:r>
          </w:p>
        </w:tc>
        <w:tc>
          <w:tcPr>
            <w:tcW w:w="50" w:type="pct"/>
            <w:shd w:val="clear" w:color="auto" w:fill="CCEEFF"/>
            <w:vAlign w:val="bottom"/>
            <w:hideMark/>
          </w:tcPr>
          <w:p w14:paraId="05F2C9BC" w14:textId="77777777" w:rsidR="00000000" w:rsidRDefault="00847163">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14:paraId="4E31F063"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CDFDD8E" w14:textId="77777777" w:rsidR="00000000" w:rsidRDefault="00847163">
            <w:pPr>
              <w:rPr>
                <w:rFonts w:eastAsia="Times New Roman"/>
                <w:sz w:val="20"/>
                <w:szCs w:val="20"/>
              </w:rPr>
            </w:pPr>
            <w:r>
              <w:rPr>
                <w:rFonts w:eastAsia="Times New Roman"/>
                <w:sz w:val="20"/>
                <w:szCs w:val="20"/>
              </w:rPr>
              <w:t> </w:t>
            </w:r>
          </w:p>
        </w:tc>
        <w:tc>
          <w:tcPr>
            <w:tcW w:w="250" w:type="pct"/>
            <w:shd w:val="clear" w:color="auto" w:fill="CCEEFF"/>
            <w:vAlign w:val="bottom"/>
            <w:hideMark/>
          </w:tcPr>
          <w:p w14:paraId="63437763" w14:textId="77777777" w:rsidR="00000000" w:rsidRDefault="00847163">
            <w:pPr>
              <w:jc w:val="right"/>
              <w:rPr>
                <w:rFonts w:eastAsia="Times New Roman"/>
                <w:sz w:val="20"/>
                <w:szCs w:val="20"/>
              </w:rPr>
            </w:pPr>
            <w:r>
              <w:rPr>
                <w:rFonts w:eastAsia="Times New Roman"/>
                <w:sz w:val="20"/>
                <w:szCs w:val="20"/>
              </w:rPr>
              <w:t>3.40</w:t>
            </w:r>
          </w:p>
        </w:tc>
        <w:tc>
          <w:tcPr>
            <w:tcW w:w="50" w:type="pct"/>
            <w:shd w:val="clear" w:color="auto" w:fill="CCEEFF"/>
            <w:vAlign w:val="bottom"/>
            <w:hideMark/>
          </w:tcPr>
          <w:p w14:paraId="2E47F2E6" w14:textId="77777777" w:rsidR="00000000" w:rsidRDefault="00847163">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14:paraId="193E248B"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00CAAD0" w14:textId="77777777" w:rsidR="00000000" w:rsidRDefault="00847163">
            <w:pPr>
              <w:rPr>
                <w:rFonts w:eastAsia="Times New Roman"/>
                <w:sz w:val="20"/>
                <w:szCs w:val="20"/>
              </w:rPr>
            </w:pPr>
            <w:r>
              <w:rPr>
                <w:rFonts w:eastAsia="Times New Roman"/>
                <w:sz w:val="20"/>
                <w:szCs w:val="20"/>
              </w:rPr>
              <w:t> </w:t>
            </w:r>
          </w:p>
        </w:tc>
        <w:tc>
          <w:tcPr>
            <w:tcW w:w="250" w:type="pct"/>
            <w:shd w:val="clear" w:color="auto" w:fill="CCEEFF"/>
            <w:vAlign w:val="bottom"/>
            <w:hideMark/>
          </w:tcPr>
          <w:p w14:paraId="01019787" w14:textId="77777777" w:rsidR="00000000" w:rsidRDefault="00847163">
            <w:pPr>
              <w:jc w:val="right"/>
              <w:rPr>
                <w:rFonts w:eastAsia="Times New Roman"/>
                <w:sz w:val="20"/>
                <w:szCs w:val="20"/>
              </w:rPr>
            </w:pPr>
            <w:r>
              <w:rPr>
                <w:rFonts w:eastAsia="Times New Roman"/>
                <w:sz w:val="20"/>
                <w:szCs w:val="20"/>
              </w:rPr>
              <w:t>3.13</w:t>
            </w:r>
          </w:p>
        </w:tc>
        <w:tc>
          <w:tcPr>
            <w:tcW w:w="50" w:type="pct"/>
            <w:shd w:val="clear" w:color="auto" w:fill="CCEEFF"/>
            <w:vAlign w:val="bottom"/>
            <w:hideMark/>
          </w:tcPr>
          <w:p w14:paraId="351EBEBB" w14:textId="77777777" w:rsidR="00000000" w:rsidRDefault="00847163">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14:paraId="7787E543"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3733BFE" w14:textId="77777777" w:rsidR="00000000" w:rsidRDefault="00847163">
            <w:pPr>
              <w:rPr>
                <w:rFonts w:eastAsia="Times New Roman"/>
                <w:sz w:val="20"/>
                <w:szCs w:val="20"/>
              </w:rPr>
            </w:pPr>
            <w:r>
              <w:rPr>
                <w:rFonts w:eastAsia="Times New Roman"/>
                <w:sz w:val="20"/>
                <w:szCs w:val="20"/>
              </w:rPr>
              <w:t> </w:t>
            </w:r>
          </w:p>
        </w:tc>
        <w:tc>
          <w:tcPr>
            <w:tcW w:w="250" w:type="pct"/>
            <w:shd w:val="clear" w:color="auto" w:fill="CCEEFF"/>
            <w:vAlign w:val="bottom"/>
            <w:hideMark/>
          </w:tcPr>
          <w:p w14:paraId="66D15477" w14:textId="77777777" w:rsidR="00000000" w:rsidRDefault="00847163">
            <w:pPr>
              <w:jc w:val="right"/>
              <w:rPr>
                <w:rFonts w:eastAsia="Times New Roman"/>
                <w:sz w:val="20"/>
                <w:szCs w:val="20"/>
              </w:rPr>
            </w:pPr>
            <w:r>
              <w:rPr>
                <w:rFonts w:eastAsia="Times New Roman"/>
                <w:sz w:val="20"/>
                <w:szCs w:val="20"/>
              </w:rPr>
              <w:t>2.70</w:t>
            </w:r>
          </w:p>
        </w:tc>
        <w:tc>
          <w:tcPr>
            <w:tcW w:w="50" w:type="pct"/>
            <w:shd w:val="clear" w:color="auto" w:fill="CCEEFF"/>
            <w:vAlign w:val="bottom"/>
            <w:hideMark/>
          </w:tcPr>
          <w:p w14:paraId="07A2473B" w14:textId="77777777" w:rsidR="00000000" w:rsidRDefault="00847163">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14:paraId="7793486B"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84E3498" w14:textId="77777777" w:rsidR="00000000" w:rsidRDefault="00847163">
            <w:pPr>
              <w:rPr>
                <w:rFonts w:eastAsia="Times New Roman"/>
                <w:sz w:val="20"/>
                <w:szCs w:val="20"/>
              </w:rPr>
            </w:pPr>
            <w:r>
              <w:rPr>
                <w:rFonts w:eastAsia="Times New Roman"/>
                <w:sz w:val="20"/>
                <w:szCs w:val="20"/>
              </w:rPr>
              <w:t> </w:t>
            </w:r>
          </w:p>
        </w:tc>
        <w:tc>
          <w:tcPr>
            <w:tcW w:w="250" w:type="pct"/>
            <w:shd w:val="clear" w:color="auto" w:fill="CCEEFF"/>
            <w:vAlign w:val="bottom"/>
            <w:hideMark/>
          </w:tcPr>
          <w:p w14:paraId="1B4491A6" w14:textId="77777777" w:rsidR="00000000" w:rsidRDefault="00847163">
            <w:pPr>
              <w:jc w:val="right"/>
              <w:rPr>
                <w:rFonts w:eastAsia="Times New Roman"/>
                <w:sz w:val="20"/>
                <w:szCs w:val="20"/>
              </w:rPr>
            </w:pPr>
            <w:r>
              <w:rPr>
                <w:rFonts w:eastAsia="Times New Roman"/>
                <w:sz w:val="20"/>
                <w:szCs w:val="20"/>
              </w:rPr>
              <w:t>3.73</w:t>
            </w:r>
          </w:p>
        </w:tc>
        <w:tc>
          <w:tcPr>
            <w:tcW w:w="50" w:type="pct"/>
            <w:shd w:val="clear" w:color="auto" w:fill="CCEEFF"/>
            <w:vAlign w:val="bottom"/>
            <w:hideMark/>
          </w:tcPr>
          <w:p w14:paraId="30944C65" w14:textId="77777777" w:rsidR="00000000" w:rsidRDefault="00847163">
            <w:pPr>
              <w:pStyle w:val="a3"/>
              <w:spacing w:before="0" w:beforeAutospacing="0" w:after="0" w:afterAutospacing="0"/>
              <w:jc w:val="right"/>
              <w:rPr>
                <w:sz w:val="20"/>
                <w:szCs w:val="20"/>
              </w:rPr>
            </w:pPr>
            <w:r>
              <w:rPr>
                <w:sz w:val="20"/>
                <w:szCs w:val="20"/>
              </w:rPr>
              <w:t>%</w:t>
            </w:r>
          </w:p>
        </w:tc>
        <w:tc>
          <w:tcPr>
            <w:tcW w:w="50" w:type="pct"/>
            <w:shd w:val="clear" w:color="auto" w:fill="CCEEFF"/>
            <w:vAlign w:val="bottom"/>
            <w:hideMark/>
          </w:tcPr>
          <w:p w14:paraId="44439648"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FE92EF5" w14:textId="77777777" w:rsidR="00000000" w:rsidRDefault="00847163">
            <w:pPr>
              <w:rPr>
                <w:rFonts w:eastAsia="Times New Roman"/>
                <w:sz w:val="20"/>
                <w:szCs w:val="20"/>
              </w:rPr>
            </w:pPr>
            <w:r>
              <w:rPr>
                <w:rFonts w:eastAsia="Times New Roman"/>
                <w:sz w:val="20"/>
                <w:szCs w:val="20"/>
              </w:rPr>
              <w:t> </w:t>
            </w:r>
          </w:p>
        </w:tc>
        <w:tc>
          <w:tcPr>
            <w:tcW w:w="250" w:type="pct"/>
            <w:shd w:val="clear" w:color="auto" w:fill="CCEEFF"/>
            <w:vAlign w:val="bottom"/>
            <w:hideMark/>
          </w:tcPr>
          <w:p w14:paraId="5FBB4EEF" w14:textId="77777777" w:rsidR="00000000" w:rsidRDefault="00847163">
            <w:pPr>
              <w:jc w:val="right"/>
              <w:rPr>
                <w:rFonts w:eastAsia="Times New Roman"/>
                <w:sz w:val="20"/>
                <w:szCs w:val="20"/>
              </w:rPr>
            </w:pPr>
            <w:r>
              <w:rPr>
                <w:rFonts w:eastAsia="Times New Roman"/>
                <w:sz w:val="20"/>
                <w:szCs w:val="20"/>
              </w:rPr>
              <w:t>3.50</w:t>
            </w:r>
          </w:p>
        </w:tc>
        <w:tc>
          <w:tcPr>
            <w:tcW w:w="50" w:type="pct"/>
            <w:shd w:val="clear" w:color="auto" w:fill="CCEEFF"/>
            <w:vAlign w:val="bottom"/>
            <w:hideMark/>
          </w:tcPr>
          <w:p w14:paraId="2FD01040" w14:textId="77777777" w:rsidR="00000000" w:rsidRDefault="00847163">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14:paraId="5C0C3087"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AAE9D9B" w14:textId="77777777" w:rsidR="00000000" w:rsidRDefault="0084716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77E13918" w14:textId="77777777" w:rsidR="00000000" w:rsidRDefault="00847163">
            <w:pPr>
              <w:jc w:val="right"/>
              <w:rPr>
                <w:rFonts w:eastAsia="Times New Roman"/>
                <w:sz w:val="20"/>
                <w:szCs w:val="20"/>
              </w:rPr>
            </w:pPr>
            <w:r>
              <w:rPr>
                <w:rFonts w:eastAsia="Times New Roman"/>
                <w:sz w:val="20"/>
                <w:szCs w:val="20"/>
              </w:rPr>
              <w:t> </w:t>
            </w:r>
          </w:p>
        </w:tc>
        <w:tc>
          <w:tcPr>
            <w:tcW w:w="50" w:type="pct"/>
            <w:shd w:val="clear" w:color="auto" w:fill="CCEEFF"/>
            <w:vAlign w:val="bottom"/>
            <w:hideMark/>
          </w:tcPr>
          <w:p w14:paraId="16583C3E" w14:textId="77777777" w:rsidR="00000000" w:rsidRDefault="00847163">
            <w:pPr>
              <w:rPr>
                <w:rFonts w:eastAsia="Times New Roman"/>
                <w:sz w:val="20"/>
                <w:szCs w:val="20"/>
              </w:rPr>
            </w:pPr>
            <w:r>
              <w:rPr>
                <w:rFonts w:eastAsia="Times New Roman"/>
                <w:sz w:val="20"/>
                <w:szCs w:val="20"/>
              </w:rPr>
              <w:t> </w:t>
            </w:r>
          </w:p>
        </w:tc>
      </w:tr>
      <w:tr w:rsidR="00847163" w14:paraId="2D476678" w14:textId="77777777">
        <w:trPr>
          <w:tblCellSpacing w:w="0" w:type="dxa"/>
        </w:trPr>
        <w:tc>
          <w:tcPr>
            <w:tcW w:w="1750" w:type="pct"/>
            <w:shd w:val="clear" w:color="auto" w:fill="FFFFFF"/>
            <w:vAlign w:val="bottom"/>
            <w:hideMark/>
          </w:tcPr>
          <w:p w14:paraId="28DE38D9"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0379B3F"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04BA57E" w14:textId="77777777" w:rsidR="00000000" w:rsidRDefault="00847163">
            <w:pPr>
              <w:rPr>
                <w:rFonts w:eastAsia="Times New Roman"/>
                <w:sz w:val="20"/>
                <w:szCs w:val="20"/>
              </w:rPr>
            </w:pPr>
            <w:r>
              <w:rPr>
                <w:rFonts w:eastAsia="Times New Roman"/>
                <w:sz w:val="20"/>
                <w:szCs w:val="20"/>
              </w:rPr>
              <w:t> </w:t>
            </w:r>
          </w:p>
        </w:tc>
        <w:tc>
          <w:tcPr>
            <w:tcW w:w="250" w:type="pct"/>
            <w:shd w:val="clear" w:color="auto" w:fill="FFFFFF"/>
            <w:vAlign w:val="bottom"/>
            <w:hideMark/>
          </w:tcPr>
          <w:p w14:paraId="111891F1"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6A382BE"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9DBBC10"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DCABA8E" w14:textId="77777777" w:rsidR="00000000" w:rsidRDefault="00847163">
            <w:pPr>
              <w:rPr>
                <w:rFonts w:eastAsia="Times New Roman"/>
                <w:sz w:val="20"/>
                <w:szCs w:val="20"/>
              </w:rPr>
            </w:pPr>
            <w:r>
              <w:rPr>
                <w:rFonts w:eastAsia="Times New Roman"/>
                <w:sz w:val="20"/>
                <w:szCs w:val="20"/>
              </w:rPr>
              <w:t> </w:t>
            </w:r>
          </w:p>
        </w:tc>
        <w:tc>
          <w:tcPr>
            <w:tcW w:w="250" w:type="pct"/>
            <w:shd w:val="clear" w:color="auto" w:fill="FFFFFF"/>
            <w:vAlign w:val="bottom"/>
            <w:hideMark/>
          </w:tcPr>
          <w:p w14:paraId="6563C674"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FC14D7F"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5C6D68D"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821E21F" w14:textId="77777777" w:rsidR="00000000" w:rsidRDefault="00847163">
            <w:pPr>
              <w:rPr>
                <w:rFonts w:eastAsia="Times New Roman"/>
                <w:sz w:val="20"/>
                <w:szCs w:val="20"/>
              </w:rPr>
            </w:pPr>
            <w:r>
              <w:rPr>
                <w:rFonts w:eastAsia="Times New Roman"/>
                <w:sz w:val="20"/>
                <w:szCs w:val="20"/>
              </w:rPr>
              <w:t> </w:t>
            </w:r>
          </w:p>
        </w:tc>
        <w:tc>
          <w:tcPr>
            <w:tcW w:w="250" w:type="pct"/>
            <w:shd w:val="clear" w:color="auto" w:fill="FFFFFF"/>
            <w:vAlign w:val="bottom"/>
            <w:hideMark/>
          </w:tcPr>
          <w:p w14:paraId="76ECA5B0"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F9D3663"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D3C7211"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2F0EAFE" w14:textId="77777777" w:rsidR="00000000" w:rsidRDefault="00847163">
            <w:pPr>
              <w:rPr>
                <w:rFonts w:eastAsia="Times New Roman"/>
                <w:sz w:val="20"/>
                <w:szCs w:val="20"/>
              </w:rPr>
            </w:pPr>
            <w:r>
              <w:rPr>
                <w:rFonts w:eastAsia="Times New Roman"/>
                <w:sz w:val="20"/>
                <w:szCs w:val="20"/>
              </w:rPr>
              <w:t> </w:t>
            </w:r>
          </w:p>
        </w:tc>
        <w:tc>
          <w:tcPr>
            <w:tcW w:w="250" w:type="pct"/>
            <w:shd w:val="clear" w:color="auto" w:fill="FFFFFF"/>
            <w:vAlign w:val="bottom"/>
            <w:hideMark/>
          </w:tcPr>
          <w:p w14:paraId="3F73CCA5"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87E9C86"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C479E91"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29AEB01" w14:textId="77777777" w:rsidR="00000000" w:rsidRDefault="00847163">
            <w:pPr>
              <w:rPr>
                <w:rFonts w:eastAsia="Times New Roman"/>
                <w:sz w:val="20"/>
                <w:szCs w:val="20"/>
              </w:rPr>
            </w:pPr>
            <w:r>
              <w:rPr>
                <w:rFonts w:eastAsia="Times New Roman"/>
                <w:sz w:val="20"/>
                <w:szCs w:val="20"/>
              </w:rPr>
              <w:t> </w:t>
            </w:r>
          </w:p>
        </w:tc>
        <w:tc>
          <w:tcPr>
            <w:tcW w:w="250" w:type="pct"/>
            <w:shd w:val="clear" w:color="auto" w:fill="FFFFFF"/>
            <w:vAlign w:val="bottom"/>
            <w:hideMark/>
          </w:tcPr>
          <w:p w14:paraId="7C366664"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E031326"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702665A"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21D8AD2" w14:textId="77777777" w:rsidR="00000000" w:rsidRDefault="00847163">
            <w:pPr>
              <w:rPr>
                <w:rFonts w:eastAsia="Times New Roman"/>
                <w:sz w:val="20"/>
                <w:szCs w:val="20"/>
              </w:rPr>
            </w:pPr>
            <w:r>
              <w:rPr>
                <w:rFonts w:eastAsia="Times New Roman"/>
                <w:sz w:val="20"/>
                <w:szCs w:val="20"/>
              </w:rPr>
              <w:t> </w:t>
            </w:r>
          </w:p>
        </w:tc>
        <w:tc>
          <w:tcPr>
            <w:tcW w:w="250" w:type="pct"/>
            <w:shd w:val="clear" w:color="auto" w:fill="FFFFFF"/>
            <w:vAlign w:val="bottom"/>
            <w:hideMark/>
          </w:tcPr>
          <w:p w14:paraId="22638B5C"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FE5FF91"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58A51E4"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6746719" w14:textId="77777777" w:rsidR="00000000" w:rsidRDefault="00847163">
            <w:pPr>
              <w:rPr>
                <w:rFonts w:eastAsia="Times New Roman"/>
                <w:sz w:val="20"/>
                <w:szCs w:val="20"/>
              </w:rPr>
            </w:pPr>
            <w:r>
              <w:rPr>
                <w:rFonts w:eastAsia="Times New Roman"/>
                <w:sz w:val="20"/>
                <w:szCs w:val="20"/>
              </w:rPr>
              <w:t> </w:t>
            </w:r>
          </w:p>
        </w:tc>
        <w:tc>
          <w:tcPr>
            <w:tcW w:w="250" w:type="pct"/>
            <w:shd w:val="clear" w:color="auto" w:fill="FFFFFF"/>
            <w:vAlign w:val="bottom"/>
            <w:hideMark/>
          </w:tcPr>
          <w:p w14:paraId="6AA43107"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7F9B8A1"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22CBF3A"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9B0B32B" w14:textId="77777777" w:rsidR="00000000" w:rsidRDefault="0084716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5AD63AB5"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7972A87" w14:textId="77777777" w:rsidR="00000000" w:rsidRDefault="00847163">
            <w:pPr>
              <w:rPr>
                <w:rFonts w:eastAsia="Times New Roman"/>
                <w:sz w:val="20"/>
                <w:szCs w:val="20"/>
              </w:rPr>
            </w:pPr>
            <w:r>
              <w:rPr>
                <w:rFonts w:eastAsia="Times New Roman"/>
                <w:sz w:val="20"/>
                <w:szCs w:val="20"/>
              </w:rPr>
              <w:t> </w:t>
            </w:r>
          </w:p>
        </w:tc>
      </w:tr>
      <w:tr w:rsidR="00847163" w14:paraId="7E1BE02B" w14:textId="77777777">
        <w:trPr>
          <w:tblCellSpacing w:w="0" w:type="dxa"/>
        </w:trPr>
        <w:tc>
          <w:tcPr>
            <w:tcW w:w="1750" w:type="pct"/>
            <w:shd w:val="clear" w:color="auto" w:fill="CCEEFF"/>
            <w:vAlign w:val="bottom"/>
            <w:hideMark/>
          </w:tcPr>
          <w:p w14:paraId="2732D2E0" w14:textId="77777777" w:rsidR="00000000" w:rsidRDefault="00847163">
            <w:pPr>
              <w:pStyle w:val="a3"/>
              <w:spacing w:before="0" w:beforeAutospacing="0" w:after="0" w:afterAutospacing="0"/>
              <w:rPr>
                <w:sz w:val="20"/>
                <w:szCs w:val="20"/>
              </w:rPr>
            </w:pPr>
            <w:r>
              <w:rPr>
                <w:sz w:val="20"/>
                <w:szCs w:val="20"/>
              </w:rPr>
              <w:t>Floating Rate</w:t>
            </w:r>
          </w:p>
        </w:tc>
        <w:tc>
          <w:tcPr>
            <w:tcW w:w="50" w:type="pct"/>
            <w:shd w:val="clear" w:color="auto" w:fill="CCEEFF"/>
            <w:vAlign w:val="bottom"/>
            <w:hideMark/>
          </w:tcPr>
          <w:p w14:paraId="63D0A793"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6B9A830" w14:textId="77777777" w:rsidR="00000000" w:rsidRDefault="00847163">
            <w:pPr>
              <w:rPr>
                <w:rFonts w:eastAsia="Times New Roman"/>
                <w:sz w:val="20"/>
                <w:szCs w:val="20"/>
              </w:rPr>
            </w:pPr>
            <w:r>
              <w:rPr>
                <w:rFonts w:eastAsia="Times New Roman"/>
                <w:sz w:val="20"/>
                <w:szCs w:val="20"/>
              </w:rPr>
              <w:t>$</w:t>
            </w:r>
          </w:p>
        </w:tc>
        <w:tc>
          <w:tcPr>
            <w:tcW w:w="250" w:type="pct"/>
            <w:shd w:val="clear" w:color="auto" w:fill="CCEEFF"/>
            <w:vAlign w:val="bottom"/>
            <w:hideMark/>
          </w:tcPr>
          <w:p w14:paraId="2B7627F5" w14:textId="77777777" w:rsidR="00000000" w:rsidRDefault="0084716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6EE7B8C5"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AA84471"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4568C07" w14:textId="77777777" w:rsidR="00000000" w:rsidRDefault="00847163">
            <w:pPr>
              <w:rPr>
                <w:rFonts w:eastAsia="Times New Roman"/>
                <w:sz w:val="20"/>
                <w:szCs w:val="20"/>
              </w:rPr>
            </w:pPr>
            <w:r>
              <w:rPr>
                <w:rFonts w:eastAsia="Times New Roman"/>
                <w:sz w:val="20"/>
                <w:szCs w:val="20"/>
              </w:rPr>
              <w:t>$</w:t>
            </w:r>
          </w:p>
        </w:tc>
        <w:tc>
          <w:tcPr>
            <w:tcW w:w="250" w:type="pct"/>
            <w:shd w:val="clear" w:color="auto" w:fill="CCEEFF"/>
            <w:vAlign w:val="bottom"/>
            <w:hideMark/>
          </w:tcPr>
          <w:p w14:paraId="7746AE60" w14:textId="77777777" w:rsidR="00000000" w:rsidRDefault="0084716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6D9C7DCD"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7931517"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09CD152" w14:textId="77777777" w:rsidR="00000000" w:rsidRDefault="00847163">
            <w:pPr>
              <w:rPr>
                <w:rFonts w:eastAsia="Times New Roman"/>
                <w:sz w:val="20"/>
                <w:szCs w:val="20"/>
              </w:rPr>
            </w:pPr>
            <w:r>
              <w:rPr>
                <w:rFonts w:eastAsia="Times New Roman"/>
                <w:sz w:val="20"/>
                <w:szCs w:val="20"/>
              </w:rPr>
              <w:t>$</w:t>
            </w:r>
          </w:p>
        </w:tc>
        <w:tc>
          <w:tcPr>
            <w:tcW w:w="250" w:type="pct"/>
            <w:shd w:val="clear" w:color="auto" w:fill="CCEEFF"/>
            <w:vAlign w:val="bottom"/>
            <w:hideMark/>
          </w:tcPr>
          <w:p w14:paraId="2B1718F2" w14:textId="77777777" w:rsidR="00000000" w:rsidRDefault="0084716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3024D3CE"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FDE6227"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1681D40" w14:textId="77777777" w:rsidR="00000000" w:rsidRDefault="00847163">
            <w:pPr>
              <w:rPr>
                <w:rFonts w:eastAsia="Times New Roman"/>
                <w:sz w:val="20"/>
                <w:szCs w:val="20"/>
              </w:rPr>
            </w:pPr>
            <w:r>
              <w:rPr>
                <w:rFonts w:eastAsia="Times New Roman"/>
                <w:sz w:val="20"/>
                <w:szCs w:val="20"/>
              </w:rPr>
              <w:t>$</w:t>
            </w:r>
          </w:p>
        </w:tc>
        <w:tc>
          <w:tcPr>
            <w:tcW w:w="250" w:type="pct"/>
            <w:shd w:val="clear" w:color="auto" w:fill="CCEEFF"/>
            <w:vAlign w:val="bottom"/>
            <w:hideMark/>
          </w:tcPr>
          <w:p w14:paraId="72370B18" w14:textId="77777777" w:rsidR="00000000" w:rsidRDefault="0084716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44B198AC"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C3AC92F"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64513F3" w14:textId="77777777" w:rsidR="00000000" w:rsidRDefault="00847163">
            <w:pPr>
              <w:rPr>
                <w:rFonts w:eastAsia="Times New Roman"/>
                <w:sz w:val="20"/>
                <w:szCs w:val="20"/>
              </w:rPr>
            </w:pPr>
            <w:r>
              <w:rPr>
                <w:rFonts w:eastAsia="Times New Roman"/>
                <w:sz w:val="20"/>
                <w:szCs w:val="20"/>
              </w:rPr>
              <w:t>$</w:t>
            </w:r>
          </w:p>
        </w:tc>
        <w:tc>
          <w:tcPr>
            <w:tcW w:w="250" w:type="pct"/>
            <w:shd w:val="clear" w:color="auto" w:fill="CCEEFF"/>
            <w:vAlign w:val="bottom"/>
            <w:hideMark/>
          </w:tcPr>
          <w:p w14:paraId="431B1F21" w14:textId="77777777" w:rsidR="00000000" w:rsidRDefault="00847163">
            <w:pPr>
              <w:jc w:val="right"/>
              <w:rPr>
                <w:rFonts w:eastAsia="Times New Roman"/>
                <w:sz w:val="20"/>
                <w:szCs w:val="20"/>
              </w:rPr>
            </w:pPr>
            <w:r>
              <w:rPr>
                <w:rFonts w:eastAsia="Times New Roman"/>
                <w:sz w:val="20"/>
                <w:szCs w:val="20"/>
              </w:rPr>
              <w:t>668.2</w:t>
            </w:r>
          </w:p>
        </w:tc>
        <w:tc>
          <w:tcPr>
            <w:tcW w:w="50" w:type="pct"/>
            <w:shd w:val="clear" w:color="auto" w:fill="CCEEFF"/>
            <w:vAlign w:val="bottom"/>
            <w:hideMark/>
          </w:tcPr>
          <w:p w14:paraId="02860444"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A5E5EEC"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16C62BF" w14:textId="77777777" w:rsidR="00000000" w:rsidRDefault="00847163">
            <w:pPr>
              <w:rPr>
                <w:rFonts w:eastAsia="Times New Roman"/>
                <w:sz w:val="20"/>
                <w:szCs w:val="20"/>
              </w:rPr>
            </w:pPr>
            <w:r>
              <w:rPr>
                <w:rFonts w:eastAsia="Times New Roman"/>
                <w:sz w:val="20"/>
                <w:szCs w:val="20"/>
              </w:rPr>
              <w:t>$</w:t>
            </w:r>
          </w:p>
        </w:tc>
        <w:tc>
          <w:tcPr>
            <w:tcW w:w="250" w:type="pct"/>
            <w:shd w:val="clear" w:color="auto" w:fill="CCEEFF"/>
            <w:vAlign w:val="bottom"/>
            <w:hideMark/>
          </w:tcPr>
          <w:p w14:paraId="76151027" w14:textId="77777777" w:rsidR="00000000" w:rsidRDefault="0084716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21198F0C"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C9181F8"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533F34B" w14:textId="77777777" w:rsidR="00000000" w:rsidRDefault="00847163">
            <w:pPr>
              <w:rPr>
                <w:rFonts w:eastAsia="Times New Roman"/>
                <w:sz w:val="20"/>
                <w:szCs w:val="20"/>
              </w:rPr>
            </w:pPr>
            <w:r>
              <w:rPr>
                <w:rFonts w:eastAsia="Times New Roman"/>
                <w:sz w:val="20"/>
                <w:szCs w:val="20"/>
              </w:rPr>
              <w:t>$</w:t>
            </w:r>
          </w:p>
        </w:tc>
        <w:tc>
          <w:tcPr>
            <w:tcW w:w="250" w:type="pct"/>
            <w:shd w:val="clear" w:color="auto" w:fill="CCEEFF"/>
            <w:vAlign w:val="bottom"/>
            <w:hideMark/>
          </w:tcPr>
          <w:p w14:paraId="550942CF" w14:textId="77777777" w:rsidR="00000000" w:rsidRDefault="00847163">
            <w:pPr>
              <w:jc w:val="right"/>
              <w:rPr>
                <w:rFonts w:eastAsia="Times New Roman"/>
                <w:sz w:val="20"/>
                <w:szCs w:val="20"/>
              </w:rPr>
            </w:pPr>
            <w:r>
              <w:rPr>
                <w:rFonts w:eastAsia="Times New Roman"/>
                <w:sz w:val="20"/>
                <w:szCs w:val="20"/>
              </w:rPr>
              <w:t>668.2</w:t>
            </w:r>
          </w:p>
        </w:tc>
        <w:tc>
          <w:tcPr>
            <w:tcW w:w="50" w:type="pct"/>
            <w:shd w:val="clear" w:color="auto" w:fill="CCEEFF"/>
            <w:vAlign w:val="bottom"/>
            <w:hideMark/>
          </w:tcPr>
          <w:p w14:paraId="5F54F2BD"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8F119F2"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47D3839" w14:textId="77777777" w:rsidR="00000000" w:rsidRDefault="00847163">
            <w:pPr>
              <w:rPr>
                <w:rFonts w:eastAsia="Times New Roman"/>
                <w:sz w:val="20"/>
                <w:szCs w:val="20"/>
              </w:rPr>
            </w:pPr>
            <w:r>
              <w:rPr>
                <w:rFonts w:eastAsia="Times New Roman"/>
                <w:sz w:val="20"/>
                <w:szCs w:val="20"/>
              </w:rPr>
              <w:t>$</w:t>
            </w:r>
          </w:p>
        </w:tc>
        <w:tc>
          <w:tcPr>
            <w:tcW w:w="300" w:type="pct"/>
            <w:shd w:val="clear" w:color="auto" w:fill="CCEEFF"/>
            <w:vAlign w:val="bottom"/>
            <w:hideMark/>
          </w:tcPr>
          <w:p w14:paraId="42E2BE58" w14:textId="77777777" w:rsidR="00000000" w:rsidRDefault="00847163">
            <w:pPr>
              <w:jc w:val="right"/>
              <w:rPr>
                <w:rFonts w:eastAsia="Times New Roman"/>
                <w:sz w:val="20"/>
                <w:szCs w:val="20"/>
              </w:rPr>
            </w:pPr>
            <w:r>
              <w:rPr>
                <w:rFonts w:eastAsia="Times New Roman"/>
                <w:sz w:val="20"/>
                <w:szCs w:val="20"/>
              </w:rPr>
              <w:t>625.4</w:t>
            </w:r>
          </w:p>
        </w:tc>
        <w:tc>
          <w:tcPr>
            <w:tcW w:w="50" w:type="pct"/>
            <w:shd w:val="clear" w:color="auto" w:fill="CCEEFF"/>
            <w:vAlign w:val="bottom"/>
            <w:hideMark/>
          </w:tcPr>
          <w:p w14:paraId="0FAD156E" w14:textId="77777777" w:rsidR="00000000" w:rsidRDefault="00847163">
            <w:pPr>
              <w:rPr>
                <w:rFonts w:eastAsia="Times New Roman"/>
                <w:sz w:val="20"/>
                <w:szCs w:val="20"/>
              </w:rPr>
            </w:pPr>
            <w:r>
              <w:rPr>
                <w:rFonts w:eastAsia="Times New Roman"/>
                <w:sz w:val="20"/>
                <w:szCs w:val="20"/>
              </w:rPr>
              <w:t> </w:t>
            </w:r>
          </w:p>
        </w:tc>
      </w:tr>
      <w:tr w:rsidR="00847163" w14:paraId="093993AA" w14:textId="77777777">
        <w:trPr>
          <w:tblCellSpacing w:w="0" w:type="dxa"/>
        </w:trPr>
        <w:tc>
          <w:tcPr>
            <w:tcW w:w="1750" w:type="pct"/>
            <w:shd w:val="clear" w:color="auto" w:fill="FFFFFF"/>
            <w:vAlign w:val="bottom"/>
            <w:hideMark/>
          </w:tcPr>
          <w:p w14:paraId="0E73CF34" w14:textId="77777777" w:rsidR="00000000" w:rsidRDefault="00847163">
            <w:pPr>
              <w:pStyle w:val="a3"/>
              <w:spacing w:before="0" w:beforeAutospacing="0" w:after="0" w:afterAutospacing="0"/>
              <w:rPr>
                <w:sz w:val="20"/>
                <w:szCs w:val="20"/>
              </w:rPr>
            </w:pPr>
            <w:r>
              <w:rPr>
                <w:sz w:val="20"/>
                <w:szCs w:val="20"/>
              </w:rPr>
              <w:t>Average Interest Rate</w:t>
            </w:r>
          </w:p>
        </w:tc>
        <w:tc>
          <w:tcPr>
            <w:tcW w:w="50" w:type="pct"/>
            <w:shd w:val="clear" w:color="auto" w:fill="FFFFFF"/>
            <w:vAlign w:val="bottom"/>
            <w:hideMark/>
          </w:tcPr>
          <w:p w14:paraId="0BE0C1DB"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879985E" w14:textId="77777777" w:rsidR="00000000" w:rsidRDefault="00847163">
            <w:pPr>
              <w:rPr>
                <w:rFonts w:eastAsia="Times New Roman"/>
                <w:sz w:val="20"/>
                <w:szCs w:val="20"/>
              </w:rPr>
            </w:pPr>
            <w:r>
              <w:rPr>
                <w:rFonts w:eastAsia="Times New Roman"/>
                <w:sz w:val="20"/>
                <w:szCs w:val="20"/>
              </w:rPr>
              <w:t> </w:t>
            </w:r>
          </w:p>
        </w:tc>
        <w:tc>
          <w:tcPr>
            <w:tcW w:w="250" w:type="pct"/>
            <w:shd w:val="clear" w:color="auto" w:fill="FFFFFF"/>
            <w:vAlign w:val="bottom"/>
            <w:hideMark/>
          </w:tcPr>
          <w:p w14:paraId="7BD7359F" w14:textId="77777777" w:rsidR="00000000" w:rsidRDefault="00847163">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0A310F0C"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71B039F"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266B073" w14:textId="77777777" w:rsidR="00000000" w:rsidRDefault="00847163">
            <w:pPr>
              <w:rPr>
                <w:rFonts w:eastAsia="Times New Roman"/>
                <w:sz w:val="20"/>
                <w:szCs w:val="20"/>
              </w:rPr>
            </w:pPr>
            <w:r>
              <w:rPr>
                <w:rFonts w:eastAsia="Times New Roman"/>
                <w:sz w:val="20"/>
                <w:szCs w:val="20"/>
              </w:rPr>
              <w:t> </w:t>
            </w:r>
          </w:p>
        </w:tc>
        <w:tc>
          <w:tcPr>
            <w:tcW w:w="250" w:type="pct"/>
            <w:shd w:val="clear" w:color="auto" w:fill="FFFFFF"/>
            <w:vAlign w:val="bottom"/>
            <w:hideMark/>
          </w:tcPr>
          <w:p w14:paraId="388BDC68" w14:textId="77777777" w:rsidR="00000000" w:rsidRDefault="00847163">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68935733"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7853310"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C04F076" w14:textId="77777777" w:rsidR="00000000" w:rsidRDefault="00847163">
            <w:pPr>
              <w:rPr>
                <w:rFonts w:eastAsia="Times New Roman"/>
                <w:sz w:val="20"/>
                <w:szCs w:val="20"/>
              </w:rPr>
            </w:pPr>
            <w:r>
              <w:rPr>
                <w:rFonts w:eastAsia="Times New Roman"/>
                <w:sz w:val="20"/>
                <w:szCs w:val="20"/>
              </w:rPr>
              <w:t> </w:t>
            </w:r>
          </w:p>
        </w:tc>
        <w:tc>
          <w:tcPr>
            <w:tcW w:w="250" w:type="pct"/>
            <w:shd w:val="clear" w:color="auto" w:fill="FFFFFF"/>
            <w:vAlign w:val="bottom"/>
            <w:hideMark/>
          </w:tcPr>
          <w:p w14:paraId="7489BE3F" w14:textId="77777777" w:rsidR="00000000" w:rsidRDefault="00847163">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63547FDB"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BB9CFE6"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2696E23" w14:textId="77777777" w:rsidR="00000000" w:rsidRDefault="00847163">
            <w:pPr>
              <w:rPr>
                <w:rFonts w:eastAsia="Times New Roman"/>
                <w:sz w:val="20"/>
                <w:szCs w:val="20"/>
              </w:rPr>
            </w:pPr>
            <w:r>
              <w:rPr>
                <w:rFonts w:eastAsia="Times New Roman"/>
                <w:sz w:val="20"/>
                <w:szCs w:val="20"/>
              </w:rPr>
              <w:t> </w:t>
            </w:r>
          </w:p>
        </w:tc>
        <w:tc>
          <w:tcPr>
            <w:tcW w:w="250" w:type="pct"/>
            <w:shd w:val="clear" w:color="auto" w:fill="FFFFFF"/>
            <w:vAlign w:val="bottom"/>
            <w:hideMark/>
          </w:tcPr>
          <w:p w14:paraId="01B32EC7" w14:textId="77777777" w:rsidR="00000000" w:rsidRDefault="00847163">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521637A6"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961AD5B"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3444290" w14:textId="77777777" w:rsidR="00000000" w:rsidRDefault="00847163">
            <w:pPr>
              <w:rPr>
                <w:rFonts w:eastAsia="Times New Roman"/>
                <w:sz w:val="20"/>
                <w:szCs w:val="20"/>
              </w:rPr>
            </w:pPr>
            <w:r>
              <w:rPr>
                <w:rFonts w:eastAsia="Times New Roman"/>
                <w:sz w:val="20"/>
                <w:szCs w:val="20"/>
              </w:rPr>
              <w:t> </w:t>
            </w:r>
          </w:p>
        </w:tc>
        <w:tc>
          <w:tcPr>
            <w:tcW w:w="250" w:type="pct"/>
            <w:shd w:val="clear" w:color="auto" w:fill="FFFFFF"/>
            <w:vAlign w:val="bottom"/>
            <w:hideMark/>
          </w:tcPr>
          <w:p w14:paraId="1CBA8B98" w14:textId="77777777" w:rsidR="00000000" w:rsidRDefault="00847163">
            <w:pPr>
              <w:jc w:val="right"/>
              <w:rPr>
                <w:rFonts w:eastAsia="Times New Roman"/>
                <w:sz w:val="20"/>
                <w:szCs w:val="20"/>
              </w:rPr>
            </w:pPr>
            <w:r>
              <w:rPr>
                <w:rFonts w:eastAsia="Times New Roman"/>
                <w:sz w:val="20"/>
                <w:szCs w:val="20"/>
              </w:rPr>
              <w:t>1.76</w:t>
            </w:r>
          </w:p>
        </w:tc>
        <w:tc>
          <w:tcPr>
            <w:tcW w:w="50" w:type="pct"/>
            <w:shd w:val="clear" w:color="auto" w:fill="FFFFFF"/>
            <w:vAlign w:val="bottom"/>
            <w:hideMark/>
          </w:tcPr>
          <w:p w14:paraId="3B8A14AB" w14:textId="77777777" w:rsidR="00000000" w:rsidRDefault="00847163">
            <w:pPr>
              <w:pStyle w:val="a3"/>
              <w:spacing w:before="0" w:beforeAutospacing="0" w:after="0" w:afterAutospacing="0"/>
              <w:rPr>
                <w:sz w:val="20"/>
                <w:szCs w:val="20"/>
              </w:rPr>
            </w:pPr>
            <w:r>
              <w:rPr>
                <w:sz w:val="20"/>
                <w:szCs w:val="20"/>
              </w:rPr>
              <w:t>%</w:t>
            </w:r>
          </w:p>
        </w:tc>
        <w:tc>
          <w:tcPr>
            <w:tcW w:w="50" w:type="pct"/>
            <w:shd w:val="clear" w:color="auto" w:fill="FFFFFF"/>
            <w:vAlign w:val="bottom"/>
            <w:hideMark/>
          </w:tcPr>
          <w:p w14:paraId="3B47C4C7"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B54EC45" w14:textId="77777777" w:rsidR="00000000" w:rsidRDefault="00847163">
            <w:pPr>
              <w:rPr>
                <w:rFonts w:eastAsia="Times New Roman"/>
                <w:sz w:val="20"/>
                <w:szCs w:val="20"/>
              </w:rPr>
            </w:pPr>
            <w:r>
              <w:rPr>
                <w:rFonts w:eastAsia="Times New Roman"/>
                <w:sz w:val="20"/>
                <w:szCs w:val="20"/>
              </w:rPr>
              <w:t> </w:t>
            </w:r>
          </w:p>
        </w:tc>
        <w:tc>
          <w:tcPr>
            <w:tcW w:w="250" w:type="pct"/>
            <w:shd w:val="clear" w:color="auto" w:fill="FFFFFF"/>
            <w:vAlign w:val="bottom"/>
            <w:hideMark/>
          </w:tcPr>
          <w:p w14:paraId="13F8F513" w14:textId="77777777" w:rsidR="00000000" w:rsidRDefault="00847163">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50DEA3DB"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840ED1E"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DD5423C" w14:textId="77777777" w:rsidR="00000000" w:rsidRDefault="00847163">
            <w:pPr>
              <w:rPr>
                <w:rFonts w:eastAsia="Times New Roman"/>
                <w:sz w:val="20"/>
                <w:szCs w:val="20"/>
              </w:rPr>
            </w:pPr>
            <w:r>
              <w:rPr>
                <w:rFonts w:eastAsia="Times New Roman"/>
                <w:sz w:val="20"/>
                <w:szCs w:val="20"/>
              </w:rPr>
              <w:t> </w:t>
            </w:r>
          </w:p>
        </w:tc>
        <w:tc>
          <w:tcPr>
            <w:tcW w:w="250" w:type="pct"/>
            <w:shd w:val="clear" w:color="auto" w:fill="FFFFFF"/>
            <w:vAlign w:val="bottom"/>
            <w:hideMark/>
          </w:tcPr>
          <w:p w14:paraId="395AC353" w14:textId="77777777" w:rsidR="00000000" w:rsidRDefault="00847163">
            <w:pPr>
              <w:jc w:val="right"/>
              <w:rPr>
                <w:rFonts w:eastAsia="Times New Roman"/>
                <w:sz w:val="20"/>
                <w:szCs w:val="20"/>
              </w:rPr>
            </w:pPr>
            <w:r>
              <w:rPr>
                <w:rFonts w:eastAsia="Times New Roman"/>
                <w:sz w:val="20"/>
                <w:szCs w:val="20"/>
              </w:rPr>
              <w:t>1.76</w:t>
            </w:r>
          </w:p>
        </w:tc>
        <w:tc>
          <w:tcPr>
            <w:tcW w:w="50" w:type="pct"/>
            <w:shd w:val="clear" w:color="auto" w:fill="FFFFFF"/>
            <w:vAlign w:val="bottom"/>
            <w:hideMark/>
          </w:tcPr>
          <w:p w14:paraId="6A042496" w14:textId="77777777" w:rsidR="00000000" w:rsidRDefault="00847163">
            <w:pPr>
              <w:pStyle w:val="a3"/>
              <w:spacing w:before="0" w:beforeAutospacing="0" w:after="0" w:afterAutospacing="0"/>
              <w:rPr>
                <w:sz w:val="20"/>
                <w:szCs w:val="20"/>
              </w:rPr>
            </w:pPr>
            <w:r>
              <w:rPr>
                <w:sz w:val="20"/>
                <w:szCs w:val="20"/>
              </w:rPr>
              <w:t>%</w:t>
            </w:r>
          </w:p>
        </w:tc>
        <w:tc>
          <w:tcPr>
            <w:tcW w:w="50" w:type="pct"/>
            <w:shd w:val="clear" w:color="auto" w:fill="FFFFFF"/>
            <w:vAlign w:val="bottom"/>
            <w:hideMark/>
          </w:tcPr>
          <w:p w14:paraId="3BFC7BBD"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023D50E" w14:textId="77777777" w:rsidR="00000000" w:rsidRDefault="0084716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59B15A4B" w14:textId="77777777" w:rsidR="00000000" w:rsidRDefault="00847163">
            <w:pPr>
              <w:jc w:val="right"/>
              <w:rPr>
                <w:rFonts w:eastAsia="Times New Roman"/>
                <w:sz w:val="20"/>
                <w:szCs w:val="20"/>
              </w:rPr>
            </w:pPr>
            <w:r>
              <w:rPr>
                <w:rFonts w:eastAsia="Times New Roman"/>
                <w:sz w:val="20"/>
                <w:szCs w:val="20"/>
              </w:rPr>
              <w:t> </w:t>
            </w:r>
          </w:p>
        </w:tc>
        <w:tc>
          <w:tcPr>
            <w:tcW w:w="50" w:type="pct"/>
            <w:shd w:val="clear" w:color="auto" w:fill="FFFFFF"/>
            <w:vAlign w:val="bottom"/>
            <w:hideMark/>
          </w:tcPr>
          <w:p w14:paraId="03E1D1C8" w14:textId="77777777" w:rsidR="00000000" w:rsidRDefault="00847163">
            <w:pPr>
              <w:rPr>
                <w:rFonts w:eastAsia="Times New Roman"/>
                <w:sz w:val="20"/>
                <w:szCs w:val="20"/>
              </w:rPr>
            </w:pPr>
            <w:r>
              <w:rPr>
                <w:rFonts w:eastAsia="Times New Roman"/>
                <w:sz w:val="20"/>
                <w:szCs w:val="20"/>
              </w:rPr>
              <w:t> </w:t>
            </w:r>
          </w:p>
        </w:tc>
      </w:tr>
    </w:tbl>
    <w:p w14:paraId="00E2A878" w14:textId="77777777" w:rsidR="00000000" w:rsidRDefault="00847163">
      <w:pPr>
        <w:pStyle w:val="a3"/>
        <w:spacing w:before="0" w:beforeAutospacing="0" w:after="0" w:afterAutospacing="0"/>
        <w:ind w:firstLine="360"/>
        <w:jc w:val="both"/>
        <w:rPr>
          <w:sz w:val="20"/>
          <w:szCs w:val="20"/>
        </w:rPr>
      </w:pPr>
      <w:r>
        <w:rPr>
          <w:sz w:val="20"/>
          <w:szCs w:val="20"/>
        </w:rPr>
        <w:t> </w:t>
      </w:r>
    </w:p>
    <w:p w14:paraId="1265B08E" w14:textId="77777777" w:rsidR="00000000" w:rsidRDefault="00847163">
      <w:pPr>
        <w:pStyle w:val="a3"/>
        <w:spacing w:before="0" w:beforeAutospacing="0" w:after="0" w:afterAutospacing="0"/>
        <w:ind w:firstLine="360"/>
        <w:jc w:val="both"/>
        <w:rPr>
          <w:sz w:val="20"/>
          <w:szCs w:val="20"/>
        </w:rPr>
      </w:pPr>
      <w:r>
        <w:rPr>
          <w:sz w:val="20"/>
          <w:szCs w:val="20"/>
        </w:rPr>
        <w:t>Based on the Company’</w:t>
      </w:r>
      <w:r>
        <w:rPr>
          <w:sz w:val="20"/>
          <w:szCs w:val="20"/>
        </w:rPr>
        <w:t>s variable-rate debt balances, interest expense would have increased by $1.7 million for the three months ended March 31, 2020, if short-term interest rates were 1.0% higher.</w:t>
      </w:r>
    </w:p>
    <w:p w14:paraId="6232EA76" w14:textId="77777777" w:rsidR="00000000" w:rsidRDefault="00847163">
      <w:pPr>
        <w:pStyle w:val="a3"/>
        <w:spacing w:before="0" w:beforeAutospacing="0" w:after="0" w:afterAutospacing="0"/>
        <w:rPr>
          <w:sz w:val="20"/>
          <w:szCs w:val="20"/>
        </w:rPr>
      </w:pPr>
      <w:r>
        <w:rPr>
          <w:sz w:val="20"/>
          <w:szCs w:val="20"/>
        </w:rPr>
        <w:t> </w:t>
      </w:r>
    </w:p>
    <w:p w14:paraId="5659A305" w14:textId="77777777" w:rsidR="00000000" w:rsidRDefault="00847163">
      <w:pPr>
        <w:pStyle w:val="a3"/>
        <w:spacing w:before="0" w:beforeAutospacing="0" w:after="0" w:afterAutospacing="0"/>
        <w:rPr>
          <w:sz w:val="20"/>
          <w:szCs w:val="20"/>
        </w:rPr>
      </w:pPr>
      <w:r>
        <w:rPr>
          <w:sz w:val="20"/>
          <w:szCs w:val="20"/>
        </w:rPr>
        <w:t> </w:t>
      </w:r>
    </w:p>
    <w:p w14:paraId="47CFD96C" w14:textId="77777777" w:rsidR="00000000" w:rsidRDefault="00847163">
      <w:pPr>
        <w:pStyle w:val="a3"/>
        <w:spacing w:before="0" w:beforeAutospacing="0" w:after="0" w:afterAutospacing="0"/>
        <w:rPr>
          <w:sz w:val="20"/>
          <w:szCs w:val="20"/>
        </w:rPr>
      </w:pPr>
      <w:r>
        <w:rPr>
          <w:b/>
          <w:bCs/>
          <w:sz w:val="20"/>
          <w:szCs w:val="20"/>
        </w:rPr>
        <w:t>Item 4.  Controls and Procedures.</w:t>
      </w:r>
    </w:p>
    <w:p w14:paraId="0BD4DF93" w14:textId="77777777" w:rsidR="00000000" w:rsidRDefault="00847163">
      <w:pPr>
        <w:pStyle w:val="a3"/>
        <w:spacing w:before="0" w:beforeAutospacing="0" w:after="0" w:afterAutospacing="0"/>
        <w:jc w:val="both"/>
        <w:rPr>
          <w:sz w:val="20"/>
          <w:szCs w:val="20"/>
        </w:rPr>
      </w:pPr>
      <w:r>
        <w:rPr>
          <w:sz w:val="20"/>
          <w:szCs w:val="20"/>
        </w:rPr>
        <w:t> </w:t>
      </w:r>
    </w:p>
    <w:p w14:paraId="0091CDFE" w14:textId="77777777" w:rsidR="00000000" w:rsidRDefault="00847163">
      <w:pPr>
        <w:pStyle w:val="a3"/>
        <w:spacing w:before="0" w:beforeAutospacing="0" w:after="0" w:afterAutospacing="0"/>
        <w:ind w:firstLine="360"/>
        <w:jc w:val="both"/>
        <w:rPr>
          <w:sz w:val="20"/>
          <w:szCs w:val="20"/>
        </w:rPr>
      </w:pPr>
      <w:r>
        <w:rPr>
          <w:sz w:val="20"/>
          <w:szCs w:val="20"/>
        </w:rPr>
        <w:t>The Company’s ma</w:t>
      </w:r>
      <w:r>
        <w:rPr>
          <w:sz w:val="20"/>
          <w:szCs w:val="20"/>
        </w:rPr>
        <w:t>nagement, with the participation of the Company’s Chief Executive Officer and Chief Financial Officer, has evaluated the effectiveness of the Company’s disclosure controls and procedures (as such term is defined in Rules 13a-15(e) and 15d-15(e) under the S</w:t>
      </w:r>
      <w:r>
        <w:rPr>
          <w:sz w:val="20"/>
          <w:szCs w:val="20"/>
        </w:rPr>
        <w:t>ecurities Exchange Act of 1934, as amended (the “Exchange Act”)) as of the end of the period covered by this report. Based on such evaluation, the Company’s Chief Executive Officer and Chief Financial Officer have concluded that, as of the end of such peri</w:t>
      </w:r>
      <w:r>
        <w:rPr>
          <w:sz w:val="20"/>
          <w:szCs w:val="20"/>
        </w:rPr>
        <w:t>od, the Company’s disclosure controls and procedures are effective.</w:t>
      </w:r>
    </w:p>
    <w:p w14:paraId="7498369A" w14:textId="77777777" w:rsidR="00000000" w:rsidRDefault="00847163">
      <w:pPr>
        <w:pStyle w:val="a3"/>
        <w:spacing w:before="0" w:beforeAutospacing="0" w:after="0" w:afterAutospacing="0"/>
        <w:ind w:firstLine="360"/>
        <w:jc w:val="both"/>
        <w:rPr>
          <w:sz w:val="20"/>
          <w:szCs w:val="20"/>
        </w:rPr>
      </w:pPr>
      <w:r>
        <w:rPr>
          <w:sz w:val="20"/>
          <w:szCs w:val="20"/>
        </w:rPr>
        <w:t> </w:t>
      </w:r>
    </w:p>
    <w:p w14:paraId="0E73AE08" w14:textId="77777777" w:rsidR="00000000" w:rsidRDefault="00847163">
      <w:pPr>
        <w:pStyle w:val="a3"/>
        <w:spacing w:before="0" w:beforeAutospacing="0" w:after="0" w:afterAutospacing="0"/>
        <w:ind w:firstLine="360"/>
        <w:jc w:val="both"/>
        <w:rPr>
          <w:sz w:val="20"/>
          <w:szCs w:val="20"/>
        </w:rPr>
      </w:pPr>
      <w:r>
        <w:rPr>
          <w:sz w:val="20"/>
          <w:szCs w:val="20"/>
        </w:rPr>
        <w:t>There have not been any changes in the Company’s internal control over financial reporting during the fiscal quarter to which this report relates that have materially affected, or are re</w:t>
      </w:r>
      <w:r>
        <w:rPr>
          <w:sz w:val="20"/>
          <w:szCs w:val="20"/>
        </w:rPr>
        <w:t>asonably likely to materially affect, the Company’s internal control over financial reporting.</w:t>
      </w:r>
    </w:p>
    <w:p w14:paraId="06E82022" w14:textId="77777777" w:rsidR="00000000" w:rsidRDefault="00847163">
      <w:pPr>
        <w:pStyle w:val="a3"/>
        <w:spacing w:before="0" w:beforeAutospacing="0" w:after="0" w:afterAutospacing="0"/>
        <w:ind w:firstLine="360"/>
        <w:jc w:val="both"/>
        <w:rPr>
          <w:sz w:val="20"/>
          <w:szCs w:val="20"/>
        </w:rPr>
      </w:pPr>
      <w:r>
        <w:rPr>
          <w:sz w:val="20"/>
          <w:szCs w:val="20"/>
        </w:rPr>
        <w:t> </w:t>
      </w:r>
    </w:p>
    <w:p w14:paraId="122566CF" w14:textId="77777777" w:rsidR="00000000" w:rsidRDefault="00847163">
      <w:pPr>
        <w:jc w:val="center"/>
        <w:divId w:val="1534460874"/>
        <w:rPr>
          <w:rFonts w:eastAsia="Times New Roman"/>
          <w:sz w:val="20"/>
          <w:szCs w:val="20"/>
        </w:rPr>
      </w:pPr>
      <w:r>
        <w:rPr>
          <w:rFonts w:eastAsia="Times New Roman"/>
          <w:sz w:val="20"/>
          <w:szCs w:val="20"/>
        </w:rPr>
        <w:t xml:space="preserve">30 </w:t>
      </w:r>
    </w:p>
    <w:p w14:paraId="3FE5DE5A" w14:textId="77777777" w:rsidR="00000000" w:rsidRDefault="00847163">
      <w:pPr>
        <w:divId w:val="637106456"/>
        <w:rPr>
          <w:rFonts w:eastAsia="Times New Roman"/>
          <w:sz w:val="20"/>
          <w:szCs w:val="20"/>
        </w:rPr>
      </w:pPr>
      <w:r>
        <w:rPr>
          <w:rFonts w:eastAsia="Times New Roman"/>
          <w:sz w:val="20"/>
          <w:szCs w:val="20"/>
        </w:rPr>
        <w:pict w14:anchorId="7EC791EE">
          <v:rect id="_x0000_i1058" style="width:0;height:1.5pt" o:hralign="center" o:hrstd="t" o:hr="t" fillcolor="#a0a0a0" stroked="f"/>
        </w:pict>
      </w:r>
    </w:p>
    <w:p w14:paraId="709003A6" w14:textId="77777777" w:rsidR="00000000" w:rsidRDefault="00847163">
      <w:pPr>
        <w:divId w:val="1721250140"/>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5FE8F927" w14:textId="77777777" w:rsidR="00000000" w:rsidRDefault="00847163">
      <w:pPr>
        <w:pStyle w:val="a3"/>
        <w:spacing w:before="0" w:beforeAutospacing="0" w:after="0" w:afterAutospacing="0"/>
        <w:rPr>
          <w:sz w:val="20"/>
          <w:szCs w:val="20"/>
        </w:rPr>
      </w:pPr>
      <w:r>
        <w:rPr>
          <w:sz w:val="20"/>
          <w:szCs w:val="20"/>
        </w:rPr>
        <w:t> </w:t>
      </w:r>
    </w:p>
    <w:p w14:paraId="07AB4522" w14:textId="77777777" w:rsidR="00000000" w:rsidRDefault="00847163">
      <w:pPr>
        <w:pStyle w:val="a3"/>
        <w:spacing w:before="0" w:beforeAutospacing="0" w:after="0" w:afterAutospacing="0"/>
        <w:jc w:val="center"/>
        <w:rPr>
          <w:sz w:val="20"/>
          <w:szCs w:val="20"/>
        </w:rPr>
      </w:pPr>
      <w:r>
        <w:rPr>
          <w:b/>
          <w:bCs/>
          <w:sz w:val="20"/>
          <w:szCs w:val="20"/>
        </w:rPr>
        <w:t>PART II</w:t>
      </w:r>
    </w:p>
    <w:p w14:paraId="5087D569" w14:textId="77777777" w:rsidR="00000000" w:rsidRDefault="00847163">
      <w:pPr>
        <w:pStyle w:val="a3"/>
        <w:spacing w:before="0" w:beforeAutospacing="0" w:after="0" w:afterAutospacing="0"/>
        <w:jc w:val="center"/>
        <w:rPr>
          <w:sz w:val="20"/>
          <w:szCs w:val="20"/>
        </w:rPr>
      </w:pPr>
      <w:r>
        <w:rPr>
          <w:b/>
          <w:bCs/>
          <w:sz w:val="20"/>
          <w:szCs w:val="20"/>
        </w:rPr>
        <w:t>OTHER INFORMATION</w:t>
      </w:r>
    </w:p>
    <w:p w14:paraId="0612EF7F" w14:textId="77777777" w:rsidR="00000000" w:rsidRDefault="00847163">
      <w:pPr>
        <w:pStyle w:val="a3"/>
        <w:spacing w:before="0" w:beforeAutospacing="0" w:after="0" w:afterAutospacing="0"/>
        <w:rPr>
          <w:sz w:val="20"/>
          <w:szCs w:val="20"/>
        </w:rPr>
      </w:pPr>
      <w:r>
        <w:rPr>
          <w:sz w:val="20"/>
          <w:szCs w:val="20"/>
        </w:rPr>
        <w:t> </w:t>
      </w:r>
    </w:p>
    <w:p w14:paraId="1F7A8027" w14:textId="77777777" w:rsidR="00000000" w:rsidRDefault="00847163">
      <w:pPr>
        <w:pStyle w:val="a3"/>
        <w:spacing w:before="0" w:beforeAutospacing="0" w:after="0" w:afterAutospacing="0"/>
        <w:rPr>
          <w:sz w:val="20"/>
          <w:szCs w:val="20"/>
        </w:rPr>
      </w:pPr>
      <w:r>
        <w:rPr>
          <w:b/>
          <w:bCs/>
          <w:sz w:val="20"/>
          <w:szCs w:val="20"/>
        </w:rPr>
        <w:t>Item 1.  Legal Proceedings.</w:t>
      </w:r>
    </w:p>
    <w:p w14:paraId="399327AB" w14:textId="77777777" w:rsidR="00000000" w:rsidRDefault="00847163">
      <w:pPr>
        <w:pStyle w:val="a3"/>
        <w:spacing w:before="0" w:beforeAutospacing="0" w:after="0" w:afterAutospacing="0"/>
        <w:jc w:val="both"/>
        <w:rPr>
          <w:sz w:val="20"/>
          <w:szCs w:val="20"/>
        </w:rPr>
      </w:pPr>
      <w:r>
        <w:rPr>
          <w:sz w:val="20"/>
          <w:szCs w:val="20"/>
        </w:rPr>
        <w:t> </w:t>
      </w:r>
    </w:p>
    <w:p w14:paraId="5D659A3E" w14:textId="77777777" w:rsidR="00000000" w:rsidRDefault="00847163">
      <w:pPr>
        <w:pStyle w:val="a3"/>
        <w:spacing w:before="0" w:beforeAutospacing="0" w:after="0" w:afterAutospacing="0"/>
        <w:ind w:firstLine="360"/>
        <w:jc w:val="both"/>
        <w:rPr>
          <w:sz w:val="20"/>
          <w:szCs w:val="20"/>
        </w:rPr>
      </w:pPr>
      <w:r>
        <w:rPr>
          <w:sz w:val="20"/>
          <w:szCs w:val="20"/>
        </w:rPr>
        <w:t>The following information supplements and amends our discussion set forth under Part I, Item 3 "Legal Proceedings" in our Annual Report on Form 10-K for the fiscal year ended December 31, 2019.</w:t>
      </w:r>
    </w:p>
    <w:p w14:paraId="1DDB3589" w14:textId="77777777" w:rsidR="00000000" w:rsidRDefault="00847163">
      <w:pPr>
        <w:pStyle w:val="a3"/>
        <w:spacing w:before="0" w:beforeAutospacing="0" w:after="0" w:afterAutospacing="0"/>
        <w:ind w:firstLine="360"/>
        <w:jc w:val="both"/>
        <w:rPr>
          <w:sz w:val="20"/>
          <w:szCs w:val="20"/>
        </w:rPr>
      </w:pPr>
      <w:r>
        <w:rPr>
          <w:sz w:val="20"/>
          <w:szCs w:val="20"/>
        </w:rPr>
        <w:t> </w:t>
      </w:r>
    </w:p>
    <w:p w14:paraId="7DA189A7" w14:textId="77777777" w:rsidR="00000000" w:rsidRDefault="00847163">
      <w:pPr>
        <w:pStyle w:val="a3"/>
        <w:spacing w:before="0" w:beforeAutospacing="0" w:after="0" w:afterAutospacing="0"/>
        <w:ind w:firstLine="360"/>
        <w:jc w:val="both"/>
        <w:rPr>
          <w:sz w:val="20"/>
          <w:szCs w:val="20"/>
        </w:rPr>
      </w:pPr>
      <w:r>
        <w:rPr>
          <w:sz w:val="20"/>
          <w:szCs w:val="20"/>
        </w:rPr>
        <w:t xml:space="preserve">The Company is not </w:t>
      </w:r>
      <w:r>
        <w:rPr>
          <w:sz w:val="20"/>
          <w:szCs w:val="20"/>
        </w:rPr>
        <w:t xml:space="preserve">presently involved in any litigation nor, to its knowledge, is any litigation threatened against the Company or its subsidiaries that, in management's opinion, would result in any material adverse effect on the Company's ownership, management or operation </w:t>
      </w:r>
      <w:r>
        <w:rPr>
          <w:sz w:val="20"/>
          <w:szCs w:val="20"/>
        </w:rPr>
        <w:t>of its properties taken as a whole, or which is not covered by the Company's liability insurance.</w:t>
      </w:r>
    </w:p>
    <w:p w14:paraId="392AD769" w14:textId="77777777" w:rsidR="00000000" w:rsidRDefault="00847163">
      <w:pPr>
        <w:pStyle w:val="a3"/>
        <w:spacing w:before="0" w:beforeAutospacing="0" w:after="0" w:afterAutospacing="0"/>
        <w:rPr>
          <w:sz w:val="20"/>
          <w:szCs w:val="20"/>
        </w:rPr>
      </w:pPr>
      <w:r>
        <w:rPr>
          <w:sz w:val="20"/>
          <w:szCs w:val="20"/>
        </w:rPr>
        <w:t> </w:t>
      </w:r>
    </w:p>
    <w:p w14:paraId="3B96A7D8" w14:textId="77777777" w:rsidR="00000000" w:rsidRDefault="00847163">
      <w:pPr>
        <w:pStyle w:val="a3"/>
        <w:spacing w:before="0" w:beforeAutospacing="0" w:after="0" w:afterAutospacing="0"/>
        <w:rPr>
          <w:sz w:val="20"/>
          <w:szCs w:val="20"/>
        </w:rPr>
      </w:pPr>
      <w:r>
        <w:rPr>
          <w:sz w:val="20"/>
          <w:szCs w:val="20"/>
        </w:rPr>
        <w:t> </w:t>
      </w:r>
    </w:p>
    <w:p w14:paraId="1DB1D500" w14:textId="77777777" w:rsidR="00000000" w:rsidRDefault="00847163">
      <w:pPr>
        <w:pStyle w:val="a3"/>
        <w:spacing w:before="0" w:beforeAutospacing="0" w:after="0" w:afterAutospacing="0"/>
        <w:rPr>
          <w:sz w:val="20"/>
          <w:szCs w:val="20"/>
        </w:rPr>
      </w:pPr>
      <w:r>
        <w:rPr>
          <w:b/>
          <w:bCs/>
          <w:sz w:val="20"/>
          <w:szCs w:val="20"/>
        </w:rPr>
        <w:t>Item 1A.  Risk Factors.</w:t>
      </w:r>
    </w:p>
    <w:p w14:paraId="4A451812" w14:textId="77777777" w:rsidR="00000000" w:rsidRDefault="00847163">
      <w:pPr>
        <w:pStyle w:val="a3"/>
        <w:spacing w:before="0" w:beforeAutospacing="0" w:after="0" w:afterAutospacing="0"/>
        <w:jc w:val="both"/>
        <w:rPr>
          <w:sz w:val="20"/>
          <w:szCs w:val="20"/>
        </w:rPr>
      </w:pPr>
      <w:r>
        <w:rPr>
          <w:sz w:val="20"/>
          <w:szCs w:val="20"/>
        </w:rPr>
        <w:t> </w:t>
      </w:r>
    </w:p>
    <w:p w14:paraId="57B957C9" w14:textId="77777777" w:rsidR="00000000" w:rsidRDefault="00847163">
      <w:pPr>
        <w:pStyle w:val="a3"/>
        <w:spacing w:before="0" w:beforeAutospacing="0" w:after="0" w:afterAutospacing="0"/>
        <w:ind w:firstLine="360"/>
        <w:jc w:val="both"/>
        <w:rPr>
          <w:sz w:val="20"/>
          <w:szCs w:val="20"/>
        </w:rPr>
      </w:pPr>
      <w:r>
        <w:rPr>
          <w:sz w:val="20"/>
          <w:szCs w:val="20"/>
        </w:rPr>
        <w:t>Except as set forth below, as of the date of this report, there are no material changes to our risk factors as previously disclosed in Part I, Item 1A of our Annual Report on Form 10-K for the year ended December 31, 2019. </w:t>
      </w:r>
    </w:p>
    <w:p w14:paraId="7C698D69" w14:textId="77777777" w:rsidR="00000000" w:rsidRDefault="00847163">
      <w:pPr>
        <w:pStyle w:val="a3"/>
        <w:spacing w:before="0" w:beforeAutospacing="0" w:after="0" w:afterAutospacing="0"/>
        <w:ind w:firstLine="360"/>
        <w:jc w:val="both"/>
        <w:rPr>
          <w:sz w:val="20"/>
          <w:szCs w:val="20"/>
        </w:rPr>
      </w:pPr>
      <w:r>
        <w:rPr>
          <w:b/>
          <w:bCs/>
          <w:sz w:val="20"/>
          <w:szCs w:val="20"/>
        </w:rPr>
        <w:t> </w:t>
      </w:r>
    </w:p>
    <w:p w14:paraId="7862FBB6" w14:textId="77777777" w:rsidR="00000000" w:rsidRDefault="00847163">
      <w:pPr>
        <w:pStyle w:val="a3"/>
        <w:spacing w:before="0" w:beforeAutospacing="0" w:after="0" w:afterAutospacing="0"/>
        <w:ind w:firstLine="360"/>
        <w:jc w:val="both"/>
        <w:rPr>
          <w:sz w:val="20"/>
          <w:szCs w:val="20"/>
        </w:rPr>
      </w:pPr>
      <w:r>
        <w:rPr>
          <w:b/>
          <w:bCs/>
          <w:sz w:val="20"/>
          <w:szCs w:val="20"/>
        </w:rPr>
        <w:t>The Company’s business, financ</w:t>
      </w:r>
      <w:r>
        <w:rPr>
          <w:b/>
          <w:bCs/>
          <w:sz w:val="20"/>
          <w:szCs w:val="20"/>
        </w:rPr>
        <w:t>ial condition, results of operations or stock price has and may continue to be adversely impacted by the COVID-19 pandemic and such impact could be material.</w:t>
      </w:r>
    </w:p>
    <w:p w14:paraId="085F7E04" w14:textId="77777777" w:rsidR="00000000" w:rsidRDefault="00847163">
      <w:pPr>
        <w:pStyle w:val="a3"/>
        <w:spacing w:before="0" w:beforeAutospacing="0" w:after="0" w:afterAutospacing="0"/>
        <w:ind w:firstLine="360"/>
        <w:jc w:val="both"/>
        <w:rPr>
          <w:sz w:val="20"/>
          <w:szCs w:val="20"/>
        </w:rPr>
      </w:pPr>
      <w:r>
        <w:rPr>
          <w:sz w:val="20"/>
          <w:szCs w:val="20"/>
        </w:rPr>
        <w:t> </w:t>
      </w:r>
    </w:p>
    <w:p w14:paraId="52720D89" w14:textId="77777777" w:rsidR="00000000" w:rsidRDefault="00847163">
      <w:pPr>
        <w:pStyle w:val="a3"/>
        <w:spacing w:before="0" w:beforeAutospacing="0" w:after="0" w:afterAutospacing="0"/>
        <w:ind w:firstLine="360"/>
        <w:jc w:val="both"/>
        <w:rPr>
          <w:sz w:val="20"/>
          <w:szCs w:val="20"/>
        </w:rPr>
      </w:pPr>
      <w:r>
        <w:rPr>
          <w:sz w:val="20"/>
          <w:szCs w:val="20"/>
        </w:rPr>
        <w:t>In March 2020, the outbreak of COVID-19 was recognized as a pandemic by the World Health Organiz</w:t>
      </w:r>
      <w:r>
        <w:rPr>
          <w:sz w:val="20"/>
          <w:szCs w:val="20"/>
        </w:rPr>
        <w:t>ation.  The COVID-19 pandemic has resulted in a widespread health crisis that has adversely affected businesses, economies and financial markets worldwide, and has caused significant volatility in U.S. and international debt and equity markets. There is si</w:t>
      </w:r>
      <w:r>
        <w:rPr>
          <w:sz w:val="20"/>
          <w:szCs w:val="20"/>
        </w:rPr>
        <w:t>gnificant uncertainty around the extent and duration of business disruptions related to COVID-19, as well as its impact on the U.S. economy. </w:t>
      </w:r>
    </w:p>
    <w:p w14:paraId="7C7E0F71" w14:textId="77777777" w:rsidR="00000000" w:rsidRDefault="00847163">
      <w:pPr>
        <w:pStyle w:val="a3"/>
        <w:spacing w:before="0" w:beforeAutospacing="0" w:after="0" w:afterAutospacing="0"/>
        <w:ind w:firstLine="360"/>
        <w:jc w:val="both"/>
        <w:rPr>
          <w:sz w:val="20"/>
          <w:szCs w:val="20"/>
        </w:rPr>
      </w:pPr>
      <w:r>
        <w:rPr>
          <w:sz w:val="20"/>
          <w:szCs w:val="20"/>
        </w:rPr>
        <w:t> </w:t>
      </w:r>
    </w:p>
    <w:p w14:paraId="0B23579E" w14:textId="77777777" w:rsidR="00000000" w:rsidRDefault="00847163">
      <w:pPr>
        <w:pStyle w:val="a3"/>
        <w:spacing w:before="0" w:beforeAutospacing="0" w:after="0" w:afterAutospacing="0"/>
        <w:ind w:firstLine="360"/>
        <w:jc w:val="both"/>
        <w:rPr>
          <w:sz w:val="20"/>
          <w:szCs w:val="20"/>
        </w:rPr>
      </w:pPr>
      <w:r>
        <w:rPr>
          <w:sz w:val="20"/>
          <w:szCs w:val="20"/>
        </w:rPr>
        <w:t>Our business and the businesses of our tenants have been adversely affected by the COVID-19 pandemic and actions</w:t>
      </w:r>
      <w:r>
        <w:rPr>
          <w:sz w:val="20"/>
          <w:szCs w:val="20"/>
        </w:rPr>
        <w:t xml:space="preserve"> taken to contain or prevent its spread. A substantial number of tenants have temporarily closed their businesses, have shortened their operating hours or are offering reduced services. As a result, the Company has observed a substantial increase in the nu</w:t>
      </w:r>
      <w:r>
        <w:rPr>
          <w:sz w:val="20"/>
          <w:szCs w:val="20"/>
        </w:rPr>
        <w:t>mber of tenants that have made late or partial rent payments, requested a deferral of rent payments, or defaulted on rent payments, and it is likely that more of our tenants will be similarly impacted in the future. Impacts of COVID-19 could also result in</w:t>
      </w:r>
      <w:r>
        <w:rPr>
          <w:sz w:val="20"/>
          <w:szCs w:val="20"/>
        </w:rPr>
        <w:t xml:space="preserve"> the complete or partial closure of one or more of our tenants’ manufacturing facilities or distribution centers, temporary or long-term disruption in our tenants’ supply chains from local and international suppliers, and/or delays in the delivery of our t</w:t>
      </w:r>
      <w:r>
        <w:rPr>
          <w:sz w:val="20"/>
          <w:szCs w:val="20"/>
        </w:rPr>
        <w:t>enants’ inventory.</w:t>
      </w:r>
    </w:p>
    <w:p w14:paraId="65E4FBB9" w14:textId="77777777" w:rsidR="00000000" w:rsidRDefault="00847163">
      <w:pPr>
        <w:pStyle w:val="a3"/>
        <w:spacing w:before="0" w:beforeAutospacing="0" w:after="0" w:afterAutospacing="0"/>
        <w:ind w:firstLine="360"/>
        <w:jc w:val="both"/>
        <w:rPr>
          <w:sz w:val="20"/>
          <w:szCs w:val="20"/>
        </w:rPr>
      </w:pPr>
      <w:r>
        <w:rPr>
          <w:sz w:val="20"/>
          <w:szCs w:val="20"/>
        </w:rPr>
        <w:t> </w:t>
      </w:r>
    </w:p>
    <w:p w14:paraId="1C99D24F" w14:textId="77777777" w:rsidR="00000000" w:rsidRDefault="00847163">
      <w:pPr>
        <w:pStyle w:val="a3"/>
        <w:spacing w:before="0" w:beforeAutospacing="0" w:after="0" w:afterAutospacing="0"/>
        <w:ind w:firstLine="360"/>
        <w:jc w:val="both"/>
        <w:rPr>
          <w:sz w:val="20"/>
          <w:szCs w:val="20"/>
        </w:rPr>
      </w:pPr>
      <w:r>
        <w:rPr>
          <w:sz w:val="20"/>
          <w:szCs w:val="20"/>
        </w:rPr>
        <w:t>Even after governmental restrictions are lifted, our tenants may continue to be impacted by economic conditions resulting from COVID-19 or public perception of the risk of COVID-19, which could adversely affect foot traffic to our tena</w:t>
      </w:r>
      <w:r>
        <w:rPr>
          <w:sz w:val="20"/>
          <w:szCs w:val="20"/>
        </w:rPr>
        <w:t>nts’ businesses and our tenants’ ability to adequately staff their businesses. Such events could severely disrupt their operations and have a material adverse effect on our business, financial condition and results of operations. A downturn in our tenants’</w:t>
      </w:r>
      <w:r>
        <w:rPr>
          <w:sz w:val="20"/>
          <w:szCs w:val="20"/>
        </w:rPr>
        <w:t xml:space="preserve"> businesses that significantly weakens their financial condition could cause them to delay lease commencements or decline to extend or renew leases upon expiration and could lead to additional failures to make rental payments when due, store closures or ba</w:t>
      </w:r>
      <w:r>
        <w:rPr>
          <w:sz w:val="20"/>
          <w:szCs w:val="20"/>
        </w:rPr>
        <w:t>nkruptcies, and we may be unable to collect past due balances under relevant leases. We have begun to receive requests for rent relief from some of our tenants. We are assessing these requests on a case-by-case basis and have agreed and may continue to agr</w:t>
      </w:r>
      <w:r>
        <w:rPr>
          <w:sz w:val="20"/>
          <w:szCs w:val="20"/>
        </w:rPr>
        <w:t>ee to certain relief. It is likely there will be additional requests for relief in the future.</w:t>
      </w:r>
    </w:p>
    <w:p w14:paraId="5425DBF7" w14:textId="77777777" w:rsidR="00000000" w:rsidRDefault="00847163">
      <w:pPr>
        <w:pStyle w:val="a3"/>
        <w:spacing w:before="0" w:beforeAutospacing="0" w:after="0" w:afterAutospacing="0"/>
        <w:ind w:firstLine="360"/>
        <w:jc w:val="both"/>
        <w:rPr>
          <w:sz w:val="20"/>
          <w:szCs w:val="20"/>
        </w:rPr>
      </w:pPr>
      <w:r>
        <w:rPr>
          <w:sz w:val="20"/>
          <w:szCs w:val="20"/>
        </w:rPr>
        <w:t> </w:t>
      </w:r>
    </w:p>
    <w:p w14:paraId="4B748692" w14:textId="77777777" w:rsidR="00000000" w:rsidRDefault="00847163">
      <w:pPr>
        <w:pStyle w:val="a3"/>
        <w:spacing w:before="0" w:beforeAutospacing="0" w:after="0" w:afterAutospacing="0"/>
        <w:ind w:firstLine="360"/>
        <w:jc w:val="both"/>
        <w:rPr>
          <w:sz w:val="20"/>
          <w:szCs w:val="20"/>
        </w:rPr>
      </w:pPr>
      <w:r>
        <w:rPr>
          <w:sz w:val="20"/>
          <w:szCs w:val="20"/>
        </w:rPr>
        <w:t xml:space="preserve">In addition, like many other companies, due to government mandates, we have instructed our employees to work from home, which, especially if this persists for </w:t>
      </w:r>
      <w:r>
        <w:rPr>
          <w:sz w:val="20"/>
          <w:szCs w:val="20"/>
        </w:rPr>
        <w:t>a prolonged period of time, may have an adverse impact on our employees, operations and systems. </w:t>
      </w:r>
    </w:p>
    <w:p w14:paraId="505B61D6" w14:textId="77777777" w:rsidR="00000000" w:rsidRDefault="00847163">
      <w:pPr>
        <w:pStyle w:val="a3"/>
        <w:spacing w:before="0" w:beforeAutospacing="0" w:after="0" w:afterAutospacing="0"/>
        <w:ind w:firstLine="360"/>
        <w:jc w:val="both"/>
        <w:rPr>
          <w:sz w:val="20"/>
          <w:szCs w:val="20"/>
        </w:rPr>
      </w:pPr>
      <w:r>
        <w:rPr>
          <w:sz w:val="20"/>
          <w:szCs w:val="20"/>
        </w:rPr>
        <w:t> </w:t>
      </w:r>
    </w:p>
    <w:p w14:paraId="5CC51D91" w14:textId="77777777" w:rsidR="00000000" w:rsidRDefault="00847163">
      <w:pPr>
        <w:pStyle w:val="a3"/>
        <w:spacing w:before="0" w:beforeAutospacing="0" w:after="0" w:afterAutospacing="0"/>
        <w:ind w:firstLine="360"/>
        <w:jc w:val="both"/>
        <w:rPr>
          <w:sz w:val="20"/>
          <w:szCs w:val="20"/>
        </w:rPr>
      </w:pPr>
      <w:r>
        <w:rPr>
          <w:sz w:val="20"/>
          <w:szCs w:val="20"/>
        </w:rPr>
        <w:t>The extent to which the COVID-19 pandemic ultimately impacts our business, results of operations, financial condition and stock price will depend on numerou</w:t>
      </w:r>
      <w:r>
        <w:rPr>
          <w:sz w:val="20"/>
          <w:szCs w:val="20"/>
        </w:rPr>
        <w:t>s evolving factors that are highly uncertain and which we may not be able to predict, including the duration and scope of the pandemic, governmental, business and individual actions that have been and continue to be taken in response to the pandemic, the i</w:t>
      </w:r>
      <w:r>
        <w:rPr>
          <w:sz w:val="20"/>
          <w:szCs w:val="20"/>
        </w:rPr>
        <w:t>mpact on economic activity from the pandemic and actions taken in response, the impact on our employees any other operational disruptions or difficulties we may face, the effect on our tenants and their businesses, the ability of tenants to pay their contr</w:t>
      </w:r>
      <w:r>
        <w:rPr>
          <w:sz w:val="20"/>
          <w:szCs w:val="20"/>
        </w:rPr>
        <w:t>acted rents and any additional closures of our tenants’ businesses. These effects, individually or in the aggregate, will adversely impact our tenant’s ability to pay their contracted rent. Any of these events could materially adversely impact our business</w:t>
      </w:r>
      <w:r>
        <w:rPr>
          <w:sz w:val="20"/>
          <w:szCs w:val="20"/>
        </w:rPr>
        <w:t>, financial condition, results of operations or stock price.</w:t>
      </w:r>
    </w:p>
    <w:p w14:paraId="110C20D1" w14:textId="77777777" w:rsidR="00000000" w:rsidRDefault="00847163">
      <w:pPr>
        <w:pStyle w:val="a3"/>
        <w:spacing w:before="0" w:beforeAutospacing="0" w:after="0" w:afterAutospacing="0"/>
        <w:ind w:firstLine="360"/>
        <w:jc w:val="both"/>
        <w:rPr>
          <w:sz w:val="20"/>
          <w:szCs w:val="20"/>
        </w:rPr>
      </w:pPr>
      <w:r>
        <w:rPr>
          <w:sz w:val="20"/>
          <w:szCs w:val="20"/>
        </w:rPr>
        <w:t> </w:t>
      </w:r>
    </w:p>
    <w:p w14:paraId="19539CF0" w14:textId="77777777" w:rsidR="00000000" w:rsidRDefault="00847163">
      <w:pPr>
        <w:pStyle w:val="a3"/>
        <w:spacing w:before="0" w:beforeAutospacing="0" w:after="0" w:afterAutospacing="0"/>
        <w:ind w:firstLine="360"/>
        <w:jc w:val="both"/>
        <w:rPr>
          <w:sz w:val="20"/>
          <w:szCs w:val="20"/>
        </w:rPr>
      </w:pPr>
      <w:r>
        <w:rPr>
          <w:b/>
          <w:bCs/>
          <w:sz w:val="20"/>
          <w:szCs w:val="20"/>
        </w:rPr>
        <w:t>Financial disruption or a prolonged economic downturn could materially and adversely affect the Company’s business.</w:t>
      </w:r>
    </w:p>
    <w:p w14:paraId="37B860B4" w14:textId="77777777" w:rsidR="00000000" w:rsidRDefault="00847163">
      <w:pPr>
        <w:pStyle w:val="a3"/>
        <w:spacing w:before="0" w:beforeAutospacing="0" w:after="0" w:afterAutospacing="0"/>
        <w:ind w:firstLine="360"/>
        <w:jc w:val="both"/>
        <w:rPr>
          <w:sz w:val="20"/>
          <w:szCs w:val="20"/>
        </w:rPr>
      </w:pPr>
      <w:r>
        <w:rPr>
          <w:sz w:val="20"/>
          <w:szCs w:val="20"/>
        </w:rPr>
        <w:t> </w:t>
      </w:r>
    </w:p>
    <w:p w14:paraId="3762B81A" w14:textId="77777777" w:rsidR="00000000" w:rsidRDefault="00847163">
      <w:pPr>
        <w:pStyle w:val="a3"/>
        <w:spacing w:before="0" w:beforeAutospacing="0" w:after="0" w:afterAutospacing="0"/>
        <w:ind w:firstLine="360"/>
        <w:jc w:val="both"/>
        <w:rPr>
          <w:sz w:val="20"/>
          <w:szCs w:val="20"/>
        </w:rPr>
      </w:pPr>
      <w:r>
        <w:rPr>
          <w:sz w:val="20"/>
          <w:szCs w:val="20"/>
        </w:rPr>
        <w:t>Worldwide financial markets have recently experienced periods of extraordin</w:t>
      </w:r>
      <w:r>
        <w:rPr>
          <w:sz w:val="20"/>
          <w:szCs w:val="20"/>
        </w:rPr>
        <w:t>ary disruption and volatility, which has been exacerbated by the COVID-19 pandemic, resulting in heightened credit risk, reduced valuation of investments and decreased economic activity. Moreover, many companies have experienced reduced liquidity and uncer</w:t>
      </w:r>
      <w:r>
        <w:rPr>
          <w:sz w:val="20"/>
          <w:szCs w:val="20"/>
        </w:rPr>
        <w:t>tainty as to their ability to raise capital during such periods of market disruption and volatility. In the event that these conditions recur or result in a prolonged economic downturn, our results of operations, financial position or liquidity could be ma</w:t>
      </w:r>
      <w:r>
        <w:rPr>
          <w:sz w:val="20"/>
          <w:szCs w:val="20"/>
        </w:rPr>
        <w:t>terially and adversely affected. These market conditions may affect the Company's ability to access debt and equity capital markets. In addition, as a result of recent financial events, we may face increased regulation. Many of the other risk factors discu</w:t>
      </w:r>
      <w:r>
        <w:rPr>
          <w:sz w:val="20"/>
          <w:szCs w:val="20"/>
        </w:rPr>
        <w:t>ssed in Part I, Item 1A of our Annual Report on Form 10-K for the year ended December 31, 2019 identify risks that result from, or are exacerbated by, financial economic downturn. These include risks related to our real estate assets, the competitive envir</w:t>
      </w:r>
      <w:r>
        <w:rPr>
          <w:sz w:val="20"/>
          <w:szCs w:val="20"/>
        </w:rPr>
        <w:t>onment and regulatory developments.</w:t>
      </w:r>
    </w:p>
    <w:p w14:paraId="613D87B3" w14:textId="77777777" w:rsidR="00000000" w:rsidRDefault="00847163">
      <w:pPr>
        <w:pStyle w:val="a3"/>
        <w:spacing w:before="0" w:beforeAutospacing="0" w:after="0" w:afterAutospacing="0"/>
        <w:rPr>
          <w:sz w:val="20"/>
          <w:szCs w:val="20"/>
        </w:rPr>
      </w:pPr>
      <w:r>
        <w:rPr>
          <w:sz w:val="20"/>
          <w:szCs w:val="20"/>
        </w:rPr>
        <w:t> </w:t>
      </w:r>
    </w:p>
    <w:p w14:paraId="108BB818" w14:textId="77777777" w:rsidR="00000000" w:rsidRDefault="00847163">
      <w:pPr>
        <w:jc w:val="center"/>
        <w:divId w:val="1106734212"/>
        <w:rPr>
          <w:rFonts w:eastAsia="Times New Roman"/>
          <w:sz w:val="20"/>
          <w:szCs w:val="20"/>
        </w:rPr>
      </w:pPr>
      <w:r>
        <w:rPr>
          <w:rFonts w:eastAsia="Times New Roman"/>
          <w:sz w:val="20"/>
          <w:szCs w:val="20"/>
        </w:rPr>
        <w:t xml:space="preserve">31 </w:t>
      </w:r>
    </w:p>
    <w:p w14:paraId="5B2230EE" w14:textId="77777777" w:rsidR="00000000" w:rsidRDefault="00847163">
      <w:pPr>
        <w:divId w:val="928008315"/>
        <w:rPr>
          <w:rFonts w:eastAsia="Times New Roman"/>
          <w:sz w:val="20"/>
          <w:szCs w:val="20"/>
        </w:rPr>
      </w:pPr>
      <w:r>
        <w:rPr>
          <w:rFonts w:eastAsia="Times New Roman"/>
          <w:sz w:val="20"/>
          <w:szCs w:val="20"/>
        </w:rPr>
        <w:pict w14:anchorId="49364EF9">
          <v:rect id="_x0000_i1059" style="width:0;height:1.5pt" o:hralign="center" o:hrstd="t" o:hr="t" fillcolor="#a0a0a0" stroked="f"/>
        </w:pict>
      </w:r>
    </w:p>
    <w:p w14:paraId="49BC0DDA" w14:textId="77777777" w:rsidR="00000000" w:rsidRDefault="00847163">
      <w:pPr>
        <w:divId w:val="842428192"/>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4E6C338B" w14:textId="77777777" w:rsidR="00000000" w:rsidRDefault="00847163">
      <w:pPr>
        <w:pStyle w:val="a3"/>
        <w:spacing w:before="0" w:beforeAutospacing="0" w:after="0" w:afterAutospacing="0"/>
        <w:rPr>
          <w:sz w:val="20"/>
          <w:szCs w:val="20"/>
        </w:rPr>
      </w:pPr>
      <w:r>
        <w:rPr>
          <w:sz w:val="20"/>
          <w:szCs w:val="20"/>
        </w:rPr>
        <w:t> </w:t>
      </w:r>
    </w:p>
    <w:p w14:paraId="2802430C" w14:textId="77777777" w:rsidR="00000000" w:rsidRDefault="00847163">
      <w:pPr>
        <w:pStyle w:val="a3"/>
        <w:spacing w:before="0" w:beforeAutospacing="0" w:after="0" w:afterAutospacing="0"/>
        <w:rPr>
          <w:sz w:val="20"/>
          <w:szCs w:val="20"/>
        </w:rPr>
      </w:pPr>
      <w:r>
        <w:rPr>
          <w:b/>
          <w:bCs/>
          <w:sz w:val="20"/>
          <w:szCs w:val="20"/>
        </w:rPr>
        <w:t>Item 2. Unregistered Sales of Equity Securities and Use of Proceeds.</w:t>
      </w:r>
    </w:p>
    <w:p w14:paraId="79D2FE3F" w14:textId="77777777" w:rsidR="00000000" w:rsidRDefault="00847163">
      <w:pPr>
        <w:pStyle w:val="a3"/>
        <w:spacing w:before="0" w:beforeAutospacing="0" w:after="0" w:afterAutospacing="0"/>
        <w:ind w:firstLine="720"/>
        <w:jc w:val="both"/>
        <w:rPr>
          <w:sz w:val="20"/>
          <w:szCs w:val="20"/>
        </w:rPr>
      </w:pPr>
      <w:r>
        <w:rPr>
          <w:sz w:val="20"/>
          <w:szCs w:val="20"/>
        </w:rPr>
        <w:t> </w:t>
      </w:r>
    </w:p>
    <w:p w14:paraId="2E709D64" w14:textId="77777777" w:rsidR="00000000" w:rsidRDefault="00847163">
      <w:pPr>
        <w:pStyle w:val="a3"/>
        <w:spacing w:before="0" w:beforeAutospacing="0" w:after="0" w:afterAutospacing="0"/>
        <w:ind w:firstLine="360"/>
        <w:jc w:val="both"/>
        <w:rPr>
          <w:sz w:val="20"/>
          <w:szCs w:val="20"/>
        </w:rPr>
      </w:pPr>
      <w:r>
        <w:rPr>
          <w:sz w:val="20"/>
          <w:szCs w:val="20"/>
          <w:u w:val="single"/>
        </w:rPr>
        <w:t>Issuer Purchases of Equity Securities</w:t>
      </w:r>
    </w:p>
    <w:p w14:paraId="3152CB63" w14:textId="77777777" w:rsidR="00000000" w:rsidRDefault="00847163">
      <w:pPr>
        <w:pStyle w:val="a3"/>
        <w:spacing w:before="0" w:beforeAutospacing="0" w:after="0" w:afterAutospacing="0"/>
        <w:ind w:firstLine="360"/>
        <w:jc w:val="both"/>
        <w:rPr>
          <w:sz w:val="20"/>
          <w:szCs w:val="20"/>
        </w:rPr>
      </w:pPr>
      <w:r>
        <w:rPr>
          <w:sz w:val="20"/>
          <w:szCs w:val="20"/>
        </w:rPr>
        <w:t> </w:t>
      </w:r>
    </w:p>
    <w:p w14:paraId="5051686F" w14:textId="77777777" w:rsidR="00000000" w:rsidRDefault="00847163">
      <w:pPr>
        <w:pStyle w:val="a3"/>
        <w:spacing w:before="0" w:beforeAutospacing="0" w:after="0" w:afterAutospacing="0"/>
        <w:ind w:firstLine="360"/>
        <w:jc w:val="both"/>
        <w:rPr>
          <w:sz w:val="20"/>
          <w:szCs w:val="20"/>
        </w:rPr>
      </w:pPr>
      <w:r>
        <w:rPr>
          <w:sz w:val="20"/>
          <w:szCs w:val="20"/>
        </w:rPr>
        <w:t>During the three months ended March 31, 2020, the Company repurchased 270,708 shares for an aggregate purchase price of $5.1 million (weighted av</w:t>
      </w:r>
      <w:r>
        <w:rPr>
          <w:sz w:val="20"/>
          <w:szCs w:val="20"/>
        </w:rPr>
        <w:t>erage price of $19.02 per share) in connection with common shares surrendered or deemed surrendered to the Company to satisfy statutory minimum tax withholding obligations in connection with the vesting of restricted stock awards under the Company’s equity</w:t>
      </w:r>
      <w:r>
        <w:rPr>
          <w:sz w:val="20"/>
          <w:szCs w:val="20"/>
        </w:rPr>
        <w:t>-based compensation plans.</w:t>
      </w:r>
    </w:p>
    <w:p w14:paraId="5E205180" w14:textId="77777777" w:rsidR="00000000" w:rsidRDefault="00847163">
      <w:pPr>
        <w:pStyle w:val="a3"/>
        <w:spacing w:before="0" w:beforeAutospacing="0" w:after="0" w:afterAutospacing="0"/>
        <w:ind w:firstLine="360"/>
        <w:jc w:val="both"/>
        <w:rPr>
          <w:sz w:val="20"/>
          <w:szCs w:val="20"/>
        </w:rPr>
      </w:pPr>
      <w:r>
        <w:rPr>
          <w:sz w:val="20"/>
          <w:szCs w:val="20"/>
        </w:rPr>
        <w:t> </w:t>
      </w:r>
    </w:p>
    <w:p w14:paraId="18E379EA" w14:textId="77777777" w:rsidR="00000000" w:rsidRDefault="00847163">
      <w:pPr>
        <w:pStyle w:val="a3"/>
        <w:spacing w:before="0" w:beforeAutospacing="0" w:after="0" w:afterAutospacing="0"/>
        <w:ind w:firstLine="360"/>
        <w:jc w:val="both"/>
        <w:rPr>
          <w:sz w:val="20"/>
          <w:szCs w:val="20"/>
        </w:rPr>
      </w:pPr>
      <w:r>
        <w:rPr>
          <w:sz w:val="20"/>
          <w:szCs w:val="20"/>
        </w:rPr>
        <w:t>During February 2020, the Company extended its share repurchase program for a term of two years, which will expire in February 2022, pursuant to which the Company may repurchase shares of its common stock, par value $0.01 per s</w:t>
      </w:r>
      <w:r>
        <w:rPr>
          <w:sz w:val="20"/>
          <w:szCs w:val="20"/>
        </w:rPr>
        <w:t xml:space="preserve">hare, with an aggregate gross purchase price of up to $300.0 million. The Company did not repurchase any shares under the share repurchase program during the three months ended March 31, 2020. As of March 31, 2020, the Company had $224.9 million available </w:t>
      </w:r>
      <w:r>
        <w:rPr>
          <w:sz w:val="20"/>
          <w:szCs w:val="20"/>
        </w:rPr>
        <w:t>under this share repurchase program.</w:t>
      </w:r>
    </w:p>
    <w:p w14:paraId="69C8B463" w14:textId="77777777" w:rsidR="00000000" w:rsidRDefault="00847163">
      <w:pPr>
        <w:pStyle w:val="a3"/>
        <w:spacing w:before="0" w:beforeAutospacing="0" w:after="0" w:afterAutospacing="0"/>
        <w:ind w:firstLine="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153"/>
        <w:gridCol w:w="80"/>
        <w:gridCol w:w="82"/>
        <w:gridCol w:w="826"/>
        <w:gridCol w:w="80"/>
        <w:gridCol w:w="80"/>
        <w:gridCol w:w="101"/>
        <w:gridCol w:w="829"/>
        <w:gridCol w:w="81"/>
        <w:gridCol w:w="81"/>
        <w:gridCol w:w="81"/>
        <w:gridCol w:w="1244"/>
        <w:gridCol w:w="81"/>
        <w:gridCol w:w="81"/>
        <w:gridCol w:w="101"/>
        <w:gridCol w:w="1244"/>
        <w:gridCol w:w="81"/>
      </w:tblGrid>
      <w:tr w:rsidR="00000000" w14:paraId="6620BD85" w14:textId="77777777">
        <w:trPr>
          <w:tblCellSpacing w:w="0" w:type="dxa"/>
        </w:trPr>
        <w:tc>
          <w:tcPr>
            <w:tcW w:w="1900" w:type="pct"/>
            <w:tcBorders>
              <w:bottom w:val="single" w:sz="6" w:space="0" w:color="000000"/>
            </w:tcBorders>
            <w:vAlign w:val="bottom"/>
            <w:hideMark/>
          </w:tcPr>
          <w:p w14:paraId="53BD2483" w14:textId="77777777" w:rsidR="00000000" w:rsidRDefault="00847163">
            <w:pPr>
              <w:pStyle w:val="a3"/>
              <w:spacing w:before="0" w:beforeAutospacing="0" w:after="0" w:afterAutospacing="0"/>
              <w:jc w:val="center"/>
              <w:rPr>
                <w:sz w:val="20"/>
                <w:szCs w:val="20"/>
              </w:rPr>
            </w:pPr>
            <w:r>
              <w:rPr>
                <w:b/>
                <w:bCs/>
                <w:sz w:val="20"/>
                <w:szCs w:val="20"/>
              </w:rPr>
              <w:t>Period</w:t>
            </w:r>
          </w:p>
        </w:tc>
        <w:tc>
          <w:tcPr>
            <w:tcW w:w="50" w:type="pct"/>
            <w:vAlign w:val="bottom"/>
            <w:hideMark/>
          </w:tcPr>
          <w:p w14:paraId="1A2E9AAC" w14:textId="77777777" w:rsidR="00000000" w:rsidRDefault="00847163">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08F06D3D" w14:textId="77777777" w:rsidR="00000000" w:rsidRDefault="00847163">
            <w:pPr>
              <w:pStyle w:val="a3"/>
              <w:spacing w:before="0" w:beforeAutospacing="0" w:after="0" w:afterAutospacing="0"/>
              <w:jc w:val="center"/>
              <w:rPr>
                <w:sz w:val="20"/>
                <w:szCs w:val="20"/>
              </w:rPr>
            </w:pPr>
            <w:r>
              <w:rPr>
                <w:b/>
                <w:bCs/>
                <w:sz w:val="20"/>
                <w:szCs w:val="20"/>
              </w:rPr>
              <w:t>Total Number</w:t>
            </w:r>
          </w:p>
          <w:p w14:paraId="0A9B6BD8" w14:textId="77777777" w:rsidR="00000000" w:rsidRDefault="00847163">
            <w:pPr>
              <w:pStyle w:val="a3"/>
              <w:spacing w:before="0" w:beforeAutospacing="0" w:after="0" w:afterAutospacing="0"/>
              <w:jc w:val="center"/>
              <w:rPr>
                <w:sz w:val="20"/>
                <w:szCs w:val="20"/>
              </w:rPr>
            </w:pPr>
            <w:r>
              <w:rPr>
                <w:b/>
                <w:bCs/>
                <w:sz w:val="20"/>
                <w:szCs w:val="20"/>
              </w:rPr>
              <w:t xml:space="preserve">of Shares </w:t>
            </w:r>
          </w:p>
          <w:p w14:paraId="0784F72B" w14:textId="77777777" w:rsidR="00000000" w:rsidRDefault="00847163">
            <w:pPr>
              <w:pStyle w:val="a3"/>
              <w:spacing w:before="0" w:beforeAutospacing="0" w:after="0" w:afterAutospacing="0"/>
              <w:jc w:val="center"/>
              <w:rPr>
                <w:sz w:val="20"/>
                <w:szCs w:val="20"/>
              </w:rPr>
            </w:pPr>
            <w:r>
              <w:rPr>
                <w:b/>
                <w:bCs/>
                <w:sz w:val="20"/>
                <w:szCs w:val="20"/>
              </w:rPr>
              <w:t>Purchased</w:t>
            </w:r>
          </w:p>
        </w:tc>
        <w:tc>
          <w:tcPr>
            <w:tcW w:w="50" w:type="pct"/>
            <w:tcMar>
              <w:top w:w="0" w:type="dxa"/>
              <w:left w:w="0" w:type="dxa"/>
              <w:bottom w:w="15" w:type="dxa"/>
              <w:right w:w="0" w:type="dxa"/>
            </w:tcMar>
            <w:vAlign w:val="bottom"/>
            <w:hideMark/>
          </w:tcPr>
          <w:p w14:paraId="130ADADB" w14:textId="77777777" w:rsidR="00000000" w:rsidRDefault="00847163">
            <w:pPr>
              <w:rPr>
                <w:rFonts w:eastAsia="Times New Roman"/>
                <w:sz w:val="20"/>
                <w:szCs w:val="20"/>
              </w:rPr>
            </w:pPr>
            <w:r>
              <w:rPr>
                <w:rFonts w:eastAsia="Times New Roman"/>
                <w:sz w:val="20"/>
                <w:szCs w:val="20"/>
              </w:rPr>
              <w:t> </w:t>
            </w:r>
          </w:p>
        </w:tc>
        <w:tc>
          <w:tcPr>
            <w:tcW w:w="50" w:type="pct"/>
            <w:vAlign w:val="bottom"/>
            <w:hideMark/>
          </w:tcPr>
          <w:p w14:paraId="227AB9CF" w14:textId="77777777" w:rsidR="00000000" w:rsidRDefault="00847163">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59370128" w14:textId="77777777" w:rsidR="00000000" w:rsidRDefault="00847163">
            <w:pPr>
              <w:pStyle w:val="a3"/>
              <w:spacing w:before="0" w:beforeAutospacing="0" w:after="0" w:afterAutospacing="0"/>
              <w:jc w:val="center"/>
              <w:rPr>
                <w:sz w:val="20"/>
                <w:szCs w:val="20"/>
              </w:rPr>
            </w:pPr>
            <w:r>
              <w:rPr>
                <w:b/>
                <w:bCs/>
                <w:sz w:val="20"/>
                <w:szCs w:val="20"/>
              </w:rPr>
              <w:t>Average</w:t>
            </w:r>
          </w:p>
          <w:p w14:paraId="2E3435E5" w14:textId="77777777" w:rsidR="00000000" w:rsidRDefault="00847163">
            <w:pPr>
              <w:pStyle w:val="a3"/>
              <w:spacing w:before="0" w:beforeAutospacing="0" w:after="0" w:afterAutospacing="0"/>
              <w:jc w:val="center"/>
              <w:rPr>
                <w:sz w:val="20"/>
                <w:szCs w:val="20"/>
              </w:rPr>
            </w:pPr>
            <w:r>
              <w:rPr>
                <w:b/>
                <w:bCs/>
                <w:sz w:val="20"/>
                <w:szCs w:val="20"/>
              </w:rPr>
              <w:t>Price Paid</w:t>
            </w:r>
          </w:p>
          <w:p w14:paraId="24046E48" w14:textId="77777777" w:rsidR="00000000" w:rsidRDefault="00847163">
            <w:pPr>
              <w:pStyle w:val="a3"/>
              <w:spacing w:before="0" w:beforeAutospacing="0" w:after="0" w:afterAutospacing="0"/>
              <w:jc w:val="center"/>
              <w:rPr>
                <w:sz w:val="20"/>
                <w:szCs w:val="20"/>
              </w:rPr>
            </w:pPr>
            <w:r>
              <w:rPr>
                <w:b/>
                <w:bCs/>
                <w:sz w:val="20"/>
                <w:szCs w:val="20"/>
              </w:rPr>
              <w:t>per Share</w:t>
            </w:r>
          </w:p>
        </w:tc>
        <w:tc>
          <w:tcPr>
            <w:tcW w:w="50" w:type="pct"/>
            <w:tcMar>
              <w:top w:w="0" w:type="dxa"/>
              <w:left w:w="0" w:type="dxa"/>
              <w:bottom w:w="15" w:type="dxa"/>
              <w:right w:w="0" w:type="dxa"/>
            </w:tcMar>
            <w:vAlign w:val="bottom"/>
            <w:hideMark/>
          </w:tcPr>
          <w:p w14:paraId="59077CB2" w14:textId="77777777" w:rsidR="00000000" w:rsidRDefault="00847163">
            <w:pPr>
              <w:rPr>
                <w:rFonts w:eastAsia="Times New Roman"/>
                <w:sz w:val="20"/>
                <w:szCs w:val="20"/>
              </w:rPr>
            </w:pPr>
            <w:r>
              <w:rPr>
                <w:rFonts w:eastAsia="Times New Roman"/>
                <w:sz w:val="20"/>
                <w:szCs w:val="20"/>
              </w:rPr>
              <w:t> </w:t>
            </w:r>
          </w:p>
        </w:tc>
        <w:tc>
          <w:tcPr>
            <w:tcW w:w="50" w:type="pct"/>
            <w:vAlign w:val="bottom"/>
            <w:hideMark/>
          </w:tcPr>
          <w:p w14:paraId="0F47AFE1" w14:textId="77777777" w:rsidR="00000000" w:rsidRDefault="00847163">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4C32FDD7" w14:textId="77777777" w:rsidR="00000000" w:rsidRDefault="00847163">
            <w:pPr>
              <w:pStyle w:val="a3"/>
              <w:spacing w:before="0" w:beforeAutospacing="0" w:after="0" w:afterAutospacing="0"/>
              <w:jc w:val="center"/>
              <w:rPr>
                <w:sz w:val="20"/>
                <w:szCs w:val="20"/>
              </w:rPr>
            </w:pPr>
            <w:r>
              <w:rPr>
                <w:b/>
                <w:bCs/>
                <w:sz w:val="20"/>
                <w:szCs w:val="20"/>
              </w:rPr>
              <w:t>Total Number of</w:t>
            </w:r>
          </w:p>
          <w:p w14:paraId="5B40F64C" w14:textId="77777777" w:rsidR="00000000" w:rsidRDefault="00847163">
            <w:pPr>
              <w:pStyle w:val="a3"/>
              <w:spacing w:before="0" w:beforeAutospacing="0" w:after="0" w:afterAutospacing="0"/>
              <w:jc w:val="center"/>
              <w:rPr>
                <w:sz w:val="20"/>
                <w:szCs w:val="20"/>
              </w:rPr>
            </w:pPr>
            <w:r>
              <w:rPr>
                <w:b/>
                <w:bCs/>
                <w:sz w:val="20"/>
                <w:szCs w:val="20"/>
              </w:rPr>
              <w:t xml:space="preserve">Shares Purchased </w:t>
            </w:r>
          </w:p>
          <w:p w14:paraId="6635AF9A" w14:textId="77777777" w:rsidR="00000000" w:rsidRDefault="00847163">
            <w:pPr>
              <w:pStyle w:val="a3"/>
              <w:spacing w:before="0" w:beforeAutospacing="0" w:after="0" w:afterAutospacing="0"/>
              <w:jc w:val="center"/>
              <w:rPr>
                <w:sz w:val="20"/>
                <w:szCs w:val="20"/>
              </w:rPr>
            </w:pPr>
            <w:r>
              <w:rPr>
                <w:b/>
                <w:bCs/>
                <w:sz w:val="20"/>
                <w:szCs w:val="20"/>
              </w:rPr>
              <w:t>as Part of Publicly</w:t>
            </w:r>
          </w:p>
          <w:p w14:paraId="349E99A9" w14:textId="77777777" w:rsidR="00000000" w:rsidRDefault="00847163">
            <w:pPr>
              <w:pStyle w:val="a3"/>
              <w:spacing w:before="0" w:beforeAutospacing="0" w:after="0" w:afterAutospacing="0"/>
              <w:jc w:val="center"/>
              <w:rPr>
                <w:sz w:val="20"/>
                <w:szCs w:val="20"/>
              </w:rPr>
            </w:pPr>
            <w:r>
              <w:rPr>
                <w:b/>
                <w:bCs/>
                <w:sz w:val="20"/>
                <w:szCs w:val="20"/>
              </w:rPr>
              <w:t>Announced Plans</w:t>
            </w:r>
          </w:p>
          <w:p w14:paraId="4379C5C1" w14:textId="77777777" w:rsidR="00000000" w:rsidRDefault="00847163">
            <w:pPr>
              <w:pStyle w:val="a3"/>
              <w:spacing w:before="0" w:beforeAutospacing="0" w:after="0" w:afterAutospacing="0"/>
              <w:jc w:val="center"/>
              <w:rPr>
                <w:sz w:val="20"/>
                <w:szCs w:val="20"/>
              </w:rPr>
            </w:pPr>
            <w:r>
              <w:rPr>
                <w:b/>
                <w:bCs/>
                <w:sz w:val="20"/>
                <w:szCs w:val="20"/>
              </w:rPr>
              <w:t>or Programs</w:t>
            </w:r>
          </w:p>
        </w:tc>
        <w:tc>
          <w:tcPr>
            <w:tcW w:w="50" w:type="pct"/>
            <w:tcMar>
              <w:top w:w="0" w:type="dxa"/>
              <w:left w:w="0" w:type="dxa"/>
              <w:bottom w:w="15" w:type="dxa"/>
              <w:right w:w="0" w:type="dxa"/>
            </w:tcMar>
            <w:vAlign w:val="bottom"/>
            <w:hideMark/>
          </w:tcPr>
          <w:p w14:paraId="31A46364" w14:textId="77777777" w:rsidR="00000000" w:rsidRDefault="00847163">
            <w:pPr>
              <w:rPr>
                <w:rFonts w:eastAsia="Times New Roman"/>
                <w:sz w:val="20"/>
                <w:szCs w:val="20"/>
              </w:rPr>
            </w:pPr>
            <w:r>
              <w:rPr>
                <w:rFonts w:eastAsia="Times New Roman"/>
                <w:sz w:val="20"/>
                <w:szCs w:val="20"/>
              </w:rPr>
              <w:t> </w:t>
            </w:r>
          </w:p>
        </w:tc>
        <w:tc>
          <w:tcPr>
            <w:tcW w:w="50" w:type="pct"/>
            <w:vAlign w:val="bottom"/>
            <w:hideMark/>
          </w:tcPr>
          <w:p w14:paraId="0A85CAD9" w14:textId="77777777" w:rsidR="00000000" w:rsidRDefault="00847163">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49C3A04D" w14:textId="77777777" w:rsidR="00000000" w:rsidRDefault="00847163">
            <w:pPr>
              <w:pStyle w:val="a3"/>
              <w:spacing w:before="0" w:beforeAutospacing="0" w:after="0" w:afterAutospacing="0"/>
              <w:jc w:val="center"/>
              <w:rPr>
                <w:sz w:val="20"/>
                <w:szCs w:val="20"/>
              </w:rPr>
            </w:pPr>
            <w:r>
              <w:rPr>
                <w:b/>
                <w:bCs/>
                <w:sz w:val="20"/>
                <w:szCs w:val="20"/>
              </w:rPr>
              <w:t xml:space="preserve">Approximate Dollar </w:t>
            </w:r>
          </w:p>
          <w:p w14:paraId="70E99006" w14:textId="77777777" w:rsidR="00000000" w:rsidRDefault="00847163">
            <w:pPr>
              <w:pStyle w:val="a3"/>
              <w:spacing w:before="0" w:beforeAutospacing="0" w:after="0" w:afterAutospacing="0"/>
              <w:jc w:val="center"/>
              <w:rPr>
                <w:sz w:val="20"/>
                <w:szCs w:val="20"/>
              </w:rPr>
            </w:pPr>
            <w:r>
              <w:rPr>
                <w:b/>
                <w:bCs/>
                <w:sz w:val="20"/>
                <w:szCs w:val="20"/>
              </w:rPr>
              <w:t xml:space="preserve">Value of Shares that May </w:t>
            </w:r>
          </w:p>
          <w:p w14:paraId="4B471F27" w14:textId="77777777" w:rsidR="00000000" w:rsidRDefault="00847163">
            <w:pPr>
              <w:pStyle w:val="a3"/>
              <w:spacing w:before="0" w:beforeAutospacing="0" w:after="0" w:afterAutospacing="0"/>
              <w:jc w:val="center"/>
              <w:rPr>
                <w:sz w:val="20"/>
                <w:szCs w:val="20"/>
              </w:rPr>
            </w:pPr>
            <w:r>
              <w:rPr>
                <w:b/>
                <w:bCs/>
                <w:sz w:val="20"/>
                <w:szCs w:val="20"/>
              </w:rPr>
              <w:t>Yet Be Purchased Under</w:t>
            </w:r>
          </w:p>
          <w:p w14:paraId="02830772" w14:textId="77777777" w:rsidR="00000000" w:rsidRDefault="00847163">
            <w:pPr>
              <w:pStyle w:val="a3"/>
              <w:spacing w:before="0" w:beforeAutospacing="0" w:after="0" w:afterAutospacing="0"/>
              <w:jc w:val="center"/>
              <w:rPr>
                <w:sz w:val="20"/>
                <w:szCs w:val="20"/>
              </w:rPr>
            </w:pPr>
            <w:r>
              <w:rPr>
                <w:b/>
                <w:bCs/>
                <w:sz w:val="20"/>
                <w:szCs w:val="20"/>
              </w:rPr>
              <w:t>the Plans or Programs</w:t>
            </w:r>
          </w:p>
          <w:p w14:paraId="77C13F95" w14:textId="77777777" w:rsidR="00000000" w:rsidRDefault="00847163">
            <w:pPr>
              <w:pStyle w:val="a3"/>
              <w:spacing w:before="0" w:beforeAutospacing="0" w:after="0" w:afterAutospacing="0"/>
              <w:jc w:val="center"/>
              <w:rPr>
                <w:sz w:val="20"/>
                <w:szCs w:val="20"/>
              </w:rPr>
            </w:pPr>
            <w:r>
              <w:rPr>
                <w:b/>
                <w:bCs/>
                <w:sz w:val="20"/>
                <w:szCs w:val="20"/>
              </w:rPr>
              <w:t>(in millions)</w:t>
            </w:r>
          </w:p>
        </w:tc>
        <w:tc>
          <w:tcPr>
            <w:tcW w:w="50" w:type="pct"/>
            <w:tcMar>
              <w:top w:w="0" w:type="dxa"/>
              <w:left w:w="0" w:type="dxa"/>
              <w:bottom w:w="15" w:type="dxa"/>
              <w:right w:w="0" w:type="dxa"/>
            </w:tcMar>
            <w:vAlign w:val="bottom"/>
            <w:hideMark/>
          </w:tcPr>
          <w:p w14:paraId="4BB1268D" w14:textId="77777777" w:rsidR="00000000" w:rsidRDefault="00847163">
            <w:pPr>
              <w:rPr>
                <w:rFonts w:eastAsia="Times New Roman"/>
                <w:sz w:val="20"/>
                <w:szCs w:val="20"/>
              </w:rPr>
            </w:pPr>
            <w:r>
              <w:rPr>
                <w:rFonts w:eastAsia="Times New Roman"/>
                <w:sz w:val="20"/>
                <w:szCs w:val="20"/>
              </w:rPr>
              <w:t> </w:t>
            </w:r>
          </w:p>
        </w:tc>
      </w:tr>
      <w:tr w:rsidR="00000000" w14:paraId="5D858010" w14:textId="77777777">
        <w:trPr>
          <w:tblCellSpacing w:w="0" w:type="dxa"/>
        </w:trPr>
        <w:tc>
          <w:tcPr>
            <w:tcW w:w="1900" w:type="pct"/>
            <w:shd w:val="clear" w:color="auto" w:fill="CCEEFF"/>
            <w:vAlign w:val="bottom"/>
            <w:hideMark/>
          </w:tcPr>
          <w:p w14:paraId="11139067" w14:textId="77777777" w:rsidR="00000000" w:rsidRDefault="00847163">
            <w:pPr>
              <w:pStyle w:val="a3"/>
              <w:spacing w:before="0" w:beforeAutospacing="0" w:after="0" w:afterAutospacing="0"/>
              <w:jc w:val="center"/>
              <w:rPr>
                <w:sz w:val="20"/>
                <w:szCs w:val="20"/>
              </w:rPr>
            </w:pPr>
            <w:r>
              <w:rPr>
                <w:sz w:val="20"/>
                <w:szCs w:val="20"/>
              </w:rPr>
              <w:t>January 1, 2020 – January 31, 2020</w:t>
            </w:r>
          </w:p>
        </w:tc>
        <w:tc>
          <w:tcPr>
            <w:tcW w:w="50" w:type="pct"/>
            <w:shd w:val="clear" w:color="auto" w:fill="CCEEFF"/>
            <w:vAlign w:val="bottom"/>
            <w:hideMark/>
          </w:tcPr>
          <w:p w14:paraId="36978746"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E2D69AF" w14:textId="77777777" w:rsidR="00000000" w:rsidRDefault="00847163">
            <w:pPr>
              <w:rPr>
                <w:rFonts w:eastAsia="Times New Roman"/>
                <w:sz w:val="20"/>
                <w:szCs w:val="20"/>
              </w:rPr>
            </w:pPr>
            <w:r>
              <w:rPr>
                <w:rFonts w:eastAsia="Times New Roman"/>
                <w:sz w:val="20"/>
                <w:szCs w:val="20"/>
              </w:rPr>
              <w:t> </w:t>
            </w:r>
          </w:p>
        </w:tc>
        <w:tc>
          <w:tcPr>
            <w:tcW w:w="500" w:type="pct"/>
            <w:shd w:val="clear" w:color="auto" w:fill="CCEEFF"/>
            <w:vAlign w:val="bottom"/>
            <w:hideMark/>
          </w:tcPr>
          <w:p w14:paraId="5F3C55EF" w14:textId="77777777" w:rsidR="00000000" w:rsidRDefault="00847163">
            <w:pPr>
              <w:jc w:val="right"/>
              <w:rPr>
                <w:rFonts w:eastAsia="Times New Roman"/>
                <w:sz w:val="20"/>
                <w:szCs w:val="20"/>
              </w:rPr>
            </w:pPr>
            <w:r>
              <w:rPr>
                <w:rFonts w:eastAsia="Times New Roman"/>
                <w:sz w:val="20"/>
                <w:szCs w:val="20"/>
              </w:rPr>
              <w:t>30,631</w:t>
            </w:r>
          </w:p>
        </w:tc>
        <w:tc>
          <w:tcPr>
            <w:tcW w:w="50" w:type="pct"/>
            <w:shd w:val="clear" w:color="auto" w:fill="CCEEFF"/>
            <w:vAlign w:val="bottom"/>
            <w:hideMark/>
          </w:tcPr>
          <w:p w14:paraId="28B9994D"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33AF2E4"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784FF74" w14:textId="77777777" w:rsidR="00000000" w:rsidRDefault="00847163">
            <w:pPr>
              <w:rPr>
                <w:rFonts w:eastAsia="Times New Roman"/>
                <w:sz w:val="20"/>
                <w:szCs w:val="20"/>
              </w:rPr>
            </w:pPr>
            <w:r>
              <w:rPr>
                <w:rFonts w:eastAsia="Times New Roman"/>
                <w:sz w:val="20"/>
                <w:szCs w:val="20"/>
              </w:rPr>
              <w:t>$</w:t>
            </w:r>
          </w:p>
        </w:tc>
        <w:tc>
          <w:tcPr>
            <w:tcW w:w="500" w:type="pct"/>
            <w:shd w:val="clear" w:color="auto" w:fill="CCEEFF"/>
            <w:vAlign w:val="bottom"/>
            <w:hideMark/>
          </w:tcPr>
          <w:p w14:paraId="0448CAE7" w14:textId="77777777" w:rsidR="00000000" w:rsidRDefault="00847163">
            <w:pPr>
              <w:jc w:val="right"/>
              <w:rPr>
                <w:rFonts w:eastAsia="Times New Roman"/>
                <w:sz w:val="20"/>
                <w:szCs w:val="20"/>
              </w:rPr>
            </w:pPr>
            <w:r>
              <w:rPr>
                <w:rFonts w:eastAsia="Times New Roman"/>
                <w:sz w:val="20"/>
                <w:szCs w:val="20"/>
              </w:rPr>
              <w:t>20.63</w:t>
            </w:r>
          </w:p>
        </w:tc>
        <w:tc>
          <w:tcPr>
            <w:tcW w:w="50" w:type="pct"/>
            <w:shd w:val="clear" w:color="auto" w:fill="CCEEFF"/>
            <w:vAlign w:val="bottom"/>
            <w:hideMark/>
          </w:tcPr>
          <w:p w14:paraId="779CB783"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2391440"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2CAB83C" w14:textId="77777777" w:rsidR="00000000" w:rsidRDefault="00847163">
            <w:pPr>
              <w:rPr>
                <w:rFonts w:eastAsia="Times New Roman"/>
                <w:sz w:val="20"/>
                <w:szCs w:val="20"/>
              </w:rPr>
            </w:pPr>
            <w:r>
              <w:rPr>
                <w:rFonts w:eastAsia="Times New Roman"/>
                <w:sz w:val="20"/>
                <w:szCs w:val="20"/>
              </w:rPr>
              <w:t> </w:t>
            </w:r>
          </w:p>
        </w:tc>
        <w:tc>
          <w:tcPr>
            <w:tcW w:w="750" w:type="pct"/>
            <w:shd w:val="clear" w:color="auto" w:fill="CCEEFF"/>
            <w:vAlign w:val="bottom"/>
            <w:hideMark/>
          </w:tcPr>
          <w:p w14:paraId="660ABF98" w14:textId="77777777" w:rsidR="00000000" w:rsidRDefault="0084716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45651657"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216E591"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371BCF9" w14:textId="77777777" w:rsidR="00000000" w:rsidRDefault="00847163">
            <w:pPr>
              <w:rPr>
                <w:rFonts w:eastAsia="Times New Roman"/>
                <w:sz w:val="20"/>
                <w:szCs w:val="20"/>
              </w:rPr>
            </w:pPr>
            <w:r>
              <w:rPr>
                <w:rFonts w:eastAsia="Times New Roman"/>
                <w:sz w:val="20"/>
                <w:szCs w:val="20"/>
              </w:rPr>
              <w:t>$</w:t>
            </w:r>
          </w:p>
        </w:tc>
        <w:tc>
          <w:tcPr>
            <w:tcW w:w="750" w:type="pct"/>
            <w:shd w:val="clear" w:color="auto" w:fill="CCEEFF"/>
            <w:vAlign w:val="bottom"/>
            <w:hideMark/>
          </w:tcPr>
          <w:p w14:paraId="4D6B795E" w14:textId="77777777" w:rsidR="00000000" w:rsidRDefault="00847163">
            <w:pPr>
              <w:jc w:val="right"/>
              <w:rPr>
                <w:rFonts w:eastAsia="Times New Roman"/>
                <w:sz w:val="20"/>
                <w:szCs w:val="20"/>
              </w:rPr>
            </w:pPr>
            <w:r>
              <w:rPr>
                <w:rFonts w:eastAsia="Times New Roman"/>
                <w:sz w:val="20"/>
                <w:szCs w:val="20"/>
              </w:rPr>
              <w:t>224.9</w:t>
            </w:r>
          </w:p>
        </w:tc>
        <w:tc>
          <w:tcPr>
            <w:tcW w:w="50" w:type="pct"/>
            <w:shd w:val="clear" w:color="auto" w:fill="CCEEFF"/>
            <w:vAlign w:val="bottom"/>
            <w:hideMark/>
          </w:tcPr>
          <w:p w14:paraId="2F1BEDFB" w14:textId="77777777" w:rsidR="00000000" w:rsidRDefault="00847163">
            <w:pPr>
              <w:rPr>
                <w:rFonts w:eastAsia="Times New Roman"/>
                <w:sz w:val="20"/>
                <w:szCs w:val="20"/>
              </w:rPr>
            </w:pPr>
            <w:r>
              <w:rPr>
                <w:rFonts w:eastAsia="Times New Roman"/>
                <w:sz w:val="20"/>
                <w:szCs w:val="20"/>
              </w:rPr>
              <w:t> </w:t>
            </w:r>
          </w:p>
        </w:tc>
      </w:tr>
      <w:tr w:rsidR="00000000" w14:paraId="16EC8BCE" w14:textId="77777777">
        <w:trPr>
          <w:tblCellSpacing w:w="0" w:type="dxa"/>
        </w:trPr>
        <w:tc>
          <w:tcPr>
            <w:tcW w:w="1900" w:type="pct"/>
            <w:shd w:val="clear" w:color="auto" w:fill="FFFFFF"/>
            <w:vAlign w:val="bottom"/>
            <w:hideMark/>
          </w:tcPr>
          <w:p w14:paraId="658EC365" w14:textId="77777777" w:rsidR="00000000" w:rsidRDefault="00847163">
            <w:pPr>
              <w:pStyle w:val="a3"/>
              <w:spacing w:before="0" w:beforeAutospacing="0" w:after="0" w:afterAutospacing="0"/>
              <w:jc w:val="center"/>
              <w:rPr>
                <w:sz w:val="20"/>
                <w:szCs w:val="20"/>
              </w:rPr>
            </w:pPr>
            <w:r>
              <w:rPr>
                <w:sz w:val="20"/>
                <w:szCs w:val="20"/>
              </w:rPr>
              <w:t>February 1, 2020 – February 29, 2020</w:t>
            </w:r>
          </w:p>
        </w:tc>
        <w:tc>
          <w:tcPr>
            <w:tcW w:w="50" w:type="pct"/>
            <w:shd w:val="clear" w:color="auto" w:fill="FFFFFF"/>
            <w:vAlign w:val="bottom"/>
            <w:hideMark/>
          </w:tcPr>
          <w:p w14:paraId="30EAF4E0"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0C10087" w14:textId="77777777" w:rsidR="00000000" w:rsidRDefault="00847163">
            <w:pPr>
              <w:rPr>
                <w:rFonts w:eastAsia="Times New Roman"/>
                <w:sz w:val="20"/>
                <w:szCs w:val="20"/>
              </w:rPr>
            </w:pPr>
            <w:r>
              <w:rPr>
                <w:rFonts w:eastAsia="Times New Roman"/>
                <w:sz w:val="20"/>
                <w:szCs w:val="20"/>
              </w:rPr>
              <w:t> </w:t>
            </w:r>
          </w:p>
        </w:tc>
        <w:tc>
          <w:tcPr>
            <w:tcW w:w="500" w:type="pct"/>
            <w:shd w:val="clear" w:color="auto" w:fill="FFFFFF"/>
            <w:vAlign w:val="bottom"/>
            <w:hideMark/>
          </w:tcPr>
          <w:p w14:paraId="473E1C00" w14:textId="77777777" w:rsidR="00000000" w:rsidRDefault="00847163">
            <w:pPr>
              <w:jc w:val="right"/>
              <w:rPr>
                <w:rFonts w:eastAsia="Times New Roman"/>
                <w:sz w:val="20"/>
                <w:szCs w:val="20"/>
              </w:rPr>
            </w:pPr>
            <w:r>
              <w:rPr>
                <w:rFonts w:eastAsia="Times New Roman"/>
                <w:sz w:val="20"/>
                <w:szCs w:val="20"/>
              </w:rPr>
              <w:t>238,412</w:t>
            </w:r>
          </w:p>
        </w:tc>
        <w:tc>
          <w:tcPr>
            <w:tcW w:w="50" w:type="pct"/>
            <w:shd w:val="clear" w:color="auto" w:fill="FFFFFF"/>
            <w:vAlign w:val="bottom"/>
            <w:hideMark/>
          </w:tcPr>
          <w:p w14:paraId="34C5077D"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5BD17F0"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24BF747" w14:textId="77777777" w:rsidR="00000000" w:rsidRDefault="00847163">
            <w:pPr>
              <w:rPr>
                <w:rFonts w:eastAsia="Times New Roman"/>
                <w:sz w:val="20"/>
                <w:szCs w:val="20"/>
              </w:rPr>
            </w:pPr>
            <w:r>
              <w:rPr>
                <w:rFonts w:eastAsia="Times New Roman"/>
                <w:sz w:val="20"/>
                <w:szCs w:val="20"/>
              </w:rPr>
              <w:t> </w:t>
            </w:r>
          </w:p>
        </w:tc>
        <w:tc>
          <w:tcPr>
            <w:tcW w:w="500" w:type="pct"/>
            <w:shd w:val="clear" w:color="auto" w:fill="FFFFFF"/>
            <w:vAlign w:val="bottom"/>
            <w:hideMark/>
          </w:tcPr>
          <w:p w14:paraId="775A3542" w14:textId="77777777" w:rsidR="00000000" w:rsidRDefault="00847163">
            <w:pPr>
              <w:jc w:val="right"/>
              <w:rPr>
                <w:rFonts w:eastAsia="Times New Roman"/>
                <w:sz w:val="20"/>
                <w:szCs w:val="20"/>
              </w:rPr>
            </w:pPr>
            <w:r>
              <w:rPr>
                <w:rFonts w:eastAsia="Times New Roman"/>
                <w:sz w:val="20"/>
                <w:szCs w:val="20"/>
              </w:rPr>
              <w:t>18.82</w:t>
            </w:r>
          </w:p>
        </w:tc>
        <w:tc>
          <w:tcPr>
            <w:tcW w:w="50" w:type="pct"/>
            <w:shd w:val="clear" w:color="auto" w:fill="FFFFFF"/>
            <w:vAlign w:val="bottom"/>
            <w:hideMark/>
          </w:tcPr>
          <w:p w14:paraId="5ABA1657"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FF80111"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84DAD82" w14:textId="77777777" w:rsidR="00000000" w:rsidRDefault="00847163">
            <w:pPr>
              <w:rPr>
                <w:rFonts w:eastAsia="Times New Roman"/>
                <w:sz w:val="20"/>
                <w:szCs w:val="20"/>
              </w:rPr>
            </w:pPr>
            <w:r>
              <w:rPr>
                <w:rFonts w:eastAsia="Times New Roman"/>
                <w:sz w:val="20"/>
                <w:szCs w:val="20"/>
              </w:rPr>
              <w:t> </w:t>
            </w:r>
          </w:p>
        </w:tc>
        <w:tc>
          <w:tcPr>
            <w:tcW w:w="750" w:type="pct"/>
            <w:shd w:val="clear" w:color="auto" w:fill="FFFFFF"/>
            <w:vAlign w:val="bottom"/>
            <w:hideMark/>
          </w:tcPr>
          <w:p w14:paraId="3706473E" w14:textId="77777777" w:rsidR="00000000" w:rsidRDefault="00847163">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06E7E866"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9CB407D"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575AE10" w14:textId="77777777" w:rsidR="00000000" w:rsidRDefault="00847163">
            <w:pPr>
              <w:rPr>
                <w:rFonts w:eastAsia="Times New Roman"/>
                <w:sz w:val="20"/>
                <w:szCs w:val="20"/>
              </w:rPr>
            </w:pPr>
            <w:r>
              <w:rPr>
                <w:rFonts w:eastAsia="Times New Roman"/>
                <w:sz w:val="20"/>
                <w:szCs w:val="20"/>
              </w:rPr>
              <w:t> </w:t>
            </w:r>
          </w:p>
        </w:tc>
        <w:tc>
          <w:tcPr>
            <w:tcW w:w="750" w:type="pct"/>
            <w:shd w:val="clear" w:color="auto" w:fill="FFFFFF"/>
            <w:vAlign w:val="bottom"/>
            <w:hideMark/>
          </w:tcPr>
          <w:p w14:paraId="1EA36D90" w14:textId="77777777" w:rsidR="00000000" w:rsidRDefault="00847163">
            <w:pPr>
              <w:jc w:val="right"/>
              <w:rPr>
                <w:rFonts w:eastAsia="Times New Roman"/>
                <w:sz w:val="20"/>
                <w:szCs w:val="20"/>
              </w:rPr>
            </w:pPr>
            <w:r>
              <w:rPr>
                <w:rFonts w:eastAsia="Times New Roman"/>
                <w:sz w:val="20"/>
                <w:szCs w:val="20"/>
              </w:rPr>
              <w:t>224.9</w:t>
            </w:r>
          </w:p>
        </w:tc>
        <w:tc>
          <w:tcPr>
            <w:tcW w:w="50" w:type="pct"/>
            <w:shd w:val="clear" w:color="auto" w:fill="FFFFFF"/>
            <w:vAlign w:val="bottom"/>
            <w:hideMark/>
          </w:tcPr>
          <w:p w14:paraId="7EAEE74E" w14:textId="77777777" w:rsidR="00000000" w:rsidRDefault="00847163">
            <w:pPr>
              <w:rPr>
                <w:rFonts w:eastAsia="Times New Roman"/>
                <w:sz w:val="20"/>
                <w:szCs w:val="20"/>
              </w:rPr>
            </w:pPr>
            <w:r>
              <w:rPr>
                <w:rFonts w:eastAsia="Times New Roman"/>
                <w:sz w:val="20"/>
                <w:szCs w:val="20"/>
              </w:rPr>
              <w:t> </w:t>
            </w:r>
          </w:p>
        </w:tc>
      </w:tr>
      <w:tr w:rsidR="00000000" w14:paraId="5435FF47" w14:textId="77777777">
        <w:trPr>
          <w:tblCellSpacing w:w="0" w:type="dxa"/>
        </w:trPr>
        <w:tc>
          <w:tcPr>
            <w:tcW w:w="1900" w:type="pct"/>
            <w:shd w:val="clear" w:color="auto" w:fill="CCEEFF"/>
            <w:vAlign w:val="bottom"/>
            <w:hideMark/>
          </w:tcPr>
          <w:p w14:paraId="0BBC2A0B" w14:textId="77777777" w:rsidR="00000000" w:rsidRDefault="00847163">
            <w:pPr>
              <w:pStyle w:val="a3"/>
              <w:spacing w:before="0" w:beforeAutospacing="0" w:after="0" w:afterAutospacing="0"/>
              <w:jc w:val="center"/>
              <w:rPr>
                <w:sz w:val="20"/>
                <w:szCs w:val="20"/>
              </w:rPr>
            </w:pPr>
            <w:r>
              <w:rPr>
                <w:sz w:val="20"/>
                <w:szCs w:val="20"/>
              </w:rPr>
              <w:t>March 1, 2020 – March 31, 2020</w:t>
            </w:r>
          </w:p>
        </w:tc>
        <w:tc>
          <w:tcPr>
            <w:tcW w:w="50" w:type="pct"/>
            <w:shd w:val="clear" w:color="auto" w:fill="CCEEFF"/>
            <w:tcMar>
              <w:top w:w="0" w:type="dxa"/>
              <w:left w:w="0" w:type="dxa"/>
              <w:bottom w:w="15" w:type="dxa"/>
              <w:right w:w="0" w:type="dxa"/>
            </w:tcMar>
            <w:vAlign w:val="bottom"/>
            <w:hideMark/>
          </w:tcPr>
          <w:p w14:paraId="4CA5910E" w14:textId="77777777" w:rsidR="00000000" w:rsidRDefault="0084716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06BAB49C" w14:textId="77777777" w:rsidR="00000000" w:rsidRDefault="00847163">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14:paraId="43AF7513" w14:textId="77777777" w:rsidR="00000000" w:rsidRDefault="00847163">
            <w:pPr>
              <w:jc w:val="right"/>
              <w:rPr>
                <w:rFonts w:eastAsia="Times New Roman"/>
                <w:sz w:val="20"/>
                <w:szCs w:val="20"/>
              </w:rPr>
            </w:pPr>
            <w:r>
              <w:rPr>
                <w:rFonts w:eastAsia="Times New Roman"/>
                <w:sz w:val="20"/>
                <w:szCs w:val="20"/>
              </w:rPr>
              <w:t>1,665</w:t>
            </w:r>
          </w:p>
        </w:tc>
        <w:tc>
          <w:tcPr>
            <w:tcW w:w="50" w:type="pct"/>
            <w:shd w:val="clear" w:color="auto" w:fill="CCEEFF"/>
            <w:tcMar>
              <w:top w:w="0" w:type="dxa"/>
              <w:left w:w="0" w:type="dxa"/>
              <w:bottom w:w="15" w:type="dxa"/>
              <w:right w:w="0" w:type="dxa"/>
            </w:tcMar>
            <w:vAlign w:val="bottom"/>
            <w:hideMark/>
          </w:tcPr>
          <w:p w14:paraId="3D2B40C8"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14:paraId="3F60FB31" w14:textId="77777777" w:rsidR="00000000" w:rsidRDefault="0084716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06916C08" w14:textId="77777777" w:rsidR="00000000" w:rsidRDefault="00847163">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14:paraId="13EA3198" w14:textId="77777777" w:rsidR="00000000" w:rsidRDefault="00847163">
            <w:pPr>
              <w:jc w:val="right"/>
              <w:rPr>
                <w:rFonts w:eastAsia="Times New Roman"/>
                <w:sz w:val="20"/>
                <w:szCs w:val="20"/>
              </w:rPr>
            </w:pPr>
            <w:r>
              <w:rPr>
                <w:rFonts w:eastAsia="Times New Roman"/>
                <w:sz w:val="20"/>
                <w:szCs w:val="20"/>
              </w:rPr>
              <w:t>17.76</w:t>
            </w:r>
          </w:p>
        </w:tc>
        <w:tc>
          <w:tcPr>
            <w:tcW w:w="50" w:type="pct"/>
            <w:shd w:val="clear" w:color="auto" w:fill="CCEEFF"/>
            <w:tcMar>
              <w:top w:w="0" w:type="dxa"/>
              <w:left w:w="0" w:type="dxa"/>
              <w:bottom w:w="15" w:type="dxa"/>
              <w:right w:w="0" w:type="dxa"/>
            </w:tcMar>
            <w:vAlign w:val="bottom"/>
            <w:hideMark/>
          </w:tcPr>
          <w:p w14:paraId="1A7D6106"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14:paraId="56FFDD9F" w14:textId="77777777" w:rsidR="00000000" w:rsidRDefault="0084716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30E610AD" w14:textId="77777777" w:rsidR="00000000" w:rsidRDefault="00847163">
            <w:pPr>
              <w:rPr>
                <w:rFonts w:eastAsia="Times New Roman"/>
                <w:sz w:val="20"/>
                <w:szCs w:val="20"/>
              </w:rPr>
            </w:pPr>
            <w:r>
              <w:rPr>
                <w:rFonts w:eastAsia="Times New Roman"/>
                <w:sz w:val="20"/>
                <w:szCs w:val="20"/>
              </w:rPr>
              <w:t> </w:t>
            </w:r>
          </w:p>
        </w:tc>
        <w:tc>
          <w:tcPr>
            <w:tcW w:w="750" w:type="pct"/>
            <w:tcBorders>
              <w:bottom w:val="single" w:sz="6" w:space="0" w:color="000000"/>
            </w:tcBorders>
            <w:shd w:val="clear" w:color="auto" w:fill="CCEEFF"/>
            <w:vAlign w:val="bottom"/>
            <w:hideMark/>
          </w:tcPr>
          <w:p w14:paraId="051A969E" w14:textId="77777777" w:rsidR="00000000" w:rsidRDefault="00847163">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6810CFBD"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7FE632B" w14:textId="77777777" w:rsidR="00000000" w:rsidRDefault="0084716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52F5CD6" w14:textId="77777777" w:rsidR="00000000" w:rsidRDefault="00847163">
            <w:pPr>
              <w:rPr>
                <w:rFonts w:eastAsia="Times New Roman"/>
                <w:sz w:val="20"/>
                <w:szCs w:val="20"/>
              </w:rPr>
            </w:pPr>
            <w:r>
              <w:rPr>
                <w:rFonts w:eastAsia="Times New Roman"/>
                <w:sz w:val="20"/>
                <w:szCs w:val="20"/>
              </w:rPr>
              <w:t> </w:t>
            </w:r>
          </w:p>
        </w:tc>
        <w:tc>
          <w:tcPr>
            <w:tcW w:w="750" w:type="pct"/>
            <w:shd w:val="clear" w:color="auto" w:fill="CCEEFF"/>
            <w:vAlign w:val="bottom"/>
            <w:hideMark/>
          </w:tcPr>
          <w:p w14:paraId="25094D05" w14:textId="77777777" w:rsidR="00000000" w:rsidRDefault="00847163">
            <w:pPr>
              <w:jc w:val="right"/>
              <w:rPr>
                <w:rFonts w:eastAsia="Times New Roman"/>
                <w:sz w:val="20"/>
                <w:szCs w:val="20"/>
              </w:rPr>
            </w:pPr>
            <w:r>
              <w:rPr>
                <w:rFonts w:eastAsia="Times New Roman"/>
                <w:sz w:val="20"/>
                <w:szCs w:val="20"/>
              </w:rPr>
              <w:t>224.9</w:t>
            </w:r>
          </w:p>
        </w:tc>
        <w:tc>
          <w:tcPr>
            <w:tcW w:w="50" w:type="pct"/>
            <w:shd w:val="clear" w:color="auto" w:fill="CCEEFF"/>
            <w:vAlign w:val="bottom"/>
            <w:hideMark/>
          </w:tcPr>
          <w:p w14:paraId="70DC7308" w14:textId="77777777" w:rsidR="00000000" w:rsidRDefault="00847163">
            <w:pPr>
              <w:rPr>
                <w:rFonts w:eastAsia="Times New Roman"/>
                <w:sz w:val="20"/>
                <w:szCs w:val="20"/>
              </w:rPr>
            </w:pPr>
            <w:r>
              <w:rPr>
                <w:rFonts w:eastAsia="Times New Roman"/>
                <w:sz w:val="20"/>
                <w:szCs w:val="20"/>
              </w:rPr>
              <w:t> </w:t>
            </w:r>
          </w:p>
        </w:tc>
      </w:tr>
      <w:tr w:rsidR="00000000" w14:paraId="1761728B" w14:textId="77777777">
        <w:trPr>
          <w:tblCellSpacing w:w="0" w:type="dxa"/>
        </w:trPr>
        <w:tc>
          <w:tcPr>
            <w:tcW w:w="1900" w:type="pct"/>
            <w:shd w:val="clear" w:color="auto" w:fill="FFFFFF"/>
            <w:vAlign w:val="bottom"/>
            <w:hideMark/>
          </w:tcPr>
          <w:p w14:paraId="368F2CEC" w14:textId="77777777" w:rsidR="00000000" w:rsidRDefault="00847163">
            <w:pPr>
              <w:pStyle w:val="a3"/>
              <w:spacing w:before="0" w:beforeAutospacing="0" w:after="0" w:afterAutospacing="0"/>
              <w:jc w:val="center"/>
              <w:rPr>
                <w:sz w:val="20"/>
                <w:szCs w:val="20"/>
              </w:rPr>
            </w:pPr>
            <w:r>
              <w:rPr>
                <w:b/>
                <w:bCs/>
                <w:sz w:val="20"/>
                <w:szCs w:val="20"/>
              </w:rPr>
              <w:t>Total</w:t>
            </w:r>
          </w:p>
        </w:tc>
        <w:tc>
          <w:tcPr>
            <w:tcW w:w="50" w:type="pct"/>
            <w:shd w:val="clear" w:color="auto" w:fill="FFFFFF"/>
            <w:vAlign w:val="bottom"/>
            <w:hideMark/>
          </w:tcPr>
          <w:p w14:paraId="2DBB2351" w14:textId="77777777" w:rsidR="00000000" w:rsidRDefault="0084716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7F469C22" w14:textId="77777777" w:rsidR="00000000" w:rsidRDefault="00847163">
            <w:pPr>
              <w:rPr>
                <w:rFonts w:eastAsia="Times New Roman"/>
                <w:sz w:val="20"/>
                <w:szCs w:val="20"/>
              </w:rPr>
            </w:pPr>
            <w:r>
              <w:rPr>
                <w:rFonts w:eastAsia="Times New Roman"/>
                <w:b/>
                <w:bCs/>
                <w:sz w:val="20"/>
                <w:szCs w:val="20"/>
              </w:rPr>
              <w:t> </w:t>
            </w:r>
          </w:p>
        </w:tc>
        <w:tc>
          <w:tcPr>
            <w:tcW w:w="500" w:type="pct"/>
            <w:tcBorders>
              <w:bottom w:val="double" w:sz="6" w:space="0" w:color="000000"/>
            </w:tcBorders>
            <w:shd w:val="clear" w:color="auto" w:fill="FFFFFF"/>
            <w:vAlign w:val="bottom"/>
            <w:hideMark/>
          </w:tcPr>
          <w:p w14:paraId="52E0D004" w14:textId="77777777" w:rsidR="00000000" w:rsidRDefault="00847163">
            <w:pPr>
              <w:jc w:val="right"/>
              <w:rPr>
                <w:rFonts w:eastAsia="Times New Roman"/>
                <w:sz w:val="20"/>
                <w:szCs w:val="20"/>
              </w:rPr>
            </w:pPr>
            <w:r>
              <w:rPr>
                <w:rFonts w:eastAsia="Times New Roman"/>
                <w:b/>
                <w:bCs/>
                <w:sz w:val="20"/>
                <w:szCs w:val="20"/>
              </w:rPr>
              <w:t>270,708</w:t>
            </w:r>
          </w:p>
        </w:tc>
        <w:tc>
          <w:tcPr>
            <w:tcW w:w="50" w:type="pct"/>
            <w:shd w:val="clear" w:color="auto" w:fill="FFFFFF"/>
            <w:tcMar>
              <w:top w:w="0" w:type="dxa"/>
              <w:left w:w="0" w:type="dxa"/>
              <w:bottom w:w="45" w:type="dxa"/>
              <w:right w:w="0" w:type="dxa"/>
            </w:tcMar>
            <w:vAlign w:val="bottom"/>
            <w:hideMark/>
          </w:tcPr>
          <w:p w14:paraId="15991979"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D72FFA4" w14:textId="77777777" w:rsidR="00000000" w:rsidRDefault="0084716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2FC5F166" w14:textId="77777777" w:rsidR="00000000" w:rsidRDefault="00847163">
            <w:pPr>
              <w:rPr>
                <w:rFonts w:eastAsia="Times New Roman"/>
                <w:sz w:val="20"/>
                <w:szCs w:val="20"/>
              </w:rPr>
            </w:pPr>
            <w:r>
              <w:rPr>
                <w:rFonts w:eastAsia="Times New Roman"/>
                <w:b/>
                <w:bCs/>
                <w:sz w:val="20"/>
                <w:szCs w:val="20"/>
              </w:rPr>
              <w:t>$</w:t>
            </w:r>
          </w:p>
        </w:tc>
        <w:tc>
          <w:tcPr>
            <w:tcW w:w="500" w:type="pct"/>
            <w:tcBorders>
              <w:bottom w:val="double" w:sz="6" w:space="0" w:color="000000"/>
            </w:tcBorders>
            <w:shd w:val="clear" w:color="auto" w:fill="FFFFFF"/>
            <w:vAlign w:val="bottom"/>
            <w:hideMark/>
          </w:tcPr>
          <w:p w14:paraId="57CAA015" w14:textId="77777777" w:rsidR="00000000" w:rsidRDefault="00847163">
            <w:pPr>
              <w:jc w:val="right"/>
              <w:rPr>
                <w:rFonts w:eastAsia="Times New Roman"/>
                <w:sz w:val="20"/>
                <w:szCs w:val="20"/>
              </w:rPr>
            </w:pPr>
            <w:r>
              <w:rPr>
                <w:rFonts w:eastAsia="Times New Roman"/>
                <w:b/>
                <w:bCs/>
                <w:sz w:val="20"/>
                <w:szCs w:val="20"/>
              </w:rPr>
              <w:t>19.02</w:t>
            </w:r>
          </w:p>
        </w:tc>
        <w:tc>
          <w:tcPr>
            <w:tcW w:w="50" w:type="pct"/>
            <w:shd w:val="clear" w:color="auto" w:fill="FFFFFF"/>
            <w:tcMar>
              <w:top w:w="0" w:type="dxa"/>
              <w:left w:w="0" w:type="dxa"/>
              <w:bottom w:w="45" w:type="dxa"/>
              <w:right w:w="0" w:type="dxa"/>
            </w:tcMar>
            <w:vAlign w:val="bottom"/>
            <w:hideMark/>
          </w:tcPr>
          <w:p w14:paraId="136C3127"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8A671BF" w14:textId="77777777" w:rsidR="00000000" w:rsidRDefault="0084716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6466784A" w14:textId="77777777" w:rsidR="00000000" w:rsidRDefault="00847163">
            <w:pPr>
              <w:rPr>
                <w:rFonts w:eastAsia="Times New Roman"/>
                <w:sz w:val="20"/>
                <w:szCs w:val="20"/>
              </w:rPr>
            </w:pPr>
            <w:r>
              <w:rPr>
                <w:rFonts w:eastAsia="Times New Roman"/>
                <w:b/>
                <w:bCs/>
                <w:sz w:val="20"/>
                <w:szCs w:val="20"/>
              </w:rPr>
              <w:t> </w:t>
            </w:r>
          </w:p>
        </w:tc>
        <w:tc>
          <w:tcPr>
            <w:tcW w:w="750" w:type="pct"/>
            <w:tcBorders>
              <w:bottom w:val="double" w:sz="6" w:space="0" w:color="000000"/>
            </w:tcBorders>
            <w:shd w:val="clear" w:color="auto" w:fill="FFFFFF"/>
            <w:vAlign w:val="bottom"/>
            <w:hideMark/>
          </w:tcPr>
          <w:p w14:paraId="4A2188CC" w14:textId="77777777" w:rsidR="00000000" w:rsidRDefault="00847163">
            <w:pPr>
              <w:jc w:val="right"/>
              <w:rPr>
                <w:rFonts w:eastAsia="Times New Roman"/>
                <w:sz w:val="20"/>
                <w:szCs w:val="20"/>
              </w:rPr>
            </w:pPr>
            <w:r>
              <w:rPr>
                <w:rFonts w:eastAsia="Times New Roman"/>
                <w:b/>
                <w:bCs/>
                <w:sz w:val="20"/>
                <w:szCs w:val="20"/>
              </w:rPr>
              <w:t>-</w:t>
            </w:r>
          </w:p>
        </w:tc>
        <w:tc>
          <w:tcPr>
            <w:tcW w:w="50" w:type="pct"/>
            <w:shd w:val="clear" w:color="auto" w:fill="FFFFFF"/>
            <w:tcMar>
              <w:top w:w="0" w:type="dxa"/>
              <w:left w:w="0" w:type="dxa"/>
              <w:bottom w:w="45" w:type="dxa"/>
              <w:right w:w="0" w:type="dxa"/>
            </w:tcMar>
            <w:vAlign w:val="bottom"/>
            <w:hideMark/>
          </w:tcPr>
          <w:p w14:paraId="0389D2C1"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966E504" w14:textId="77777777" w:rsidR="00000000" w:rsidRDefault="0084716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B6CBF6A" w14:textId="77777777" w:rsidR="00000000" w:rsidRDefault="00847163">
            <w:pPr>
              <w:rPr>
                <w:rFonts w:eastAsia="Times New Roman"/>
                <w:sz w:val="20"/>
                <w:szCs w:val="20"/>
              </w:rPr>
            </w:pPr>
            <w:r>
              <w:rPr>
                <w:rFonts w:eastAsia="Times New Roman"/>
                <w:b/>
                <w:bCs/>
                <w:sz w:val="20"/>
                <w:szCs w:val="20"/>
              </w:rPr>
              <w:t> </w:t>
            </w:r>
          </w:p>
        </w:tc>
        <w:tc>
          <w:tcPr>
            <w:tcW w:w="750" w:type="pct"/>
            <w:shd w:val="clear" w:color="auto" w:fill="FFFFFF"/>
            <w:vAlign w:val="bottom"/>
            <w:hideMark/>
          </w:tcPr>
          <w:p w14:paraId="75F83419" w14:textId="77777777" w:rsidR="00000000" w:rsidRDefault="00847163">
            <w:pPr>
              <w:jc w:val="right"/>
              <w:rPr>
                <w:rFonts w:eastAsia="Times New Roman"/>
                <w:sz w:val="20"/>
                <w:szCs w:val="20"/>
              </w:rPr>
            </w:pPr>
            <w:r>
              <w:rPr>
                <w:rFonts w:eastAsia="Times New Roman"/>
                <w:b/>
                <w:bCs/>
                <w:sz w:val="20"/>
                <w:szCs w:val="20"/>
              </w:rPr>
              <w:t> </w:t>
            </w:r>
          </w:p>
        </w:tc>
        <w:tc>
          <w:tcPr>
            <w:tcW w:w="50" w:type="pct"/>
            <w:shd w:val="clear" w:color="auto" w:fill="FFFFFF"/>
            <w:vAlign w:val="bottom"/>
            <w:hideMark/>
          </w:tcPr>
          <w:p w14:paraId="4DF3A72E" w14:textId="77777777" w:rsidR="00000000" w:rsidRDefault="00847163">
            <w:pPr>
              <w:rPr>
                <w:rFonts w:eastAsia="Times New Roman"/>
                <w:sz w:val="20"/>
                <w:szCs w:val="20"/>
              </w:rPr>
            </w:pPr>
            <w:r>
              <w:rPr>
                <w:rFonts w:eastAsia="Times New Roman"/>
                <w:b/>
                <w:bCs/>
                <w:sz w:val="20"/>
                <w:szCs w:val="20"/>
              </w:rPr>
              <w:t> </w:t>
            </w:r>
          </w:p>
        </w:tc>
      </w:tr>
    </w:tbl>
    <w:p w14:paraId="10740861" w14:textId="77777777" w:rsidR="00000000" w:rsidRDefault="00847163">
      <w:pPr>
        <w:pStyle w:val="a3"/>
        <w:spacing w:before="0" w:beforeAutospacing="0" w:after="0" w:afterAutospacing="0"/>
        <w:rPr>
          <w:sz w:val="20"/>
          <w:szCs w:val="20"/>
        </w:rPr>
      </w:pPr>
      <w:r>
        <w:rPr>
          <w:sz w:val="20"/>
          <w:szCs w:val="20"/>
        </w:rPr>
        <w:t> </w:t>
      </w:r>
    </w:p>
    <w:p w14:paraId="4E722876" w14:textId="77777777" w:rsidR="00000000" w:rsidRDefault="00847163">
      <w:pPr>
        <w:pStyle w:val="a3"/>
        <w:spacing w:before="0" w:beforeAutospacing="0" w:after="0" w:afterAutospacing="0"/>
        <w:rPr>
          <w:sz w:val="20"/>
          <w:szCs w:val="20"/>
        </w:rPr>
      </w:pPr>
      <w:r>
        <w:rPr>
          <w:sz w:val="20"/>
          <w:szCs w:val="20"/>
        </w:rPr>
        <w:t> </w:t>
      </w:r>
    </w:p>
    <w:p w14:paraId="0C870BB1" w14:textId="77777777" w:rsidR="00000000" w:rsidRDefault="00847163">
      <w:pPr>
        <w:pStyle w:val="a3"/>
        <w:spacing w:before="0" w:beforeAutospacing="0" w:after="0" w:afterAutospacing="0"/>
        <w:rPr>
          <w:sz w:val="20"/>
          <w:szCs w:val="20"/>
        </w:rPr>
      </w:pPr>
      <w:r>
        <w:rPr>
          <w:b/>
          <w:bCs/>
          <w:sz w:val="20"/>
          <w:szCs w:val="20"/>
        </w:rPr>
        <w:t>Item 3.  Defaults Upon Senior Securities.</w:t>
      </w:r>
    </w:p>
    <w:p w14:paraId="33D82A17" w14:textId="77777777" w:rsidR="00000000" w:rsidRDefault="00847163">
      <w:pPr>
        <w:pStyle w:val="a3"/>
        <w:spacing w:before="0" w:beforeAutospacing="0" w:after="0" w:afterAutospacing="0"/>
        <w:jc w:val="both"/>
        <w:rPr>
          <w:sz w:val="20"/>
          <w:szCs w:val="20"/>
        </w:rPr>
      </w:pPr>
      <w:r>
        <w:rPr>
          <w:sz w:val="20"/>
          <w:szCs w:val="20"/>
        </w:rPr>
        <w:t> </w:t>
      </w:r>
    </w:p>
    <w:p w14:paraId="06D39551" w14:textId="77777777" w:rsidR="00000000" w:rsidRDefault="00847163">
      <w:pPr>
        <w:pStyle w:val="a3"/>
        <w:spacing w:before="0" w:beforeAutospacing="0" w:after="0" w:afterAutospacing="0"/>
        <w:ind w:firstLine="360"/>
        <w:jc w:val="both"/>
        <w:rPr>
          <w:sz w:val="20"/>
          <w:szCs w:val="20"/>
        </w:rPr>
      </w:pPr>
      <w:r>
        <w:rPr>
          <w:sz w:val="20"/>
          <w:szCs w:val="20"/>
        </w:rPr>
        <w:t>None.</w:t>
      </w:r>
    </w:p>
    <w:p w14:paraId="7E13F98C" w14:textId="77777777" w:rsidR="00000000" w:rsidRDefault="00847163">
      <w:pPr>
        <w:pStyle w:val="a3"/>
        <w:spacing w:before="0" w:beforeAutospacing="0" w:after="0" w:afterAutospacing="0"/>
        <w:rPr>
          <w:sz w:val="20"/>
          <w:szCs w:val="20"/>
        </w:rPr>
      </w:pPr>
      <w:r>
        <w:rPr>
          <w:sz w:val="20"/>
          <w:szCs w:val="20"/>
        </w:rPr>
        <w:t> </w:t>
      </w:r>
    </w:p>
    <w:p w14:paraId="5F5967BE" w14:textId="77777777" w:rsidR="00000000" w:rsidRDefault="00847163">
      <w:pPr>
        <w:pStyle w:val="a3"/>
        <w:spacing w:before="0" w:beforeAutospacing="0" w:after="0" w:afterAutospacing="0"/>
        <w:rPr>
          <w:sz w:val="20"/>
          <w:szCs w:val="20"/>
        </w:rPr>
      </w:pPr>
      <w:r>
        <w:rPr>
          <w:sz w:val="20"/>
          <w:szCs w:val="20"/>
        </w:rPr>
        <w:t> </w:t>
      </w:r>
    </w:p>
    <w:p w14:paraId="03EDD5D8" w14:textId="77777777" w:rsidR="00000000" w:rsidRDefault="00847163">
      <w:pPr>
        <w:pStyle w:val="a3"/>
        <w:spacing w:before="0" w:beforeAutospacing="0" w:after="0" w:afterAutospacing="0"/>
        <w:rPr>
          <w:sz w:val="20"/>
          <w:szCs w:val="20"/>
        </w:rPr>
      </w:pPr>
      <w:r>
        <w:rPr>
          <w:b/>
          <w:bCs/>
          <w:sz w:val="20"/>
          <w:szCs w:val="20"/>
        </w:rPr>
        <w:t>Item 4.  Mine Safety Disclosures.</w:t>
      </w:r>
    </w:p>
    <w:p w14:paraId="56316F92" w14:textId="77777777" w:rsidR="00000000" w:rsidRDefault="00847163">
      <w:pPr>
        <w:pStyle w:val="a3"/>
        <w:spacing w:before="0" w:beforeAutospacing="0" w:after="0" w:afterAutospacing="0"/>
        <w:jc w:val="both"/>
        <w:rPr>
          <w:sz w:val="20"/>
          <w:szCs w:val="20"/>
        </w:rPr>
      </w:pPr>
      <w:r>
        <w:rPr>
          <w:sz w:val="20"/>
          <w:szCs w:val="20"/>
        </w:rPr>
        <w:t> </w:t>
      </w:r>
    </w:p>
    <w:p w14:paraId="41922568" w14:textId="77777777" w:rsidR="00000000" w:rsidRDefault="00847163">
      <w:pPr>
        <w:pStyle w:val="a3"/>
        <w:spacing w:before="0" w:beforeAutospacing="0" w:after="0" w:afterAutospacing="0"/>
        <w:ind w:firstLine="360"/>
        <w:jc w:val="both"/>
        <w:rPr>
          <w:sz w:val="20"/>
          <w:szCs w:val="20"/>
        </w:rPr>
      </w:pPr>
      <w:r>
        <w:rPr>
          <w:sz w:val="20"/>
          <w:szCs w:val="20"/>
        </w:rPr>
        <w:t>Not applicable.</w:t>
      </w:r>
    </w:p>
    <w:p w14:paraId="1EB1D9CE" w14:textId="77777777" w:rsidR="00000000" w:rsidRDefault="00847163">
      <w:pPr>
        <w:pStyle w:val="a3"/>
        <w:spacing w:before="0" w:beforeAutospacing="0" w:after="0" w:afterAutospacing="0"/>
        <w:rPr>
          <w:sz w:val="20"/>
          <w:szCs w:val="20"/>
        </w:rPr>
      </w:pPr>
      <w:r>
        <w:rPr>
          <w:sz w:val="20"/>
          <w:szCs w:val="20"/>
        </w:rPr>
        <w:t> </w:t>
      </w:r>
    </w:p>
    <w:p w14:paraId="27FD7134" w14:textId="77777777" w:rsidR="00000000" w:rsidRDefault="00847163">
      <w:pPr>
        <w:pStyle w:val="a3"/>
        <w:spacing w:before="0" w:beforeAutospacing="0" w:after="0" w:afterAutospacing="0"/>
        <w:rPr>
          <w:sz w:val="20"/>
          <w:szCs w:val="20"/>
        </w:rPr>
      </w:pPr>
      <w:r>
        <w:rPr>
          <w:sz w:val="20"/>
          <w:szCs w:val="20"/>
        </w:rPr>
        <w:t> </w:t>
      </w:r>
    </w:p>
    <w:p w14:paraId="40ECA8AA" w14:textId="77777777" w:rsidR="00000000" w:rsidRDefault="00847163">
      <w:pPr>
        <w:pStyle w:val="a3"/>
        <w:spacing w:before="0" w:beforeAutospacing="0" w:after="0" w:afterAutospacing="0"/>
        <w:rPr>
          <w:sz w:val="20"/>
          <w:szCs w:val="20"/>
        </w:rPr>
      </w:pPr>
      <w:r>
        <w:rPr>
          <w:b/>
          <w:bCs/>
          <w:sz w:val="20"/>
          <w:szCs w:val="20"/>
        </w:rPr>
        <w:t>Item 5.  Other Information.</w:t>
      </w:r>
    </w:p>
    <w:p w14:paraId="520F5441" w14:textId="77777777" w:rsidR="00000000" w:rsidRDefault="00847163">
      <w:pPr>
        <w:pStyle w:val="a3"/>
        <w:spacing w:before="0" w:beforeAutospacing="0" w:after="0" w:afterAutospacing="0"/>
        <w:jc w:val="both"/>
        <w:rPr>
          <w:sz w:val="20"/>
          <w:szCs w:val="20"/>
        </w:rPr>
      </w:pPr>
      <w:r>
        <w:rPr>
          <w:sz w:val="20"/>
          <w:szCs w:val="20"/>
        </w:rPr>
        <w:t> </w:t>
      </w:r>
    </w:p>
    <w:p w14:paraId="31201AEE" w14:textId="77777777" w:rsidR="00000000" w:rsidRDefault="00847163">
      <w:pPr>
        <w:pStyle w:val="a3"/>
        <w:spacing w:before="0" w:beforeAutospacing="0" w:after="0" w:afterAutospacing="0"/>
        <w:ind w:firstLine="360"/>
        <w:jc w:val="both"/>
        <w:rPr>
          <w:sz w:val="20"/>
          <w:szCs w:val="20"/>
        </w:rPr>
      </w:pPr>
      <w:r>
        <w:rPr>
          <w:sz w:val="20"/>
          <w:szCs w:val="20"/>
        </w:rPr>
        <w:t>None.</w:t>
      </w:r>
    </w:p>
    <w:p w14:paraId="37B5E3B8" w14:textId="77777777" w:rsidR="00000000" w:rsidRDefault="00847163">
      <w:pPr>
        <w:pStyle w:val="a3"/>
        <w:spacing w:before="0" w:beforeAutospacing="0" w:after="0" w:afterAutospacing="0"/>
        <w:rPr>
          <w:sz w:val="20"/>
          <w:szCs w:val="20"/>
        </w:rPr>
      </w:pPr>
      <w:r>
        <w:rPr>
          <w:sz w:val="20"/>
          <w:szCs w:val="20"/>
        </w:rPr>
        <w:t> </w:t>
      </w:r>
    </w:p>
    <w:p w14:paraId="57EDD9B7" w14:textId="77777777" w:rsidR="00000000" w:rsidRDefault="00847163">
      <w:pPr>
        <w:jc w:val="center"/>
        <w:divId w:val="1185168462"/>
        <w:rPr>
          <w:rFonts w:eastAsia="Times New Roman"/>
          <w:sz w:val="20"/>
          <w:szCs w:val="20"/>
        </w:rPr>
      </w:pPr>
      <w:r>
        <w:rPr>
          <w:rFonts w:eastAsia="Times New Roman"/>
          <w:sz w:val="20"/>
          <w:szCs w:val="20"/>
        </w:rPr>
        <w:t xml:space="preserve">32 </w:t>
      </w:r>
    </w:p>
    <w:p w14:paraId="5AC63372" w14:textId="77777777" w:rsidR="00000000" w:rsidRDefault="00847163">
      <w:pPr>
        <w:divId w:val="2123457311"/>
        <w:rPr>
          <w:rFonts w:eastAsia="Times New Roman"/>
          <w:sz w:val="20"/>
          <w:szCs w:val="20"/>
        </w:rPr>
      </w:pPr>
      <w:r>
        <w:rPr>
          <w:rFonts w:eastAsia="Times New Roman"/>
          <w:sz w:val="20"/>
          <w:szCs w:val="20"/>
        </w:rPr>
        <w:pict w14:anchorId="43807582">
          <v:rect id="_x0000_i1060" style="width:0;height:1.5pt" o:hralign="center" o:hrstd="t" o:hr="t" fillcolor="#a0a0a0" stroked="f"/>
        </w:pict>
      </w:r>
    </w:p>
    <w:p w14:paraId="00B080D2" w14:textId="77777777" w:rsidR="00000000" w:rsidRDefault="00847163">
      <w:pPr>
        <w:divId w:val="297300917"/>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0E4ABB0E" w14:textId="77777777" w:rsidR="00000000" w:rsidRDefault="00847163">
      <w:pPr>
        <w:pStyle w:val="a3"/>
        <w:spacing w:before="0" w:beforeAutospacing="0" w:after="0" w:afterAutospacing="0"/>
        <w:rPr>
          <w:sz w:val="20"/>
          <w:szCs w:val="20"/>
        </w:rPr>
      </w:pPr>
      <w:r>
        <w:rPr>
          <w:sz w:val="20"/>
          <w:szCs w:val="20"/>
        </w:rPr>
        <w:t> </w:t>
      </w:r>
    </w:p>
    <w:p w14:paraId="63F6B57E" w14:textId="77777777" w:rsidR="00000000" w:rsidRDefault="00847163">
      <w:pPr>
        <w:pStyle w:val="a3"/>
        <w:spacing w:before="0" w:beforeAutospacing="0" w:after="0" w:afterAutospacing="0"/>
        <w:rPr>
          <w:sz w:val="20"/>
          <w:szCs w:val="20"/>
        </w:rPr>
      </w:pPr>
      <w:r>
        <w:rPr>
          <w:b/>
          <w:bCs/>
          <w:sz w:val="20"/>
          <w:szCs w:val="20"/>
        </w:rPr>
        <w:t>Item 6.  Exhibits.</w:t>
      </w:r>
    </w:p>
    <w:p w14:paraId="0A9D8AF7" w14:textId="77777777" w:rsidR="00000000" w:rsidRDefault="00847163">
      <w:pPr>
        <w:pStyle w:val="a3"/>
        <w:spacing w:before="0" w:beforeAutospacing="0" w:after="0" w:afterAutospacing="0"/>
        <w:jc w:val="both"/>
        <w:rPr>
          <w:sz w:val="20"/>
          <w:szCs w:val="20"/>
        </w:rPr>
      </w:pPr>
      <w:r>
        <w:rPr>
          <w:sz w:val="20"/>
          <w:szCs w:val="20"/>
        </w:rPr>
        <w:t> </w:t>
      </w:r>
    </w:p>
    <w:p w14:paraId="58E8DBFA" w14:textId="77777777" w:rsidR="00000000" w:rsidRDefault="00847163">
      <w:pPr>
        <w:pStyle w:val="a3"/>
        <w:spacing w:before="0" w:beforeAutospacing="0" w:after="0" w:afterAutospacing="0"/>
        <w:rPr>
          <w:sz w:val="20"/>
          <w:szCs w:val="20"/>
        </w:rPr>
      </w:pPr>
      <w:r>
        <w:rPr>
          <w:sz w:val="20"/>
          <w:szCs w:val="20"/>
        </w:rPr>
        <w:t>Exhibits –</w:t>
      </w:r>
    </w:p>
    <w:p w14:paraId="784BF323" w14:textId="77777777" w:rsidR="00000000" w:rsidRDefault="00847163">
      <w:pPr>
        <w:pStyle w:val="a3"/>
        <w:spacing w:before="0" w:beforeAutospacing="0" w:after="0" w:afterAutospacing="0"/>
        <w:jc w:val="both"/>
        <w:rPr>
          <w:sz w:val="20"/>
          <w:szCs w:val="20"/>
        </w:rPr>
      </w:pPr>
      <w:r>
        <w:rPr>
          <w:sz w:val="20"/>
          <w:szCs w:val="20"/>
        </w:rPr>
        <w:t> </w:t>
      </w:r>
    </w:p>
    <w:p w14:paraId="14BB8672" w14:textId="77777777" w:rsidR="00000000" w:rsidRDefault="00847163">
      <w:pPr>
        <w:pStyle w:val="a3"/>
        <w:spacing w:before="0" w:beforeAutospacing="0" w:after="0" w:afterAutospacing="0"/>
        <w:rPr>
          <w:sz w:val="20"/>
          <w:szCs w:val="20"/>
        </w:rPr>
      </w:pPr>
      <w:r>
        <w:rPr>
          <w:sz w:val="20"/>
          <w:szCs w:val="20"/>
        </w:rPr>
        <w:t>4.1 Agreement to File Instruments</w:t>
      </w:r>
    </w:p>
    <w:p w14:paraId="79217949" w14:textId="77777777" w:rsidR="00000000" w:rsidRDefault="00847163">
      <w:pPr>
        <w:pStyle w:val="a3"/>
        <w:spacing w:before="0" w:beforeAutospacing="0" w:after="0" w:afterAutospacing="0"/>
        <w:jc w:val="both"/>
        <w:rPr>
          <w:sz w:val="20"/>
          <w:szCs w:val="20"/>
        </w:rPr>
      </w:pPr>
      <w:r>
        <w:rPr>
          <w:sz w:val="20"/>
          <w:szCs w:val="20"/>
        </w:rPr>
        <w:t> </w:t>
      </w:r>
    </w:p>
    <w:p w14:paraId="1436D65D" w14:textId="77777777" w:rsidR="00000000" w:rsidRDefault="00847163">
      <w:pPr>
        <w:pStyle w:val="a3"/>
        <w:spacing w:before="0" w:beforeAutospacing="0" w:after="0" w:afterAutospacing="0"/>
        <w:ind w:firstLine="360"/>
        <w:jc w:val="both"/>
        <w:rPr>
          <w:sz w:val="20"/>
          <w:szCs w:val="20"/>
        </w:rPr>
      </w:pPr>
      <w:r>
        <w:rPr>
          <w:sz w:val="20"/>
          <w:szCs w:val="20"/>
        </w:rPr>
        <w:t xml:space="preserve">Kimco Realty Corporation (the “Registrant”) hereby agrees to file with the </w:t>
      </w:r>
      <w:r>
        <w:rPr>
          <w:sz w:val="20"/>
          <w:szCs w:val="20"/>
        </w:rPr>
        <w:t>Securities and Exchange Commission, upon request of the Commission, all instruments defining the rights of holders of long-term debt of the Registrant and its consolidated subsidiaries, and for any of its unconsolidated subsidiaries for which financial sta</w:t>
      </w:r>
      <w:r>
        <w:rPr>
          <w:sz w:val="20"/>
          <w:szCs w:val="20"/>
        </w:rPr>
        <w:t>tements are required to be filed, and for which the total amount of securities authorized thereunder does not exceed 10 percent of the total assets of the Registrant and its subsidiaries on a consolidated basis.</w:t>
      </w:r>
    </w:p>
    <w:tbl>
      <w:tblPr>
        <w:tblW w:w="5000" w:type="pct"/>
        <w:tblCellSpacing w:w="0" w:type="dxa"/>
        <w:tblCellMar>
          <w:left w:w="0" w:type="dxa"/>
          <w:right w:w="0" w:type="dxa"/>
        </w:tblCellMar>
        <w:tblLook w:val="04A0" w:firstRow="1" w:lastRow="0" w:firstColumn="1" w:lastColumn="0" w:noHBand="0" w:noVBand="1"/>
      </w:tblPr>
      <w:tblGrid>
        <w:gridCol w:w="360"/>
        <w:gridCol w:w="1440"/>
        <w:gridCol w:w="6506"/>
      </w:tblGrid>
      <w:tr w:rsidR="00000000" w14:paraId="5AFF7391" w14:textId="77777777">
        <w:trPr>
          <w:tblCellSpacing w:w="0" w:type="dxa"/>
        </w:trPr>
        <w:tc>
          <w:tcPr>
            <w:tcW w:w="360" w:type="dxa"/>
            <w:hideMark/>
          </w:tcPr>
          <w:p w14:paraId="16CA768B" w14:textId="77777777" w:rsidR="00000000" w:rsidRDefault="00847163">
            <w:pPr>
              <w:rPr>
                <w:rFonts w:eastAsia="Times New Roman"/>
              </w:rPr>
            </w:pPr>
            <w:r>
              <w:rPr>
                <w:rFonts w:eastAsia="Times New Roman"/>
              </w:rPr>
              <w:t> </w:t>
            </w:r>
          </w:p>
        </w:tc>
        <w:tc>
          <w:tcPr>
            <w:tcW w:w="1440" w:type="dxa"/>
            <w:hideMark/>
          </w:tcPr>
          <w:p w14:paraId="70327448" w14:textId="77777777" w:rsidR="00000000" w:rsidRDefault="00847163">
            <w:pPr>
              <w:rPr>
                <w:rFonts w:eastAsia="Times New Roman"/>
              </w:rPr>
            </w:pPr>
            <w:r>
              <w:rPr>
                <w:rFonts w:eastAsia="Times New Roman"/>
              </w:rPr>
              <w:t> </w:t>
            </w:r>
          </w:p>
        </w:tc>
        <w:tc>
          <w:tcPr>
            <w:tcW w:w="0" w:type="auto"/>
            <w:hideMark/>
          </w:tcPr>
          <w:p w14:paraId="5AA3DA6D" w14:textId="77777777" w:rsidR="00000000" w:rsidRDefault="00847163">
            <w:pPr>
              <w:rPr>
                <w:rFonts w:eastAsia="Times New Roman"/>
              </w:rPr>
            </w:pPr>
            <w:r>
              <w:rPr>
                <w:rFonts w:eastAsia="Times New Roman"/>
              </w:rPr>
              <w:t> </w:t>
            </w:r>
          </w:p>
        </w:tc>
      </w:tr>
      <w:tr w:rsidR="00000000" w14:paraId="55128295" w14:textId="77777777">
        <w:trPr>
          <w:tblCellSpacing w:w="0" w:type="dxa"/>
        </w:trPr>
        <w:tc>
          <w:tcPr>
            <w:tcW w:w="360" w:type="dxa"/>
            <w:hideMark/>
          </w:tcPr>
          <w:p w14:paraId="15017811" w14:textId="77777777" w:rsidR="00000000" w:rsidRDefault="00847163">
            <w:pPr>
              <w:rPr>
                <w:rFonts w:eastAsia="Times New Roman"/>
              </w:rPr>
            </w:pPr>
            <w:r>
              <w:rPr>
                <w:rFonts w:eastAsia="Times New Roman"/>
              </w:rPr>
              <w:t> </w:t>
            </w:r>
          </w:p>
        </w:tc>
        <w:tc>
          <w:tcPr>
            <w:tcW w:w="1440" w:type="dxa"/>
            <w:hideMark/>
          </w:tcPr>
          <w:p w14:paraId="7467D759" w14:textId="77777777" w:rsidR="00000000" w:rsidRDefault="00847163">
            <w:pPr>
              <w:pStyle w:val="a3"/>
              <w:spacing w:before="0" w:beforeAutospacing="0" w:after="0" w:afterAutospacing="0"/>
              <w:rPr>
                <w:sz w:val="20"/>
                <w:szCs w:val="20"/>
              </w:rPr>
            </w:pPr>
            <w:r>
              <w:rPr>
                <w:sz w:val="20"/>
                <w:szCs w:val="20"/>
              </w:rPr>
              <w:t>10.1</w:t>
            </w:r>
          </w:p>
        </w:tc>
        <w:tc>
          <w:tcPr>
            <w:tcW w:w="0" w:type="auto"/>
            <w:hideMark/>
          </w:tcPr>
          <w:p w14:paraId="4EBD73DB" w14:textId="77777777" w:rsidR="00000000" w:rsidRDefault="00847163">
            <w:pPr>
              <w:pStyle w:val="a3"/>
              <w:spacing w:before="0" w:beforeAutospacing="0" w:after="0" w:afterAutospacing="0"/>
              <w:rPr>
                <w:sz w:val="20"/>
                <w:szCs w:val="20"/>
              </w:rPr>
            </w:pPr>
            <w:hyperlink r:id="rId4" w:history="1">
              <w:r>
                <w:rPr>
                  <w:rStyle w:val="a4"/>
                  <w:sz w:val="20"/>
                  <w:szCs w:val="20"/>
                </w:rPr>
                <w:t>Amended and Restated Credit Agreement, dated as of February 27, 2020, among Kimco Realty Corporation, a Maryland corporation, the subsidiaries of Ki</w:t>
              </w:r>
              <w:r>
                <w:rPr>
                  <w:rStyle w:val="a4"/>
                  <w:sz w:val="20"/>
                  <w:szCs w:val="20"/>
                </w:rPr>
                <w:t>mco from time to time parties thereto, the several banks, financial institutions and other entities from time to time party thereto and JPMorgan Chase Bank, N.A., as administrative agent for the Lenders thereunder (incorporated by reference to Exhibit 10.1</w:t>
              </w:r>
              <w:r>
                <w:rPr>
                  <w:rStyle w:val="a4"/>
                  <w:sz w:val="20"/>
                  <w:szCs w:val="20"/>
                </w:rPr>
                <w:t xml:space="preserve"> to the Company’s Current Report on Form 8-K filed on March 2, 2020).</w:t>
              </w:r>
            </w:hyperlink>
          </w:p>
        </w:tc>
      </w:tr>
      <w:tr w:rsidR="00000000" w14:paraId="27E075AD" w14:textId="77777777">
        <w:trPr>
          <w:tblCellSpacing w:w="0" w:type="dxa"/>
        </w:trPr>
        <w:tc>
          <w:tcPr>
            <w:tcW w:w="360" w:type="dxa"/>
            <w:hideMark/>
          </w:tcPr>
          <w:p w14:paraId="422868CB" w14:textId="77777777" w:rsidR="00000000" w:rsidRDefault="00847163">
            <w:pPr>
              <w:rPr>
                <w:rFonts w:eastAsia="Times New Roman"/>
              </w:rPr>
            </w:pPr>
            <w:r>
              <w:rPr>
                <w:rFonts w:eastAsia="Times New Roman"/>
              </w:rPr>
              <w:t> </w:t>
            </w:r>
          </w:p>
        </w:tc>
        <w:tc>
          <w:tcPr>
            <w:tcW w:w="1440" w:type="dxa"/>
            <w:hideMark/>
          </w:tcPr>
          <w:p w14:paraId="23490558" w14:textId="77777777" w:rsidR="00000000" w:rsidRDefault="00847163">
            <w:pPr>
              <w:pStyle w:val="a3"/>
              <w:spacing w:before="0" w:beforeAutospacing="0" w:after="0" w:afterAutospacing="0"/>
              <w:rPr>
                <w:sz w:val="20"/>
                <w:szCs w:val="20"/>
              </w:rPr>
            </w:pPr>
            <w:r>
              <w:rPr>
                <w:sz w:val="20"/>
                <w:szCs w:val="20"/>
              </w:rPr>
              <w:t>31.1</w:t>
            </w:r>
          </w:p>
        </w:tc>
        <w:tc>
          <w:tcPr>
            <w:tcW w:w="0" w:type="auto"/>
            <w:hideMark/>
          </w:tcPr>
          <w:p w14:paraId="435ED364" w14:textId="77777777" w:rsidR="00000000" w:rsidRDefault="00847163">
            <w:pPr>
              <w:pStyle w:val="a3"/>
              <w:spacing w:before="0" w:beforeAutospacing="0" w:after="0" w:afterAutospacing="0"/>
              <w:rPr>
                <w:sz w:val="20"/>
                <w:szCs w:val="20"/>
              </w:rPr>
            </w:pPr>
            <w:hyperlink r:id="rId5" w:history="1">
              <w:r>
                <w:rPr>
                  <w:rStyle w:val="a4"/>
                  <w:sz w:val="20"/>
                  <w:szCs w:val="20"/>
                </w:rPr>
                <w:t>Certification of the Company’s Chief Executive Officer, Conor C. Flynn, pursuant to Section 302 of the Sarbanes-Oxley Act of 2002.</w:t>
              </w:r>
            </w:hyperlink>
          </w:p>
        </w:tc>
      </w:tr>
      <w:tr w:rsidR="00000000" w14:paraId="2D02AAE8" w14:textId="77777777">
        <w:trPr>
          <w:tblCellSpacing w:w="0" w:type="dxa"/>
        </w:trPr>
        <w:tc>
          <w:tcPr>
            <w:tcW w:w="360" w:type="dxa"/>
            <w:hideMark/>
          </w:tcPr>
          <w:p w14:paraId="690F3939" w14:textId="77777777" w:rsidR="00000000" w:rsidRDefault="00847163">
            <w:pPr>
              <w:rPr>
                <w:rFonts w:eastAsia="Times New Roman"/>
              </w:rPr>
            </w:pPr>
            <w:r>
              <w:rPr>
                <w:rFonts w:eastAsia="Times New Roman"/>
              </w:rPr>
              <w:t> </w:t>
            </w:r>
          </w:p>
        </w:tc>
        <w:tc>
          <w:tcPr>
            <w:tcW w:w="1440" w:type="dxa"/>
            <w:hideMark/>
          </w:tcPr>
          <w:p w14:paraId="08133593" w14:textId="77777777" w:rsidR="00000000" w:rsidRDefault="00847163">
            <w:pPr>
              <w:pStyle w:val="a3"/>
              <w:spacing w:before="0" w:beforeAutospacing="0" w:after="0" w:afterAutospacing="0"/>
              <w:rPr>
                <w:sz w:val="20"/>
                <w:szCs w:val="20"/>
              </w:rPr>
            </w:pPr>
            <w:r>
              <w:rPr>
                <w:sz w:val="20"/>
                <w:szCs w:val="20"/>
              </w:rPr>
              <w:t>31.2</w:t>
            </w:r>
          </w:p>
        </w:tc>
        <w:tc>
          <w:tcPr>
            <w:tcW w:w="0" w:type="auto"/>
            <w:hideMark/>
          </w:tcPr>
          <w:p w14:paraId="63FAF129" w14:textId="77777777" w:rsidR="00000000" w:rsidRDefault="00847163">
            <w:pPr>
              <w:pStyle w:val="a3"/>
              <w:spacing w:before="0" w:beforeAutospacing="0" w:after="0" w:afterAutospacing="0"/>
              <w:rPr>
                <w:sz w:val="20"/>
                <w:szCs w:val="20"/>
              </w:rPr>
            </w:pPr>
            <w:hyperlink r:id="rId6" w:history="1">
              <w:r>
                <w:rPr>
                  <w:rStyle w:val="a4"/>
                  <w:sz w:val="20"/>
                  <w:szCs w:val="20"/>
                </w:rPr>
                <w:t>Certification of the Company’s Chief Financial Officer, Glenn G. Cohen, pursuant to Section 302 of the Sarbanes-Oxley Act of 2002.</w:t>
              </w:r>
            </w:hyperlink>
          </w:p>
        </w:tc>
      </w:tr>
      <w:tr w:rsidR="00000000" w14:paraId="207F00B0" w14:textId="77777777">
        <w:trPr>
          <w:tblCellSpacing w:w="0" w:type="dxa"/>
        </w:trPr>
        <w:tc>
          <w:tcPr>
            <w:tcW w:w="360" w:type="dxa"/>
            <w:hideMark/>
          </w:tcPr>
          <w:p w14:paraId="5A63472B" w14:textId="77777777" w:rsidR="00000000" w:rsidRDefault="00847163">
            <w:pPr>
              <w:rPr>
                <w:rFonts w:eastAsia="Times New Roman"/>
              </w:rPr>
            </w:pPr>
            <w:r>
              <w:rPr>
                <w:rFonts w:eastAsia="Times New Roman"/>
              </w:rPr>
              <w:t> </w:t>
            </w:r>
          </w:p>
        </w:tc>
        <w:tc>
          <w:tcPr>
            <w:tcW w:w="1440" w:type="dxa"/>
            <w:hideMark/>
          </w:tcPr>
          <w:p w14:paraId="2DAE2200" w14:textId="77777777" w:rsidR="00000000" w:rsidRDefault="00847163">
            <w:pPr>
              <w:pStyle w:val="a3"/>
              <w:spacing w:before="0" w:beforeAutospacing="0" w:after="0" w:afterAutospacing="0"/>
              <w:rPr>
                <w:sz w:val="20"/>
                <w:szCs w:val="20"/>
              </w:rPr>
            </w:pPr>
            <w:r>
              <w:rPr>
                <w:sz w:val="20"/>
                <w:szCs w:val="20"/>
              </w:rPr>
              <w:t>32.1</w:t>
            </w:r>
          </w:p>
        </w:tc>
        <w:tc>
          <w:tcPr>
            <w:tcW w:w="0" w:type="auto"/>
            <w:hideMark/>
          </w:tcPr>
          <w:p w14:paraId="0C5B2AA0" w14:textId="77777777" w:rsidR="00000000" w:rsidRDefault="00847163">
            <w:pPr>
              <w:pStyle w:val="a3"/>
              <w:spacing w:before="0" w:beforeAutospacing="0" w:after="0" w:afterAutospacing="0"/>
              <w:rPr>
                <w:sz w:val="20"/>
                <w:szCs w:val="20"/>
              </w:rPr>
            </w:pPr>
            <w:hyperlink r:id="rId7" w:history="1">
              <w:r>
                <w:rPr>
                  <w:rStyle w:val="a4"/>
                  <w:sz w:val="20"/>
                  <w:szCs w:val="20"/>
                </w:rPr>
                <w:t>Certification of the Company’s Chief Executive Officer, Conor C. F</w:t>
              </w:r>
              <w:r>
                <w:rPr>
                  <w:rStyle w:val="a4"/>
                  <w:sz w:val="20"/>
                  <w:szCs w:val="20"/>
                </w:rPr>
                <w:t>lynn, and the Company’s Chief Financial Officer, Glenn G. Cohen, pursuant to Section 906 of the Sarbanes-Oxley Act of 2002.</w:t>
              </w:r>
            </w:hyperlink>
          </w:p>
        </w:tc>
      </w:tr>
      <w:tr w:rsidR="00000000" w14:paraId="51DCB18E" w14:textId="77777777">
        <w:trPr>
          <w:tblCellSpacing w:w="0" w:type="dxa"/>
        </w:trPr>
        <w:tc>
          <w:tcPr>
            <w:tcW w:w="360" w:type="dxa"/>
            <w:hideMark/>
          </w:tcPr>
          <w:p w14:paraId="434A1B22" w14:textId="77777777" w:rsidR="00000000" w:rsidRDefault="00847163">
            <w:pPr>
              <w:rPr>
                <w:rFonts w:eastAsia="Times New Roman"/>
              </w:rPr>
            </w:pPr>
            <w:r>
              <w:rPr>
                <w:rFonts w:eastAsia="Times New Roman"/>
              </w:rPr>
              <w:t> </w:t>
            </w:r>
          </w:p>
        </w:tc>
        <w:tc>
          <w:tcPr>
            <w:tcW w:w="1440" w:type="dxa"/>
            <w:hideMark/>
          </w:tcPr>
          <w:p w14:paraId="0CFFADDD" w14:textId="77777777" w:rsidR="00000000" w:rsidRDefault="00847163">
            <w:pPr>
              <w:pStyle w:val="a3"/>
              <w:spacing w:before="0" w:beforeAutospacing="0" w:after="0" w:afterAutospacing="0"/>
              <w:rPr>
                <w:sz w:val="20"/>
                <w:szCs w:val="20"/>
              </w:rPr>
            </w:pPr>
            <w:r>
              <w:rPr>
                <w:sz w:val="20"/>
                <w:szCs w:val="20"/>
              </w:rPr>
              <w:t>101.INS</w:t>
            </w:r>
          </w:p>
        </w:tc>
        <w:tc>
          <w:tcPr>
            <w:tcW w:w="0" w:type="auto"/>
            <w:hideMark/>
          </w:tcPr>
          <w:p w14:paraId="47BDA7D7" w14:textId="77777777" w:rsidR="00000000" w:rsidRDefault="00847163">
            <w:pPr>
              <w:pStyle w:val="a3"/>
              <w:spacing w:before="0" w:beforeAutospacing="0" w:after="0" w:afterAutospacing="0"/>
              <w:rPr>
                <w:sz w:val="20"/>
                <w:szCs w:val="20"/>
              </w:rPr>
            </w:pPr>
            <w:r>
              <w:rPr>
                <w:sz w:val="20"/>
                <w:szCs w:val="20"/>
              </w:rPr>
              <w:t>XBRL Instance Document - the instance document does not appear in the Interactive Data File because its XBRL tags are emb</w:t>
            </w:r>
            <w:r>
              <w:rPr>
                <w:sz w:val="20"/>
                <w:szCs w:val="20"/>
              </w:rPr>
              <w:t>edded within the Inline XBRL document.</w:t>
            </w:r>
          </w:p>
        </w:tc>
      </w:tr>
      <w:tr w:rsidR="00000000" w14:paraId="1D500E2F" w14:textId="77777777">
        <w:trPr>
          <w:tblCellSpacing w:w="0" w:type="dxa"/>
        </w:trPr>
        <w:tc>
          <w:tcPr>
            <w:tcW w:w="360" w:type="dxa"/>
            <w:hideMark/>
          </w:tcPr>
          <w:p w14:paraId="1A94753F" w14:textId="77777777" w:rsidR="00000000" w:rsidRDefault="00847163">
            <w:pPr>
              <w:rPr>
                <w:rFonts w:eastAsia="Times New Roman"/>
              </w:rPr>
            </w:pPr>
            <w:r>
              <w:rPr>
                <w:rFonts w:eastAsia="Times New Roman"/>
              </w:rPr>
              <w:t> </w:t>
            </w:r>
          </w:p>
        </w:tc>
        <w:tc>
          <w:tcPr>
            <w:tcW w:w="1440" w:type="dxa"/>
            <w:hideMark/>
          </w:tcPr>
          <w:p w14:paraId="4C62B180" w14:textId="77777777" w:rsidR="00000000" w:rsidRDefault="00847163">
            <w:pPr>
              <w:pStyle w:val="a3"/>
              <w:spacing w:before="0" w:beforeAutospacing="0" w:after="0" w:afterAutospacing="0"/>
              <w:rPr>
                <w:sz w:val="20"/>
                <w:szCs w:val="20"/>
              </w:rPr>
            </w:pPr>
            <w:r>
              <w:rPr>
                <w:sz w:val="20"/>
                <w:szCs w:val="20"/>
              </w:rPr>
              <w:t>101.SCH</w:t>
            </w:r>
          </w:p>
        </w:tc>
        <w:tc>
          <w:tcPr>
            <w:tcW w:w="0" w:type="auto"/>
            <w:hideMark/>
          </w:tcPr>
          <w:p w14:paraId="01405D83" w14:textId="77777777" w:rsidR="00000000" w:rsidRDefault="00847163">
            <w:pPr>
              <w:pStyle w:val="a3"/>
              <w:spacing w:before="0" w:beforeAutospacing="0" w:after="0" w:afterAutospacing="0"/>
              <w:rPr>
                <w:sz w:val="20"/>
                <w:szCs w:val="20"/>
              </w:rPr>
            </w:pPr>
            <w:r>
              <w:rPr>
                <w:sz w:val="20"/>
                <w:szCs w:val="20"/>
              </w:rPr>
              <w:t>XBRL Taxonomy Extension Schema</w:t>
            </w:r>
          </w:p>
        </w:tc>
      </w:tr>
      <w:tr w:rsidR="00000000" w14:paraId="4F7BD59A" w14:textId="77777777">
        <w:trPr>
          <w:tblCellSpacing w:w="0" w:type="dxa"/>
        </w:trPr>
        <w:tc>
          <w:tcPr>
            <w:tcW w:w="360" w:type="dxa"/>
            <w:hideMark/>
          </w:tcPr>
          <w:p w14:paraId="233CDF45" w14:textId="77777777" w:rsidR="00000000" w:rsidRDefault="00847163">
            <w:pPr>
              <w:rPr>
                <w:rFonts w:eastAsia="Times New Roman"/>
              </w:rPr>
            </w:pPr>
            <w:r>
              <w:rPr>
                <w:rFonts w:eastAsia="Times New Roman"/>
              </w:rPr>
              <w:t> </w:t>
            </w:r>
          </w:p>
        </w:tc>
        <w:tc>
          <w:tcPr>
            <w:tcW w:w="1440" w:type="dxa"/>
            <w:hideMark/>
          </w:tcPr>
          <w:p w14:paraId="714E0FE6" w14:textId="77777777" w:rsidR="00000000" w:rsidRDefault="00847163">
            <w:pPr>
              <w:pStyle w:val="a3"/>
              <w:spacing w:before="0" w:beforeAutospacing="0" w:after="0" w:afterAutospacing="0"/>
              <w:rPr>
                <w:sz w:val="20"/>
                <w:szCs w:val="20"/>
              </w:rPr>
            </w:pPr>
            <w:r>
              <w:rPr>
                <w:sz w:val="20"/>
                <w:szCs w:val="20"/>
              </w:rPr>
              <w:t>101.CAL</w:t>
            </w:r>
          </w:p>
        </w:tc>
        <w:tc>
          <w:tcPr>
            <w:tcW w:w="0" w:type="auto"/>
            <w:hideMark/>
          </w:tcPr>
          <w:p w14:paraId="5AC4EB18" w14:textId="77777777" w:rsidR="00000000" w:rsidRDefault="00847163">
            <w:pPr>
              <w:pStyle w:val="a3"/>
              <w:spacing w:before="0" w:beforeAutospacing="0" w:after="0" w:afterAutospacing="0"/>
              <w:rPr>
                <w:sz w:val="20"/>
                <w:szCs w:val="20"/>
              </w:rPr>
            </w:pPr>
            <w:r>
              <w:rPr>
                <w:sz w:val="20"/>
                <w:szCs w:val="20"/>
              </w:rPr>
              <w:t>XBRL Taxonomy Extension Calculation Linkbase</w:t>
            </w:r>
          </w:p>
        </w:tc>
      </w:tr>
      <w:tr w:rsidR="00000000" w14:paraId="1D085B5F" w14:textId="77777777">
        <w:trPr>
          <w:tblCellSpacing w:w="0" w:type="dxa"/>
        </w:trPr>
        <w:tc>
          <w:tcPr>
            <w:tcW w:w="360" w:type="dxa"/>
            <w:hideMark/>
          </w:tcPr>
          <w:p w14:paraId="5CBE65A3" w14:textId="77777777" w:rsidR="00000000" w:rsidRDefault="00847163">
            <w:pPr>
              <w:rPr>
                <w:rFonts w:eastAsia="Times New Roman"/>
              </w:rPr>
            </w:pPr>
            <w:r>
              <w:rPr>
                <w:rFonts w:eastAsia="Times New Roman"/>
              </w:rPr>
              <w:t> </w:t>
            </w:r>
          </w:p>
        </w:tc>
        <w:tc>
          <w:tcPr>
            <w:tcW w:w="1440" w:type="dxa"/>
            <w:hideMark/>
          </w:tcPr>
          <w:p w14:paraId="0F4DFF40" w14:textId="77777777" w:rsidR="00000000" w:rsidRDefault="00847163">
            <w:pPr>
              <w:pStyle w:val="a3"/>
              <w:spacing w:before="0" w:beforeAutospacing="0" w:after="0" w:afterAutospacing="0"/>
              <w:rPr>
                <w:sz w:val="20"/>
                <w:szCs w:val="20"/>
              </w:rPr>
            </w:pPr>
            <w:r>
              <w:rPr>
                <w:sz w:val="20"/>
                <w:szCs w:val="20"/>
              </w:rPr>
              <w:t>101.DEF</w:t>
            </w:r>
          </w:p>
        </w:tc>
        <w:tc>
          <w:tcPr>
            <w:tcW w:w="0" w:type="auto"/>
            <w:hideMark/>
          </w:tcPr>
          <w:p w14:paraId="3E45F658" w14:textId="77777777" w:rsidR="00000000" w:rsidRDefault="00847163">
            <w:pPr>
              <w:pStyle w:val="a3"/>
              <w:spacing w:before="0" w:beforeAutospacing="0" w:after="0" w:afterAutospacing="0"/>
              <w:rPr>
                <w:sz w:val="20"/>
                <w:szCs w:val="20"/>
              </w:rPr>
            </w:pPr>
            <w:r>
              <w:rPr>
                <w:sz w:val="20"/>
                <w:szCs w:val="20"/>
              </w:rPr>
              <w:t>XBRL Taxonomy Extension Definition Linkbase</w:t>
            </w:r>
          </w:p>
        </w:tc>
      </w:tr>
      <w:tr w:rsidR="00000000" w14:paraId="3309B071" w14:textId="77777777">
        <w:trPr>
          <w:tblCellSpacing w:w="0" w:type="dxa"/>
        </w:trPr>
        <w:tc>
          <w:tcPr>
            <w:tcW w:w="360" w:type="dxa"/>
            <w:hideMark/>
          </w:tcPr>
          <w:p w14:paraId="64A61756" w14:textId="77777777" w:rsidR="00000000" w:rsidRDefault="00847163">
            <w:pPr>
              <w:rPr>
                <w:rFonts w:eastAsia="Times New Roman"/>
              </w:rPr>
            </w:pPr>
            <w:r>
              <w:rPr>
                <w:rFonts w:eastAsia="Times New Roman"/>
              </w:rPr>
              <w:t> </w:t>
            </w:r>
          </w:p>
        </w:tc>
        <w:tc>
          <w:tcPr>
            <w:tcW w:w="1440" w:type="dxa"/>
            <w:hideMark/>
          </w:tcPr>
          <w:p w14:paraId="52DA378D" w14:textId="77777777" w:rsidR="00000000" w:rsidRDefault="00847163">
            <w:pPr>
              <w:pStyle w:val="a3"/>
              <w:spacing w:before="0" w:beforeAutospacing="0" w:after="0" w:afterAutospacing="0"/>
              <w:rPr>
                <w:sz w:val="20"/>
                <w:szCs w:val="20"/>
              </w:rPr>
            </w:pPr>
            <w:r>
              <w:rPr>
                <w:sz w:val="20"/>
                <w:szCs w:val="20"/>
              </w:rPr>
              <w:t>101.LAB</w:t>
            </w:r>
          </w:p>
        </w:tc>
        <w:tc>
          <w:tcPr>
            <w:tcW w:w="0" w:type="auto"/>
            <w:hideMark/>
          </w:tcPr>
          <w:p w14:paraId="1891F8FD" w14:textId="77777777" w:rsidR="00000000" w:rsidRDefault="00847163">
            <w:pPr>
              <w:pStyle w:val="a3"/>
              <w:spacing w:before="0" w:beforeAutospacing="0" w:after="0" w:afterAutospacing="0"/>
              <w:rPr>
                <w:sz w:val="20"/>
                <w:szCs w:val="20"/>
              </w:rPr>
            </w:pPr>
            <w:r>
              <w:rPr>
                <w:sz w:val="20"/>
                <w:szCs w:val="20"/>
              </w:rPr>
              <w:t>XBRL Taxonomy Extension Label Linkbase</w:t>
            </w:r>
          </w:p>
        </w:tc>
      </w:tr>
      <w:tr w:rsidR="00000000" w14:paraId="23A4B32C" w14:textId="77777777">
        <w:trPr>
          <w:tblCellSpacing w:w="0" w:type="dxa"/>
        </w:trPr>
        <w:tc>
          <w:tcPr>
            <w:tcW w:w="360" w:type="dxa"/>
            <w:hideMark/>
          </w:tcPr>
          <w:p w14:paraId="15C2B12D" w14:textId="77777777" w:rsidR="00000000" w:rsidRDefault="00847163">
            <w:pPr>
              <w:rPr>
                <w:rFonts w:eastAsia="Times New Roman"/>
              </w:rPr>
            </w:pPr>
            <w:r>
              <w:rPr>
                <w:rFonts w:eastAsia="Times New Roman"/>
              </w:rPr>
              <w:t> </w:t>
            </w:r>
          </w:p>
        </w:tc>
        <w:tc>
          <w:tcPr>
            <w:tcW w:w="1440" w:type="dxa"/>
            <w:hideMark/>
          </w:tcPr>
          <w:p w14:paraId="6913C1D1" w14:textId="77777777" w:rsidR="00000000" w:rsidRDefault="00847163">
            <w:pPr>
              <w:pStyle w:val="a3"/>
              <w:spacing w:before="0" w:beforeAutospacing="0" w:after="0" w:afterAutospacing="0"/>
              <w:rPr>
                <w:sz w:val="20"/>
                <w:szCs w:val="20"/>
              </w:rPr>
            </w:pPr>
            <w:r>
              <w:rPr>
                <w:sz w:val="20"/>
                <w:szCs w:val="20"/>
              </w:rPr>
              <w:t>101.PRE</w:t>
            </w:r>
          </w:p>
        </w:tc>
        <w:tc>
          <w:tcPr>
            <w:tcW w:w="0" w:type="auto"/>
            <w:hideMark/>
          </w:tcPr>
          <w:p w14:paraId="35FF7127" w14:textId="77777777" w:rsidR="00000000" w:rsidRDefault="00847163">
            <w:pPr>
              <w:pStyle w:val="a3"/>
              <w:spacing w:before="0" w:beforeAutospacing="0" w:after="0" w:afterAutospacing="0"/>
              <w:rPr>
                <w:sz w:val="20"/>
                <w:szCs w:val="20"/>
              </w:rPr>
            </w:pPr>
            <w:r>
              <w:rPr>
                <w:sz w:val="20"/>
                <w:szCs w:val="20"/>
              </w:rPr>
              <w:t>XBRL Taxonomy Extension Presentation Linkbase</w:t>
            </w:r>
          </w:p>
        </w:tc>
      </w:tr>
      <w:tr w:rsidR="00000000" w14:paraId="7CA92C91" w14:textId="77777777">
        <w:trPr>
          <w:tblCellSpacing w:w="0" w:type="dxa"/>
        </w:trPr>
        <w:tc>
          <w:tcPr>
            <w:tcW w:w="360" w:type="dxa"/>
            <w:hideMark/>
          </w:tcPr>
          <w:p w14:paraId="007A55D6" w14:textId="77777777" w:rsidR="00000000" w:rsidRDefault="00847163">
            <w:pPr>
              <w:rPr>
                <w:rFonts w:eastAsia="Times New Roman"/>
              </w:rPr>
            </w:pPr>
            <w:r>
              <w:rPr>
                <w:rFonts w:eastAsia="Times New Roman"/>
              </w:rPr>
              <w:t> </w:t>
            </w:r>
          </w:p>
        </w:tc>
        <w:tc>
          <w:tcPr>
            <w:tcW w:w="1440" w:type="dxa"/>
            <w:hideMark/>
          </w:tcPr>
          <w:p w14:paraId="703BA4B7" w14:textId="77777777" w:rsidR="00000000" w:rsidRDefault="00847163">
            <w:pPr>
              <w:pStyle w:val="a3"/>
              <w:spacing w:before="0" w:beforeAutospacing="0" w:after="0" w:afterAutospacing="0"/>
              <w:rPr>
                <w:sz w:val="20"/>
                <w:szCs w:val="20"/>
              </w:rPr>
            </w:pPr>
            <w:r>
              <w:rPr>
                <w:sz w:val="20"/>
                <w:szCs w:val="20"/>
              </w:rPr>
              <w:t>104</w:t>
            </w:r>
          </w:p>
        </w:tc>
        <w:tc>
          <w:tcPr>
            <w:tcW w:w="0" w:type="auto"/>
            <w:hideMark/>
          </w:tcPr>
          <w:p w14:paraId="3B2B069B" w14:textId="77777777" w:rsidR="00000000" w:rsidRDefault="00847163">
            <w:pPr>
              <w:pStyle w:val="a3"/>
              <w:spacing w:before="0" w:beforeAutospacing="0" w:after="0" w:afterAutospacing="0"/>
              <w:rPr>
                <w:sz w:val="20"/>
                <w:szCs w:val="20"/>
              </w:rPr>
            </w:pPr>
            <w:r>
              <w:rPr>
                <w:sz w:val="20"/>
                <w:szCs w:val="20"/>
              </w:rPr>
              <w:t>Cover Page Interactive Data File (formatted as Inline XBRL and contained in Exhibit 101)</w:t>
            </w:r>
          </w:p>
        </w:tc>
      </w:tr>
      <w:tr w:rsidR="00000000" w14:paraId="4F7B2EB2" w14:textId="77777777">
        <w:trPr>
          <w:tblCellSpacing w:w="0" w:type="dxa"/>
        </w:trPr>
        <w:tc>
          <w:tcPr>
            <w:tcW w:w="360" w:type="dxa"/>
            <w:hideMark/>
          </w:tcPr>
          <w:p w14:paraId="011FA2BA" w14:textId="77777777" w:rsidR="00000000" w:rsidRDefault="00847163">
            <w:pPr>
              <w:rPr>
                <w:rFonts w:eastAsia="Times New Roman"/>
              </w:rPr>
            </w:pPr>
            <w:r>
              <w:rPr>
                <w:rFonts w:eastAsia="Times New Roman"/>
              </w:rPr>
              <w:t> </w:t>
            </w:r>
          </w:p>
        </w:tc>
        <w:tc>
          <w:tcPr>
            <w:tcW w:w="1440" w:type="dxa"/>
            <w:hideMark/>
          </w:tcPr>
          <w:p w14:paraId="35B26A59" w14:textId="77777777" w:rsidR="00000000" w:rsidRDefault="00847163">
            <w:pPr>
              <w:rPr>
                <w:rFonts w:eastAsia="Times New Roman"/>
              </w:rPr>
            </w:pPr>
            <w:r>
              <w:rPr>
                <w:rFonts w:eastAsia="Times New Roman"/>
              </w:rPr>
              <w:t> </w:t>
            </w:r>
          </w:p>
        </w:tc>
        <w:tc>
          <w:tcPr>
            <w:tcW w:w="0" w:type="auto"/>
            <w:hideMark/>
          </w:tcPr>
          <w:p w14:paraId="18A6BBB1" w14:textId="77777777" w:rsidR="00000000" w:rsidRDefault="00847163">
            <w:pPr>
              <w:rPr>
                <w:rFonts w:eastAsia="Times New Roman"/>
              </w:rPr>
            </w:pPr>
            <w:r>
              <w:rPr>
                <w:rFonts w:eastAsia="Times New Roman"/>
              </w:rPr>
              <w:t> </w:t>
            </w:r>
          </w:p>
        </w:tc>
      </w:tr>
    </w:tbl>
    <w:p w14:paraId="43BB41C0" w14:textId="77777777" w:rsidR="00000000" w:rsidRDefault="00847163">
      <w:pPr>
        <w:jc w:val="center"/>
        <w:divId w:val="222258180"/>
        <w:rPr>
          <w:rFonts w:eastAsia="Times New Roman"/>
          <w:sz w:val="20"/>
          <w:szCs w:val="20"/>
        </w:rPr>
      </w:pPr>
      <w:r>
        <w:rPr>
          <w:rFonts w:eastAsia="Times New Roman"/>
          <w:sz w:val="20"/>
          <w:szCs w:val="20"/>
        </w:rPr>
        <w:t xml:space="preserve">33 </w:t>
      </w:r>
    </w:p>
    <w:p w14:paraId="01D6297D" w14:textId="77777777" w:rsidR="00000000" w:rsidRDefault="00847163">
      <w:pPr>
        <w:divId w:val="1494024766"/>
        <w:rPr>
          <w:rFonts w:eastAsia="Times New Roman"/>
          <w:sz w:val="20"/>
          <w:szCs w:val="20"/>
        </w:rPr>
      </w:pPr>
      <w:r>
        <w:rPr>
          <w:rFonts w:eastAsia="Times New Roman"/>
          <w:sz w:val="20"/>
          <w:szCs w:val="20"/>
        </w:rPr>
        <w:pict w14:anchorId="3228C7E8">
          <v:rect id="_x0000_i1061" style="width:0;height:1.5pt" o:hralign="center" o:hrstd="t" o:hr="t" fillcolor="#a0a0a0" stroked="f"/>
        </w:pict>
      </w:r>
    </w:p>
    <w:p w14:paraId="10023F82" w14:textId="77777777" w:rsidR="00000000" w:rsidRDefault="00847163">
      <w:pPr>
        <w:divId w:val="433749824"/>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414B2051" w14:textId="77777777" w:rsidR="00000000" w:rsidRDefault="00847163">
      <w:pPr>
        <w:pStyle w:val="a3"/>
        <w:spacing w:before="0" w:beforeAutospacing="0" w:after="0" w:afterAutospacing="0"/>
        <w:rPr>
          <w:sz w:val="20"/>
          <w:szCs w:val="20"/>
        </w:rPr>
      </w:pPr>
      <w:r>
        <w:rPr>
          <w:sz w:val="20"/>
          <w:szCs w:val="20"/>
        </w:rPr>
        <w:t> </w:t>
      </w:r>
    </w:p>
    <w:p w14:paraId="7A2395D8" w14:textId="77777777" w:rsidR="00000000" w:rsidRDefault="00847163">
      <w:pPr>
        <w:pStyle w:val="a3"/>
        <w:spacing w:before="0" w:beforeAutospacing="0" w:after="0" w:afterAutospacing="0"/>
        <w:jc w:val="center"/>
        <w:rPr>
          <w:sz w:val="20"/>
          <w:szCs w:val="20"/>
        </w:rPr>
      </w:pPr>
      <w:r>
        <w:rPr>
          <w:b/>
          <w:bCs/>
          <w:sz w:val="20"/>
          <w:szCs w:val="20"/>
        </w:rPr>
        <w:t>SIGNATURES</w:t>
      </w:r>
    </w:p>
    <w:p w14:paraId="4238782E" w14:textId="77777777" w:rsidR="00000000" w:rsidRDefault="00847163">
      <w:pPr>
        <w:pStyle w:val="a3"/>
        <w:spacing w:before="0" w:beforeAutospacing="0" w:after="0" w:afterAutospacing="0"/>
        <w:rPr>
          <w:sz w:val="20"/>
          <w:szCs w:val="20"/>
        </w:rPr>
      </w:pPr>
      <w:r>
        <w:rPr>
          <w:sz w:val="20"/>
          <w:szCs w:val="20"/>
        </w:rPr>
        <w:t> </w:t>
      </w:r>
    </w:p>
    <w:p w14:paraId="0B67482B" w14:textId="77777777" w:rsidR="00000000" w:rsidRDefault="00847163">
      <w:pPr>
        <w:pStyle w:val="a3"/>
        <w:spacing w:before="0" w:beforeAutospacing="0" w:after="0" w:afterAutospacing="0"/>
        <w:rPr>
          <w:sz w:val="20"/>
          <w:szCs w:val="20"/>
        </w:rPr>
      </w:pPr>
      <w:r>
        <w:rPr>
          <w:sz w:val="20"/>
          <w:szCs w:val="20"/>
        </w:rPr>
        <w:t> </w:t>
      </w:r>
    </w:p>
    <w:p w14:paraId="144849BA" w14:textId="77777777" w:rsidR="00000000" w:rsidRDefault="00847163">
      <w:pPr>
        <w:pStyle w:val="a3"/>
        <w:spacing w:before="0" w:beforeAutospacing="0" w:after="0" w:afterAutospacing="0"/>
        <w:rPr>
          <w:sz w:val="20"/>
          <w:szCs w:val="20"/>
        </w:rPr>
      </w:pPr>
      <w:r>
        <w:rPr>
          <w:sz w:val="20"/>
          <w:szCs w:val="20"/>
        </w:rPr>
        <w:t>Pursuant to the requirements of the Securities Exchange Act of 1934, the registrant has duly caused this report to be signed on its</w:t>
      </w:r>
      <w:r>
        <w:rPr>
          <w:sz w:val="20"/>
          <w:szCs w:val="20"/>
        </w:rPr>
        <w:t xml:space="preserve"> behalf by the undersigned thereunto duly authorized.</w:t>
      </w:r>
    </w:p>
    <w:p w14:paraId="34412F93" w14:textId="77777777" w:rsidR="00000000" w:rsidRDefault="00847163">
      <w:pPr>
        <w:pStyle w:val="a3"/>
        <w:spacing w:before="0" w:beforeAutospacing="0" w:after="0" w:afterAutospacing="0"/>
        <w:rPr>
          <w:sz w:val="20"/>
          <w:szCs w:val="20"/>
        </w:rPr>
      </w:pPr>
      <w:r>
        <w:rPr>
          <w:sz w:val="20"/>
          <w:szCs w:val="20"/>
        </w:rPr>
        <w:t> </w:t>
      </w:r>
    </w:p>
    <w:p w14:paraId="43CAED6C" w14:textId="77777777" w:rsidR="00000000" w:rsidRDefault="00847163">
      <w:pPr>
        <w:pStyle w:val="a3"/>
        <w:spacing w:before="0" w:beforeAutospacing="0" w:after="0" w:afterAutospacing="0"/>
        <w:rPr>
          <w:sz w:val="20"/>
          <w:szCs w:val="20"/>
        </w:rPr>
      </w:pPr>
      <w:r>
        <w:rPr>
          <w:sz w:val="20"/>
          <w:szCs w:val="20"/>
        </w:rPr>
        <w:br/>
        <w:t> </w:t>
      </w:r>
    </w:p>
    <w:tbl>
      <w:tblPr>
        <w:tblW w:w="5000" w:type="pct"/>
        <w:tblCellSpacing w:w="0" w:type="dxa"/>
        <w:tblCellMar>
          <w:left w:w="0" w:type="dxa"/>
          <w:right w:w="0" w:type="dxa"/>
        </w:tblCellMar>
        <w:tblLook w:val="04A0" w:firstRow="1" w:lastRow="0" w:firstColumn="1" w:lastColumn="0" w:noHBand="0" w:noVBand="1"/>
      </w:tblPr>
      <w:tblGrid>
        <w:gridCol w:w="1687"/>
        <w:gridCol w:w="1204"/>
        <w:gridCol w:w="2043"/>
        <w:gridCol w:w="3372"/>
      </w:tblGrid>
      <w:tr w:rsidR="00000000" w14:paraId="2F67D1EB" w14:textId="77777777">
        <w:trPr>
          <w:tblCellSpacing w:w="0" w:type="dxa"/>
        </w:trPr>
        <w:tc>
          <w:tcPr>
            <w:tcW w:w="1015" w:type="pct"/>
            <w:hideMark/>
          </w:tcPr>
          <w:p w14:paraId="5B032BF6" w14:textId="77777777" w:rsidR="00000000" w:rsidRDefault="00847163">
            <w:pPr>
              <w:pStyle w:val="a3"/>
              <w:spacing w:before="0" w:beforeAutospacing="0" w:after="0" w:afterAutospacing="0"/>
              <w:rPr>
                <w:sz w:val="20"/>
                <w:szCs w:val="20"/>
              </w:rPr>
            </w:pPr>
            <w:r>
              <w:rPr>
                <w:sz w:val="20"/>
                <w:szCs w:val="20"/>
              </w:rPr>
              <w:t>  </w:t>
            </w:r>
          </w:p>
        </w:tc>
        <w:tc>
          <w:tcPr>
            <w:tcW w:w="725" w:type="pct"/>
            <w:hideMark/>
          </w:tcPr>
          <w:p w14:paraId="23BA7381" w14:textId="77777777" w:rsidR="00000000" w:rsidRDefault="00847163">
            <w:pPr>
              <w:pStyle w:val="a3"/>
              <w:spacing w:before="0" w:beforeAutospacing="0" w:after="0" w:afterAutospacing="0"/>
              <w:rPr>
                <w:sz w:val="20"/>
                <w:szCs w:val="20"/>
              </w:rPr>
            </w:pPr>
            <w:r>
              <w:rPr>
                <w:sz w:val="20"/>
                <w:szCs w:val="20"/>
              </w:rPr>
              <w:t>  </w:t>
            </w:r>
          </w:p>
        </w:tc>
        <w:tc>
          <w:tcPr>
            <w:tcW w:w="1230" w:type="pct"/>
            <w:hideMark/>
          </w:tcPr>
          <w:p w14:paraId="42EDEE5C" w14:textId="77777777" w:rsidR="00000000" w:rsidRDefault="00847163">
            <w:pPr>
              <w:pStyle w:val="a3"/>
              <w:spacing w:before="0" w:beforeAutospacing="0" w:after="0" w:afterAutospacing="0"/>
              <w:rPr>
                <w:sz w:val="20"/>
                <w:szCs w:val="20"/>
              </w:rPr>
            </w:pPr>
            <w:r>
              <w:rPr>
                <w:sz w:val="20"/>
                <w:szCs w:val="20"/>
              </w:rPr>
              <w:t>  </w:t>
            </w:r>
          </w:p>
        </w:tc>
        <w:tc>
          <w:tcPr>
            <w:tcW w:w="2030" w:type="pct"/>
            <w:hideMark/>
          </w:tcPr>
          <w:p w14:paraId="3CDE18BD" w14:textId="77777777" w:rsidR="00000000" w:rsidRDefault="00847163">
            <w:pPr>
              <w:pStyle w:val="a3"/>
              <w:spacing w:before="0" w:beforeAutospacing="0" w:after="0" w:afterAutospacing="0"/>
              <w:rPr>
                <w:sz w:val="20"/>
                <w:szCs w:val="20"/>
              </w:rPr>
            </w:pPr>
            <w:r>
              <w:rPr>
                <w:sz w:val="20"/>
                <w:szCs w:val="20"/>
              </w:rPr>
              <w:t>KIMCO REALTY CORPORATION</w:t>
            </w:r>
          </w:p>
        </w:tc>
      </w:tr>
      <w:tr w:rsidR="00000000" w14:paraId="3847AEB5" w14:textId="77777777">
        <w:trPr>
          <w:tblCellSpacing w:w="0" w:type="dxa"/>
        </w:trPr>
        <w:tc>
          <w:tcPr>
            <w:tcW w:w="1015" w:type="pct"/>
            <w:hideMark/>
          </w:tcPr>
          <w:p w14:paraId="3CECF43F" w14:textId="77777777" w:rsidR="00000000" w:rsidRDefault="00847163">
            <w:pPr>
              <w:pStyle w:val="a3"/>
              <w:spacing w:before="0" w:beforeAutospacing="0" w:after="0" w:afterAutospacing="0"/>
              <w:rPr>
                <w:sz w:val="20"/>
                <w:szCs w:val="20"/>
              </w:rPr>
            </w:pPr>
            <w:r>
              <w:rPr>
                <w:sz w:val="20"/>
                <w:szCs w:val="20"/>
              </w:rPr>
              <w:t>  </w:t>
            </w:r>
          </w:p>
        </w:tc>
        <w:tc>
          <w:tcPr>
            <w:tcW w:w="725" w:type="pct"/>
            <w:hideMark/>
          </w:tcPr>
          <w:p w14:paraId="6962E07D" w14:textId="77777777" w:rsidR="00000000" w:rsidRDefault="00847163">
            <w:pPr>
              <w:pStyle w:val="a3"/>
              <w:spacing w:before="0" w:beforeAutospacing="0" w:after="0" w:afterAutospacing="0"/>
              <w:rPr>
                <w:sz w:val="20"/>
                <w:szCs w:val="20"/>
              </w:rPr>
            </w:pPr>
            <w:r>
              <w:rPr>
                <w:sz w:val="20"/>
                <w:szCs w:val="20"/>
              </w:rPr>
              <w:t>  </w:t>
            </w:r>
          </w:p>
        </w:tc>
        <w:tc>
          <w:tcPr>
            <w:tcW w:w="1230" w:type="pct"/>
            <w:hideMark/>
          </w:tcPr>
          <w:p w14:paraId="114AFFD1" w14:textId="77777777" w:rsidR="00000000" w:rsidRDefault="00847163">
            <w:pPr>
              <w:pStyle w:val="a3"/>
              <w:spacing w:before="0" w:beforeAutospacing="0" w:after="0" w:afterAutospacing="0"/>
              <w:rPr>
                <w:sz w:val="20"/>
                <w:szCs w:val="20"/>
              </w:rPr>
            </w:pPr>
            <w:r>
              <w:rPr>
                <w:sz w:val="20"/>
                <w:szCs w:val="20"/>
              </w:rPr>
              <w:t>  </w:t>
            </w:r>
          </w:p>
        </w:tc>
        <w:tc>
          <w:tcPr>
            <w:tcW w:w="2030" w:type="pct"/>
            <w:hideMark/>
          </w:tcPr>
          <w:p w14:paraId="0544B7B1" w14:textId="77777777" w:rsidR="00000000" w:rsidRDefault="00847163">
            <w:pPr>
              <w:pStyle w:val="a3"/>
              <w:spacing w:before="0" w:beforeAutospacing="0" w:after="0" w:afterAutospacing="0"/>
              <w:rPr>
                <w:sz w:val="20"/>
                <w:szCs w:val="20"/>
              </w:rPr>
            </w:pPr>
            <w:r>
              <w:rPr>
                <w:sz w:val="20"/>
                <w:szCs w:val="20"/>
              </w:rPr>
              <w:t>  </w:t>
            </w:r>
          </w:p>
        </w:tc>
      </w:tr>
      <w:tr w:rsidR="00000000" w14:paraId="1E6749D1" w14:textId="77777777">
        <w:trPr>
          <w:tblCellSpacing w:w="0" w:type="dxa"/>
        </w:trPr>
        <w:tc>
          <w:tcPr>
            <w:tcW w:w="1015" w:type="pct"/>
            <w:hideMark/>
          </w:tcPr>
          <w:p w14:paraId="31063271" w14:textId="77777777" w:rsidR="00000000" w:rsidRDefault="00847163">
            <w:pPr>
              <w:pStyle w:val="a3"/>
              <w:spacing w:before="0" w:beforeAutospacing="0" w:after="0" w:afterAutospacing="0"/>
              <w:rPr>
                <w:sz w:val="20"/>
                <w:szCs w:val="20"/>
              </w:rPr>
            </w:pPr>
            <w:r>
              <w:rPr>
                <w:sz w:val="20"/>
                <w:szCs w:val="20"/>
              </w:rPr>
              <w:t>  </w:t>
            </w:r>
          </w:p>
        </w:tc>
        <w:tc>
          <w:tcPr>
            <w:tcW w:w="725" w:type="pct"/>
            <w:hideMark/>
          </w:tcPr>
          <w:p w14:paraId="55C9E6FA" w14:textId="77777777" w:rsidR="00000000" w:rsidRDefault="00847163">
            <w:pPr>
              <w:pStyle w:val="a3"/>
              <w:spacing w:before="0" w:beforeAutospacing="0" w:after="0" w:afterAutospacing="0"/>
              <w:rPr>
                <w:sz w:val="20"/>
                <w:szCs w:val="20"/>
              </w:rPr>
            </w:pPr>
            <w:r>
              <w:rPr>
                <w:sz w:val="20"/>
                <w:szCs w:val="20"/>
              </w:rPr>
              <w:t>  </w:t>
            </w:r>
          </w:p>
        </w:tc>
        <w:tc>
          <w:tcPr>
            <w:tcW w:w="1230" w:type="pct"/>
            <w:hideMark/>
          </w:tcPr>
          <w:p w14:paraId="3DAEDB10" w14:textId="77777777" w:rsidR="00000000" w:rsidRDefault="00847163">
            <w:pPr>
              <w:pStyle w:val="a3"/>
              <w:spacing w:before="0" w:beforeAutospacing="0" w:after="0" w:afterAutospacing="0"/>
              <w:rPr>
                <w:sz w:val="20"/>
                <w:szCs w:val="20"/>
              </w:rPr>
            </w:pPr>
            <w:r>
              <w:rPr>
                <w:sz w:val="20"/>
                <w:szCs w:val="20"/>
              </w:rPr>
              <w:t>  </w:t>
            </w:r>
          </w:p>
        </w:tc>
        <w:tc>
          <w:tcPr>
            <w:tcW w:w="2030" w:type="pct"/>
            <w:hideMark/>
          </w:tcPr>
          <w:p w14:paraId="7816D145" w14:textId="77777777" w:rsidR="00000000" w:rsidRDefault="00847163">
            <w:pPr>
              <w:pStyle w:val="a3"/>
              <w:spacing w:before="0" w:beforeAutospacing="0" w:after="0" w:afterAutospacing="0"/>
              <w:rPr>
                <w:sz w:val="20"/>
                <w:szCs w:val="20"/>
              </w:rPr>
            </w:pPr>
            <w:r>
              <w:rPr>
                <w:sz w:val="20"/>
                <w:szCs w:val="20"/>
              </w:rPr>
              <w:t>  </w:t>
            </w:r>
          </w:p>
        </w:tc>
      </w:tr>
      <w:tr w:rsidR="00000000" w14:paraId="392F037B" w14:textId="77777777">
        <w:trPr>
          <w:tblCellSpacing w:w="0" w:type="dxa"/>
        </w:trPr>
        <w:tc>
          <w:tcPr>
            <w:tcW w:w="1015" w:type="pct"/>
            <w:hideMark/>
          </w:tcPr>
          <w:p w14:paraId="7B87933D" w14:textId="77777777" w:rsidR="00000000" w:rsidRDefault="00847163">
            <w:pPr>
              <w:pStyle w:val="a3"/>
              <w:spacing w:before="0" w:beforeAutospacing="0" w:after="0" w:afterAutospacing="0"/>
              <w:rPr>
                <w:sz w:val="20"/>
                <w:szCs w:val="20"/>
              </w:rPr>
            </w:pPr>
            <w:r>
              <w:rPr>
                <w:sz w:val="20"/>
                <w:szCs w:val="20"/>
              </w:rPr>
              <w:t>  </w:t>
            </w:r>
          </w:p>
        </w:tc>
        <w:tc>
          <w:tcPr>
            <w:tcW w:w="725" w:type="pct"/>
            <w:hideMark/>
          </w:tcPr>
          <w:p w14:paraId="1B2893D5" w14:textId="77777777" w:rsidR="00000000" w:rsidRDefault="00847163">
            <w:pPr>
              <w:pStyle w:val="a3"/>
              <w:spacing w:before="0" w:beforeAutospacing="0" w:after="0" w:afterAutospacing="0"/>
              <w:rPr>
                <w:sz w:val="20"/>
                <w:szCs w:val="20"/>
              </w:rPr>
            </w:pPr>
            <w:r>
              <w:rPr>
                <w:sz w:val="20"/>
                <w:szCs w:val="20"/>
              </w:rPr>
              <w:t>  </w:t>
            </w:r>
          </w:p>
        </w:tc>
        <w:tc>
          <w:tcPr>
            <w:tcW w:w="1230" w:type="pct"/>
            <w:hideMark/>
          </w:tcPr>
          <w:p w14:paraId="7EBC11D7" w14:textId="77777777" w:rsidR="00000000" w:rsidRDefault="00847163">
            <w:pPr>
              <w:pStyle w:val="a3"/>
              <w:spacing w:before="0" w:beforeAutospacing="0" w:after="0" w:afterAutospacing="0"/>
              <w:rPr>
                <w:sz w:val="20"/>
                <w:szCs w:val="20"/>
              </w:rPr>
            </w:pPr>
            <w:r>
              <w:rPr>
                <w:sz w:val="20"/>
                <w:szCs w:val="20"/>
              </w:rPr>
              <w:t>  </w:t>
            </w:r>
          </w:p>
        </w:tc>
        <w:tc>
          <w:tcPr>
            <w:tcW w:w="2030" w:type="pct"/>
            <w:hideMark/>
          </w:tcPr>
          <w:p w14:paraId="10055F8B" w14:textId="77777777" w:rsidR="00000000" w:rsidRDefault="00847163">
            <w:pPr>
              <w:pStyle w:val="a3"/>
              <w:spacing w:before="0" w:beforeAutospacing="0" w:after="0" w:afterAutospacing="0"/>
              <w:rPr>
                <w:sz w:val="20"/>
                <w:szCs w:val="20"/>
              </w:rPr>
            </w:pPr>
            <w:r>
              <w:rPr>
                <w:sz w:val="20"/>
                <w:szCs w:val="20"/>
              </w:rPr>
              <w:t>  </w:t>
            </w:r>
          </w:p>
        </w:tc>
      </w:tr>
      <w:tr w:rsidR="00000000" w14:paraId="4043D6E1" w14:textId="77777777">
        <w:trPr>
          <w:tblCellSpacing w:w="0" w:type="dxa"/>
        </w:trPr>
        <w:tc>
          <w:tcPr>
            <w:tcW w:w="1015" w:type="pct"/>
            <w:tcBorders>
              <w:bottom w:val="single" w:sz="6" w:space="0" w:color="000000"/>
            </w:tcBorders>
            <w:hideMark/>
          </w:tcPr>
          <w:p w14:paraId="5BA5510F" w14:textId="77777777" w:rsidR="00000000" w:rsidRDefault="00847163">
            <w:pPr>
              <w:pStyle w:val="a3"/>
              <w:spacing w:before="0" w:beforeAutospacing="0" w:after="0" w:afterAutospacing="0"/>
              <w:rPr>
                <w:sz w:val="20"/>
                <w:szCs w:val="20"/>
              </w:rPr>
            </w:pPr>
            <w:r>
              <w:rPr>
                <w:sz w:val="20"/>
                <w:szCs w:val="20"/>
              </w:rPr>
              <w:t>May 8, 2020</w:t>
            </w:r>
          </w:p>
        </w:tc>
        <w:tc>
          <w:tcPr>
            <w:tcW w:w="725" w:type="pct"/>
            <w:hideMark/>
          </w:tcPr>
          <w:p w14:paraId="7023A24F" w14:textId="77777777" w:rsidR="00000000" w:rsidRDefault="00847163">
            <w:pPr>
              <w:pStyle w:val="a3"/>
              <w:spacing w:before="0" w:beforeAutospacing="0" w:after="0" w:afterAutospacing="0"/>
              <w:rPr>
                <w:sz w:val="20"/>
                <w:szCs w:val="20"/>
              </w:rPr>
            </w:pPr>
            <w:r>
              <w:rPr>
                <w:sz w:val="20"/>
                <w:szCs w:val="20"/>
              </w:rPr>
              <w:t>  </w:t>
            </w:r>
          </w:p>
        </w:tc>
        <w:tc>
          <w:tcPr>
            <w:tcW w:w="1230" w:type="pct"/>
            <w:hideMark/>
          </w:tcPr>
          <w:p w14:paraId="2216A630" w14:textId="77777777" w:rsidR="00000000" w:rsidRDefault="00847163">
            <w:pPr>
              <w:pStyle w:val="a3"/>
              <w:spacing w:before="0" w:beforeAutospacing="0" w:after="0" w:afterAutospacing="0"/>
              <w:rPr>
                <w:sz w:val="20"/>
                <w:szCs w:val="20"/>
              </w:rPr>
            </w:pPr>
            <w:r>
              <w:rPr>
                <w:sz w:val="20"/>
                <w:szCs w:val="20"/>
              </w:rPr>
              <w:t>  </w:t>
            </w:r>
          </w:p>
        </w:tc>
        <w:tc>
          <w:tcPr>
            <w:tcW w:w="2030" w:type="pct"/>
            <w:tcBorders>
              <w:bottom w:val="single" w:sz="6" w:space="0" w:color="000000"/>
            </w:tcBorders>
            <w:hideMark/>
          </w:tcPr>
          <w:p w14:paraId="59F25215" w14:textId="77777777" w:rsidR="00000000" w:rsidRDefault="00847163">
            <w:pPr>
              <w:pStyle w:val="a3"/>
              <w:spacing w:before="0" w:beforeAutospacing="0" w:after="0" w:afterAutospacing="0"/>
              <w:rPr>
                <w:sz w:val="20"/>
                <w:szCs w:val="20"/>
              </w:rPr>
            </w:pPr>
            <w:r>
              <w:rPr>
                <w:sz w:val="20"/>
                <w:szCs w:val="20"/>
              </w:rPr>
              <w:t>/s/ Conor C. Flynn</w:t>
            </w:r>
          </w:p>
        </w:tc>
      </w:tr>
      <w:tr w:rsidR="00000000" w14:paraId="2B22615A" w14:textId="77777777">
        <w:trPr>
          <w:tblCellSpacing w:w="0" w:type="dxa"/>
        </w:trPr>
        <w:tc>
          <w:tcPr>
            <w:tcW w:w="1015" w:type="pct"/>
            <w:hideMark/>
          </w:tcPr>
          <w:p w14:paraId="05975B1F" w14:textId="77777777" w:rsidR="00000000" w:rsidRDefault="00847163">
            <w:pPr>
              <w:pStyle w:val="a3"/>
              <w:spacing w:before="0" w:beforeAutospacing="0" w:after="0" w:afterAutospacing="0"/>
              <w:rPr>
                <w:sz w:val="20"/>
                <w:szCs w:val="20"/>
              </w:rPr>
            </w:pPr>
            <w:r>
              <w:rPr>
                <w:sz w:val="20"/>
                <w:szCs w:val="20"/>
              </w:rPr>
              <w:t>(Date)</w:t>
            </w:r>
          </w:p>
        </w:tc>
        <w:tc>
          <w:tcPr>
            <w:tcW w:w="725" w:type="pct"/>
            <w:hideMark/>
          </w:tcPr>
          <w:p w14:paraId="1A8F5E86" w14:textId="77777777" w:rsidR="00000000" w:rsidRDefault="00847163">
            <w:pPr>
              <w:pStyle w:val="a3"/>
              <w:spacing w:before="0" w:beforeAutospacing="0" w:after="0" w:afterAutospacing="0"/>
              <w:rPr>
                <w:sz w:val="20"/>
                <w:szCs w:val="20"/>
              </w:rPr>
            </w:pPr>
            <w:r>
              <w:rPr>
                <w:sz w:val="20"/>
                <w:szCs w:val="20"/>
              </w:rPr>
              <w:t>  </w:t>
            </w:r>
          </w:p>
        </w:tc>
        <w:tc>
          <w:tcPr>
            <w:tcW w:w="1230" w:type="pct"/>
            <w:hideMark/>
          </w:tcPr>
          <w:p w14:paraId="0929FF3E" w14:textId="77777777" w:rsidR="00000000" w:rsidRDefault="00847163">
            <w:pPr>
              <w:pStyle w:val="a3"/>
              <w:spacing w:before="0" w:beforeAutospacing="0" w:after="0" w:afterAutospacing="0"/>
              <w:rPr>
                <w:sz w:val="20"/>
                <w:szCs w:val="20"/>
              </w:rPr>
            </w:pPr>
            <w:r>
              <w:rPr>
                <w:sz w:val="20"/>
                <w:szCs w:val="20"/>
              </w:rPr>
              <w:t>  </w:t>
            </w:r>
          </w:p>
        </w:tc>
        <w:tc>
          <w:tcPr>
            <w:tcW w:w="2030" w:type="pct"/>
            <w:hideMark/>
          </w:tcPr>
          <w:p w14:paraId="2B31A8B8" w14:textId="77777777" w:rsidR="00000000" w:rsidRDefault="00847163">
            <w:pPr>
              <w:pStyle w:val="a3"/>
              <w:spacing w:before="0" w:beforeAutospacing="0" w:after="0" w:afterAutospacing="0"/>
              <w:rPr>
                <w:sz w:val="20"/>
                <w:szCs w:val="20"/>
              </w:rPr>
            </w:pPr>
            <w:r>
              <w:rPr>
                <w:sz w:val="20"/>
                <w:szCs w:val="20"/>
              </w:rPr>
              <w:t>Conor C. Flynn</w:t>
            </w:r>
          </w:p>
        </w:tc>
      </w:tr>
      <w:tr w:rsidR="00000000" w14:paraId="60DAD0E5" w14:textId="77777777">
        <w:trPr>
          <w:tblCellSpacing w:w="0" w:type="dxa"/>
        </w:trPr>
        <w:tc>
          <w:tcPr>
            <w:tcW w:w="1015" w:type="pct"/>
            <w:hideMark/>
          </w:tcPr>
          <w:p w14:paraId="60FD909C" w14:textId="77777777" w:rsidR="00000000" w:rsidRDefault="00847163">
            <w:pPr>
              <w:pStyle w:val="a3"/>
              <w:spacing w:before="0" w:beforeAutospacing="0" w:after="0" w:afterAutospacing="0"/>
              <w:rPr>
                <w:sz w:val="20"/>
                <w:szCs w:val="20"/>
              </w:rPr>
            </w:pPr>
            <w:r>
              <w:rPr>
                <w:sz w:val="20"/>
                <w:szCs w:val="20"/>
              </w:rPr>
              <w:t>  </w:t>
            </w:r>
          </w:p>
        </w:tc>
        <w:tc>
          <w:tcPr>
            <w:tcW w:w="725" w:type="pct"/>
            <w:hideMark/>
          </w:tcPr>
          <w:p w14:paraId="7AA1A57B" w14:textId="77777777" w:rsidR="00000000" w:rsidRDefault="00847163">
            <w:pPr>
              <w:pStyle w:val="a3"/>
              <w:spacing w:before="0" w:beforeAutospacing="0" w:after="0" w:afterAutospacing="0"/>
              <w:rPr>
                <w:sz w:val="20"/>
                <w:szCs w:val="20"/>
              </w:rPr>
            </w:pPr>
            <w:r>
              <w:rPr>
                <w:sz w:val="20"/>
                <w:szCs w:val="20"/>
              </w:rPr>
              <w:t>  </w:t>
            </w:r>
          </w:p>
        </w:tc>
        <w:tc>
          <w:tcPr>
            <w:tcW w:w="1230" w:type="pct"/>
            <w:hideMark/>
          </w:tcPr>
          <w:p w14:paraId="265666B5" w14:textId="77777777" w:rsidR="00000000" w:rsidRDefault="00847163">
            <w:pPr>
              <w:pStyle w:val="a3"/>
              <w:spacing w:before="0" w:beforeAutospacing="0" w:after="0" w:afterAutospacing="0"/>
              <w:rPr>
                <w:sz w:val="20"/>
                <w:szCs w:val="20"/>
              </w:rPr>
            </w:pPr>
            <w:r>
              <w:rPr>
                <w:sz w:val="20"/>
                <w:szCs w:val="20"/>
              </w:rPr>
              <w:t>  </w:t>
            </w:r>
          </w:p>
        </w:tc>
        <w:tc>
          <w:tcPr>
            <w:tcW w:w="2030" w:type="pct"/>
            <w:hideMark/>
          </w:tcPr>
          <w:p w14:paraId="5BAEED84" w14:textId="77777777" w:rsidR="00000000" w:rsidRDefault="00847163">
            <w:pPr>
              <w:pStyle w:val="a3"/>
              <w:spacing w:before="0" w:beforeAutospacing="0" w:after="0" w:afterAutospacing="0"/>
              <w:rPr>
                <w:sz w:val="20"/>
                <w:szCs w:val="20"/>
              </w:rPr>
            </w:pPr>
            <w:r>
              <w:rPr>
                <w:sz w:val="20"/>
                <w:szCs w:val="20"/>
              </w:rPr>
              <w:t>Chief Executive Officer</w:t>
            </w:r>
          </w:p>
        </w:tc>
      </w:tr>
      <w:tr w:rsidR="00000000" w14:paraId="17D91057" w14:textId="77777777">
        <w:trPr>
          <w:tblCellSpacing w:w="0" w:type="dxa"/>
        </w:trPr>
        <w:tc>
          <w:tcPr>
            <w:tcW w:w="1015" w:type="pct"/>
            <w:hideMark/>
          </w:tcPr>
          <w:p w14:paraId="458CC944" w14:textId="77777777" w:rsidR="00000000" w:rsidRDefault="00847163">
            <w:pPr>
              <w:pStyle w:val="a3"/>
              <w:spacing w:before="0" w:beforeAutospacing="0" w:after="0" w:afterAutospacing="0"/>
              <w:rPr>
                <w:sz w:val="20"/>
                <w:szCs w:val="20"/>
              </w:rPr>
            </w:pPr>
            <w:r>
              <w:rPr>
                <w:sz w:val="20"/>
                <w:szCs w:val="20"/>
              </w:rPr>
              <w:t>  </w:t>
            </w:r>
          </w:p>
        </w:tc>
        <w:tc>
          <w:tcPr>
            <w:tcW w:w="725" w:type="pct"/>
            <w:hideMark/>
          </w:tcPr>
          <w:p w14:paraId="45121B02" w14:textId="77777777" w:rsidR="00000000" w:rsidRDefault="00847163">
            <w:pPr>
              <w:pStyle w:val="a3"/>
              <w:spacing w:before="0" w:beforeAutospacing="0" w:after="0" w:afterAutospacing="0"/>
              <w:rPr>
                <w:sz w:val="20"/>
                <w:szCs w:val="20"/>
              </w:rPr>
            </w:pPr>
            <w:r>
              <w:rPr>
                <w:sz w:val="20"/>
                <w:szCs w:val="20"/>
              </w:rPr>
              <w:t>  </w:t>
            </w:r>
          </w:p>
        </w:tc>
        <w:tc>
          <w:tcPr>
            <w:tcW w:w="1230" w:type="pct"/>
            <w:hideMark/>
          </w:tcPr>
          <w:p w14:paraId="62A2E561" w14:textId="77777777" w:rsidR="00000000" w:rsidRDefault="00847163">
            <w:pPr>
              <w:pStyle w:val="a3"/>
              <w:spacing w:before="0" w:beforeAutospacing="0" w:after="0" w:afterAutospacing="0"/>
              <w:rPr>
                <w:sz w:val="20"/>
                <w:szCs w:val="20"/>
              </w:rPr>
            </w:pPr>
            <w:r>
              <w:rPr>
                <w:sz w:val="20"/>
                <w:szCs w:val="20"/>
              </w:rPr>
              <w:t>  </w:t>
            </w:r>
          </w:p>
        </w:tc>
        <w:tc>
          <w:tcPr>
            <w:tcW w:w="2030" w:type="pct"/>
            <w:hideMark/>
          </w:tcPr>
          <w:p w14:paraId="1E46A949" w14:textId="77777777" w:rsidR="00000000" w:rsidRDefault="00847163">
            <w:pPr>
              <w:pStyle w:val="a3"/>
              <w:spacing w:before="0" w:beforeAutospacing="0" w:after="0" w:afterAutospacing="0"/>
              <w:rPr>
                <w:sz w:val="20"/>
                <w:szCs w:val="20"/>
              </w:rPr>
            </w:pPr>
            <w:r>
              <w:rPr>
                <w:sz w:val="20"/>
                <w:szCs w:val="20"/>
              </w:rPr>
              <w:t>  </w:t>
            </w:r>
          </w:p>
        </w:tc>
      </w:tr>
      <w:tr w:rsidR="00000000" w14:paraId="55A293F3" w14:textId="77777777">
        <w:trPr>
          <w:tblCellSpacing w:w="0" w:type="dxa"/>
        </w:trPr>
        <w:tc>
          <w:tcPr>
            <w:tcW w:w="1015" w:type="pct"/>
            <w:hideMark/>
          </w:tcPr>
          <w:p w14:paraId="7D54A3A2" w14:textId="77777777" w:rsidR="00000000" w:rsidRDefault="00847163">
            <w:pPr>
              <w:pStyle w:val="a3"/>
              <w:spacing w:before="0" w:beforeAutospacing="0" w:after="0" w:afterAutospacing="0"/>
              <w:rPr>
                <w:sz w:val="20"/>
                <w:szCs w:val="20"/>
              </w:rPr>
            </w:pPr>
            <w:r>
              <w:rPr>
                <w:sz w:val="20"/>
                <w:szCs w:val="20"/>
              </w:rPr>
              <w:t>  </w:t>
            </w:r>
          </w:p>
        </w:tc>
        <w:tc>
          <w:tcPr>
            <w:tcW w:w="725" w:type="pct"/>
            <w:hideMark/>
          </w:tcPr>
          <w:p w14:paraId="33166960" w14:textId="77777777" w:rsidR="00000000" w:rsidRDefault="00847163">
            <w:pPr>
              <w:pStyle w:val="a3"/>
              <w:spacing w:before="0" w:beforeAutospacing="0" w:after="0" w:afterAutospacing="0"/>
              <w:rPr>
                <w:sz w:val="20"/>
                <w:szCs w:val="20"/>
              </w:rPr>
            </w:pPr>
            <w:r>
              <w:rPr>
                <w:sz w:val="20"/>
                <w:szCs w:val="20"/>
              </w:rPr>
              <w:t>  </w:t>
            </w:r>
          </w:p>
        </w:tc>
        <w:tc>
          <w:tcPr>
            <w:tcW w:w="1230" w:type="pct"/>
            <w:hideMark/>
          </w:tcPr>
          <w:p w14:paraId="7DD55486" w14:textId="77777777" w:rsidR="00000000" w:rsidRDefault="00847163">
            <w:pPr>
              <w:pStyle w:val="a3"/>
              <w:spacing w:before="0" w:beforeAutospacing="0" w:after="0" w:afterAutospacing="0"/>
              <w:rPr>
                <w:sz w:val="20"/>
                <w:szCs w:val="20"/>
              </w:rPr>
            </w:pPr>
            <w:r>
              <w:rPr>
                <w:sz w:val="20"/>
                <w:szCs w:val="20"/>
              </w:rPr>
              <w:t>  </w:t>
            </w:r>
          </w:p>
        </w:tc>
        <w:tc>
          <w:tcPr>
            <w:tcW w:w="2030" w:type="pct"/>
            <w:hideMark/>
          </w:tcPr>
          <w:p w14:paraId="7C1891E9" w14:textId="77777777" w:rsidR="00000000" w:rsidRDefault="00847163">
            <w:pPr>
              <w:pStyle w:val="a3"/>
              <w:spacing w:before="0" w:beforeAutospacing="0" w:after="0" w:afterAutospacing="0"/>
              <w:rPr>
                <w:sz w:val="20"/>
                <w:szCs w:val="20"/>
              </w:rPr>
            </w:pPr>
            <w:r>
              <w:rPr>
                <w:sz w:val="20"/>
                <w:szCs w:val="20"/>
              </w:rPr>
              <w:t>  </w:t>
            </w:r>
          </w:p>
        </w:tc>
      </w:tr>
      <w:tr w:rsidR="00000000" w14:paraId="2CBF2522" w14:textId="77777777">
        <w:trPr>
          <w:tblCellSpacing w:w="0" w:type="dxa"/>
        </w:trPr>
        <w:tc>
          <w:tcPr>
            <w:tcW w:w="1015" w:type="pct"/>
            <w:tcBorders>
              <w:bottom w:val="single" w:sz="6" w:space="0" w:color="000000"/>
            </w:tcBorders>
            <w:hideMark/>
          </w:tcPr>
          <w:p w14:paraId="5912B84D" w14:textId="77777777" w:rsidR="00000000" w:rsidRDefault="00847163">
            <w:pPr>
              <w:pStyle w:val="a3"/>
              <w:spacing w:before="0" w:beforeAutospacing="0" w:after="0" w:afterAutospacing="0"/>
              <w:rPr>
                <w:sz w:val="20"/>
                <w:szCs w:val="20"/>
              </w:rPr>
            </w:pPr>
            <w:r>
              <w:rPr>
                <w:sz w:val="20"/>
                <w:szCs w:val="20"/>
              </w:rPr>
              <w:t>May 8, 2020</w:t>
            </w:r>
          </w:p>
        </w:tc>
        <w:tc>
          <w:tcPr>
            <w:tcW w:w="725" w:type="pct"/>
            <w:hideMark/>
          </w:tcPr>
          <w:p w14:paraId="3E3558CF" w14:textId="77777777" w:rsidR="00000000" w:rsidRDefault="00847163">
            <w:pPr>
              <w:pStyle w:val="a3"/>
              <w:spacing w:before="0" w:beforeAutospacing="0" w:after="0" w:afterAutospacing="0"/>
              <w:rPr>
                <w:sz w:val="20"/>
                <w:szCs w:val="20"/>
              </w:rPr>
            </w:pPr>
            <w:r>
              <w:rPr>
                <w:sz w:val="20"/>
                <w:szCs w:val="20"/>
              </w:rPr>
              <w:t>  </w:t>
            </w:r>
          </w:p>
        </w:tc>
        <w:tc>
          <w:tcPr>
            <w:tcW w:w="1230" w:type="pct"/>
            <w:hideMark/>
          </w:tcPr>
          <w:p w14:paraId="1F9CDA30" w14:textId="77777777" w:rsidR="00000000" w:rsidRDefault="00847163">
            <w:pPr>
              <w:pStyle w:val="a3"/>
              <w:spacing w:before="0" w:beforeAutospacing="0" w:after="0" w:afterAutospacing="0"/>
              <w:rPr>
                <w:sz w:val="20"/>
                <w:szCs w:val="20"/>
              </w:rPr>
            </w:pPr>
            <w:r>
              <w:rPr>
                <w:sz w:val="20"/>
                <w:szCs w:val="20"/>
              </w:rPr>
              <w:t>  </w:t>
            </w:r>
          </w:p>
        </w:tc>
        <w:tc>
          <w:tcPr>
            <w:tcW w:w="2030" w:type="pct"/>
            <w:tcBorders>
              <w:bottom w:val="single" w:sz="6" w:space="0" w:color="000000"/>
            </w:tcBorders>
            <w:hideMark/>
          </w:tcPr>
          <w:p w14:paraId="5F6B26DF" w14:textId="77777777" w:rsidR="00000000" w:rsidRDefault="00847163">
            <w:pPr>
              <w:pStyle w:val="a3"/>
              <w:spacing w:before="0" w:beforeAutospacing="0" w:after="0" w:afterAutospacing="0"/>
              <w:rPr>
                <w:sz w:val="20"/>
                <w:szCs w:val="20"/>
              </w:rPr>
            </w:pPr>
            <w:r>
              <w:rPr>
                <w:sz w:val="20"/>
                <w:szCs w:val="20"/>
              </w:rPr>
              <w:t>/s/ Glenn G. Cohen</w:t>
            </w:r>
          </w:p>
        </w:tc>
      </w:tr>
      <w:tr w:rsidR="00000000" w14:paraId="47BC45FF" w14:textId="77777777">
        <w:trPr>
          <w:tblCellSpacing w:w="0" w:type="dxa"/>
        </w:trPr>
        <w:tc>
          <w:tcPr>
            <w:tcW w:w="1015" w:type="pct"/>
            <w:hideMark/>
          </w:tcPr>
          <w:p w14:paraId="3C006750" w14:textId="77777777" w:rsidR="00000000" w:rsidRDefault="00847163">
            <w:pPr>
              <w:pStyle w:val="a3"/>
              <w:spacing w:before="0" w:beforeAutospacing="0" w:after="0" w:afterAutospacing="0"/>
              <w:rPr>
                <w:sz w:val="20"/>
                <w:szCs w:val="20"/>
              </w:rPr>
            </w:pPr>
            <w:r>
              <w:rPr>
                <w:sz w:val="20"/>
                <w:szCs w:val="20"/>
              </w:rPr>
              <w:t>(Date)</w:t>
            </w:r>
          </w:p>
        </w:tc>
        <w:tc>
          <w:tcPr>
            <w:tcW w:w="725" w:type="pct"/>
            <w:hideMark/>
          </w:tcPr>
          <w:p w14:paraId="7688395B" w14:textId="77777777" w:rsidR="00000000" w:rsidRDefault="00847163">
            <w:pPr>
              <w:pStyle w:val="a3"/>
              <w:spacing w:before="0" w:beforeAutospacing="0" w:after="0" w:afterAutospacing="0"/>
              <w:rPr>
                <w:sz w:val="20"/>
                <w:szCs w:val="20"/>
              </w:rPr>
            </w:pPr>
            <w:r>
              <w:rPr>
                <w:sz w:val="20"/>
                <w:szCs w:val="20"/>
              </w:rPr>
              <w:t>  </w:t>
            </w:r>
          </w:p>
        </w:tc>
        <w:tc>
          <w:tcPr>
            <w:tcW w:w="1230" w:type="pct"/>
            <w:hideMark/>
          </w:tcPr>
          <w:p w14:paraId="630D5B55" w14:textId="77777777" w:rsidR="00000000" w:rsidRDefault="00847163">
            <w:pPr>
              <w:pStyle w:val="a3"/>
              <w:spacing w:before="0" w:beforeAutospacing="0" w:after="0" w:afterAutospacing="0"/>
              <w:rPr>
                <w:sz w:val="20"/>
                <w:szCs w:val="20"/>
              </w:rPr>
            </w:pPr>
            <w:r>
              <w:rPr>
                <w:sz w:val="20"/>
                <w:szCs w:val="20"/>
              </w:rPr>
              <w:t>  </w:t>
            </w:r>
          </w:p>
        </w:tc>
        <w:tc>
          <w:tcPr>
            <w:tcW w:w="2030" w:type="pct"/>
            <w:hideMark/>
          </w:tcPr>
          <w:p w14:paraId="1275AEB6" w14:textId="77777777" w:rsidR="00000000" w:rsidRDefault="00847163">
            <w:pPr>
              <w:pStyle w:val="a3"/>
              <w:spacing w:before="0" w:beforeAutospacing="0" w:after="0" w:afterAutospacing="0"/>
              <w:rPr>
                <w:sz w:val="20"/>
                <w:szCs w:val="20"/>
              </w:rPr>
            </w:pPr>
            <w:r>
              <w:rPr>
                <w:sz w:val="20"/>
                <w:szCs w:val="20"/>
              </w:rPr>
              <w:t>Glenn G. Cohen</w:t>
            </w:r>
          </w:p>
        </w:tc>
      </w:tr>
      <w:tr w:rsidR="00000000" w14:paraId="7A47C9E5" w14:textId="77777777">
        <w:trPr>
          <w:tblCellSpacing w:w="0" w:type="dxa"/>
        </w:trPr>
        <w:tc>
          <w:tcPr>
            <w:tcW w:w="1015" w:type="pct"/>
            <w:hideMark/>
          </w:tcPr>
          <w:p w14:paraId="1CD6253A" w14:textId="77777777" w:rsidR="00000000" w:rsidRDefault="00847163">
            <w:pPr>
              <w:pStyle w:val="a3"/>
              <w:spacing w:before="0" w:beforeAutospacing="0" w:after="0" w:afterAutospacing="0"/>
              <w:rPr>
                <w:sz w:val="20"/>
                <w:szCs w:val="20"/>
              </w:rPr>
            </w:pPr>
            <w:r>
              <w:rPr>
                <w:sz w:val="20"/>
                <w:szCs w:val="20"/>
              </w:rPr>
              <w:t>  </w:t>
            </w:r>
          </w:p>
        </w:tc>
        <w:tc>
          <w:tcPr>
            <w:tcW w:w="725" w:type="pct"/>
            <w:hideMark/>
          </w:tcPr>
          <w:p w14:paraId="5E5ED086" w14:textId="77777777" w:rsidR="00000000" w:rsidRDefault="00847163">
            <w:pPr>
              <w:pStyle w:val="a3"/>
              <w:spacing w:before="0" w:beforeAutospacing="0" w:after="0" w:afterAutospacing="0"/>
              <w:rPr>
                <w:sz w:val="20"/>
                <w:szCs w:val="20"/>
              </w:rPr>
            </w:pPr>
            <w:r>
              <w:rPr>
                <w:sz w:val="20"/>
                <w:szCs w:val="20"/>
              </w:rPr>
              <w:t>  </w:t>
            </w:r>
          </w:p>
        </w:tc>
        <w:tc>
          <w:tcPr>
            <w:tcW w:w="1230" w:type="pct"/>
            <w:hideMark/>
          </w:tcPr>
          <w:p w14:paraId="76729631" w14:textId="77777777" w:rsidR="00000000" w:rsidRDefault="00847163">
            <w:pPr>
              <w:pStyle w:val="a3"/>
              <w:spacing w:before="0" w:beforeAutospacing="0" w:after="0" w:afterAutospacing="0"/>
              <w:rPr>
                <w:sz w:val="20"/>
                <w:szCs w:val="20"/>
              </w:rPr>
            </w:pPr>
            <w:r>
              <w:rPr>
                <w:sz w:val="20"/>
                <w:szCs w:val="20"/>
              </w:rPr>
              <w:t>  </w:t>
            </w:r>
          </w:p>
        </w:tc>
        <w:tc>
          <w:tcPr>
            <w:tcW w:w="2030" w:type="pct"/>
            <w:hideMark/>
          </w:tcPr>
          <w:p w14:paraId="24F8DD20" w14:textId="77777777" w:rsidR="00000000" w:rsidRDefault="00847163">
            <w:pPr>
              <w:pStyle w:val="a3"/>
              <w:spacing w:before="0" w:beforeAutospacing="0" w:after="0" w:afterAutospacing="0"/>
              <w:rPr>
                <w:sz w:val="20"/>
                <w:szCs w:val="20"/>
              </w:rPr>
            </w:pPr>
            <w:r>
              <w:rPr>
                <w:sz w:val="20"/>
                <w:szCs w:val="20"/>
              </w:rPr>
              <w:t>Chief Financial Officer</w:t>
            </w:r>
          </w:p>
        </w:tc>
      </w:tr>
    </w:tbl>
    <w:p w14:paraId="2F195C04" w14:textId="77777777" w:rsidR="00000000" w:rsidRDefault="00847163">
      <w:pPr>
        <w:pStyle w:val="a3"/>
        <w:spacing w:before="0" w:beforeAutospacing="0" w:after="0" w:afterAutospacing="0"/>
        <w:rPr>
          <w:sz w:val="20"/>
          <w:szCs w:val="20"/>
        </w:rPr>
      </w:pPr>
      <w:r>
        <w:rPr>
          <w:sz w:val="20"/>
          <w:szCs w:val="20"/>
        </w:rPr>
        <w:t> </w:t>
      </w:r>
    </w:p>
    <w:p w14:paraId="7AEBC8CF" w14:textId="77777777" w:rsidR="00847163" w:rsidRDefault="00847163">
      <w:pPr>
        <w:jc w:val="center"/>
        <w:divId w:val="1509171201"/>
        <w:rPr>
          <w:rFonts w:eastAsia="Times New Roman"/>
          <w:sz w:val="20"/>
          <w:szCs w:val="20"/>
        </w:rPr>
      </w:pPr>
      <w:r>
        <w:rPr>
          <w:rFonts w:eastAsia="Times New Roman"/>
          <w:sz w:val="20"/>
          <w:szCs w:val="20"/>
        </w:rPr>
        <w:t xml:space="preserve">34 </w:t>
      </w:r>
    </w:p>
    <w:sectPr w:rsidR="00847163">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47163"/>
    <w:rsid w:val="00847163"/>
  </w:rsids>
  <m:mathPr>
    <m:mathFont m:val="Cambria Math"/>
    <m:brkBin m:val="before"/>
    <m:brkBinSub m:val="--"/>
    <m:smallFrac m:val="0"/>
    <m:dispDef/>
    <m:lMargin m:val="0"/>
    <m:rMargin m:val="0"/>
    <m:defJc m:val="centerGroup"/>
    <m:wrapIndent m:val="1440"/>
    <m:intLim m:val="subSup"/>
    <m:naryLim m:val="undOvr"/>
  </m:mathPr>
  <w:attachedSchema w:val="http://www.xbrl.org/2006/ref"/>
  <w:attachedSchema w:val="http://xbrl.org/2006/xbrldi"/>
  <w:attachedSchema w:val="http://xbrl.sec.gov/naics/2011-01-31"/>
  <w:attachedSchema w:val="http://www.xbrl.org/2003/instance"/>
  <w:attachedSchema w:val="http://www.sec.gov/inlineXBRL/transformation/2015-08-31"/>
  <w:attachedSchema w:val="http://www.w3.org/1999/xlink"/>
  <w:attachedSchema w:val="http://www.xbrl.org/inlineXBRL/transformation/2015-02-26"/>
  <w:attachedSchema w:val="http://www.xbrl.org/dtr/type/non-numeric"/>
  <w:attachedSchema w:val="http://fasb.org/us-types/2017-01-31"/>
  <w:attachedSchema w:val="http://www.xbrl.org/2009/utr"/>
  <w:attachedSchema w:val="http://www.xbrl.org/2013/inlineXBRL"/>
  <w:attachedSchema w:val="http://fasb.org/us-roles/2017-01-31"/>
  <w:attachedSchema w:val="http://xbrl.sec.gov/stpr/2018-01-31"/>
  <w:attachedSchema w:val="http://www.xbrl.org/2003/linkbase"/>
  <w:attachedSchema w:val="http://www.xbrl.org/2003/iso4217"/>
  <w:attachedSchema w:val="http://www.xbrl.org/dtr/type/numeric"/>
  <w:attachedSchema w:val="http://xbrl.org/2005/xbrldt"/>
  <w:attachedSchema w:val="http://www.RDGFilings.com"/>
  <w:attachedSchema w:val="http://xbrl.sec.gov/dei/2019-01-31"/>
  <w:attachedSchema w:val="http://www.kimcorealty.com/20200331"/>
  <w:attachedSchema w:val="http://xbrl.sec.gov/currency/2020-01-31"/>
  <w:attachedSchema w:val="http://fasb.org/srt/2020-01-31"/>
  <w:attachedSchema w:val="http://xbrl.sec.gov/rr/2018-01-31"/>
  <w:attachedSchema w:val="http://fasb.org/us-gaap/2020-01-31"/>
  <w:attachedSchema w:val="http://xbrl.sec.gov/sic/2020-01-31"/>
  <w:attachedSchema w:val="http://xbrl.sec.gov/exch/2020-01-31"/>
  <w:attachedSchema w:val="http://xbrl.sec.gov/country/2020-01-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A1FFE2"/>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character" w:styleId="a6">
    <w:name w:val="Emphasis"/>
    <w:basedOn w:val="a0"/>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26274">
      <w:marLeft w:val="0"/>
      <w:marRight w:val="0"/>
      <w:marTop w:val="0"/>
      <w:marBottom w:val="0"/>
      <w:divBdr>
        <w:top w:val="none" w:sz="0" w:space="0" w:color="auto"/>
        <w:left w:val="none" w:sz="0" w:space="0" w:color="auto"/>
        <w:bottom w:val="none" w:sz="0" w:space="0" w:color="auto"/>
        <w:right w:val="none" w:sz="0" w:space="0" w:color="auto"/>
      </w:divBdr>
    </w:div>
    <w:div w:id="25181252">
      <w:marLeft w:val="0"/>
      <w:marRight w:val="0"/>
      <w:marTop w:val="0"/>
      <w:marBottom w:val="0"/>
      <w:divBdr>
        <w:top w:val="none" w:sz="0" w:space="0" w:color="auto"/>
        <w:left w:val="none" w:sz="0" w:space="0" w:color="auto"/>
        <w:bottom w:val="none" w:sz="0" w:space="0" w:color="auto"/>
        <w:right w:val="none" w:sz="0" w:space="0" w:color="auto"/>
      </w:divBdr>
      <w:divsChild>
        <w:div w:id="864633608">
          <w:marLeft w:val="0"/>
          <w:marRight w:val="0"/>
          <w:marTop w:val="0"/>
          <w:marBottom w:val="0"/>
          <w:divBdr>
            <w:top w:val="none" w:sz="0" w:space="0" w:color="auto"/>
            <w:left w:val="none" w:sz="0" w:space="0" w:color="auto"/>
            <w:bottom w:val="none" w:sz="0" w:space="0" w:color="auto"/>
            <w:right w:val="none" w:sz="0" w:space="0" w:color="auto"/>
          </w:divBdr>
        </w:div>
        <w:div w:id="805389877">
          <w:marLeft w:val="0"/>
          <w:marRight w:val="0"/>
          <w:marTop w:val="0"/>
          <w:marBottom w:val="0"/>
          <w:divBdr>
            <w:top w:val="none" w:sz="0" w:space="0" w:color="auto"/>
            <w:left w:val="none" w:sz="0" w:space="0" w:color="auto"/>
            <w:bottom w:val="none" w:sz="0" w:space="0" w:color="auto"/>
            <w:right w:val="none" w:sz="0" w:space="0" w:color="auto"/>
          </w:divBdr>
        </w:div>
      </w:divsChild>
    </w:div>
    <w:div w:id="77557571">
      <w:marLeft w:val="0"/>
      <w:marRight w:val="0"/>
      <w:marTop w:val="0"/>
      <w:marBottom w:val="0"/>
      <w:divBdr>
        <w:top w:val="none" w:sz="0" w:space="0" w:color="auto"/>
        <w:left w:val="none" w:sz="0" w:space="0" w:color="auto"/>
        <w:bottom w:val="none" w:sz="0" w:space="0" w:color="auto"/>
        <w:right w:val="none" w:sz="0" w:space="0" w:color="auto"/>
      </w:divBdr>
      <w:divsChild>
        <w:div w:id="1221093621">
          <w:marLeft w:val="0"/>
          <w:marRight w:val="0"/>
          <w:marTop w:val="0"/>
          <w:marBottom w:val="0"/>
          <w:divBdr>
            <w:top w:val="none" w:sz="0" w:space="0" w:color="auto"/>
            <w:left w:val="none" w:sz="0" w:space="0" w:color="auto"/>
            <w:bottom w:val="none" w:sz="0" w:space="0" w:color="auto"/>
            <w:right w:val="none" w:sz="0" w:space="0" w:color="auto"/>
          </w:divBdr>
        </w:div>
        <w:div w:id="862864886">
          <w:marLeft w:val="0"/>
          <w:marRight w:val="0"/>
          <w:marTop w:val="0"/>
          <w:marBottom w:val="0"/>
          <w:divBdr>
            <w:top w:val="none" w:sz="0" w:space="0" w:color="auto"/>
            <w:left w:val="none" w:sz="0" w:space="0" w:color="auto"/>
            <w:bottom w:val="none" w:sz="0" w:space="0" w:color="auto"/>
            <w:right w:val="none" w:sz="0" w:space="0" w:color="auto"/>
          </w:divBdr>
        </w:div>
      </w:divsChild>
    </w:div>
    <w:div w:id="91241657">
      <w:marLeft w:val="0"/>
      <w:marRight w:val="0"/>
      <w:marTop w:val="0"/>
      <w:marBottom w:val="0"/>
      <w:divBdr>
        <w:top w:val="none" w:sz="0" w:space="0" w:color="auto"/>
        <w:left w:val="none" w:sz="0" w:space="0" w:color="auto"/>
        <w:bottom w:val="none" w:sz="0" w:space="0" w:color="auto"/>
        <w:right w:val="none" w:sz="0" w:space="0" w:color="auto"/>
      </w:divBdr>
      <w:divsChild>
        <w:div w:id="1394891022">
          <w:marLeft w:val="0"/>
          <w:marRight w:val="0"/>
          <w:marTop w:val="0"/>
          <w:marBottom w:val="0"/>
          <w:divBdr>
            <w:top w:val="none" w:sz="0" w:space="0" w:color="auto"/>
            <w:left w:val="none" w:sz="0" w:space="0" w:color="auto"/>
            <w:bottom w:val="none" w:sz="0" w:space="0" w:color="auto"/>
            <w:right w:val="none" w:sz="0" w:space="0" w:color="auto"/>
          </w:divBdr>
          <w:divsChild>
            <w:div w:id="150917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4406">
      <w:marLeft w:val="0"/>
      <w:marRight w:val="0"/>
      <w:marTop w:val="0"/>
      <w:marBottom w:val="0"/>
      <w:divBdr>
        <w:top w:val="none" w:sz="0" w:space="0" w:color="auto"/>
        <w:left w:val="none" w:sz="0" w:space="0" w:color="auto"/>
        <w:bottom w:val="none" w:sz="0" w:space="0" w:color="auto"/>
        <w:right w:val="none" w:sz="0" w:space="0" w:color="auto"/>
      </w:divBdr>
    </w:div>
    <w:div w:id="161966628">
      <w:marLeft w:val="0"/>
      <w:marRight w:val="0"/>
      <w:marTop w:val="0"/>
      <w:marBottom w:val="0"/>
      <w:divBdr>
        <w:top w:val="none" w:sz="0" w:space="0" w:color="auto"/>
        <w:left w:val="none" w:sz="0" w:space="0" w:color="auto"/>
        <w:bottom w:val="none" w:sz="0" w:space="0" w:color="auto"/>
        <w:right w:val="none" w:sz="0" w:space="0" w:color="auto"/>
      </w:divBdr>
    </w:div>
    <w:div w:id="197593038">
      <w:marLeft w:val="0"/>
      <w:marRight w:val="0"/>
      <w:marTop w:val="0"/>
      <w:marBottom w:val="0"/>
      <w:divBdr>
        <w:top w:val="none" w:sz="0" w:space="0" w:color="auto"/>
        <w:left w:val="none" w:sz="0" w:space="0" w:color="auto"/>
        <w:bottom w:val="none" w:sz="0" w:space="0" w:color="auto"/>
        <w:right w:val="none" w:sz="0" w:space="0" w:color="auto"/>
      </w:divBdr>
    </w:div>
    <w:div w:id="203635986">
      <w:marLeft w:val="0"/>
      <w:marRight w:val="0"/>
      <w:marTop w:val="0"/>
      <w:marBottom w:val="0"/>
      <w:divBdr>
        <w:top w:val="none" w:sz="0" w:space="0" w:color="auto"/>
        <w:left w:val="none" w:sz="0" w:space="0" w:color="auto"/>
        <w:bottom w:val="none" w:sz="0" w:space="0" w:color="auto"/>
        <w:right w:val="none" w:sz="0" w:space="0" w:color="auto"/>
      </w:divBdr>
    </w:div>
    <w:div w:id="223181762">
      <w:marLeft w:val="0"/>
      <w:marRight w:val="0"/>
      <w:marTop w:val="0"/>
      <w:marBottom w:val="0"/>
      <w:divBdr>
        <w:top w:val="none" w:sz="0" w:space="0" w:color="auto"/>
        <w:left w:val="none" w:sz="0" w:space="0" w:color="auto"/>
        <w:bottom w:val="none" w:sz="0" w:space="0" w:color="auto"/>
        <w:right w:val="none" w:sz="0" w:space="0" w:color="auto"/>
      </w:divBdr>
    </w:div>
    <w:div w:id="322706092">
      <w:marLeft w:val="0"/>
      <w:marRight w:val="0"/>
      <w:marTop w:val="0"/>
      <w:marBottom w:val="0"/>
      <w:divBdr>
        <w:top w:val="none" w:sz="0" w:space="0" w:color="auto"/>
        <w:left w:val="none" w:sz="0" w:space="0" w:color="auto"/>
        <w:bottom w:val="none" w:sz="0" w:space="0" w:color="auto"/>
        <w:right w:val="none" w:sz="0" w:space="0" w:color="auto"/>
      </w:divBdr>
      <w:divsChild>
        <w:div w:id="281426324">
          <w:marLeft w:val="0"/>
          <w:marRight w:val="0"/>
          <w:marTop w:val="0"/>
          <w:marBottom w:val="0"/>
          <w:divBdr>
            <w:top w:val="none" w:sz="0" w:space="0" w:color="auto"/>
            <w:left w:val="none" w:sz="0" w:space="0" w:color="auto"/>
            <w:bottom w:val="none" w:sz="0" w:space="0" w:color="auto"/>
            <w:right w:val="none" w:sz="0" w:space="0" w:color="auto"/>
          </w:divBdr>
        </w:div>
        <w:div w:id="2050182016">
          <w:marLeft w:val="0"/>
          <w:marRight w:val="0"/>
          <w:marTop w:val="0"/>
          <w:marBottom w:val="0"/>
          <w:divBdr>
            <w:top w:val="none" w:sz="0" w:space="0" w:color="auto"/>
            <w:left w:val="none" w:sz="0" w:space="0" w:color="auto"/>
            <w:bottom w:val="none" w:sz="0" w:space="0" w:color="auto"/>
            <w:right w:val="none" w:sz="0" w:space="0" w:color="auto"/>
          </w:divBdr>
        </w:div>
      </w:divsChild>
    </w:div>
    <w:div w:id="323124837">
      <w:marLeft w:val="0"/>
      <w:marRight w:val="0"/>
      <w:marTop w:val="0"/>
      <w:marBottom w:val="0"/>
      <w:divBdr>
        <w:top w:val="none" w:sz="0" w:space="0" w:color="auto"/>
        <w:left w:val="none" w:sz="0" w:space="0" w:color="auto"/>
        <w:bottom w:val="none" w:sz="0" w:space="0" w:color="auto"/>
        <w:right w:val="none" w:sz="0" w:space="0" w:color="auto"/>
      </w:divBdr>
    </w:div>
    <w:div w:id="368189992">
      <w:marLeft w:val="0"/>
      <w:marRight w:val="0"/>
      <w:marTop w:val="0"/>
      <w:marBottom w:val="0"/>
      <w:divBdr>
        <w:top w:val="none" w:sz="0" w:space="0" w:color="auto"/>
        <w:left w:val="none" w:sz="0" w:space="0" w:color="auto"/>
        <w:bottom w:val="none" w:sz="0" w:space="0" w:color="auto"/>
        <w:right w:val="none" w:sz="0" w:space="0" w:color="auto"/>
      </w:divBdr>
      <w:divsChild>
        <w:div w:id="803237395">
          <w:marLeft w:val="0"/>
          <w:marRight w:val="0"/>
          <w:marTop w:val="0"/>
          <w:marBottom w:val="0"/>
          <w:divBdr>
            <w:top w:val="none" w:sz="0" w:space="0" w:color="auto"/>
            <w:left w:val="none" w:sz="0" w:space="0" w:color="auto"/>
            <w:bottom w:val="none" w:sz="0" w:space="0" w:color="auto"/>
            <w:right w:val="none" w:sz="0" w:space="0" w:color="auto"/>
          </w:divBdr>
        </w:div>
        <w:div w:id="1056477">
          <w:marLeft w:val="0"/>
          <w:marRight w:val="0"/>
          <w:marTop w:val="0"/>
          <w:marBottom w:val="0"/>
          <w:divBdr>
            <w:top w:val="none" w:sz="0" w:space="0" w:color="auto"/>
            <w:left w:val="none" w:sz="0" w:space="0" w:color="auto"/>
            <w:bottom w:val="none" w:sz="0" w:space="0" w:color="auto"/>
            <w:right w:val="none" w:sz="0" w:space="0" w:color="auto"/>
          </w:divBdr>
        </w:div>
      </w:divsChild>
    </w:div>
    <w:div w:id="411974919">
      <w:marLeft w:val="0"/>
      <w:marRight w:val="0"/>
      <w:marTop w:val="0"/>
      <w:marBottom w:val="0"/>
      <w:divBdr>
        <w:top w:val="none" w:sz="0" w:space="0" w:color="auto"/>
        <w:left w:val="none" w:sz="0" w:space="0" w:color="auto"/>
        <w:bottom w:val="none" w:sz="0" w:space="0" w:color="auto"/>
        <w:right w:val="none" w:sz="0" w:space="0" w:color="auto"/>
      </w:divBdr>
      <w:divsChild>
        <w:div w:id="1229220364">
          <w:marLeft w:val="0"/>
          <w:marRight w:val="0"/>
          <w:marTop w:val="0"/>
          <w:marBottom w:val="0"/>
          <w:divBdr>
            <w:top w:val="none" w:sz="0" w:space="0" w:color="auto"/>
            <w:left w:val="none" w:sz="0" w:space="0" w:color="auto"/>
            <w:bottom w:val="none" w:sz="0" w:space="0" w:color="auto"/>
            <w:right w:val="none" w:sz="0" w:space="0" w:color="auto"/>
          </w:divBdr>
        </w:div>
        <w:div w:id="1716344528">
          <w:marLeft w:val="0"/>
          <w:marRight w:val="0"/>
          <w:marTop w:val="0"/>
          <w:marBottom w:val="0"/>
          <w:divBdr>
            <w:top w:val="none" w:sz="0" w:space="0" w:color="auto"/>
            <w:left w:val="none" w:sz="0" w:space="0" w:color="auto"/>
            <w:bottom w:val="none" w:sz="0" w:space="0" w:color="auto"/>
            <w:right w:val="none" w:sz="0" w:space="0" w:color="auto"/>
          </w:divBdr>
        </w:div>
      </w:divsChild>
    </w:div>
    <w:div w:id="413473948">
      <w:marLeft w:val="0"/>
      <w:marRight w:val="0"/>
      <w:marTop w:val="0"/>
      <w:marBottom w:val="0"/>
      <w:divBdr>
        <w:top w:val="none" w:sz="0" w:space="0" w:color="auto"/>
        <w:left w:val="none" w:sz="0" w:space="0" w:color="auto"/>
        <w:bottom w:val="none" w:sz="0" w:space="0" w:color="auto"/>
        <w:right w:val="none" w:sz="0" w:space="0" w:color="auto"/>
      </w:divBdr>
    </w:div>
    <w:div w:id="442572689">
      <w:marLeft w:val="0"/>
      <w:marRight w:val="0"/>
      <w:marTop w:val="0"/>
      <w:marBottom w:val="0"/>
      <w:divBdr>
        <w:top w:val="none" w:sz="0" w:space="0" w:color="auto"/>
        <w:left w:val="none" w:sz="0" w:space="0" w:color="auto"/>
        <w:bottom w:val="none" w:sz="0" w:space="0" w:color="auto"/>
        <w:right w:val="none" w:sz="0" w:space="0" w:color="auto"/>
      </w:divBdr>
      <w:divsChild>
        <w:div w:id="1979068940">
          <w:marLeft w:val="0"/>
          <w:marRight w:val="0"/>
          <w:marTop w:val="0"/>
          <w:marBottom w:val="0"/>
          <w:divBdr>
            <w:top w:val="none" w:sz="0" w:space="0" w:color="auto"/>
            <w:left w:val="none" w:sz="0" w:space="0" w:color="auto"/>
            <w:bottom w:val="none" w:sz="0" w:space="0" w:color="auto"/>
            <w:right w:val="none" w:sz="0" w:space="0" w:color="auto"/>
          </w:divBdr>
        </w:div>
        <w:div w:id="8677267">
          <w:marLeft w:val="0"/>
          <w:marRight w:val="0"/>
          <w:marTop w:val="0"/>
          <w:marBottom w:val="0"/>
          <w:divBdr>
            <w:top w:val="none" w:sz="0" w:space="0" w:color="auto"/>
            <w:left w:val="none" w:sz="0" w:space="0" w:color="auto"/>
            <w:bottom w:val="none" w:sz="0" w:space="0" w:color="auto"/>
            <w:right w:val="none" w:sz="0" w:space="0" w:color="auto"/>
          </w:divBdr>
        </w:div>
      </w:divsChild>
    </w:div>
    <w:div w:id="549071371">
      <w:marLeft w:val="0"/>
      <w:marRight w:val="0"/>
      <w:marTop w:val="0"/>
      <w:marBottom w:val="0"/>
      <w:divBdr>
        <w:top w:val="none" w:sz="0" w:space="0" w:color="auto"/>
        <w:left w:val="none" w:sz="0" w:space="0" w:color="auto"/>
        <w:bottom w:val="none" w:sz="0" w:space="0" w:color="auto"/>
        <w:right w:val="none" w:sz="0" w:space="0" w:color="auto"/>
      </w:divBdr>
      <w:divsChild>
        <w:div w:id="2002810431">
          <w:marLeft w:val="0"/>
          <w:marRight w:val="0"/>
          <w:marTop w:val="0"/>
          <w:marBottom w:val="0"/>
          <w:divBdr>
            <w:top w:val="none" w:sz="0" w:space="0" w:color="auto"/>
            <w:left w:val="none" w:sz="0" w:space="0" w:color="auto"/>
            <w:bottom w:val="none" w:sz="0" w:space="0" w:color="auto"/>
            <w:right w:val="none" w:sz="0" w:space="0" w:color="auto"/>
          </w:divBdr>
        </w:div>
        <w:div w:id="1984384283">
          <w:marLeft w:val="0"/>
          <w:marRight w:val="0"/>
          <w:marTop w:val="0"/>
          <w:marBottom w:val="0"/>
          <w:divBdr>
            <w:top w:val="none" w:sz="0" w:space="0" w:color="auto"/>
            <w:left w:val="none" w:sz="0" w:space="0" w:color="auto"/>
            <w:bottom w:val="none" w:sz="0" w:space="0" w:color="auto"/>
            <w:right w:val="none" w:sz="0" w:space="0" w:color="auto"/>
          </w:divBdr>
        </w:div>
      </w:divsChild>
    </w:div>
    <w:div w:id="572861621">
      <w:marLeft w:val="0"/>
      <w:marRight w:val="0"/>
      <w:marTop w:val="0"/>
      <w:marBottom w:val="0"/>
      <w:divBdr>
        <w:top w:val="none" w:sz="0" w:space="0" w:color="auto"/>
        <w:left w:val="none" w:sz="0" w:space="0" w:color="auto"/>
        <w:bottom w:val="none" w:sz="0" w:space="0" w:color="auto"/>
        <w:right w:val="none" w:sz="0" w:space="0" w:color="auto"/>
      </w:divBdr>
    </w:div>
    <w:div w:id="637106456">
      <w:marLeft w:val="0"/>
      <w:marRight w:val="0"/>
      <w:marTop w:val="0"/>
      <w:marBottom w:val="0"/>
      <w:divBdr>
        <w:top w:val="none" w:sz="0" w:space="0" w:color="auto"/>
        <w:left w:val="none" w:sz="0" w:space="0" w:color="auto"/>
        <w:bottom w:val="none" w:sz="0" w:space="0" w:color="auto"/>
        <w:right w:val="none" w:sz="0" w:space="0" w:color="auto"/>
      </w:divBdr>
      <w:divsChild>
        <w:div w:id="1534460874">
          <w:marLeft w:val="0"/>
          <w:marRight w:val="0"/>
          <w:marTop w:val="0"/>
          <w:marBottom w:val="0"/>
          <w:divBdr>
            <w:top w:val="none" w:sz="0" w:space="0" w:color="auto"/>
            <w:left w:val="none" w:sz="0" w:space="0" w:color="auto"/>
            <w:bottom w:val="none" w:sz="0" w:space="0" w:color="auto"/>
            <w:right w:val="none" w:sz="0" w:space="0" w:color="auto"/>
          </w:divBdr>
        </w:div>
        <w:div w:id="1721250140">
          <w:marLeft w:val="0"/>
          <w:marRight w:val="0"/>
          <w:marTop w:val="0"/>
          <w:marBottom w:val="0"/>
          <w:divBdr>
            <w:top w:val="none" w:sz="0" w:space="0" w:color="auto"/>
            <w:left w:val="none" w:sz="0" w:space="0" w:color="auto"/>
            <w:bottom w:val="none" w:sz="0" w:space="0" w:color="auto"/>
            <w:right w:val="none" w:sz="0" w:space="0" w:color="auto"/>
          </w:divBdr>
        </w:div>
      </w:divsChild>
    </w:div>
    <w:div w:id="678045080">
      <w:marLeft w:val="0"/>
      <w:marRight w:val="0"/>
      <w:marTop w:val="0"/>
      <w:marBottom w:val="0"/>
      <w:divBdr>
        <w:top w:val="none" w:sz="0" w:space="0" w:color="auto"/>
        <w:left w:val="none" w:sz="0" w:space="0" w:color="auto"/>
        <w:bottom w:val="none" w:sz="0" w:space="0" w:color="auto"/>
        <w:right w:val="none" w:sz="0" w:space="0" w:color="auto"/>
      </w:divBdr>
    </w:div>
    <w:div w:id="764227399">
      <w:marLeft w:val="0"/>
      <w:marRight w:val="0"/>
      <w:marTop w:val="0"/>
      <w:marBottom w:val="0"/>
      <w:divBdr>
        <w:top w:val="none" w:sz="0" w:space="0" w:color="auto"/>
        <w:left w:val="none" w:sz="0" w:space="0" w:color="auto"/>
        <w:bottom w:val="none" w:sz="0" w:space="0" w:color="auto"/>
        <w:right w:val="none" w:sz="0" w:space="0" w:color="auto"/>
      </w:divBdr>
    </w:div>
    <w:div w:id="771122747">
      <w:marLeft w:val="0"/>
      <w:marRight w:val="0"/>
      <w:marTop w:val="0"/>
      <w:marBottom w:val="0"/>
      <w:divBdr>
        <w:top w:val="none" w:sz="0" w:space="0" w:color="auto"/>
        <w:left w:val="none" w:sz="0" w:space="0" w:color="auto"/>
        <w:bottom w:val="none" w:sz="0" w:space="0" w:color="auto"/>
        <w:right w:val="none" w:sz="0" w:space="0" w:color="auto"/>
      </w:divBdr>
    </w:div>
    <w:div w:id="788663634">
      <w:marLeft w:val="0"/>
      <w:marRight w:val="0"/>
      <w:marTop w:val="0"/>
      <w:marBottom w:val="0"/>
      <w:divBdr>
        <w:top w:val="none" w:sz="0" w:space="0" w:color="auto"/>
        <w:left w:val="none" w:sz="0" w:space="0" w:color="auto"/>
        <w:bottom w:val="none" w:sz="0" w:space="0" w:color="auto"/>
        <w:right w:val="none" w:sz="0" w:space="0" w:color="auto"/>
      </w:divBdr>
      <w:divsChild>
        <w:div w:id="519121662">
          <w:marLeft w:val="0"/>
          <w:marRight w:val="0"/>
          <w:marTop w:val="0"/>
          <w:marBottom w:val="0"/>
          <w:divBdr>
            <w:top w:val="none" w:sz="0" w:space="0" w:color="auto"/>
            <w:left w:val="none" w:sz="0" w:space="0" w:color="auto"/>
            <w:bottom w:val="none" w:sz="0" w:space="0" w:color="auto"/>
            <w:right w:val="none" w:sz="0" w:space="0" w:color="auto"/>
          </w:divBdr>
        </w:div>
        <w:div w:id="1655181691">
          <w:marLeft w:val="0"/>
          <w:marRight w:val="0"/>
          <w:marTop w:val="0"/>
          <w:marBottom w:val="0"/>
          <w:divBdr>
            <w:top w:val="none" w:sz="0" w:space="0" w:color="auto"/>
            <w:left w:val="none" w:sz="0" w:space="0" w:color="auto"/>
            <w:bottom w:val="none" w:sz="0" w:space="0" w:color="auto"/>
            <w:right w:val="none" w:sz="0" w:space="0" w:color="auto"/>
          </w:divBdr>
        </w:div>
      </w:divsChild>
    </w:div>
    <w:div w:id="825246222">
      <w:marLeft w:val="0"/>
      <w:marRight w:val="0"/>
      <w:marTop w:val="0"/>
      <w:marBottom w:val="0"/>
      <w:divBdr>
        <w:top w:val="none" w:sz="0" w:space="0" w:color="auto"/>
        <w:left w:val="none" w:sz="0" w:space="0" w:color="auto"/>
        <w:bottom w:val="none" w:sz="0" w:space="0" w:color="auto"/>
        <w:right w:val="none" w:sz="0" w:space="0" w:color="auto"/>
      </w:divBdr>
      <w:divsChild>
        <w:div w:id="190919315">
          <w:marLeft w:val="0"/>
          <w:marRight w:val="0"/>
          <w:marTop w:val="0"/>
          <w:marBottom w:val="0"/>
          <w:divBdr>
            <w:top w:val="none" w:sz="0" w:space="0" w:color="auto"/>
            <w:left w:val="none" w:sz="0" w:space="0" w:color="auto"/>
            <w:bottom w:val="none" w:sz="0" w:space="0" w:color="auto"/>
            <w:right w:val="none" w:sz="0" w:space="0" w:color="auto"/>
          </w:divBdr>
        </w:div>
        <w:div w:id="943072683">
          <w:marLeft w:val="0"/>
          <w:marRight w:val="0"/>
          <w:marTop w:val="0"/>
          <w:marBottom w:val="0"/>
          <w:divBdr>
            <w:top w:val="none" w:sz="0" w:space="0" w:color="auto"/>
            <w:left w:val="none" w:sz="0" w:space="0" w:color="auto"/>
            <w:bottom w:val="none" w:sz="0" w:space="0" w:color="auto"/>
            <w:right w:val="none" w:sz="0" w:space="0" w:color="auto"/>
          </w:divBdr>
        </w:div>
      </w:divsChild>
    </w:div>
    <w:div w:id="849947503">
      <w:marLeft w:val="0"/>
      <w:marRight w:val="0"/>
      <w:marTop w:val="0"/>
      <w:marBottom w:val="0"/>
      <w:divBdr>
        <w:top w:val="none" w:sz="0" w:space="0" w:color="auto"/>
        <w:left w:val="none" w:sz="0" w:space="0" w:color="auto"/>
        <w:bottom w:val="none" w:sz="0" w:space="0" w:color="auto"/>
        <w:right w:val="none" w:sz="0" w:space="0" w:color="auto"/>
      </w:divBdr>
    </w:div>
    <w:div w:id="855730163">
      <w:marLeft w:val="0"/>
      <w:marRight w:val="0"/>
      <w:marTop w:val="0"/>
      <w:marBottom w:val="0"/>
      <w:divBdr>
        <w:top w:val="none" w:sz="0" w:space="0" w:color="auto"/>
        <w:left w:val="none" w:sz="0" w:space="0" w:color="auto"/>
        <w:bottom w:val="none" w:sz="0" w:space="0" w:color="auto"/>
        <w:right w:val="none" w:sz="0" w:space="0" w:color="auto"/>
      </w:divBdr>
    </w:div>
    <w:div w:id="869227351">
      <w:marLeft w:val="0"/>
      <w:marRight w:val="0"/>
      <w:marTop w:val="0"/>
      <w:marBottom w:val="0"/>
      <w:divBdr>
        <w:top w:val="none" w:sz="0" w:space="0" w:color="auto"/>
        <w:left w:val="none" w:sz="0" w:space="0" w:color="auto"/>
        <w:bottom w:val="none" w:sz="0" w:space="0" w:color="auto"/>
        <w:right w:val="none" w:sz="0" w:space="0" w:color="auto"/>
      </w:divBdr>
    </w:div>
    <w:div w:id="880897435">
      <w:marLeft w:val="0"/>
      <w:marRight w:val="0"/>
      <w:marTop w:val="0"/>
      <w:marBottom w:val="0"/>
      <w:divBdr>
        <w:top w:val="none" w:sz="0" w:space="0" w:color="auto"/>
        <w:left w:val="none" w:sz="0" w:space="0" w:color="auto"/>
        <w:bottom w:val="none" w:sz="0" w:space="0" w:color="auto"/>
        <w:right w:val="none" w:sz="0" w:space="0" w:color="auto"/>
      </w:divBdr>
    </w:div>
    <w:div w:id="886650757">
      <w:marLeft w:val="0"/>
      <w:marRight w:val="0"/>
      <w:marTop w:val="0"/>
      <w:marBottom w:val="0"/>
      <w:divBdr>
        <w:top w:val="none" w:sz="0" w:space="0" w:color="auto"/>
        <w:left w:val="none" w:sz="0" w:space="0" w:color="auto"/>
        <w:bottom w:val="none" w:sz="0" w:space="0" w:color="auto"/>
        <w:right w:val="none" w:sz="0" w:space="0" w:color="auto"/>
      </w:divBdr>
    </w:div>
    <w:div w:id="909659917">
      <w:marLeft w:val="0"/>
      <w:marRight w:val="0"/>
      <w:marTop w:val="0"/>
      <w:marBottom w:val="0"/>
      <w:divBdr>
        <w:top w:val="none" w:sz="0" w:space="0" w:color="auto"/>
        <w:left w:val="none" w:sz="0" w:space="0" w:color="auto"/>
        <w:bottom w:val="none" w:sz="0" w:space="0" w:color="auto"/>
        <w:right w:val="none" w:sz="0" w:space="0" w:color="auto"/>
      </w:divBdr>
      <w:divsChild>
        <w:div w:id="723259795">
          <w:marLeft w:val="0"/>
          <w:marRight w:val="0"/>
          <w:marTop w:val="0"/>
          <w:marBottom w:val="0"/>
          <w:divBdr>
            <w:top w:val="none" w:sz="0" w:space="0" w:color="auto"/>
            <w:left w:val="none" w:sz="0" w:space="0" w:color="auto"/>
            <w:bottom w:val="none" w:sz="0" w:space="0" w:color="auto"/>
            <w:right w:val="none" w:sz="0" w:space="0" w:color="auto"/>
          </w:divBdr>
        </w:div>
        <w:div w:id="785928349">
          <w:marLeft w:val="0"/>
          <w:marRight w:val="0"/>
          <w:marTop w:val="0"/>
          <w:marBottom w:val="0"/>
          <w:divBdr>
            <w:top w:val="none" w:sz="0" w:space="0" w:color="auto"/>
            <w:left w:val="none" w:sz="0" w:space="0" w:color="auto"/>
            <w:bottom w:val="none" w:sz="0" w:space="0" w:color="auto"/>
            <w:right w:val="none" w:sz="0" w:space="0" w:color="auto"/>
          </w:divBdr>
        </w:div>
      </w:divsChild>
    </w:div>
    <w:div w:id="928008315">
      <w:marLeft w:val="0"/>
      <w:marRight w:val="0"/>
      <w:marTop w:val="0"/>
      <w:marBottom w:val="0"/>
      <w:divBdr>
        <w:top w:val="none" w:sz="0" w:space="0" w:color="auto"/>
        <w:left w:val="none" w:sz="0" w:space="0" w:color="auto"/>
        <w:bottom w:val="none" w:sz="0" w:space="0" w:color="auto"/>
        <w:right w:val="none" w:sz="0" w:space="0" w:color="auto"/>
      </w:divBdr>
      <w:divsChild>
        <w:div w:id="1106734212">
          <w:marLeft w:val="0"/>
          <w:marRight w:val="0"/>
          <w:marTop w:val="0"/>
          <w:marBottom w:val="0"/>
          <w:divBdr>
            <w:top w:val="none" w:sz="0" w:space="0" w:color="auto"/>
            <w:left w:val="none" w:sz="0" w:space="0" w:color="auto"/>
            <w:bottom w:val="none" w:sz="0" w:space="0" w:color="auto"/>
            <w:right w:val="none" w:sz="0" w:space="0" w:color="auto"/>
          </w:divBdr>
        </w:div>
        <w:div w:id="842428192">
          <w:marLeft w:val="0"/>
          <w:marRight w:val="0"/>
          <w:marTop w:val="0"/>
          <w:marBottom w:val="0"/>
          <w:divBdr>
            <w:top w:val="none" w:sz="0" w:space="0" w:color="auto"/>
            <w:left w:val="none" w:sz="0" w:space="0" w:color="auto"/>
            <w:bottom w:val="none" w:sz="0" w:space="0" w:color="auto"/>
            <w:right w:val="none" w:sz="0" w:space="0" w:color="auto"/>
          </w:divBdr>
        </w:div>
      </w:divsChild>
    </w:div>
    <w:div w:id="1007293638">
      <w:marLeft w:val="0"/>
      <w:marRight w:val="0"/>
      <w:marTop w:val="0"/>
      <w:marBottom w:val="0"/>
      <w:divBdr>
        <w:top w:val="none" w:sz="0" w:space="0" w:color="auto"/>
        <w:left w:val="none" w:sz="0" w:space="0" w:color="auto"/>
        <w:bottom w:val="none" w:sz="0" w:space="0" w:color="auto"/>
        <w:right w:val="none" w:sz="0" w:space="0" w:color="auto"/>
      </w:divBdr>
      <w:divsChild>
        <w:div w:id="170144601">
          <w:marLeft w:val="0"/>
          <w:marRight w:val="0"/>
          <w:marTop w:val="0"/>
          <w:marBottom w:val="0"/>
          <w:divBdr>
            <w:top w:val="none" w:sz="0" w:space="0" w:color="auto"/>
            <w:left w:val="none" w:sz="0" w:space="0" w:color="auto"/>
            <w:bottom w:val="none" w:sz="0" w:space="0" w:color="auto"/>
            <w:right w:val="none" w:sz="0" w:space="0" w:color="auto"/>
          </w:divBdr>
        </w:div>
        <w:div w:id="1808859231">
          <w:marLeft w:val="0"/>
          <w:marRight w:val="0"/>
          <w:marTop w:val="0"/>
          <w:marBottom w:val="0"/>
          <w:divBdr>
            <w:top w:val="none" w:sz="0" w:space="0" w:color="auto"/>
            <w:left w:val="none" w:sz="0" w:space="0" w:color="auto"/>
            <w:bottom w:val="none" w:sz="0" w:space="0" w:color="auto"/>
            <w:right w:val="none" w:sz="0" w:space="0" w:color="auto"/>
          </w:divBdr>
        </w:div>
      </w:divsChild>
    </w:div>
    <w:div w:id="1016813347">
      <w:marLeft w:val="0"/>
      <w:marRight w:val="0"/>
      <w:marTop w:val="0"/>
      <w:marBottom w:val="0"/>
      <w:divBdr>
        <w:top w:val="none" w:sz="0" w:space="0" w:color="auto"/>
        <w:left w:val="none" w:sz="0" w:space="0" w:color="auto"/>
        <w:bottom w:val="none" w:sz="0" w:space="0" w:color="auto"/>
        <w:right w:val="none" w:sz="0" w:space="0" w:color="auto"/>
      </w:divBdr>
    </w:div>
    <w:div w:id="1028602154">
      <w:marLeft w:val="0"/>
      <w:marRight w:val="0"/>
      <w:marTop w:val="0"/>
      <w:marBottom w:val="0"/>
      <w:divBdr>
        <w:top w:val="none" w:sz="0" w:space="0" w:color="auto"/>
        <w:left w:val="none" w:sz="0" w:space="0" w:color="auto"/>
        <w:bottom w:val="none" w:sz="0" w:space="0" w:color="auto"/>
        <w:right w:val="none" w:sz="0" w:space="0" w:color="auto"/>
      </w:divBdr>
    </w:div>
    <w:div w:id="1079719083">
      <w:marLeft w:val="0"/>
      <w:marRight w:val="0"/>
      <w:marTop w:val="0"/>
      <w:marBottom w:val="0"/>
      <w:divBdr>
        <w:top w:val="none" w:sz="0" w:space="0" w:color="auto"/>
        <w:left w:val="none" w:sz="0" w:space="0" w:color="auto"/>
        <w:bottom w:val="none" w:sz="0" w:space="0" w:color="auto"/>
        <w:right w:val="none" w:sz="0" w:space="0" w:color="auto"/>
      </w:divBdr>
    </w:div>
    <w:div w:id="1173452009">
      <w:marLeft w:val="0"/>
      <w:marRight w:val="0"/>
      <w:marTop w:val="0"/>
      <w:marBottom w:val="0"/>
      <w:divBdr>
        <w:top w:val="none" w:sz="0" w:space="0" w:color="auto"/>
        <w:left w:val="none" w:sz="0" w:space="0" w:color="auto"/>
        <w:bottom w:val="none" w:sz="0" w:space="0" w:color="auto"/>
        <w:right w:val="none" w:sz="0" w:space="0" w:color="auto"/>
      </w:divBdr>
      <w:divsChild>
        <w:div w:id="1835101941">
          <w:marLeft w:val="0"/>
          <w:marRight w:val="0"/>
          <w:marTop w:val="0"/>
          <w:marBottom w:val="0"/>
          <w:divBdr>
            <w:top w:val="none" w:sz="0" w:space="0" w:color="auto"/>
            <w:left w:val="none" w:sz="0" w:space="0" w:color="auto"/>
            <w:bottom w:val="none" w:sz="0" w:space="0" w:color="auto"/>
            <w:right w:val="none" w:sz="0" w:space="0" w:color="auto"/>
          </w:divBdr>
          <w:divsChild>
            <w:div w:id="263004842">
              <w:marLeft w:val="0"/>
              <w:marRight w:val="0"/>
              <w:marTop w:val="0"/>
              <w:marBottom w:val="0"/>
              <w:divBdr>
                <w:top w:val="none" w:sz="0" w:space="0" w:color="auto"/>
                <w:left w:val="none" w:sz="0" w:space="0" w:color="auto"/>
                <w:bottom w:val="none" w:sz="0" w:space="0" w:color="auto"/>
                <w:right w:val="none" w:sz="0" w:space="0" w:color="auto"/>
              </w:divBdr>
            </w:div>
          </w:divsChild>
        </w:div>
        <w:div w:id="1187980993">
          <w:marLeft w:val="0"/>
          <w:marRight w:val="0"/>
          <w:marTop w:val="0"/>
          <w:marBottom w:val="0"/>
          <w:divBdr>
            <w:top w:val="none" w:sz="0" w:space="0" w:color="auto"/>
            <w:left w:val="none" w:sz="0" w:space="0" w:color="auto"/>
            <w:bottom w:val="none" w:sz="0" w:space="0" w:color="auto"/>
            <w:right w:val="none" w:sz="0" w:space="0" w:color="auto"/>
          </w:divBdr>
        </w:div>
      </w:divsChild>
    </w:div>
    <w:div w:id="1198815189">
      <w:marLeft w:val="0"/>
      <w:marRight w:val="0"/>
      <w:marTop w:val="0"/>
      <w:marBottom w:val="0"/>
      <w:divBdr>
        <w:top w:val="none" w:sz="0" w:space="0" w:color="auto"/>
        <w:left w:val="none" w:sz="0" w:space="0" w:color="auto"/>
        <w:bottom w:val="none" w:sz="0" w:space="0" w:color="auto"/>
        <w:right w:val="none" w:sz="0" w:space="0" w:color="auto"/>
      </w:divBdr>
      <w:divsChild>
        <w:div w:id="1348826042">
          <w:marLeft w:val="0"/>
          <w:marRight w:val="0"/>
          <w:marTop w:val="0"/>
          <w:marBottom w:val="0"/>
          <w:divBdr>
            <w:top w:val="none" w:sz="0" w:space="0" w:color="auto"/>
            <w:left w:val="none" w:sz="0" w:space="0" w:color="auto"/>
            <w:bottom w:val="none" w:sz="0" w:space="0" w:color="auto"/>
            <w:right w:val="none" w:sz="0" w:space="0" w:color="auto"/>
          </w:divBdr>
        </w:div>
        <w:div w:id="1621916556">
          <w:marLeft w:val="0"/>
          <w:marRight w:val="0"/>
          <w:marTop w:val="0"/>
          <w:marBottom w:val="0"/>
          <w:divBdr>
            <w:top w:val="none" w:sz="0" w:space="0" w:color="auto"/>
            <w:left w:val="none" w:sz="0" w:space="0" w:color="auto"/>
            <w:bottom w:val="none" w:sz="0" w:space="0" w:color="auto"/>
            <w:right w:val="none" w:sz="0" w:space="0" w:color="auto"/>
          </w:divBdr>
        </w:div>
      </w:divsChild>
    </w:div>
    <w:div w:id="1246764022">
      <w:marLeft w:val="0"/>
      <w:marRight w:val="0"/>
      <w:marTop w:val="0"/>
      <w:marBottom w:val="0"/>
      <w:divBdr>
        <w:top w:val="none" w:sz="0" w:space="0" w:color="auto"/>
        <w:left w:val="none" w:sz="0" w:space="0" w:color="auto"/>
        <w:bottom w:val="none" w:sz="0" w:space="0" w:color="auto"/>
        <w:right w:val="none" w:sz="0" w:space="0" w:color="auto"/>
      </w:divBdr>
    </w:div>
    <w:div w:id="1284770483">
      <w:marLeft w:val="0"/>
      <w:marRight w:val="0"/>
      <w:marTop w:val="0"/>
      <w:marBottom w:val="0"/>
      <w:divBdr>
        <w:top w:val="none" w:sz="0" w:space="0" w:color="auto"/>
        <w:left w:val="none" w:sz="0" w:space="0" w:color="auto"/>
        <w:bottom w:val="none" w:sz="0" w:space="0" w:color="auto"/>
        <w:right w:val="none" w:sz="0" w:space="0" w:color="auto"/>
      </w:divBdr>
      <w:divsChild>
        <w:div w:id="1324697222">
          <w:marLeft w:val="0"/>
          <w:marRight w:val="0"/>
          <w:marTop w:val="0"/>
          <w:marBottom w:val="0"/>
          <w:divBdr>
            <w:top w:val="none" w:sz="0" w:space="0" w:color="auto"/>
            <w:left w:val="none" w:sz="0" w:space="0" w:color="auto"/>
            <w:bottom w:val="none" w:sz="0" w:space="0" w:color="auto"/>
            <w:right w:val="none" w:sz="0" w:space="0" w:color="auto"/>
          </w:divBdr>
        </w:div>
        <w:div w:id="332032713">
          <w:marLeft w:val="0"/>
          <w:marRight w:val="0"/>
          <w:marTop w:val="0"/>
          <w:marBottom w:val="0"/>
          <w:divBdr>
            <w:top w:val="none" w:sz="0" w:space="0" w:color="auto"/>
            <w:left w:val="none" w:sz="0" w:space="0" w:color="auto"/>
            <w:bottom w:val="none" w:sz="0" w:space="0" w:color="auto"/>
            <w:right w:val="none" w:sz="0" w:space="0" w:color="auto"/>
          </w:divBdr>
        </w:div>
      </w:divsChild>
    </w:div>
    <w:div w:id="1328366003">
      <w:marLeft w:val="0"/>
      <w:marRight w:val="0"/>
      <w:marTop w:val="0"/>
      <w:marBottom w:val="0"/>
      <w:divBdr>
        <w:top w:val="none" w:sz="0" w:space="0" w:color="auto"/>
        <w:left w:val="none" w:sz="0" w:space="0" w:color="auto"/>
        <w:bottom w:val="none" w:sz="0" w:space="0" w:color="auto"/>
        <w:right w:val="none" w:sz="0" w:space="0" w:color="auto"/>
      </w:divBdr>
      <w:divsChild>
        <w:div w:id="110249265">
          <w:marLeft w:val="0"/>
          <w:marRight w:val="0"/>
          <w:marTop w:val="0"/>
          <w:marBottom w:val="0"/>
          <w:divBdr>
            <w:top w:val="none" w:sz="0" w:space="0" w:color="auto"/>
            <w:left w:val="none" w:sz="0" w:space="0" w:color="auto"/>
            <w:bottom w:val="none" w:sz="0" w:space="0" w:color="auto"/>
            <w:right w:val="none" w:sz="0" w:space="0" w:color="auto"/>
          </w:divBdr>
        </w:div>
        <w:div w:id="217667015">
          <w:marLeft w:val="0"/>
          <w:marRight w:val="0"/>
          <w:marTop w:val="0"/>
          <w:marBottom w:val="0"/>
          <w:divBdr>
            <w:top w:val="none" w:sz="0" w:space="0" w:color="auto"/>
            <w:left w:val="none" w:sz="0" w:space="0" w:color="auto"/>
            <w:bottom w:val="none" w:sz="0" w:space="0" w:color="auto"/>
            <w:right w:val="none" w:sz="0" w:space="0" w:color="auto"/>
          </w:divBdr>
        </w:div>
      </w:divsChild>
    </w:div>
    <w:div w:id="1334650932">
      <w:marLeft w:val="0"/>
      <w:marRight w:val="0"/>
      <w:marTop w:val="0"/>
      <w:marBottom w:val="0"/>
      <w:divBdr>
        <w:top w:val="none" w:sz="0" w:space="0" w:color="auto"/>
        <w:left w:val="none" w:sz="0" w:space="0" w:color="auto"/>
        <w:bottom w:val="none" w:sz="0" w:space="0" w:color="auto"/>
        <w:right w:val="none" w:sz="0" w:space="0" w:color="auto"/>
      </w:divBdr>
    </w:div>
    <w:div w:id="1387410848">
      <w:marLeft w:val="0"/>
      <w:marRight w:val="0"/>
      <w:marTop w:val="0"/>
      <w:marBottom w:val="0"/>
      <w:divBdr>
        <w:top w:val="none" w:sz="0" w:space="0" w:color="auto"/>
        <w:left w:val="none" w:sz="0" w:space="0" w:color="auto"/>
        <w:bottom w:val="none" w:sz="0" w:space="0" w:color="auto"/>
        <w:right w:val="none" w:sz="0" w:space="0" w:color="auto"/>
      </w:divBdr>
    </w:div>
    <w:div w:id="1494024766">
      <w:marLeft w:val="0"/>
      <w:marRight w:val="0"/>
      <w:marTop w:val="0"/>
      <w:marBottom w:val="0"/>
      <w:divBdr>
        <w:top w:val="none" w:sz="0" w:space="0" w:color="auto"/>
        <w:left w:val="none" w:sz="0" w:space="0" w:color="auto"/>
        <w:bottom w:val="none" w:sz="0" w:space="0" w:color="auto"/>
        <w:right w:val="none" w:sz="0" w:space="0" w:color="auto"/>
      </w:divBdr>
      <w:divsChild>
        <w:div w:id="222258180">
          <w:marLeft w:val="0"/>
          <w:marRight w:val="0"/>
          <w:marTop w:val="0"/>
          <w:marBottom w:val="0"/>
          <w:divBdr>
            <w:top w:val="none" w:sz="0" w:space="0" w:color="auto"/>
            <w:left w:val="none" w:sz="0" w:space="0" w:color="auto"/>
            <w:bottom w:val="none" w:sz="0" w:space="0" w:color="auto"/>
            <w:right w:val="none" w:sz="0" w:space="0" w:color="auto"/>
          </w:divBdr>
        </w:div>
        <w:div w:id="433749824">
          <w:marLeft w:val="0"/>
          <w:marRight w:val="0"/>
          <w:marTop w:val="0"/>
          <w:marBottom w:val="0"/>
          <w:divBdr>
            <w:top w:val="none" w:sz="0" w:space="0" w:color="auto"/>
            <w:left w:val="none" w:sz="0" w:space="0" w:color="auto"/>
            <w:bottom w:val="none" w:sz="0" w:space="0" w:color="auto"/>
            <w:right w:val="none" w:sz="0" w:space="0" w:color="auto"/>
          </w:divBdr>
        </w:div>
      </w:divsChild>
    </w:div>
    <w:div w:id="1503007398">
      <w:marLeft w:val="0"/>
      <w:marRight w:val="0"/>
      <w:marTop w:val="0"/>
      <w:marBottom w:val="0"/>
      <w:divBdr>
        <w:top w:val="none" w:sz="0" w:space="0" w:color="auto"/>
        <w:left w:val="none" w:sz="0" w:space="0" w:color="auto"/>
        <w:bottom w:val="none" w:sz="0" w:space="0" w:color="auto"/>
        <w:right w:val="none" w:sz="0" w:space="0" w:color="auto"/>
      </w:divBdr>
    </w:div>
    <w:div w:id="1534731451">
      <w:marLeft w:val="0"/>
      <w:marRight w:val="0"/>
      <w:marTop w:val="0"/>
      <w:marBottom w:val="0"/>
      <w:divBdr>
        <w:top w:val="none" w:sz="0" w:space="0" w:color="auto"/>
        <w:left w:val="none" w:sz="0" w:space="0" w:color="auto"/>
        <w:bottom w:val="none" w:sz="0" w:space="0" w:color="auto"/>
        <w:right w:val="none" w:sz="0" w:space="0" w:color="auto"/>
      </w:divBdr>
      <w:divsChild>
        <w:div w:id="1417244700">
          <w:marLeft w:val="0"/>
          <w:marRight w:val="0"/>
          <w:marTop w:val="0"/>
          <w:marBottom w:val="0"/>
          <w:divBdr>
            <w:top w:val="none" w:sz="0" w:space="0" w:color="auto"/>
            <w:left w:val="none" w:sz="0" w:space="0" w:color="auto"/>
            <w:bottom w:val="none" w:sz="0" w:space="0" w:color="auto"/>
            <w:right w:val="none" w:sz="0" w:space="0" w:color="auto"/>
          </w:divBdr>
        </w:div>
        <w:div w:id="103431161">
          <w:marLeft w:val="0"/>
          <w:marRight w:val="0"/>
          <w:marTop w:val="0"/>
          <w:marBottom w:val="0"/>
          <w:divBdr>
            <w:top w:val="none" w:sz="0" w:space="0" w:color="auto"/>
            <w:left w:val="none" w:sz="0" w:space="0" w:color="auto"/>
            <w:bottom w:val="none" w:sz="0" w:space="0" w:color="auto"/>
            <w:right w:val="none" w:sz="0" w:space="0" w:color="auto"/>
          </w:divBdr>
        </w:div>
      </w:divsChild>
    </w:div>
    <w:div w:id="1555196795">
      <w:marLeft w:val="0"/>
      <w:marRight w:val="0"/>
      <w:marTop w:val="0"/>
      <w:marBottom w:val="0"/>
      <w:divBdr>
        <w:top w:val="none" w:sz="0" w:space="0" w:color="auto"/>
        <w:left w:val="none" w:sz="0" w:space="0" w:color="auto"/>
        <w:bottom w:val="none" w:sz="0" w:space="0" w:color="auto"/>
        <w:right w:val="none" w:sz="0" w:space="0" w:color="auto"/>
      </w:divBdr>
      <w:divsChild>
        <w:div w:id="1756824039">
          <w:marLeft w:val="0"/>
          <w:marRight w:val="0"/>
          <w:marTop w:val="0"/>
          <w:marBottom w:val="0"/>
          <w:divBdr>
            <w:top w:val="none" w:sz="0" w:space="0" w:color="auto"/>
            <w:left w:val="none" w:sz="0" w:space="0" w:color="auto"/>
            <w:bottom w:val="none" w:sz="0" w:space="0" w:color="auto"/>
            <w:right w:val="none" w:sz="0" w:space="0" w:color="auto"/>
          </w:divBdr>
        </w:div>
        <w:div w:id="372733045">
          <w:marLeft w:val="0"/>
          <w:marRight w:val="0"/>
          <w:marTop w:val="0"/>
          <w:marBottom w:val="0"/>
          <w:divBdr>
            <w:top w:val="none" w:sz="0" w:space="0" w:color="auto"/>
            <w:left w:val="none" w:sz="0" w:space="0" w:color="auto"/>
            <w:bottom w:val="none" w:sz="0" w:space="0" w:color="auto"/>
            <w:right w:val="none" w:sz="0" w:space="0" w:color="auto"/>
          </w:divBdr>
        </w:div>
      </w:divsChild>
    </w:div>
    <w:div w:id="1606959890">
      <w:marLeft w:val="0"/>
      <w:marRight w:val="0"/>
      <w:marTop w:val="0"/>
      <w:marBottom w:val="0"/>
      <w:divBdr>
        <w:top w:val="none" w:sz="0" w:space="0" w:color="auto"/>
        <w:left w:val="none" w:sz="0" w:space="0" w:color="auto"/>
        <w:bottom w:val="none" w:sz="0" w:space="0" w:color="auto"/>
        <w:right w:val="none" w:sz="0" w:space="0" w:color="auto"/>
      </w:divBdr>
    </w:div>
    <w:div w:id="1632437480">
      <w:marLeft w:val="0"/>
      <w:marRight w:val="0"/>
      <w:marTop w:val="0"/>
      <w:marBottom w:val="0"/>
      <w:divBdr>
        <w:top w:val="none" w:sz="0" w:space="0" w:color="auto"/>
        <w:left w:val="none" w:sz="0" w:space="0" w:color="auto"/>
        <w:bottom w:val="none" w:sz="0" w:space="0" w:color="auto"/>
        <w:right w:val="none" w:sz="0" w:space="0" w:color="auto"/>
      </w:divBdr>
      <w:divsChild>
        <w:div w:id="1472820557">
          <w:marLeft w:val="0"/>
          <w:marRight w:val="0"/>
          <w:marTop w:val="0"/>
          <w:marBottom w:val="0"/>
          <w:divBdr>
            <w:top w:val="none" w:sz="0" w:space="0" w:color="auto"/>
            <w:left w:val="none" w:sz="0" w:space="0" w:color="auto"/>
            <w:bottom w:val="none" w:sz="0" w:space="0" w:color="auto"/>
            <w:right w:val="none" w:sz="0" w:space="0" w:color="auto"/>
          </w:divBdr>
        </w:div>
        <w:div w:id="1158771422">
          <w:marLeft w:val="0"/>
          <w:marRight w:val="0"/>
          <w:marTop w:val="0"/>
          <w:marBottom w:val="0"/>
          <w:divBdr>
            <w:top w:val="none" w:sz="0" w:space="0" w:color="auto"/>
            <w:left w:val="none" w:sz="0" w:space="0" w:color="auto"/>
            <w:bottom w:val="none" w:sz="0" w:space="0" w:color="auto"/>
            <w:right w:val="none" w:sz="0" w:space="0" w:color="auto"/>
          </w:divBdr>
        </w:div>
      </w:divsChild>
    </w:div>
    <w:div w:id="1711152176">
      <w:marLeft w:val="0"/>
      <w:marRight w:val="0"/>
      <w:marTop w:val="0"/>
      <w:marBottom w:val="0"/>
      <w:divBdr>
        <w:top w:val="none" w:sz="0" w:space="0" w:color="auto"/>
        <w:left w:val="none" w:sz="0" w:space="0" w:color="auto"/>
        <w:bottom w:val="none" w:sz="0" w:space="0" w:color="auto"/>
        <w:right w:val="none" w:sz="0" w:space="0" w:color="auto"/>
      </w:divBdr>
      <w:divsChild>
        <w:div w:id="1228539438">
          <w:marLeft w:val="0"/>
          <w:marRight w:val="0"/>
          <w:marTop w:val="0"/>
          <w:marBottom w:val="0"/>
          <w:divBdr>
            <w:top w:val="none" w:sz="0" w:space="0" w:color="auto"/>
            <w:left w:val="none" w:sz="0" w:space="0" w:color="auto"/>
            <w:bottom w:val="none" w:sz="0" w:space="0" w:color="auto"/>
            <w:right w:val="none" w:sz="0" w:space="0" w:color="auto"/>
          </w:divBdr>
        </w:div>
        <w:div w:id="677120677">
          <w:marLeft w:val="0"/>
          <w:marRight w:val="0"/>
          <w:marTop w:val="0"/>
          <w:marBottom w:val="0"/>
          <w:divBdr>
            <w:top w:val="none" w:sz="0" w:space="0" w:color="auto"/>
            <w:left w:val="none" w:sz="0" w:space="0" w:color="auto"/>
            <w:bottom w:val="none" w:sz="0" w:space="0" w:color="auto"/>
            <w:right w:val="none" w:sz="0" w:space="0" w:color="auto"/>
          </w:divBdr>
        </w:div>
      </w:divsChild>
    </w:div>
    <w:div w:id="1720398011">
      <w:marLeft w:val="0"/>
      <w:marRight w:val="0"/>
      <w:marTop w:val="0"/>
      <w:marBottom w:val="0"/>
      <w:divBdr>
        <w:top w:val="none" w:sz="0" w:space="0" w:color="auto"/>
        <w:left w:val="none" w:sz="0" w:space="0" w:color="auto"/>
        <w:bottom w:val="none" w:sz="0" w:space="0" w:color="auto"/>
        <w:right w:val="none" w:sz="0" w:space="0" w:color="auto"/>
      </w:divBdr>
    </w:div>
    <w:div w:id="1794013161">
      <w:marLeft w:val="0"/>
      <w:marRight w:val="0"/>
      <w:marTop w:val="0"/>
      <w:marBottom w:val="0"/>
      <w:divBdr>
        <w:top w:val="none" w:sz="0" w:space="0" w:color="auto"/>
        <w:left w:val="none" w:sz="0" w:space="0" w:color="auto"/>
        <w:bottom w:val="none" w:sz="0" w:space="0" w:color="auto"/>
        <w:right w:val="none" w:sz="0" w:space="0" w:color="auto"/>
      </w:divBdr>
      <w:divsChild>
        <w:div w:id="2100174566">
          <w:marLeft w:val="0"/>
          <w:marRight w:val="0"/>
          <w:marTop w:val="0"/>
          <w:marBottom w:val="0"/>
          <w:divBdr>
            <w:top w:val="none" w:sz="0" w:space="0" w:color="auto"/>
            <w:left w:val="none" w:sz="0" w:space="0" w:color="auto"/>
            <w:bottom w:val="none" w:sz="0" w:space="0" w:color="auto"/>
            <w:right w:val="none" w:sz="0" w:space="0" w:color="auto"/>
          </w:divBdr>
        </w:div>
        <w:div w:id="1719009923">
          <w:marLeft w:val="0"/>
          <w:marRight w:val="0"/>
          <w:marTop w:val="0"/>
          <w:marBottom w:val="0"/>
          <w:divBdr>
            <w:top w:val="none" w:sz="0" w:space="0" w:color="auto"/>
            <w:left w:val="none" w:sz="0" w:space="0" w:color="auto"/>
            <w:bottom w:val="none" w:sz="0" w:space="0" w:color="auto"/>
            <w:right w:val="none" w:sz="0" w:space="0" w:color="auto"/>
          </w:divBdr>
        </w:div>
      </w:divsChild>
    </w:div>
    <w:div w:id="1828863060">
      <w:marLeft w:val="0"/>
      <w:marRight w:val="0"/>
      <w:marTop w:val="0"/>
      <w:marBottom w:val="0"/>
      <w:divBdr>
        <w:top w:val="none" w:sz="0" w:space="0" w:color="auto"/>
        <w:left w:val="none" w:sz="0" w:space="0" w:color="auto"/>
        <w:bottom w:val="none" w:sz="0" w:space="0" w:color="auto"/>
        <w:right w:val="none" w:sz="0" w:space="0" w:color="auto"/>
      </w:divBdr>
    </w:div>
    <w:div w:id="1831021192">
      <w:marLeft w:val="0"/>
      <w:marRight w:val="0"/>
      <w:marTop w:val="0"/>
      <w:marBottom w:val="0"/>
      <w:divBdr>
        <w:top w:val="none" w:sz="0" w:space="0" w:color="auto"/>
        <w:left w:val="none" w:sz="0" w:space="0" w:color="auto"/>
        <w:bottom w:val="none" w:sz="0" w:space="0" w:color="auto"/>
        <w:right w:val="none" w:sz="0" w:space="0" w:color="auto"/>
      </w:divBdr>
      <w:divsChild>
        <w:div w:id="266432350">
          <w:marLeft w:val="0"/>
          <w:marRight w:val="0"/>
          <w:marTop w:val="0"/>
          <w:marBottom w:val="0"/>
          <w:divBdr>
            <w:top w:val="none" w:sz="0" w:space="0" w:color="auto"/>
            <w:left w:val="none" w:sz="0" w:space="0" w:color="auto"/>
            <w:bottom w:val="none" w:sz="0" w:space="0" w:color="auto"/>
            <w:right w:val="none" w:sz="0" w:space="0" w:color="auto"/>
          </w:divBdr>
        </w:div>
        <w:div w:id="606500401">
          <w:marLeft w:val="0"/>
          <w:marRight w:val="0"/>
          <w:marTop w:val="0"/>
          <w:marBottom w:val="0"/>
          <w:divBdr>
            <w:top w:val="none" w:sz="0" w:space="0" w:color="auto"/>
            <w:left w:val="none" w:sz="0" w:space="0" w:color="auto"/>
            <w:bottom w:val="none" w:sz="0" w:space="0" w:color="auto"/>
            <w:right w:val="none" w:sz="0" w:space="0" w:color="auto"/>
          </w:divBdr>
        </w:div>
      </w:divsChild>
    </w:div>
    <w:div w:id="1850439582">
      <w:marLeft w:val="0"/>
      <w:marRight w:val="0"/>
      <w:marTop w:val="0"/>
      <w:marBottom w:val="0"/>
      <w:divBdr>
        <w:top w:val="none" w:sz="0" w:space="0" w:color="auto"/>
        <w:left w:val="none" w:sz="0" w:space="0" w:color="auto"/>
        <w:bottom w:val="none" w:sz="0" w:space="0" w:color="auto"/>
        <w:right w:val="none" w:sz="0" w:space="0" w:color="auto"/>
      </w:divBdr>
      <w:divsChild>
        <w:div w:id="663779019">
          <w:marLeft w:val="0"/>
          <w:marRight w:val="0"/>
          <w:marTop w:val="0"/>
          <w:marBottom w:val="0"/>
          <w:divBdr>
            <w:top w:val="none" w:sz="0" w:space="0" w:color="auto"/>
            <w:left w:val="none" w:sz="0" w:space="0" w:color="auto"/>
            <w:bottom w:val="none" w:sz="0" w:space="0" w:color="auto"/>
            <w:right w:val="none" w:sz="0" w:space="0" w:color="auto"/>
          </w:divBdr>
        </w:div>
        <w:div w:id="2016608425">
          <w:marLeft w:val="0"/>
          <w:marRight w:val="0"/>
          <w:marTop w:val="0"/>
          <w:marBottom w:val="0"/>
          <w:divBdr>
            <w:top w:val="none" w:sz="0" w:space="0" w:color="auto"/>
            <w:left w:val="none" w:sz="0" w:space="0" w:color="auto"/>
            <w:bottom w:val="none" w:sz="0" w:space="0" w:color="auto"/>
            <w:right w:val="none" w:sz="0" w:space="0" w:color="auto"/>
          </w:divBdr>
        </w:div>
      </w:divsChild>
    </w:div>
    <w:div w:id="1975060180">
      <w:marLeft w:val="0"/>
      <w:marRight w:val="0"/>
      <w:marTop w:val="0"/>
      <w:marBottom w:val="0"/>
      <w:divBdr>
        <w:top w:val="none" w:sz="0" w:space="0" w:color="auto"/>
        <w:left w:val="none" w:sz="0" w:space="0" w:color="auto"/>
        <w:bottom w:val="none" w:sz="0" w:space="0" w:color="auto"/>
        <w:right w:val="none" w:sz="0" w:space="0" w:color="auto"/>
      </w:divBdr>
    </w:div>
    <w:div w:id="1986815960">
      <w:marLeft w:val="0"/>
      <w:marRight w:val="0"/>
      <w:marTop w:val="0"/>
      <w:marBottom w:val="0"/>
      <w:divBdr>
        <w:top w:val="none" w:sz="0" w:space="0" w:color="auto"/>
        <w:left w:val="none" w:sz="0" w:space="0" w:color="auto"/>
        <w:bottom w:val="none" w:sz="0" w:space="0" w:color="auto"/>
        <w:right w:val="none" w:sz="0" w:space="0" w:color="auto"/>
      </w:divBdr>
      <w:divsChild>
        <w:div w:id="396515355">
          <w:marLeft w:val="0"/>
          <w:marRight w:val="0"/>
          <w:marTop w:val="0"/>
          <w:marBottom w:val="0"/>
          <w:divBdr>
            <w:top w:val="none" w:sz="0" w:space="0" w:color="auto"/>
            <w:left w:val="none" w:sz="0" w:space="0" w:color="auto"/>
            <w:bottom w:val="none" w:sz="0" w:space="0" w:color="auto"/>
            <w:right w:val="none" w:sz="0" w:space="0" w:color="auto"/>
          </w:divBdr>
        </w:div>
        <w:div w:id="515071783">
          <w:marLeft w:val="0"/>
          <w:marRight w:val="0"/>
          <w:marTop w:val="0"/>
          <w:marBottom w:val="0"/>
          <w:divBdr>
            <w:top w:val="none" w:sz="0" w:space="0" w:color="auto"/>
            <w:left w:val="none" w:sz="0" w:space="0" w:color="auto"/>
            <w:bottom w:val="none" w:sz="0" w:space="0" w:color="auto"/>
            <w:right w:val="none" w:sz="0" w:space="0" w:color="auto"/>
          </w:divBdr>
        </w:div>
      </w:divsChild>
    </w:div>
    <w:div w:id="1991783464">
      <w:marLeft w:val="0"/>
      <w:marRight w:val="0"/>
      <w:marTop w:val="0"/>
      <w:marBottom w:val="0"/>
      <w:divBdr>
        <w:top w:val="none" w:sz="0" w:space="0" w:color="auto"/>
        <w:left w:val="none" w:sz="0" w:space="0" w:color="auto"/>
        <w:bottom w:val="none" w:sz="0" w:space="0" w:color="auto"/>
        <w:right w:val="none" w:sz="0" w:space="0" w:color="auto"/>
      </w:divBdr>
      <w:divsChild>
        <w:div w:id="950360623">
          <w:marLeft w:val="0"/>
          <w:marRight w:val="0"/>
          <w:marTop w:val="0"/>
          <w:marBottom w:val="0"/>
          <w:divBdr>
            <w:top w:val="none" w:sz="0" w:space="0" w:color="auto"/>
            <w:left w:val="none" w:sz="0" w:space="0" w:color="auto"/>
            <w:bottom w:val="none" w:sz="0" w:space="0" w:color="auto"/>
            <w:right w:val="none" w:sz="0" w:space="0" w:color="auto"/>
          </w:divBdr>
        </w:div>
        <w:div w:id="1801150110">
          <w:marLeft w:val="0"/>
          <w:marRight w:val="0"/>
          <w:marTop w:val="0"/>
          <w:marBottom w:val="0"/>
          <w:divBdr>
            <w:top w:val="none" w:sz="0" w:space="0" w:color="auto"/>
            <w:left w:val="none" w:sz="0" w:space="0" w:color="auto"/>
            <w:bottom w:val="none" w:sz="0" w:space="0" w:color="auto"/>
            <w:right w:val="none" w:sz="0" w:space="0" w:color="auto"/>
          </w:divBdr>
        </w:div>
      </w:divsChild>
    </w:div>
    <w:div w:id="1997026973">
      <w:marLeft w:val="0"/>
      <w:marRight w:val="0"/>
      <w:marTop w:val="0"/>
      <w:marBottom w:val="0"/>
      <w:divBdr>
        <w:top w:val="none" w:sz="0" w:space="0" w:color="auto"/>
        <w:left w:val="none" w:sz="0" w:space="0" w:color="auto"/>
        <w:bottom w:val="none" w:sz="0" w:space="0" w:color="auto"/>
        <w:right w:val="none" w:sz="0" w:space="0" w:color="auto"/>
      </w:divBdr>
      <w:divsChild>
        <w:div w:id="363988303">
          <w:marLeft w:val="0"/>
          <w:marRight w:val="0"/>
          <w:marTop w:val="0"/>
          <w:marBottom w:val="0"/>
          <w:divBdr>
            <w:top w:val="none" w:sz="0" w:space="0" w:color="auto"/>
            <w:left w:val="none" w:sz="0" w:space="0" w:color="auto"/>
            <w:bottom w:val="none" w:sz="0" w:space="0" w:color="auto"/>
            <w:right w:val="none" w:sz="0" w:space="0" w:color="auto"/>
          </w:divBdr>
        </w:div>
        <w:div w:id="513108839">
          <w:marLeft w:val="0"/>
          <w:marRight w:val="0"/>
          <w:marTop w:val="0"/>
          <w:marBottom w:val="0"/>
          <w:divBdr>
            <w:top w:val="none" w:sz="0" w:space="0" w:color="auto"/>
            <w:left w:val="none" w:sz="0" w:space="0" w:color="auto"/>
            <w:bottom w:val="none" w:sz="0" w:space="0" w:color="auto"/>
            <w:right w:val="none" w:sz="0" w:space="0" w:color="auto"/>
          </w:divBdr>
        </w:div>
      </w:divsChild>
    </w:div>
    <w:div w:id="1999069671">
      <w:marLeft w:val="0"/>
      <w:marRight w:val="0"/>
      <w:marTop w:val="0"/>
      <w:marBottom w:val="0"/>
      <w:divBdr>
        <w:top w:val="none" w:sz="0" w:space="0" w:color="auto"/>
        <w:left w:val="none" w:sz="0" w:space="0" w:color="auto"/>
        <w:bottom w:val="none" w:sz="0" w:space="0" w:color="auto"/>
        <w:right w:val="none" w:sz="0" w:space="0" w:color="auto"/>
      </w:divBdr>
    </w:div>
    <w:div w:id="2000570366">
      <w:marLeft w:val="0"/>
      <w:marRight w:val="0"/>
      <w:marTop w:val="0"/>
      <w:marBottom w:val="0"/>
      <w:divBdr>
        <w:top w:val="none" w:sz="0" w:space="0" w:color="auto"/>
        <w:left w:val="none" w:sz="0" w:space="0" w:color="auto"/>
        <w:bottom w:val="none" w:sz="0" w:space="0" w:color="auto"/>
        <w:right w:val="none" w:sz="0" w:space="0" w:color="auto"/>
      </w:divBdr>
    </w:div>
    <w:div w:id="2016416247">
      <w:marLeft w:val="0"/>
      <w:marRight w:val="0"/>
      <w:marTop w:val="0"/>
      <w:marBottom w:val="0"/>
      <w:divBdr>
        <w:top w:val="none" w:sz="0" w:space="0" w:color="auto"/>
        <w:left w:val="none" w:sz="0" w:space="0" w:color="auto"/>
        <w:bottom w:val="none" w:sz="0" w:space="0" w:color="auto"/>
        <w:right w:val="none" w:sz="0" w:space="0" w:color="auto"/>
      </w:divBdr>
      <w:divsChild>
        <w:div w:id="417792228">
          <w:marLeft w:val="0"/>
          <w:marRight w:val="0"/>
          <w:marTop w:val="0"/>
          <w:marBottom w:val="0"/>
          <w:divBdr>
            <w:top w:val="none" w:sz="0" w:space="0" w:color="auto"/>
            <w:left w:val="none" w:sz="0" w:space="0" w:color="auto"/>
            <w:bottom w:val="none" w:sz="0" w:space="0" w:color="auto"/>
            <w:right w:val="none" w:sz="0" w:space="0" w:color="auto"/>
          </w:divBdr>
        </w:div>
        <w:div w:id="724455409">
          <w:marLeft w:val="0"/>
          <w:marRight w:val="0"/>
          <w:marTop w:val="0"/>
          <w:marBottom w:val="0"/>
          <w:divBdr>
            <w:top w:val="none" w:sz="0" w:space="0" w:color="auto"/>
            <w:left w:val="none" w:sz="0" w:space="0" w:color="auto"/>
            <w:bottom w:val="none" w:sz="0" w:space="0" w:color="auto"/>
            <w:right w:val="none" w:sz="0" w:space="0" w:color="auto"/>
          </w:divBdr>
        </w:div>
      </w:divsChild>
    </w:div>
    <w:div w:id="2019694847">
      <w:marLeft w:val="0"/>
      <w:marRight w:val="0"/>
      <w:marTop w:val="0"/>
      <w:marBottom w:val="0"/>
      <w:divBdr>
        <w:top w:val="none" w:sz="0" w:space="0" w:color="auto"/>
        <w:left w:val="none" w:sz="0" w:space="0" w:color="auto"/>
        <w:bottom w:val="none" w:sz="0" w:space="0" w:color="auto"/>
        <w:right w:val="none" w:sz="0" w:space="0" w:color="auto"/>
      </w:divBdr>
    </w:div>
    <w:div w:id="2036420775">
      <w:marLeft w:val="0"/>
      <w:marRight w:val="0"/>
      <w:marTop w:val="0"/>
      <w:marBottom w:val="0"/>
      <w:divBdr>
        <w:top w:val="none" w:sz="0" w:space="0" w:color="auto"/>
        <w:left w:val="none" w:sz="0" w:space="0" w:color="auto"/>
        <w:bottom w:val="none" w:sz="0" w:space="0" w:color="auto"/>
        <w:right w:val="none" w:sz="0" w:space="0" w:color="auto"/>
      </w:divBdr>
    </w:div>
    <w:div w:id="2053727798">
      <w:marLeft w:val="0"/>
      <w:marRight w:val="0"/>
      <w:marTop w:val="0"/>
      <w:marBottom w:val="0"/>
      <w:divBdr>
        <w:top w:val="none" w:sz="0" w:space="0" w:color="auto"/>
        <w:left w:val="none" w:sz="0" w:space="0" w:color="auto"/>
        <w:bottom w:val="none" w:sz="0" w:space="0" w:color="auto"/>
        <w:right w:val="none" w:sz="0" w:space="0" w:color="auto"/>
      </w:divBdr>
      <w:divsChild>
        <w:div w:id="723913159">
          <w:marLeft w:val="0"/>
          <w:marRight w:val="0"/>
          <w:marTop w:val="0"/>
          <w:marBottom w:val="0"/>
          <w:divBdr>
            <w:top w:val="none" w:sz="0" w:space="0" w:color="auto"/>
            <w:left w:val="none" w:sz="0" w:space="0" w:color="auto"/>
            <w:bottom w:val="none" w:sz="0" w:space="0" w:color="auto"/>
            <w:right w:val="none" w:sz="0" w:space="0" w:color="auto"/>
          </w:divBdr>
        </w:div>
        <w:div w:id="802771847">
          <w:marLeft w:val="0"/>
          <w:marRight w:val="0"/>
          <w:marTop w:val="0"/>
          <w:marBottom w:val="0"/>
          <w:divBdr>
            <w:top w:val="none" w:sz="0" w:space="0" w:color="auto"/>
            <w:left w:val="none" w:sz="0" w:space="0" w:color="auto"/>
            <w:bottom w:val="none" w:sz="0" w:space="0" w:color="auto"/>
            <w:right w:val="none" w:sz="0" w:space="0" w:color="auto"/>
          </w:divBdr>
        </w:div>
      </w:divsChild>
    </w:div>
    <w:div w:id="2054380338">
      <w:marLeft w:val="0"/>
      <w:marRight w:val="0"/>
      <w:marTop w:val="0"/>
      <w:marBottom w:val="0"/>
      <w:divBdr>
        <w:top w:val="none" w:sz="0" w:space="0" w:color="auto"/>
        <w:left w:val="none" w:sz="0" w:space="0" w:color="auto"/>
        <w:bottom w:val="none" w:sz="0" w:space="0" w:color="auto"/>
        <w:right w:val="none" w:sz="0" w:space="0" w:color="auto"/>
      </w:divBdr>
      <w:divsChild>
        <w:div w:id="1406878800">
          <w:marLeft w:val="0"/>
          <w:marRight w:val="0"/>
          <w:marTop w:val="0"/>
          <w:marBottom w:val="0"/>
          <w:divBdr>
            <w:top w:val="none" w:sz="0" w:space="0" w:color="auto"/>
            <w:left w:val="none" w:sz="0" w:space="0" w:color="auto"/>
            <w:bottom w:val="none" w:sz="0" w:space="0" w:color="auto"/>
            <w:right w:val="none" w:sz="0" w:space="0" w:color="auto"/>
          </w:divBdr>
        </w:div>
        <w:div w:id="1080909280">
          <w:marLeft w:val="0"/>
          <w:marRight w:val="0"/>
          <w:marTop w:val="0"/>
          <w:marBottom w:val="0"/>
          <w:divBdr>
            <w:top w:val="none" w:sz="0" w:space="0" w:color="auto"/>
            <w:left w:val="none" w:sz="0" w:space="0" w:color="auto"/>
            <w:bottom w:val="none" w:sz="0" w:space="0" w:color="auto"/>
            <w:right w:val="none" w:sz="0" w:space="0" w:color="auto"/>
          </w:divBdr>
        </w:div>
      </w:divsChild>
    </w:div>
    <w:div w:id="2061592658">
      <w:marLeft w:val="0"/>
      <w:marRight w:val="0"/>
      <w:marTop w:val="0"/>
      <w:marBottom w:val="0"/>
      <w:divBdr>
        <w:top w:val="none" w:sz="0" w:space="0" w:color="auto"/>
        <w:left w:val="none" w:sz="0" w:space="0" w:color="auto"/>
        <w:bottom w:val="none" w:sz="0" w:space="0" w:color="auto"/>
        <w:right w:val="none" w:sz="0" w:space="0" w:color="auto"/>
      </w:divBdr>
    </w:div>
    <w:div w:id="2115437320">
      <w:marLeft w:val="0"/>
      <w:marRight w:val="0"/>
      <w:marTop w:val="0"/>
      <w:marBottom w:val="0"/>
      <w:divBdr>
        <w:top w:val="none" w:sz="0" w:space="0" w:color="auto"/>
        <w:left w:val="none" w:sz="0" w:space="0" w:color="auto"/>
        <w:bottom w:val="none" w:sz="0" w:space="0" w:color="auto"/>
        <w:right w:val="none" w:sz="0" w:space="0" w:color="auto"/>
      </w:divBdr>
    </w:div>
    <w:div w:id="2123457311">
      <w:marLeft w:val="0"/>
      <w:marRight w:val="0"/>
      <w:marTop w:val="0"/>
      <w:marBottom w:val="0"/>
      <w:divBdr>
        <w:top w:val="none" w:sz="0" w:space="0" w:color="auto"/>
        <w:left w:val="none" w:sz="0" w:space="0" w:color="auto"/>
        <w:bottom w:val="none" w:sz="0" w:space="0" w:color="auto"/>
        <w:right w:val="none" w:sz="0" w:space="0" w:color="auto"/>
      </w:divBdr>
      <w:divsChild>
        <w:div w:id="1185168462">
          <w:marLeft w:val="0"/>
          <w:marRight w:val="0"/>
          <w:marTop w:val="0"/>
          <w:marBottom w:val="0"/>
          <w:divBdr>
            <w:top w:val="none" w:sz="0" w:space="0" w:color="auto"/>
            <w:left w:val="none" w:sz="0" w:space="0" w:color="auto"/>
            <w:bottom w:val="none" w:sz="0" w:space="0" w:color="auto"/>
            <w:right w:val="none" w:sz="0" w:space="0" w:color="auto"/>
          </w:divBdr>
        </w:div>
        <w:div w:id="297300917">
          <w:marLeft w:val="0"/>
          <w:marRight w:val="0"/>
          <w:marTop w:val="0"/>
          <w:marBottom w:val="0"/>
          <w:divBdr>
            <w:top w:val="none" w:sz="0" w:space="0" w:color="auto"/>
            <w:left w:val="none" w:sz="0" w:space="0" w:color="auto"/>
            <w:bottom w:val="none" w:sz="0" w:space="0" w:color="auto"/>
            <w:right w:val="none" w:sz="0" w:space="0" w:color="auto"/>
          </w:divBdr>
        </w:div>
      </w:divsChild>
    </w:div>
    <w:div w:id="2127577475">
      <w:marLeft w:val="0"/>
      <w:marRight w:val="0"/>
      <w:marTop w:val="0"/>
      <w:marBottom w:val="0"/>
      <w:divBdr>
        <w:top w:val="none" w:sz="0" w:space="0" w:color="auto"/>
        <w:left w:val="none" w:sz="0" w:space="0" w:color="auto"/>
        <w:bottom w:val="none" w:sz="0" w:space="0" w:color="auto"/>
        <w:right w:val="none" w:sz="0" w:space="0" w:color="auto"/>
      </w:divBdr>
      <w:divsChild>
        <w:div w:id="2009551762">
          <w:marLeft w:val="0"/>
          <w:marRight w:val="0"/>
          <w:marTop w:val="0"/>
          <w:marBottom w:val="0"/>
          <w:divBdr>
            <w:top w:val="none" w:sz="0" w:space="0" w:color="auto"/>
            <w:left w:val="none" w:sz="0" w:space="0" w:color="auto"/>
            <w:bottom w:val="none" w:sz="0" w:space="0" w:color="auto"/>
            <w:right w:val="none" w:sz="0" w:space="0" w:color="auto"/>
          </w:divBdr>
        </w:div>
        <w:div w:id="57948591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ex_182900.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ex_182899.htm" TargetMode="External"/><Relationship Id="rId5" Type="http://schemas.openxmlformats.org/officeDocument/2006/relationships/hyperlink" Target="ex_182898.htm" TargetMode="External"/><Relationship Id="rId4" Type="http://schemas.openxmlformats.org/officeDocument/2006/relationships/hyperlink" Target="http://www.sec.gov/ix?doc=/Archives/edgar/data/879101/000143774920003979/kim20200228_8k.htm"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23245</Words>
  <Characters>132499</Characters>
  <Application>Microsoft Office Word</Application>
  <DocSecurity>0</DocSecurity>
  <Lines>1104</Lines>
  <Paragraphs>310</Paragraphs>
  <ScaleCrop>false</ScaleCrop>
  <Company/>
  <LinksUpToDate>false</LinksUpToDate>
  <CharactersWithSpaces>155434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kim20200331_10q.htm</dc:title>
  <dc:subject/>
  <dc:creator>Chongjian.Yue</dc:creator>
  <cp:keywords/>
  <dc:description/>
  <cp:lastModifiedBy>Yue Chongjian</cp:lastModifiedBy>
  <cp:revision>1</cp:revision>
  <dcterms:created xsi:type="dcterms:W3CDTF">2024-01-04T15:48:00Z</dcterms:created>
  <dcterms:modified xsi:type="dcterms:W3CDTF">2024-01-04T15:48:00Z</dcterms:modified>
</cp:coreProperties>
</file>