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60BE7" w14:textId="77777777" w:rsidR="00000000" w:rsidRDefault="00322B34">
      <w:pPr>
        <w:divId w:val="1805078489"/>
        <w:rPr>
          <w:rFonts w:eastAsia="Times New Roman"/>
          <w:vanish/>
          <w:sz w:val="20"/>
          <w:szCs w:val="20"/>
        </w:rPr>
      </w:pPr>
      <w:r>
        <w:rPr>
          <w:rFonts w:eastAsia="Times New Roman"/>
          <w:vanish/>
          <w:sz w:val="20"/>
          <w:szCs w:val="20"/>
        </w:rPr>
        <w:t xml:space="preserve">0000879101 KIMCO REALTY CORP false --12-31 Q2 2020 2,606,653 2,500,053 1.00 1.00 7,054,000 7,054,000 19,580 19,580 19,580 19,580 489,500 489,500 0.01 0.01 750,000,000 750,000,000 432,503,634 432,503,634 431,814,951 431,814,951 0 1,531 8,879 6,680 98 </w:t>
      </w:r>
      <w:r>
        <w:rPr>
          <w:rFonts w:eastAsia="Times New Roman"/>
          <w:vanish/>
          <w:sz w:val="20"/>
          <w:szCs w:val="20"/>
        </w:rPr>
        <w:t>21.3 1 22 1 2 During the six months ended June 30, 2020, the Company recorded a $50.5 million adjustment associated with potentially uncollectible revenues and disputed amounts, which includes $11.5 million for straight-line rent receivables, primarily att</w:t>
      </w:r>
      <w:r>
        <w:rPr>
          <w:rFonts w:eastAsia="Times New Roman"/>
          <w:vanish/>
          <w:sz w:val="20"/>
          <w:szCs w:val="20"/>
        </w:rPr>
        <w:t>ributable to the COVID-19 pandemic. See Albertsons Companies, Inc. discussion below. The Company determined that the valuation of its Senior Unsecured Notes were classified within Level 2 of the fair value hierarchy and its unsecured revolving credit facil</w:t>
      </w:r>
      <w:r>
        <w:rPr>
          <w:rFonts w:eastAsia="Times New Roman"/>
          <w:vanish/>
          <w:sz w:val="20"/>
          <w:szCs w:val="20"/>
        </w:rPr>
        <w:t>ity and term loan were classified within Level 3 of the fair value hierarchy. The estimated fair value amounts classified as Level 2, as of June 30, 2020 and December 31, 2019, were $4.7 billion and $4.8 billion, respectively. The estimated fair value amou</w:t>
      </w:r>
      <w:r>
        <w:rPr>
          <w:rFonts w:eastAsia="Times New Roman"/>
          <w:vanish/>
          <w:sz w:val="20"/>
          <w:szCs w:val="20"/>
        </w:rPr>
        <w:t>nts classified as Level 3, as of June 30, 2020 and December 31, 2019, were $325.0 million and $199.9 million, respectively. Shares were fully redeemed during 2019. Includes extension options Includes non-recourse liabilities of consolidated VIEs at June 30</w:t>
      </w:r>
      <w:r>
        <w:rPr>
          <w:rFonts w:eastAsia="Times New Roman"/>
          <w:vanish/>
          <w:sz w:val="20"/>
          <w:szCs w:val="20"/>
        </w:rPr>
        <w:t>, 2020 and December 31, 2019 of $64,780 and $153,436, respectively. See Footnote 10 of the Notes to Condensed Consolidated Financial Statements. Includes minimum base rents, expense reimbursements, ancillary income and straight-line rent adjustments. Inclu</w:t>
      </w:r>
      <w:r>
        <w:rPr>
          <w:rFonts w:eastAsia="Times New Roman"/>
          <w:vanish/>
          <w:sz w:val="20"/>
          <w:szCs w:val="20"/>
        </w:rPr>
        <w:t>des minimum base rents, expense reimbursements, percentage rent, lease termination fee income and ancillary income. Gross leasable area ("GLA") Includes restricted assets of consolidated variable interest entities (“VIEs”) at June 30, 2020 and December 31,</w:t>
      </w:r>
      <w:r>
        <w:rPr>
          <w:rFonts w:eastAsia="Times New Roman"/>
          <w:vanish/>
          <w:sz w:val="20"/>
          <w:szCs w:val="20"/>
        </w:rPr>
        <w:t xml:space="preserve"> 2019 of $104,214 and $245,489, respectively. See Footnote 10 of the Notes to Condensed Consolidated Financial Statements. Representing 98 property interests and 21.3 million square feet of GLA, as of both June 30, 2020 and December 31, 2019. During the si</w:t>
      </w:r>
      <w:r>
        <w:rPr>
          <w:rFonts w:eastAsia="Times New Roman"/>
          <w:vanish/>
          <w:sz w:val="20"/>
          <w:szCs w:val="20"/>
        </w:rPr>
        <w:t>x months ended June 30, 2020, the Company held in escrow an aggregate of $3.2 million of net proceeds in connection with these sales associated with a reverse exchange in accordance with Internal Revenue Code 26 U.S.C.1031, which was returned to the Compan</w:t>
      </w:r>
      <w:r>
        <w:rPr>
          <w:rFonts w:eastAsia="Times New Roman"/>
          <w:vanish/>
          <w:sz w:val="20"/>
          <w:szCs w:val="20"/>
        </w:rPr>
        <w:t>y in July 2020. The Company determined that its valuation of its mortgages and construction loan were classified within Level 3 of the fair value hierarchy. For the three months ended June 30, 2020, as a result of the COVID-19 pandemic and the future econo</w:t>
      </w:r>
      <w:r>
        <w:rPr>
          <w:rFonts w:eastAsia="Times New Roman"/>
          <w:vanish/>
          <w:sz w:val="20"/>
          <w:szCs w:val="20"/>
        </w:rPr>
        <w:t>mic uncertainties, out of an abundance of caution, the Company’s Board of Directors has temporarily suspended the dividend on its common shares. The Company’s Board of Directors will continue to monitor the Company’s financial performance and economic outl</w:t>
      </w:r>
      <w:r>
        <w:rPr>
          <w:rFonts w:eastAsia="Times New Roman"/>
          <w:vanish/>
          <w:sz w:val="20"/>
          <w:szCs w:val="20"/>
        </w:rPr>
        <w:t xml:space="preserve">ook, as well as the Company’s compliance with REIT taxable income distribution requirements. The effect of the assumed conversion of certain convertible units had an anti-dilutive effect upon the calculation of Net income available to the Company’s common </w:t>
      </w:r>
      <w:r>
        <w:rPr>
          <w:rFonts w:eastAsia="Times New Roman"/>
          <w:vanish/>
          <w:sz w:val="20"/>
          <w:szCs w:val="20"/>
        </w:rPr>
        <w:t xml:space="preserve">shareholders per share. Accordingly, the impact of such conversions has not been included in the determination of diluted earnings per share calculations. Additionally, there were 1.2 million and 1.3 million stock options that were not dilutive as of June </w:t>
      </w:r>
      <w:r>
        <w:rPr>
          <w:rFonts w:eastAsia="Times New Roman"/>
          <w:vanish/>
          <w:sz w:val="20"/>
          <w:szCs w:val="20"/>
        </w:rPr>
        <w:t>30, 2020 and 2019, respectively, and 2.5 million shares of restricted stock that were not dilutive for the three months ended June 30, 2020. 00008791012020-01-012020-06-30 0000879101kim:CommonStock1Member2020-01-012020-06-30 0000879101kim:ClassLCumulativeR</w:t>
      </w:r>
      <w:r>
        <w:rPr>
          <w:rFonts w:eastAsia="Times New Roman"/>
          <w:vanish/>
          <w:sz w:val="20"/>
          <w:szCs w:val="20"/>
        </w:rPr>
        <w:t>edeemablePreferredStockMember2020-01-012020-06-30 0000879101kim:ClassMCumulativeRedeemablePreferredStockMember2020-01-012020-06-30 xbrli:shares 00008791012020-07-29 thunderdome:item iso4217:USD 00008791012020-06-30 00008791012019-12-31 0000879101kim:RealEs</w:t>
      </w:r>
      <w:r>
        <w:rPr>
          <w:rFonts w:eastAsia="Times New Roman"/>
          <w:vanish/>
          <w:sz w:val="20"/>
          <w:szCs w:val="20"/>
        </w:rPr>
        <w:t>tateUnderDevelopmentMember2020-06-30 0000879101kim:RealEstateUnderDevelopmentMember2019-12-31 0000879101kim:InvestmentsInAndAdvancesToRealEstateJointVenturesMember2020-06-30 0000879101kim:InvestmentsInAndAdvancesToRealEstateJointVenturesMember2019-12-31 00</w:t>
      </w:r>
      <w:r>
        <w:rPr>
          <w:rFonts w:eastAsia="Times New Roman"/>
          <w:vanish/>
          <w:sz w:val="20"/>
          <w:szCs w:val="20"/>
        </w:rPr>
        <w:t>00879101kim:OtherRealEstateInvestmentsMember2020-06-30 0000879101kim:OtherRealEstateInvestmentsMember2019-12-31 iso4217:USDxbrli:shares 00008791012020-04-012020-06-30 00008791012019-04-012019-06-30 00008791012019-01-012019-06-30 0000879101kim:JointVentures</w:t>
      </w:r>
      <w:r>
        <w:rPr>
          <w:rFonts w:eastAsia="Times New Roman"/>
          <w:vanish/>
          <w:sz w:val="20"/>
          <w:szCs w:val="20"/>
        </w:rPr>
        <w:t xml:space="preserve">Member2020-04-012020-06-30 0000879101kim:JointVenturesMember2019-04-012019-06-30 0000879101kim:JointVenturesMember2020-01-012020-06-30 0000879101kim:JointVenturesMember2019-01-012019-06-30 0000879101kim:OtherRealEstateInvestmentsMember2020-04-012020-06-30 </w:t>
      </w:r>
      <w:r>
        <w:rPr>
          <w:rFonts w:eastAsia="Times New Roman"/>
          <w:vanish/>
          <w:sz w:val="20"/>
          <w:szCs w:val="20"/>
        </w:rPr>
        <w:t>0000879101kim:OtherRealEstateInvestmentsMember2019-04-012019-06-30 0000879101kim:OtherRealEstateInvestmentsMember2020-01-012020-06-30 0000879101kim:OtherRealEstateInvestmentsMember2019-01-012019-06-30 0000879101us-gaap:RetainedEarningsMember2019-03-31 0000</w:t>
      </w:r>
      <w:r>
        <w:rPr>
          <w:rFonts w:eastAsia="Times New Roman"/>
          <w:vanish/>
          <w:sz w:val="20"/>
          <w:szCs w:val="20"/>
        </w:rPr>
        <w:t>879101us-gaap:PreferredStockMember2019-03-31 0000879101us-gaap:CommonStockMember2019-03-31 0000879101us-gaap:AdditionalPaidInCapitalMember2019-03-31 0000879101us-gaap:ParentMember2019-03-31 0000879101us-gaap:NoncontrollingInterestMember2019-03-31 000087910</w:t>
      </w:r>
      <w:r>
        <w:rPr>
          <w:rFonts w:eastAsia="Times New Roman"/>
          <w:vanish/>
          <w:sz w:val="20"/>
          <w:szCs w:val="20"/>
        </w:rPr>
        <w:t xml:space="preserve">12019-03-31 0000879101us-gaap:RetainedEarningsMember2019-04-012019-06-30 0000879101us-gaap:PreferredStockMember2019-04-012019-06-30 0000879101us-gaap:CommonStockMember2019-04-012019-06-30 0000879101us-gaap:AdditionalPaidInCapitalMember2019-04-012019-06-30 </w:t>
      </w:r>
      <w:r>
        <w:rPr>
          <w:rFonts w:eastAsia="Times New Roman"/>
          <w:vanish/>
          <w:sz w:val="20"/>
          <w:szCs w:val="20"/>
        </w:rPr>
        <w:t>0000879101us-gaap:ParentMember2019-04-012019-06-30 0000879101us-gaap:NoncontrollingInterestMember2019-04-012019-06-30 0000879101us-gaap:RetainedEarningsMember2019-06-30 0000879101us-gaap:PreferredStockMember2019-06-30 0000879101us-gaap:CommonStockMember201</w:t>
      </w:r>
      <w:r>
        <w:rPr>
          <w:rFonts w:eastAsia="Times New Roman"/>
          <w:vanish/>
          <w:sz w:val="20"/>
          <w:szCs w:val="20"/>
        </w:rPr>
        <w:t>9-06-30 0000879101us-gaap:AdditionalPaidInCapitalMember2019-06-30 0000879101us-gaap:ParentMember2019-06-30 0000879101us-gaap:NoncontrollingInterestMember2019-06-30 00008791012019-06-30 0000879101us-gaap:RetainedEarningsMember2020-03-31 0000879101us-gaap:Pr</w:t>
      </w:r>
      <w:r>
        <w:rPr>
          <w:rFonts w:eastAsia="Times New Roman"/>
          <w:vanish/>
          <w:sz w:val="20"/>
          <w:szCs w:val="20"/>
        </w:rPr>
        <w:t>eferredStockMember2020-03-31 0000879101us-gaap:CommonStockMember2020-03-31 0000879101us-gaap:AdditionalPaidInCapitalMember2020-03-31 0000879101us-gaap:ParentMember2020-03-31 0000879101us-gaap:NoncontrollingInterestMember2020-03-31 00008791012020-03-31 0000</w:t>
      </w:r>
      <w:r>
        <w:rPr>
          <w:rFonts w:eastAsia="Times New Roman"/>
          <w:vanish/>
          <w:sz w:val="20"/>
          <w:szCs w:val="20"/>
        </w:rPr>
        <w:t>879101us-gaap:RetainedEarningsMember2020-04-012020-06-30 0000879101us-gaap:PreferredStockMember2020-04-012020-06-30 0000879101us-gaap:CommonStockMember2020-04-012020-06-30 0000879101us-gaap:AdditionalPaidInCapitalMember2020-04-012020-06-30 0000879101us-gaa</w:t>
      </w:r>
      <w:r>
        <w:rPr>
          <w:rFonts w:eastAsia="Times New Roman"/>
          <w:vanish/>
          <w:sz w:val="20"/>
          <w:szCs w:val="20"/>
        </w:rPr>
        <w:t>p:ParentMember2020-04-012020-06-30 0000879101us-gaap:NoncontrollingInterestMember2020-04-012020-06-30 0000879101us-gaap:RetainedEarningsMember2020-06-30 0000879101us-gaap:PreferredStockMember2020-06-30 0000879101us-gaap:CommonStockMember2020-06-30 00008791</w:t>
      </w:r>
      <w:r>
        <w:rPr>
          <w:rFonts w:eastAsia="Times New Roman"/>
          <w:vanish/>
          <w:sz w:val="20"/>
          <w:szCs w:val="20"/>
        </w:rPr>
        <w:t>01us-gaap:AdditionalPaidInCapitalMember2020-06-30 0000879101us-gaap:ParentMember2020-06-30 0000879101us-gaap:NoncontrollingInterestMember2020-06-30 0000879101us-gaap:RetainedEarningsMember2018-12-31 0000879101us-gaap:PreferredStockMember2018-12-31 00008791</w:t>
      </w:r>
      <w:r>
        <w:rPr>
          <w:rFonts w:eastAsia="Times New Roman"/>
          <w:vanish/>
          <w:sz w:val="20"/>
          <w:szCs w:val="20"/>
        </w:rPr>
        <w:t>01us-gaap:CommonStockMember2018-12-31 0000879101us-gaap:AdditionalPaidInCapitalMember2018-12-31 0000879101us-gaap:ParentMember2018-12-31 0000879101us-gaap:NoncontrollingInterestMember2018-12-31 00008791012018-12-31 0000879101us-gaap:RetainedEarningsMember2</w:t>
      </w:r>
      <w:r>
        <w:rPr>
          <w:rFonts w:eastAsia="Times New Roman"/>
          <w:vanish/>
          <w:sz w:val="20"/>
          <w:szCs w:val="20"/>
        </w:rPr>
        <w:t>019-01-012019-06-30 0000879101us-gaap:PreferredStockMember2019-01-012019-06-30 0000879101us-gaap:CommonStockMember2019-01-012019-06-30 0000879101us-gaap:AdditionalPaidInCapitalMember2019-01-012019-06-30 0000879101us-gaap:ParentMember2019-01-012019-06-30 00</w:t>
      </w:r>
      <w:r>
        <w:rPr>
          <w:rFonts w:eastAsia="Times New Roman"/>
          <w:vanish/>
          <w:sz w:val="20"/>
          <w:szCs w:val="20"/>
        </w:rPr>
        <w:t>00879101us-gaap:NoncontrollingInterestMember2019-01-012019-06-30 0000879101us-gaap:RetainedEarningsMember2019-12-31 0000879101us-gaap:PreferredStockMember2019-12-31 0000879101us-gaap:CommonStockMember2019-12-31 0000879101us-gaap:AdditionalPaidInCapitalMemb</w:t>
      </w:r>
      <w:r>
        <w:rPr>
          <w:rFonts w:eastAsia="Times New Roman"/>
          <w:vanish/>
          <w:sz w:val="20"/>
          <w:szCs w:val="20"/>
        </w:rPr>
        <w:t>er2019-12-31 0000879101us-gaap:ParentMember2019-12-31 0000879101us-gaap:NoncontrollingInterestMember2019-12-31 0000879101us-gaap:RetainedEarningsMember2020-01-012020-06-30 0000879101us-gaap:PreferredStockMember2020-01-012020-06-30 0000879101us-gaap:CommonS</w:t>
      </w:r>
      <w:r>
        <w:rPr>
          <w:rFonts w:eastAsia="Times New Roman"/>
          <w:vanish/>
          <w:sz w:val="20"/>
          <w:szCs w:val="20"/>
        </w:rPr>
        <w:t>tockMember2020-01-012020-06-30 0000879101us-gaap:AdditionalPaidInCapitalMember2020-01-012020-06-30 0000879101us-gaap:ParentMember2020-01-012020-06-30 0000879101us-gaap:NoncontrollingInterestMember2020-01-012020-06-30 0000879101kim:StraightlineRentReceivabl</w:t>
      </w:r>
      <w:r>
        <w:rPr>
          <w:rFonts w:eastAsia="Times New Roman"/>
          <w:vanish/>
          <w:sz w:val="20"/>
          <w:szCs w:val="20"/>
        </w:rPr>
        <w:t>esMemberkim:Covid19Member2020-06-30 0000879101srt:RevisionOfPriorPeriodReclassificationAdjustmentMember2019-12-31 0000879101srt:RevisionOfPriorPeriodReclassificationAdjustmentMember2020-04-012020-06-30 0000879101srt:RevisionOfPriorPeriodReclassificationAdj</w:t>
      </w:r>
      <w:r>
        <w:rPr>
          <w:rFonts w:eastAsia="Times New Roman"/>
          <w:vanish/>
          <w:sz w:val="20"/>
          <w:szCs w:val="20"/>
        </w:rPr>
        <w:t>ustmentMember2020-01-102020-06-30 0000879101kim:NorthValleyParcelMember2020-01-012020-06-30 utr:sqft 0000879101kim:NorthValleyParcelMember2020-06-30 0000879101us-gaap:LandMember2020-06-30 0000879101us-gaap:BuildingMember2020-06-30 utr:Y 0000879101us-gaap:B</w:t>
      </w:r>
      <w:r>
        <w:rPr>
          <w:rFonts w:eastAsia="Times New Roman"/>
          <w:vanish/>
          <w:sz w:val="20"/>
          <w:szCs w:val="20"/>
        </w:rPr>
        <w:t>uildingMember2020-01-012020-06-30 0000879101us-gaap:BuildingImprovementsMember2020-06-30 0000879101us-gaap:BuildingImprovementsMember2020-01-012020-06-30 0000879101kim:TenantImprovementsMember2020-06-30 0000879101kim:TenantImprovementsMember2020-01-012020-</w:t>
      </w:r>
      <w:r>
        <w:rPr>
          <w:rFonts w:eastAsia="Times New Roman"/>
          <w:vanish/>
          <w:sz w:val="20"/>
          <w:szCs w:val="20"/>
        </w:rPr>
        <w:t>06-30 0000879101us-gaap:LeasesAcquiredInPlaceMember2020-06-30 0000879101us-gaap:LeasesAcquiredInPlaceMember2020-01-012020-06-30 0000879101kim:ReclassificationFromDevelopmentInProcessToOperatingRealEstateMember2020-06-30 0000879101kim:ReclassificationFromDe</w:t>
      </w:r>
      <w:r>
        <w:rPr>
          <w:rFonts w:eastAsia="Times New Roman"/>
          <w:vanish/>
          <w:sz w:val="20"/>
          <w:szCs w:val="20"/>
        </w:rPr>
        <w:t>velopmentInProcessToOtherAssetsMember2020-06-30 0000879101kim:DispositionActivityRelatingToConsolidatedOperatingPropertiesAndParcelsMember2020-06-30 0000879101kim:DispositionActivityRelatingToConsolidatedOperatingPropertiesAndParcelsMember2019-06-30 000087</w:t>
      </w:r>
      <w:r>
        <w:rPr>
          <w:rFonts w:eastAsia="Times New Roman"/>
          <w:vanish/>
          <w:sz w:val="20"/>
          <w:szCs w:val="20"/>
        </w:rPr>
        <w:t>9101kim:DispositionActivityRelatingToConsolidatedOperatingPropertiesAndParcelsMember2020-01-012020-06-30 0000879101kim:DispositionActivityRelatingToConsolidatedOperatingPropertiesAndParcelsMember2019-01-012019-06-30 xbrli:pure 0000879101kim:KimPruandKimPru</w:t>
      </w:r>
      <w:r>
        <w:rPr>
          <w:rFonts w:eastAsia="Times New Roman"/>
          <w:vanish/>
          <w:sz w:val="20"/>
          <w:szCs w:val="20"/>
        </w:rPr>
        <w:t>IIMember2020-06-30 0000879101kim:KimPruandKimPruIIMember2019-12-31 0000879101kim:KimcoIncomeFundMember2020-06-30 0000879101kim:KimcoIncomeFundMember2019-12-31 0000879101kim:CPPMember2020-06-30 0000879101kim:CPPMember2019-12-31 0000879101kim:OtherJointVentu</w:t>
      </w:r>
      <w:r>
        <w:rPr>
          <w:rFonts w:eastAsia="Times New Roman"/>
          <w:vanish/>
          <w:sz w:val="20"/>
          <w:szCs w:val="20"/>
        </w:rPr>
        <w:t>reProgramsMember2020-06-30 0000879101kim:OtherJointVentureProgramsMember2019-12-31 0000879101kim:AllEquityMethodInvestmentsMember2020-06-30 0000879101kim:AllEquityMethodInvestmentsMember2019-12-31 0000879101kim:PrudentialInvestmentProgramMember2020-04-0120</w:t>
      </w:r>
      <w:r>
        <w:rPr>
          <w:rFonts w:eastAsia="Times New Roman"/>
          <w:vanish/>
          <w:sz w:val="20"/>
          <w:szCs w:val="20"/>
        </w:rPr>
        <w:t>20-06-30 0000879101kim:PrudentialInvestmentProgramMember2019-04-012019-06-30 0000879101kim:PrudentialInvestmentProgramMember2020-01-012020-06-30 0000879101kim:PrudentialInvestmentProgramMember2019-01-012019-06-30 0000879101kim:KIRMember2020-04-012020-06-30</w:t>
      </w:r>
      <w:r>
        <w:rPr>
          <w:rFonts w:eastAsia="Times New Roman"/>
          <w:vanish/>
          <w:sz w:val="20"/>
          <w:szCs w:val="20"/>
        </w:rPr>
        <w:t xml:space="preserve"> 0000879101kim:KIRMember2019-04-012019-06-30 0000879101kim:KIRMember2020-01-012020-06-30 0000879101kim:KIRMember2019-01-012019-06-30 0000879101kim:CPPMember2020-04-012020-06-30 0000879101kim:CPPMember2019-04-012019-06-30 0000879101kim:CPPMember2020-01-0120</w:t>
      </w:r>
      <w:r>
        <w:rPr>
          <w:rFonts w:eastAsia="Times New Roman"/>
          <w:vanish/>
          <w:sz w:val="20"/>
          <w:szCs w:val="20"/>
        </w:rPr>
        <w:t>20-06-30 0000879101kim:CPPMember2019-01-012019-06-30 0000879101kim:OtherJointVentureProgramsMember2020-04-012020-06-30 0000879101kim:OtherJointVentureProgramsMember2019-04-012019-06-30 0000879101kim:OtherJointVentureProgramsMember2020-01-012020-06-30 00008</w:t>
      </w:r>
      <w:r>
        <w:rPr>
          <w:rFonts w:eastAsia="Times New Roman"/>
          <w:vanish/>
          <w:sz w:val="20"/>
          <w:szCs w:val="20"/>
        </w:rPr>
        <w:t>79101kim:OtherJointVentureProgramsMember2019-01-012019-06-30 0000879101kim:OperatingPropertiesMemberkim:RealEstateJointVenturesMember2020-01-012020-06-30 0000879101kim:OperatingPropertiesMemberkim:RealEstateJointVenturesMember2020-06-30 0000879101kim:Prude</w:t>
      </w:r>
      <w:r>
        <w:rPr>
          <w:rFonts w:eastAsia="Times New Roman"/>
          <w:vanish/>
          <w:sz w:val="20"/>
          <w:szCs w:val="20"/>
        </w:rPr>
        <w:t>ntialInvestmentProgramMember2020-06-30 0000879101kim:PrudentialInvestmentProgramMember2019-12-31 0000879101kim:PrudentialInvestmentProgramMember2019-01-012019-12-31 0000879101kim:KIRMember2020-06-30 utr:M 0000879101kim:KIRMember2019-12-31 0000879101kim:KIR</w:t>
      </w:r>
      <w:r>
        <w:rPr>
          <w:rFonts w:eastAsia="Times New Roman"/>
          <w:vanish/>
          <w:sz w:val="20"/>
          <w:szCs w:val="20"/>
        </w:rPr>
        <w:t>Member2019-01-012019-12-31 0000879101kim:CPPMember2019-01-012019-12-31 0000879101kim:OtherJointVentureProgramsMember2019-01-012019-12-31 0000879101kim:PreferredEquityInvestmentsMember2020-06-30 0000879101kim:LeasedPropertiesMemberkim:PreferredEquityInvestm</w:t>
      </w:r>
      <w:r>
        <w:rPr>
          <w:rFonts w:eastAsia="Times New Roman"/>
          <w:vanish/>
          <w:sz w:val="20"/>
          <w:szCs w:val="20"/>
        </w:rPr>
        <w:t>entsMember2020-06-30 0000879101kim:PreferredEquityInvestmentsMember2020-01-012020-06-30 0000879101kim:PreferredEquityInvestmentsMember2019-01-012019-06-30 0000879101kim:AlbertsonsCompaniesIncMember2019-12-31 0000879101us-gaap:OtherAssetsMemberkim:Albertson</w:t>
      </w:r>
      <w:r>
        <w:rPr>
          <w:rFonts w:eastAsia="Times New Roman"/>
          <w:vanish/>
          <w:sz w:val="20"/>
          <w:szCs w:val="20"/>
        </w:rPr>
        <w:t>sCompaniesIncMember2019-12-31 0000879101kim:AlbertsonsCompaniesIncMemberus-gaap:ConvertiblePreferredStockMember2020-01-012020-06-30 0000879101kim:AlbertsonsCompaniesIncMember2020-01-012020-06-30 0000879101kim:AlbertsonsCompaniesIncMember2020-06-30 00008791</w:t>
      </w:r>
      <w:r>
        <w:rPr>
          <w:rFonts w:eastAsia="Times New Roman"/>
          <w:vanish/>
          <w:sz w:val="20"/>
          <w:szCs w:val="20"/>
        </w:rPr>
        <w:t>01kim:AlbertsonsCompaniesIncMember2020-01-012020-06-30 0000879101kim:AlbertsonsCompaniesIncMember2020-06-30 0000879101kim:AlbertsonsCompaniesIncMemberus-gaap:IPOMember2020-06-252020-06-25 0000879101kim:AlbertsonsCompaniesIncMemberus-gaap:IPOMember2020-06-2</w:t>
      </w:r>
      <w:r>
        <w:rPr>
          <w:rFonts w:eastAsia="Times New Roman"/>
          <w:vanish/>
          <w:sz w:val="20"/>
          <w:szCs w:val="20"/>
        </w:rPr>
        <w:t>5 0000879101kim:AlbertsonsCompaniesIncMember2020-06-252020-06-25 0000879101kim:GainOnSaleOfCostMethodInvestmentMemberkim:AlbertsonsCompaniesIncMember2020-06-252020-06-25 0000879101srt:MinimumMember2020-06-30 0000879101srt:MaximumMember2020-06-30 0000879101</w:t>
      </w:r>
      <w:r>
        <w:rPr>
          <w:rFonts w:eastAsia="Times New Roman"/>
          <w:vanish/>
          <w:sz w:val="20"/>
          <w:szCs w:val="20"/>
        </w:rPr>
        <w:t>us-gaap:RevolvingCreditFacilityMember2020-02-29 0000879101us-gaap:RevolvingCreditFacilityMember2019-12-31 0000879101us-gaap:RevolvingCreditFacilityMemberus-gaap:LondonInterbankOfferedRateLIBORMember2020-02-012020-02-29 0000879101us-gaap:RevolvingCreditFaci</w:t>
      </w:r>
      <w:r>
        <w:rPr>
          <w:rFonts w:eastAsia="Times New Roman"/>
          <w:vanish/>
          <w:sz w:val="20"/>
          <w:szCs w:val="20"/>
        </w:rPr>
        <w:t>lityMember2020-06-30 0000879101us-gaap:LetterOfCreditMember2020-06-30 0000879101kim:TermLoanMember2020-04-30 0000879101kim:TermLoanMemberus-gaap:LondonInterbankOfferedRateLIBORMember2020-04-012020-04-30 0000879101kim:TermLoanMember2020-06-30 0000879101kim:</w:t>
      </w:r>
      <w:r>
        <w:rPr>
          <w:rFonts w:eastAsia="Times New Roman"/>
          <w:vanish/>
          <w:sz w:val="20"/>
          <w:szCs w:val="20"/>
        </w:rPr>
        <w:t>TermLoanMemberus-gaap:BaseRateMember2020-04-012020-04-30 0000879101kim:TermLoanMember2020-06-012020-06-30 0000879101kim:GreenBondMemberus-gaap:UnsecuredDebtMemberus-gaap:SubsequentEventMember2020-07-31 0000879101kim:SeniorUnsecuredNoteMemberus-gaap:Subsequ</w:t>
      </w:r>
      <w:r>
        <w:rPr>
          <w:rFonts w:eastAsia="Times New Roman"/>
          <w:vanish/>
          <w:sz w:val="20"/>
          <w:szCs w:val="20"/>
        </w:rPr>
        <w:t>entEventMember2020-07-302020-07-30 0000879101kim:SeniorUnsecuredNoteMemberus-gaap:SubsequentEventMember2020-07-30 0000879101kim:SeniorUnsecuredNoteMember2020-06-30 0000879101us-gaap:ConstructionLoansMember2018-08-31 0000879101us-gaap:ConstructionLoansMembe</w:t>
      </w:r>
      <w:r>
        <w:rPr>
          <w:rFonts w:eastAsia="Times New Roman"/>
          <w:vanish/>
          <w:sz w:val="20"/>
          <w:szCs w:val="20"/>
        </w:rPr>
        <w:t>rus-gaap:LondonInterbankOfferedRateLIBORMember2018-08-012018-08-31 0000879101kim:MortgageDebtEncumberedOperatingPropertyMember2020-01-012020-06-30 0000879101kim:ConsolidatedOperatingPropertiesMember2019-12-31 0000879101kim:ConsolidatedOperatingPropertiesMe</w:t>
      </w:r>
      <w:r>
        <w:rPr>
          <w:rFonts w:eastAsia="Times New Roman"/>
          <w:vanish/>
          <w:sz w:val="20"/>
          <w:szCs w:val="20"/>
        </w:rPr>
        <w:t>mber2020-06-30 0000879101us-gaap:VariableInterestEntityPrimaryBeneficiaryMemberkim:ConsolidatedOperatingPropertiesMember2020-06-30 0000879101us-gaap:VariableInterestEntityPrimaryBeneficiaryMemberkim:ConsolidatedOperatingPropertiesMember2019-12-31 000087910</w:t>
      </w:r>
      <w:r>
        <w:rPr>
          <w:rFonts w:eastAsia="Times New Roman"/>
          <w:vanish/>
          <w:sz w:val="20"/>
          <w:szCs w:val="20"/>
        </w:rPr>
        <w:t>1kim:RealEstateUnderDevelopmentMember2019-12-31 0000879101us-gaap:VariableInterestEntityPrimaryBeneficiaryMemberkim:RealEstateUnderDevelopmentMember2019-12-31 0000879101kim:VariableInterestEntityUnencumberedMember2020-06-30 0000879101kim:VariableInterestEn</w:t>
      </w:r>
      <w:r>
        <w:rPr>
          <w:rFonts w:eastAsia="Times New Roman"/>
          <w:vanish/>
          <w:sz w:val="20"/>
          <w:szCs w:val="20"/>
        </w:rPr>
        <w:t>tityUnencumberedMember2019-12-31 0000879101kim:VariableInterestEntityEncumberedByThirdPartyNonResourceMortgageDebtMember2020-06-30 0000879101kim:VariableInterestEntityEncumberedByThirdPartyNonResourceMortgageDebtMember2019-12-31 0000879101us-gaap:VariableI</w:t>
      </w:r>
      <w:r>
        <w:rPr>
          <w:rFonts w:eastAsia="Times New Roman"/>
          <w:vanish/>
          <w:sz w:val="20"/>
          <w:szCs w:val="20"/>
        </w:rPr>
        <w:t>nterestEntityPrimaryBeneficiaryMember2020-06-30 0000879101us-gaap:VariableInterestEntityPrimaryBeneficiaryMember2019-12-31 0000879101us-gaap:VariableInterestEntityPrimaryBeneficiaryMemberus-gaap:AssetPledgedAsCollateralMember2020-06-30 0000879101us-gaap:Va</w:t>
      </w:r>
      <w:r>
        <w:rPr>
          <w:rFonts w:eastAsia="Times New Roman"/>
          <w:vanish/>
          <w:sz w:val="20"/>
          <w:szCs w:val="20"/>
        </w:rPr>
        <w:t>riableInterestEntityPrimaryBeneficiaryMemberus-gaap:AssetPledgedAsCollateralMember2019-12-31 0000879101us-gaap:VariableInterestEntityPrimaryBeneficiaryMemberus-gaap:NonrecourseMember2020-06-30 0000879101us-gaap:VariableInterestEntityPrimaryBeneficiaryMembe</w:t>
      </w:r>
      <w:r>
        <w:rPr>
          <w:rFonts w:eastAsia="Times New Roman"/>
          <w:vanish/>
          <w:sz w:val="20"/>
          <w:szCs w:val="20"/>
        </w:rPr>
        <w:t>rus-gaap:NonrecourseMember2019-12-31 0000879101us-gaap:CarryingReportedAmountFairValueDisclosureMember2020-06-30 0000879101us-gaap:EstimateOfFairValueFairValueDisclosureMember2020-06-30 0000879101us-gaap:CarryingReportedAmountFairValueDisclosureMember2019-</w:t>
      </w:r>
      <w:r>
        <w:rPr>
          <w:rFonts w:eastAsia="Times New Roman"/>
          <w:vanish/>
          <w:sz w:val="20"/>
          <w:szCs w:val="20"/>
        </w:rPr>
        <w:t>12-31 0000879101us-gaap:EstimateOfFairValueFairValueDisclosureMember2019-12-31 0000879101us-gaap:CarryingReportedAmountFairValueDisclosureMemberus-gaap:MortgagesMember2020-06-30 0000879101us-gaap:EstimateOfFairValueFairValueDisclosureMemberus-gaap:Mortgage</w:t>
      </w:r>
      <w:r>
        <w:rPr>
          <w:rFonts w:eastAsia="Times New Roman"/>
          <w:vanish/>
          <w:sz w:val="20"/>
          <w:szCs w:val="20"/>
        </w:rPr>
        <w:t>sMember2020-06-30 0000879101us-gaap:CarryingReportedAmountFairValueDisclosureMemberus-gaap:MortgagesMember2019-12-31 0000879101us-gaap:EstimateOfFairValueFairValueDisclosureMemberus-gaap:MortgagesMember2019-12-31 0000879101us-gaap:FairValueInputsLevel2Memb</w:t>
      </w:r>
      <w:r>
        <w:rPr>
          <w:rFonts w:eastAsia="Times New Roman"/>
          <w:vanish/>
          <w:sz w:val="20"/>
          <w:szCs w:val="20"/>
        </w:rPr>
        <w:t>erus-gaap:EstimateOfFairValueFairValueDisclosureMember2020-06-30 0000879101us-gaap:FairValueInputsLevel2Memberus-gaap:EstimateOfFairValueFairValueDisclosureMember2019-12-31 0000879101us-gaap:FairValueInputsLevel3Memberus-gaap:EstimateOfFairValueFairValueDi</w:t>
      </w:r>
      <w:r>
        <w:rPr>
          <w:rFonts w:eastAsia="Times New Roman"/>
          <w:vanish/>
          <w:sz w:val="20"/>
          <w:szCs w:val="20"/>
        </w:rPr>
        <w:t>sclosureMember2020-06-30 0000879101us-gaap:FairValueInputsLevel3Memberus-gaap:EstimateOfFairValueFairValueDisclosureMember2019-12-31 0000879101us-gaap:FairValueMeasurementsRecurringMember2020-06-30 0000879101us-gaap:FairValueInputsLevel1Memberus-gaap:FairV</w:t>
      </w:r>
      <w:r>
        <w:rPr>
          <w:rFonts w:eastAsia="Times New Roman"/>
          <w:vanish/>
          <w:sz w:val="20"/>
          <w:szCs w:val="20"/>
        </w:rPr>
        <w:t>alueMeasurementsRecurringMember2020-06-30 0000879101us-gaap:FairValueInputsLevel2Memberus-gaap:FairValueMeasurementsRecurringMember2020-06-30 0000879101us-gaap:FairValueMeasurementsRecurringMember2019-12-31 0000879101us-gaap:FairValueInputsLevel1Memberus-g</w:t>
      </w:r>
      <w:r>
        <w:rPr>
          <w:rFonts w:eastAsia="Times New Roman"/>
          <w:vanish/>
          <w:sz w:val="20"/>
          <w:szCs w:val="20"/>
        </w:rPr>
        <w:t>aap:FairValueMeasurementsRecurringMember2019-12-31 0000879101us-gaap:FairValueInputsLevel3Memberus-gaap:FairValueMeasurementsRecurringMember2019-12-31 0000879101us-gaap:FairValueMeasurementsNonrecurringMember2020-06-30 0000879101us-gaap:FairValueInputsLeve</w:t>
      </w:r>
      <w:r>
        <w:rPr>
          <w:rFonts w:eastAsia="Times New Roman"/>
          <w:vanish/>
          <w:sz w:val="20"/>
          <w:szCs w:val="20"/>
        </w:rPr>
        <w:t>l1Memberus-gaap:FairValueMeasurementsNonrecurringMember2020-06-30 0000879101us-gaap:FairValueInputsLevel2Memberus-gaap:FairValueMeasurementsNonrecurringMember2020-06-30 0000879101us-gaap:FairValueInputsLevel3Memberus-gaap:FairValueMeasurementsNonrecurringM</w:t>
      </w:r>
      <w:r>
        <w:rPr>
          <w:rFonts w:eastAsia="Times New Roman"/>
          <w:vanish/>
          <w:sz w:val="20"/>
          <w:szCs w:val="20"/>
        </w:rPr>
        <w:t>ember2020-06-30 0000879101us-gaap:FairValueMeasurementsNonrecurringMember2019-12-31 0000879101us-gaap:FairValueInputsLevel1Memberus-gaap:FairValueMeasurementsNonrecurringMember2019-12-31 0000879101us-gaap:FairValueInputsLevel2Memberus-gaap:FairValueMeasure</w:t>
      </w:r>
      <w:r>
        <w:rPr>
          <w:rFonts w:eastAsia="Times New Roman"/>
          <w:vanish/>
          <w:sz w:val="20"/>
          <w:szCs w:val="20"/>
        </w:rPr>
        <w:t>mentsNonrecurringMember2019-12-31 0000879101us-gaap:FairValueInputsLevel3Memberus-gaap:FairValueMeasurementsNonrecurringMember2019-12-31 0000879101kim:The2020EquityParticipationPlanMember2020-05-31 0000879101kim:The2020EquityParticipationPlanMember2020-06-</w:t>
      </w:r>
      <w:r>
        <w:rPr>
          <w:rFonts w:eastAsia="Times New Roman"/>
          <w:vanish/>
          <w:sz w:val="20"/>
          <w:szCs w:val="20"/>
        </w:rPr>
        <w:t>30 0000879101us-gaap:EmployeeStockOptionMember2020-01-012020-06-30 0000879101us-gaap:EmployeeStockOptionMember2019-01-012019-06-30 0000879101us-gaap:RestrictedStockMember2020-01-012020-06-30 0000879101kim:SeriesLPreferredStockMember2020-06-30 0000879101kim</w:t>
      </w:r>
      <w:r>
        <w:rPr>
          <w:rFonts w:eastAsia="Times New Roman"/>
          <w:vanish/>
          <w:sz w:val="20"/>
          <w:szCs w:val="20"/>
        </w:rPr>
        <w:t>:SeriesLPreferredStockMember2020-01-012020-06-30 0000879101kim:SeriesMPreferredStockMember2020-06-30 0000879101kim:SeriesMPreferredStockMember2020-01-012020-06-30 0000879101kim:TotalMember2020-06-30 0000879101kim:ShareRepurchaseProgramMember2020-02-282020-</w:t>
      </w:r>
      <w:r>
        <w:rPr>
          <w:rFonts w:eastAsia="Times New Roman"/>
          <w:vanish/>
          <w:sz w:val="20"/>
          <w:szCs w:val="20"/>
        </w:rPr>
        <w:t>02-28 0000879101kim:ShareRepurchaseProgramMember2020-02-28 0000879101kim:ShareRepurchaseProgramMember2020-06-30 0000879101kim:ATMProgramMember2019-09-30 0000879101kim:SeriesIPreferredStockMember2020-04-012020-06-30 0000879101kim:SeriesIPreferredStockMember</w:t>
      </w:r>
      <w:r>
        <w:rPr>
          <w:rFonts w:eastAsia="Times New Roman"/>
          <w:vanish/>
          <w:sz w:val="20"/>
          <w:szCs w:val="20"/>
        </w:rPr>
        <w:t>2019-04-012019-06-30 0000879101kim:SeriesIPreferredStockMember2020-01-012020-06-30 0000879101kim:SeriesIPreferredStockMember2019-01-012019-06-30 0000879101kim:SeriesJPreferredStockMember2020-04-012020-06-30 0000879101kim:SeriesJPreferredStockMember2019-04-</w:t>
      </w:r>
      <w:r>
        <w:rPr>
          <w:rFonts w:eastAsia="Times New Roman"/>
          <w:vanish/>
          <w:sz w:val="20"/>
          <w:szCs w:val="20"/>
        </w:rPr>
        <w:t>012019-06-30 0000879101kim:SeriesJPreferredStockMember2020-01-012020-06-30 0000879101kim:SeriesJPreferredStockMember2019-01-012019-06-30 0000879101kim:SeriesKPreferredStockMember2020-04-012020-06-30 0000879101kim:SeriesKPreferredStockMember2019-04-012019-0</w:t>
      </w:r>
      <w:r>
        <w:rPr>
          <w:rFonts w:eastAsia="Times New Roman"/>
          <w:vanish/>
          <w:sz w:val="20"/>
          <w:szCs w:val="20"/>
        </w:rPr>
        <w:t>6-30 0000879101kim:SeriesKPreferredStockMember2020-01-012020-06-30 0000879101kim:SeriesKPreferredStockMember2019-01-012019-06-30 0000879101kim:SeriesLPreferredStockMember2020-04-012020-06-30 0000879101kim:SeriesLPreferredStockMember2019-04-012019-06-30 000</w:t>
      </w:r>
      <w:r>
        <w:rPr>
          <w:rFonts w:eastAsia="Times New Roman"/>
          <w:vanish/>
          <w:sz w:val="20"/>
          <w:szCs w:val="20"/>
        </w:rPr>
        <w:t>0879101kim:SeriesLPreferredStockMember2019-01-012019-06-30 0000879101kim:SeriesMPreferredStockMember2020-04-012020-06-30 0000879101kim:SeriesMPreferredStockMember2019-04-012019-06-30 0000879101kim:SeriesMPreferredStockMember2019-01-012019-06-30 0000879101k</w:t>
      </w:r>
      <w:r>
        <w:rPr>
          <w:rFonts w:eastAsia="Times New Roman"/>
          <w:vanish/>
          <w:sz w:val="20"/>
          <w:szCs w:val="20"/>
        </w:rPr>
        <w:t xml:space="preserve">im:IncomeMember2020-01-012020-06-30 </w:t>
      </w:r>
    </w:p>
    <w:p w14:paraId="00939C00" w14:textId="77777777" w:rsidR="00000000" w:rsidRDefault="00322B34">
      <w:pPr>
        <w:divId w:val="1230768926"/>
        <w:rPr>
          <w:rFonts w:eastAsia="Times New Roman"/>
          <w:sz w:val="20"/>
          <w:szCs w:val="20"/>
        </w:rPr>
      </w:pPr>
      <w:r>
        <w:rPr>
          <w:rFonts w:eastAsia="Times New Roman"/>
          <w:sz w:val="20"/>
          <w:szCs w:val="20"/>
        </w:rPr>
        <w:t xml:space="preserve">  </w:t>
      </w:r>
    </w:p>
    <w:p w14:paraId="39D461E0" w14:textId="77777777" w:rsidR="00000000" w:rsidRDefault="00322B34">
      <w:pPr>
        <w:pStyle w:val="a3"/>
        <w:spacing w:before="0" w:beforeAutospacing="0" w:after="0" w:afterAutospacing="0"/>
        <w:divId w:val="1697005639"/>
        <w:rPr>
          <w:sz w:val="20"/>
          <w:szCs w:val="20"/>
        </w:rPr>
      </w:pPr>
      <w:hyperlink w:anchor="toc" w:history="1">
        <w:r>
          <w:rPr>
            <w:rStyle w:val="a4"/>
            <w:sz w:val="20"/>
            <w:szCs w:val="20"/>
          </w:rPr>
          <w:t>Table of Contents</w:t>
        </w:r>
      </w:hyperlink>
    </w:p>
    <w:p w14:paraId="23BB98DB" w14:textId="77777777" w:rsidR="00000000" w:rsidRDefault="00322B34">
      <w:pPr>
        <w:spacing w:before="60" w:after="60"/>
        <w:divId w:val="1697005639"/>
        <w:rPr>
          <w:rFonts w:eastAsia="Times New Roman"/>
          <w:sz w:val="20"/>
          <w:szCs w:val="20"/>
        </w:rPr>
      </w:pPr>
      <w:r>
        <w:rPr>
          <w:rFonts w:eastAsia="Times New Roman"/>
          <w:sz w:val="20"/>
          <w:szCs w:val="20"/>
        </w:rPr>
        <w:pict w14:anchorId="0D7975A8">
          <v:rect id="_x0000_i1025" style="width:415.3pt;height:2.25pt" o:hralign="center" o:hrstd="t" o:hrnoshade="t" o:hr="t" fillcolor="black" stroked="f"/>
        </w:pict>
      </w:r>
    </w:p>
    <w:p w14:paraId="6EE3DDA0" w14:textId="77777777" w:rsidR="00000000" w:rsidRDefault="00322B34">
      <w:pPr>
        <w:spacing w:after="60"/>
        <w:divId w:val="1697005639"/>
        <w:rPr>
          <w:rFonts w:eastAsia="Times New Roman"/>
          <w:sz w:val="20"/>
          <w:szCs w:val="20"/>
        </w:rPr>
      </w:pPr>
      <w:r>
        <w:rPr>
          <w:rFonts w:eastAsia="Times New Roman"/>
          <w:sz w:val="20"/>
          <w:szCs w:val="20"/>
        </w:rPr>
        <w:pict w14:anchorId="07A36628">
          <v:rect id="_x0000_i1026" style="width:415.3pt;height:.75pt" o:hralign="center" o:hrstd="t" o:hrnoshade="t" o:hr="t" fillcolor="black" stroked="f"/>
        </w:pict>
      </w:r>
    </w:p>
    <w:p w14:paraId="36BA3BAF" w14:textId="77777777" w:rsidR="00000000" w:rsidRDefault="00322B34">
      <w:pPr>
        <w:pStyle w:val="a3"/>
        <w:spacing w:before="0" w:beforeAutospacing="0" w:after="0" w:afterAutospacing="0"/>
        <w:jc w:val="center"/>
        <w:divId w:val="1697005639"/>
        <w:rPr>
          <w:sz w:val="20"/>
          <w:szCs w:val="20"/>
        </w:rPr>
      </w:pPr>
      <w:r>
        <w:rPr>
          <w:b/>
          <w:bCs/>
          <w:sz w:val="20"/>
          <w:szCs w:val="20"/>
        </w:rPr>
        <w:t> </w:t>
      </w:r>
    </w:p>
    <w:p w14:paraId="21908C75" w14:textId="77777777" w:rsidR="00000000" w:rsidRDefault="00322B34">
      <w:pPr>
        <w:pStyle w:val="a3"/>
        <w:spacing w:before="0" w:beforeAutospacing="0" w:after="0" w:afterAutospacing="0"/>
        <w:jc w:val="center"/>
        <w:divId w:val="1697005639"/>
        <w:rPr>
          <w:sz w:val="20"/>
          <w:szCs w:val="20"/>
        </w:rPr>
      </w:pPr>
      <w:r>
        <w:rPr>
          <w:b/>
          <w:bCs/>
          <w:sz w:val="20"/>
          <w:szCs w:val="20"/>
        </w:rPr>
        <w:t>UNITED STATES</w:t>
      </w:r>
    </w:p>
    <w:p w14:paraId="41691CDA" w14:textId="77777777" w:rsidR="00000000" w:rsidRDefault="00322B34">
      <w:pPr>
        <w:pStyle w:val="a3"/>
        <w:spacing w:before="0" w:beforeAutospacing="0" w:after="0" w:afterAutospacing="0"/>
        <w:jc w:val="center"/>
        <w:divId w:val="1697005639"/>
        <w:rPr>
          <w:sz w:val="20"/>
          <w:szCs w:val="20"/>
        </w:rPr>
      </w:pPr>
      <w:r>
        <w:rPr>
          <w:b/>
          <w:bCs/>
          <w:sz w:val="20"/>
          <w:szCs w:val="20"/>
        </w:rPr>
        <w:t>SECURITIES AND EXCHANGE COMMISSION</w:t>
      </w:r>
    </w:p>
    <w:p w14:paraId="7884A172" w14:textId="77777777" w:rsidR="00000000" w:rsidRDefault="00322B34">
      <w:pPr>
        <w:pStyle w:val="a3"/>
        <w:spacing w:before="0" w:beforeAutospacing="0" w:after="0" w:afterAutospacing="0"/>
        <w:jc w:val="center"/>
        <w:divId w:val="1697005639"/>
        <w:rPr>
          <w:sz w:val="20"/>
          <w:szCs w:val="20"/>
        </w:rPr>
      </w:pPr>
      <w:r>
        <w:rPr>
          <w:b/>
          <w:bCs/>
          <w:sz w:val="20"/>
          <w:szCs w:val="20"/>
        </w:rPr>
        <w:t>Washington, D.C.  20549</w:t>
      </w:r>
    </w:p>
    <w:p w14:paraId="133292D8" w14:textId="77777777" w:rsidR="00000000" w:rsidRDefault="00322B34">
      <w:pPr>
        <w:pStyle w:val="a3"/>
        <w:spacing w:before="0" w:beforeAutospacing="0" w:after="0" w:afterAutospacing="0"/>
        <w:jc w:val="center"/>
        <w:divId w:val="1697005639"/>
        <w:rPr>
          <w:sz w:val="20"/>
          <w:szCs w:val="20"/>
        </w:rPr>
      </w:pPr>
      <w:r>
        <w:rPr>
          <w:b/>
          <w:bCs/>
          <w:sz w:val="20"/>
          <w:szCs w:val="20"/>
        </w:rPr>
        <w:t> </w:t>
      </w:r>
    </w:p>
    <w:p w14:paraId="163828D6" w14:textId="77777777" w:rsidR="00000000" w:rsidRDefault="00322B34">
      <w:pPr>
        <w:pStyle w:val="a3"/>
        <w:spacing w:before="0" w:beforeAutospacing="0" w:after="0" w:afterAutospacing="0"/>
        <w:jc w:val="center"/>
        <w:divId w:val="1697005639"/>
        <w:rPr>
          <w:sz w:val="20"/>
          <w:szCs w:val="20"/>
        </w:rPr>
      </w:pPr>
      <w:r>
        <w:rPr>
          <w:b/>
          <w:bCs/>
          <w:sz w:val="20"/>
          <w:szCs w:val="20"/>
        </w:rPr>
        <w:t>FORM 10-Q</w:t>
      </w:r>
    </w:p>
    <w:p w14:paraId="03834E59" w14:textId="77777777" w:rsidR="00000000" w:rsidRDefault="00322B34">
      <w:pPr>
        <w:pStyle w:val="a3"/>
        <w:spacing w:before="0" w:beforeAutospacing="0" w:after="0" w:afterAutospacing="0"/>
        <w:divId w:val="16970056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57"/>
        <w:gridCol w:w="7749"/>
      </w:tblGrid>
      <w:tr w:rsidR="00000000" w14:paraId="72B230BC" w14:textId="77777777">
        <w:trPr>
          <w:divId w:val="1697005639"/>
          <w:tblCellSpacing w:w="0" w:type="dxa"/>
        </w:trPr>
        <w:tc>
          <w:tcPr>
            <w:tcW w:w="335" w:type="pct"/>
            <w:hideMark/>
          </w:tcPr>
          <w:p w14:paraId="5F614D13" w14:textId="77777777" w:rsidR="00000000" w:rsidRDefault="00322B34">
            <w:pPr>
              <w:pStyle w:val="a3"/>
              <w:spacing w:before="0" w:beforeAutospacing="0" w:after="0" w:afterAutospacing="0"/>
              <w:rPr>
                <w:sz w:val="20"/>
                <w:szCs w:val="20"/>
              </w:rPr>
            </w:pPr>
            <w:r>
              <w:rPr>
                <w:rFonts w:ascii="Segoe UI Symbol" w:hAnsi="Segoe UI Symbol" w:cs="Segoe UI Symbol"/>
                <w:b/>
                <w:bCs/>
                <w:sz w:val="20"/>
                <w:szCs w:val="20"/>
              </w:rPr>
              <w:t>☒</w:t>
            </w:r>
          </w:p>
        </w:tc>
        <w:tc>
          <w:tcPr>
            <w:tcW w:w="4665" w:type="pct"/>
            <w:hideMark/>
          </w:tcPr>
          <w:p w14:paraId="32D6BA34" w14:textId="77777777" w:rsidR="00000000" w:rsidRDefault="00322B34">
            <w:pPr>
              <w:pStyle w:val="a3"/>
              <w:spacing w:before="0" w:beforeAutospacing="0" w:after="0" w:afterAutospacing="0"/>
              <w:rPr>
                <w:sz w:val="20"/>
                <w:szCs w:val="20"/>
              </w:rPr>
            </w:pPr>
            <w:r>
              <w:rPr>
                <w:sz w:val="20"/>
                <w:szCs w:val="20"/>
              </w:rPr>
              <w:t>QUARTERLY REPORT PURSUANT</w:t>
            </w:r>
            <w:r>
              <w:rPr>
                <w:sz w:val="20"/>
                <w:szCs w:val="20"/>
              </w:rPr>
              <w:t xml:space="preserve"> TO SECTION 13 OR 15(d) OF THE SECURITIES EXCHANGE ACT OF 1934</w:t>
            </w:r>
          </w:p>
        </w:tc>
      </w:tr>
    </w:tbl>
    <w:p w14:paraId="39047FF4" w14:textId="77777777" w:rsidR="00000000" w:rsidRDefault="00322B34">
      <w:pPr>
        <w:pStyle w:val="a3"/>
        <w:spacing w:before="0" w:beforeAutospacing="0" w:after="0" w:afterAutospacing="0"/>
        <w:divId w:val="1697005639"/>
        <w:rPr>
          <w:sz w:val="20"/>
          <w:szCs w:val="20"/>
        </w:rPr>
      </w:pPr>
      <w:r>
        <w:rPr>
          <w:sz w:val="20"/>
          <w:szCs w:val="20"/>
        </w:rPr>
        <w:t> </w:t>
      </w:r>
    </w:p>
    <w:p w14:paraId="7CAD7D97" w14:textId="77777777" w:rsidR="00000000" w:rsidRDefault="00322B34">
      <w:pPr>
        <w:pStyle w:val="a3"/>
        <w:spacing w:before="0" w:beforeAutospacing="0" w:after="0" w:afterAutospacing="0"/>
        <w:jc w:val="center"/>
        <w:divId w:val="1697005639"/>
        <w:rPr>
          <w:sz w:val="20"/>
          <w:szCs w:val="20"/>
        </w:rPr>
      </w:pPr>
      <w:r>
        <w:rPr>
          <w:b/>
          <w:bCs/>
          <w:sz w:val="20"/>
          <w:szCs w:val="20"/>
        </w:rPr>
        <w:t>For the quarterly period ended June 30, 2020</w:t>
      </w:r>
    </w:p>
    <w:p w14:paraId="26B814C6" w14:textId="77777777" w:rsidR="00000000" w:rsidRDefault="00322B34">
      <w:pPr>
        <w:pStyle w:val="a3"/>
        <w:spacing w:before="0" w:beforeAutospacing="0" w:after="0" w:afterAutospacing="0"/>
        <w:jc w:val="center"/>
        <w:divId w:val="1697005639"/>
        <w:rPr>
          <w:sz w:val="20"/>
          <w:szCs w:val="20"/>
        </w:rPr>
      </w:pPr>
      <w:r>
        <w:rPr>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532"/>
        <w:gridCol w:w="50"/>
        <w:gridCol w:w="7724"/>
      </w:tblGrid>
      <w:tr w:rsidR="00000000" w14:paraId="34773BDC" w14:textId="77777777">
        <w:trPr>
          <w:divId w:val="1697005639"/>
          <w:tblCellSpacing w:w="0" w:type="dxa"/>
        </w:trPr>
        <w:tc>
          <w:tcPr>
            <w:tcW w:w="335" w:type="pct"/>
            <w:hideMark/>
          </w:tcPr>
          <w:p w14:paraId="7F01C0C6" w14:textId="77777777" w:rsidR="00000000" w:rsidRDefault="00322B34">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pct"/>
            <w:hideMark/>
          </w:tcPr>
          <w:p w14:paraId="014D6BC3" w14:textId="77777777" w:rsidR="00000000" w:rsidRDefault="00322B34">
            <w:pPr>
              <w:rPr>
                <w:rFonts w:eastAsia="Times New Roman"/>
                <w:sz w:val="20"/>
                <w:szCs w:val="20"/>
              </w:rPr>
            </w:pPr>
            <w:r>
              <w:rPr>
                <w:rFonts w:eastAsia="Times New Roman"/>
                <w:sz w:val="20"/>
                <w:szCs w:val="20"/>
              </w:rPr>
              <w:t> </w:t>
            </w:r>
          </w:p>
        </w:tc>
        <w:tc>
          <w:tcPr>
            <w:tcW w:w="4665" w:type="pct"/>
            <w:hideMark/>
          </w:tcPr>
          <w:p w14:paraId="122BC6D3" w14:textId="77777777" w:rsidR="00000000" w:rsidRDefault="00322B34">
            <w:pPr>
              <w:pStyle w:val="a3"/>
              <w:spacing w:before="0" w:beforeAutospacing="0" w:after="0" w:afterAutospacing="0"/>
              <w:rPr>
                <w:sz w:val="20"/>
                <w:szCs w:val="20"/>
              </w:rPr>
            </w:pPr>
            <w:r>
              <w:rPr>
                <w:sz w:val="20"/>
                <w:szCs w:val="20"/>
              </w:rPr>
              <w:t>TRANSITION REPORT PURSUANT TO SECTION 13 OR 15(d) OF THE SECURITIES EXCHANGE ACT OF 1934</w:t>
            </w:r>
          </w:p>
        </w:tc>
      </w:tr>
    </w:tbl>
    <w:p w14:paraId="5D403688" w14:textId="77777777" w:rsidR="00000000" w:rsidRDefault="00322B34">
      <w:pPr>
        <w:pStyle w:val="a3"/>
        <w:spacing w:before="0" w:beforeAutospacing="0" w:after="0" w:afterAutospacing="0"/>
        <w:divId w:val="1697005639"/>
        <w:rPr>
          <w:sz w:val="20"/>
          <w:szCs w:val="20"/>
        </w:rPr>
      </w:pPr>
      <w:r>
        <w:rPr>
          <w:sz w:val="20"/>
          <w:szCs w:val="20"/>
        </w:rPr>
        <w:t> </w:t>
      </w:r>
    </w:p>
    <w:p w14:paraId="0378EC2B" w14:textId="77777777" w:rsidR="00000000" w:rsidRDefault="00322B34">
      <w:pPr>
        <w:pStyle w:val="a3"/>
        <w:spacing w:before="0" w:beforeAutospacing="0" w:after="0" w:afterAutospacing="0"/>
        <w:jc w:val="center"/>
        <w:divId w:val="1697005639"/>
        <w:rPr>
          <w:sz w:val="20"/>
          <w:szCs w:val="20"/>
        </w:rPr>
      </w:pPr>
      <w:r>
        <w:rPr>
          <w:sz w:val="20"/>
          <w:szCs w:val="20"/>
        </w:rPr>
        <w:t xml:space="preserve">For the transition period from </w:t>
      </w:r>
      <w:r>
        <w:rPr>
          <w:sz w:val="20"/>
          <w:szCs w:val="20"/>
          <w:u w:val="single"/>
        </w:rPr>
        <w:t>               </w:t>
      </w:r>
      <w:r>
        <w:rPr>
          <w:sz w:val="20"/>
          <w:szCs w:val="20"/>
        </w:rPr>
        <w:t xml:space="preserve"> to </w:t>
      </w:r>
      <w:r>
        <w:rPr>
          <w:sz w:val="20"/>
          <w:szCs w:val="20"/>
          <w:u w:val="single"/>
        </w:rPr>
        <w:t>               </w:t>
      </w:r>
    </w:p>
    <w:p w14:paraId="5108E6DE" w14:textId="77777777" w:rsidR="00000000" w:rsidRDefault="00322B34">
      <w:pPr>
        <w:pStyle w:val="a3"/>
        <w:spacing w:before="0" w:beforeAutospacing="0" w:after="0" w:afterAutospacing="0"/>
        <w:divId w:val="1697005639"/>
        <w:rPr>
          <w:sz w:val="20"/>
          <w:szCs w:val="20"/>
        </w:rPr>
      </w:pPr>
      <w:r>
        <w:rPr>
          <w:sz w:val="20"/>
          <w:szCs w:val="20"/>
        </w:rPr>
        <w:t> </w:t>
      </w:r>
    </w:p>
    <w:p w14:paraId="5D8DA3CB" w14:textId="77777777" w:rsidR="00000000" w:rsidRDefault="00322B34">
      <w:pPr>
        <w:pStyle w:val="a3"/>
        <w:spacing w:before="0" w:beforeAutospacing="0" w:after="0" w:afterAutospacing="0"/>
        <w:jc w:val="center"/>
        <w:divId w:val="1697005639"/>
        <w:rPr>
          <w:sz w:val="20"/>
          <w:szCs w:val="20"/>
        </w:rPr>
      </w:pPr>
      <w:r>
        <w:rPr>
          <w:sz w:val="20"/>
          <w:szCs w:val="20"/>
        </w:rPr>
        <w:t>Commission File Number:   </w:t>
      </w:r>
      <w:r>
        <w:rPr>
          <w:sz w:val="20"/>
          <w:szCs w:val="20"/>
          <w:u w:val="single"/>
        </w:rPr>
        <w:t>1-10899</w:t>
      </w:r>
    </w:p>
    <w:p w14:paraId="1DD19816" w14:textId="77777777" w:rsidR="00000000" w:rsidRDefault="00322B34">
      <w:pPr>
        <w:pStyle w:val="a3"/>
        <w:spacing w:before="0" w:beforeAutospacing="0" w:after="0" w:afterAutospacing="0"/>
        <w:divId w:val="1697005639"/>
        <w:rPr>
          <w:sz w:val="20"/>
          <w:szCs w:val="20"/>
        </w:rPr>
      </w:pPr>
      <w:r>
        <w:rPr>
          <w:sz w:val="20"/>
          <w:szCs w:val="20"/>
        </w:rPr>
        <w:t> </w:t>
      </w:r>
    </w:p>
    <w:p w14:paraId="0CC448B4" w14:textId="77777777" w:rsidR="00000000" w:rsidRDefault="00322B34">
      <w:pPr>
        <w:pStyle w:val="a3"/>
        <w:spacing w:before="0" w:beforeAutospacing="0" w:after="0" w:afterAutospacing="0"/>
        <w:jc w:val="center"/>
        <w:divId w:val="1697005639"/>
        <w:rPr>
          <w:sz w:val="36"/>
          <w:szCs w:val="36"/>
        </w:rPr>
      </w:pPr>
      <w:r>
        <w:rPr>
          <w:b/>
          <w:bCs/>
          <w:sz w:val="36"/>
          <w:szCs w:val="36"/>
          <w:u w:val="single"/>
        </w:rPr>
        <w:t>Kimco Realty Corporation</w:t>
      </w:r>
    </w:p>
    <w:p w14:paraId="6125EA85" w14:textId="77777777" w:rsidR="00000000" w:rsidRDefault="00322B34">
      <w:pPr>
        <w:pStyle w:val="a3"/>
        <w:spacing w:before="0" w:beforeAutospacing="0" w:after="0" w:afterAutospacing="0"/>
        <w:jc w:val="center"/>
        <w:divId w:val="1697005639"/>
        <w:rPr>
          <w:sz w:val="20"/>
          <w:szCs w:val="20"/>
        </w:rPr>
      </w:pPr>
      <w:r>
        <w:rPr>
          <w:sz w:val="20"/>
          <w:szCs w:val="20"/>
        </w:rPr>
        <w:t>(Exact name of registrant as specified in its charter)</w:t>
      </w:r>
    </w:p>
    <w:tbl>
      <w:tblPr>
        <w:tblW w:w="5000" w:type="pct"/>
        <w:tblCellSpacing w:w="0" w:type="dxa"/>
        <w:tblCellMar>
          <w:left w:w="0" w:type="dxa"/>
          <w:right w:w="0" w:type="dxa"/>
        </w:tblCellMar>
        <w:tblLook w:val="04A0" w:firstRow="1" w:lastRow="0" w:firstColumn="1" w:lastColumn="0" w:noHBand="0" w:noVBand="1"/>
      </w:tblPr>
      <w:tblGrid>
        <w:gridCol w:w="3903"/>
        <w:gridCol w:w="507"/>
        <w:gridCol w:w="3896"/>
      </w:tblGrid>
      <w:tr w:rsidR="00000000" w14:paraId="7F2F8B94" w14:textId="77777777">
        <w:trPr>
          <w:divId w:val="1697005639"/>
          <w:tblCellSpacing w:w="0" w:type="dxa"/>
        </w:trPr>
        <w:tc>
          <w:tcPr>
            <w:tcW w:w="2350" w:type="pct"/>
            <w:tcBorders>
              <w:bottom w:val="single" w:sz="6" w:space="0" w:color="000000"/>
            </w:tcBorders>
            <w:vAlign w:val="bottom"/>
            <w:hideMark/>
          </w:tcPr>
          <w:p w14:paraId="06A2D4F3" w14:textId="77777777" w:rsidR="00000000" w:rsidRDefault="00322B34">
            <w:pPr>
              <w:pStyle w:val="a3"/>
              <w:spacing w:before="0" w:beforeAutospacing="0" w:after="0" w:afterAutospacing="0"/>
              <w:jc w:val="center"/>
              <w:rPr>
                <w:sz w:val="20"/>
                <w:szCs w:val="20"/>
              </w:rPr>
            </w:pPr>
            <w:r>
              <w:rPr>
                <w:b/>
                <w:bCs/>
                <w:sz w:val="20"/>
                <w:szCs w:val="20"/>
              </w:rPr>
              <w:t>Maryland</w:t>
            </w:r>
          </w:p>
        </w:tc>
        <w:tc>
          <w:tcPr>
            <w:tcW w:w="305" w:type="pct"/>
            <w:vAlign w:val="bottom"/>
            <w:hideMark/>
          </w:tcPr>
          <w:p w14:paraId="2FD01F95" w14:textId="77777777" w:rsidR="00000000" w:rsidRDefault="00322B34">
            <w:pPr>
              <w:pStyle w:val="a3"/>
              <w:spacing w:before="0" w:beforeAutospacing="0" w:after="0" w:afterAutospacing="0"/>
              <w:rPr>
                <w:sz w:val="20"/>
                <w:szCs w:val="20"/>
              </w:rPr>
            </w:pPr>
            <w:r>
              <w:rPr>
                <w:sz w:val="20"/>
                <w:szCs w:val="20"/>
              </w:rPr>
              <w:t>  </w:t>
            </w:r>
          </w:p>
        </w:tc>
        <w:tc>
          <w:tcPr>
            <w:tcW w:w="2350" w:type="pct"/>
            <w:tcBorders>
              <w:bottom w:val="single" w:sz="6" w:space="0" w:color="000000"/>
            </w:tcBorders>
            <w:vAlign w:val="bottom"/>
            <w:hideMark/>
          </w:tcPr>
          <w:p w14:paraId="5E585E89" w14:textId="77777777" w:rsidR="00000000" w:rsidRDefault="00322B34">
            <w:pPr>
              <w:pStyle w:val="a3"/>
              <w:spacing w:before="0" w:beforeAutospacing="0" w:after="0" w:afterAutospacing="0"/>
              <w:jc w:val="center"/>
              <w:rPr>
                <w:sz w:val="20"/>
                <w:szCs w:val="20"/>
              </w:rPr>
            </w:pPr>
            <w:r>
              <w:rPr>
                <w:b/>
                <w:bCs/>
                <w:sz w:val="20"/>
                <w:szCs w:val="20"/>
              </w:rPr>
              <w:t>13-2744380</w:t>
            </w:r>
          </w:p>
        </w:tc>
      </w:tr>
      <w:tr w:rsidR="00000000" w14:paraId="44C4C981" w14:textId="77777777">
        <w:trPr>
          <w:divId w:val="1697005639"/>
          <w:tblCellSpacing w:w="0" w:type="dxa"/>
        </w:trPr>
        <w:tc>
          <w:tcPr>
            <w:tcW w:w="2350" w:type="pct"/>
            <w:vAlign w:val="bottom"/>
            <w:hideMark/>
          </w:tcPr>
          <w:p w14:paraId="5E0A967D" w14:textId="77777777" w:rsidR="00000000" w:rsidRDefault="00322B34">
            <w:pPr>
              <w:pStyle w:val="a3"/>
              <w:spacing w:before="0" w:beforeAutospacing="0" w:after="0" w:afterAutospacing="0"/>
              <w:jc w:val="center"/>
              <w:rPr>
                <w:sz w:val="20"/>
                <w:szCs w:val="20"/>
              </w:rPr>
            </w:pPr>
            <w:r>
              <w:rPr>
                <w:sz w:val="20"/>
                <w:szCs w:val="20"/>
              </w:rPr>
              <w:t>(State or other jurisdiction of incorporation or organization)</w:t>
            </w:r>
          </w:p>
        </w:tc>
        <w:tc>
          <w:tcPr>
            <w:tcW w:w="305" w:type="pct"/>
            <w:vAlign w:val="bottom"/>
            <w:hideMark/>
          </w:tcPr>
          <w:p w14:paraId="573C1EA3" w14:textId="77777777" w:rsidR="00000000" w:rsidRDefault="00322B34">
            <w:pPr>
              <w:pStyle w:val="a3"/>
              <w:spacing w:before="0" w:beforeAutospacing="0" w:after="0" w:afterAutospacing="0"/>
              <w:rPr>
                <w:sz w:val="20"/>
                <w:szCs w:val="20"/>
              </w:rPr>
            </w:pPr>
            <w:r>
              <w:rPr>
                <w:sz w:val="20"/>
                <w:szCs w:val="20"/>
              </w:rPr>
              <w:t>  </w:t>
            </w:r>
          </w:p>
        </w:tc>
        <w:tc>
          <w:tcPr>
            <w:tcW w:w="2350" w:type="pct"/>
            <w:vAlign w:val="bottom"/>
            <w:hideMark/>
          </w:tcPr>
          <w:p w14:paraId="38703C44" w14:textId="77777777" w:rsidR="00000000" w:rsidRDefault="00322B34">
            <w:pPr>
              <w:pStyle w:val="a3"/>
              <w:spacing w:before="0" w:beforeAutospacing="0" w:after="0" w:afterAutospacing="0"/>
              <w:jc w:val="center"/>
              <w:rPr>
                <w:sz w:val="20"/>
                <w:szCs w:val="20"/>
              </w:rPr>
            </w:pPr>
            <w:r>
              <w:rPr>
                <w:sz w:val="20"/>
                <w:szCs w:val="20"/>
              </w:rPr>
              <w:t>(I.R.S. Employer Identification No.)</w:t>
            </w:r>
          </w:p>
        </w:tc>
      </w:tr>
    </w:tbl>
    <w:p w14:paraId="4C733AAC" w14:textId="77777777" w:rsidR="00000000" w:rsidRDefault="00322B34">
      <w:pPr>
        <w:pStyle w:val="a3"/>
        <w:spacing w:before="0" w:beforeAutospacing="0" w:after="0" w:afterAutospacing="0"/>
        <w:divId w:val="1697005639"/>
        <w:rPr>
          <w:sz w:val="20"/>
          <w:szCs w:val="20"/>
        </w:rPr>
      </w:pPr>
      <w:r>
        <w:rPr>
          <w:sz w:val="20"/>
          <w:szCs w:val="20"/>
        </w:rPr>
        <w:t> </w:t>
      </w:r>
    </w:p>
    <w:p w14:paraId="7B9EA608" w14:textId="77777777" w:rsidR="00000000" w:rsidRDefault="00322B34">
      <w:pPr>
        <w:pStyle w:val="a3"/>
        <w:spacing w:before="0" w:beforeAutospacing="0" w:after="0" w:afterAutospacing="0"/>
        <w:jc w:val="center"/>
        <w:divId w:val="1697005639"/>
        <w:rPr>
          <w:sz w:val="20"/>
          <w:szCs w:val="20"/>
        </w:rPr>
      </w:pPr>
      <w:r>
        <w:rPr>
          <w:b/>
          <w:bCs/>
          <w:sz w:val="20"/>
          <w:szCs w:val="20"/>
          <w:u w:val="single"/>
        </w:rPr>
        <w:t>500 North Broadway, Suite 201, Jericho, NY 11753</w:t>
      </w:r>
    </w:p>
    <w:p w14:paraId="10548109" w14:textId="77777777" w:rsidR="00000000" w:rsidRDefault="00322B34">
      <w:pPr>
        <w:pStyle w:val="a3"/>
        <w:spacing w:before="0" w:beforeAutospacing="0" w:after="0" w:afterAutospacing="0"/>
        <w:jc w:val="center"/>
        <w:divId w:val="1697005639"/>
        <w:rPr>
          <w:sz w:val="20"/>
          <w:szCs w:val="20"/>
        </w:rPr>
      </w:pPr>
      <w:r>
        <w:rPr>
          <w:sz w:val="20"/>
          <w:szCs w:val="20"/>
        </w:rPr>
        <w:t>(Address of principal executive offices) (Zip Code)</w:t>
      </w:r>
    </w:p>
    <w:p w14:paraId="14E70120" w14:textId="77777777" w:rsidR="00000000" w:rsidRDefault="00322B34">
      <w:pPr>
        <w:pStyle w:val="a3"/>
        <w:spacing w:before="0" w:beforeAutospacing="0" w:after="0" w:afterAutospacing="0"/>
        <w:divId w:val="1697005639"/>
        <w:rPr>
          <w:sz w:val="20"/>
          <w:szCs w:val="20"/>
        </w:rPr>
      </w:pPr>
      <w:r>
        <w:rPr>
          <w:sz w:val="20"/>
          <w:szCs w:val="20"/>
        </w:rPr>
        <w:t> </w:t>
      </w:r>
    </w:p>
    <w:p w14:paraId="7D22EDB5" w14:textId="77777777" w:rsidR="00000000" w:rsidRDefault="00322B34">
      <w:pPr>
        <w:pStyle w:val="a3"/>
        <w:spacing w:before="0" w:beforeAutospacing="0" w:after="0" w:afterAutospacing="0"/>
        <w:jc w:val="center"/>
        <w:divId w:val="1697005639"/>
        <w:rPr>
          <w:sz w:val="20"/>
          <w:szCs w:val="20"/>
        </w:rPr>
      </w:pPr>
      <w:r>
        <w:rPr>
          <w:b/>
          <w:bCs/>
          <w:sz w:val="20"/>
          <w:szCs w:val="20"/>
          <w:u w:val="single"/>
        </w:rPr>
        <w:t>(516) 869-9000</w:t>
      </w:r>
    </w:p>
    <w:p w14:paraId="400624BA" w14:textId="77777777" w:rsidR="00000000" w:rsidRDefault="00322B34">
      <w:pPr>
        <w:pStyle w:val="a3"/>
        <w:spacing w:before="0" w:beforeAutospacing="0" w:after="0" w:afterAutospacing="0"/>
        <w:jc w:val="center"/>
        <w:divId w:val="1697005639"/>
        <w:rPr>
          <w:sz w:val="20"/>
          <w:szCs w:val="20"/>
        </w:rPr>
      </w:pPr>
      <w:r>
        <w:rPr>
          <w:sz w:val="20"/>
          <w:szCs w:val="20"/>
        </w:rPr>
        <w:t>(Registrant’s telephone number, including area code)</w:t>
      </w:r>
    </w:p>
    <w:p w14:paraId="46BBC3AB" w14:textId="77777777" w:rsidR="00000000" w:rsidRDefault="00322B34">
      <w:pPr>
        <w:pStyle w:val="a3"/>
        <w:spacing w:before="0" w:beforeAutospacing="0" w:after="0" w:afterAutospacing="0"/>
        <w:jc w:val="center"/>
        <w:divId w:val="1697005639"/>
        <w:rPr>
          <w:sz w:val="20"/>
          <w:szCs w:val="20"/>
        </w:rPr>
      </w:pPr>
      <w:r>
        <w:rPr>
          <w:sz w:val="20"/>
          <w:szCs w:val="20"/>
        </w:rPr>
        <w:t> </w:t>
      </w:r>
      <w:r>
        <w:rPr>
          <w:b/>
          <w:bCs/>
          <w:sz w:val="20"/>
          <w:szCs w:val="20"/>
          <w:u w:val="single"/>
        </w:rPr>
        <w:t>N/A</w:t>
      </w:r>
    </w:p>
    <w:p w14:paraId="2C4E57A1" w14:textId="77777777" w:rsidR="00000000" w:rsidRDefault="00322B34">
      <w:pPr>
        <w:pStyle w:val="a3"/>
        <w:spacing w:before="0" w:beforeAutospacing="0" w:after="0" w:afterAutospacing="0"/>
        <w:jc w:val="center"/>
        <w:divId w:val="1697005639"/>
        <w:rPr>
          <w:sz w:val="20"/>
          <w:szCs w:val="20"/>
        </w:rPr>
      </w:pPr>
      <w:r>
        <w:rPr>
          <w:sz w:val="20"/>
          <w:szCs w:val="20"/>
          <w:u w:val="single"/>
        </w:rPr>
        <w:t>(Former name, former address and former fiscal year, if changed since last report)</w:t>
      </w:r>
    </w:p>
    <w:p w14:paraId="54849387" w14:textId="77777777" w:rsidR="00000000" w:rsidRDefault="00322B34">
      <w:pPr>
        <w:pStyle w:val="a3"/>
        <w:spacing w:before="0" w:beforeAutospacing="0" w:after="0" w:afterAutospacing="0"/>
        <w:divId w:val="1697005639"/>
        <w:rPr>
          <w:sz w:val="20"/>
          <w:szCs w:val="20"/>
        </w:rPr>
      </w:pPr>
      <w:r>
        <w:rPr>
          <w:sz w:val="20"/>
          <w:szCs w:val="20"/>
        </w:rPr>
        <w:t> </w:t>
      </w:r>
    </w:p>
    <w:p w14:paraId="7D1C8C4A" w14:textId="77777777" w:rsidR="00000000" w:rsidRDefault="00322B34">
      <w:pPr>
        <w:pStyle w:val="a3"/>
        <w:spacing w:before="0" w:beforeAutospacing="0" w:after="0" w:afterAutospacing="0"/>
        <w:divId w:val="1697005639"/>
        <w:rPr>
          <w:sz w:val="20"/>
          <w:szCs w:val="20"/>
        </w:rPr>
      </w:pPr>
      <w:r>
        <w:rPr>
          <w:sz w:val="20"/>
          <w:szCs w:val="20"/>
        </w:rPr>
        <w:t>Securities registered pursuant to Section 12</w:t>
      </w:r>
      <w:r>
        <w:rPr>
          <w:sz w:val="20"/>
          <w:szCs w:val="20"/>
        </w:rPr>
        <w:t>(b) of the Act:</w:t>
      </w:r>
    </w:p>
    <w:p w14:paraId="4B3EE273" w14:textId="77777777" w:rsidR="00000000" w:rsidRDefault="00322B34">
      <w:pPr>
        <w:pStyle w:val="a3"/>
        <w:spacing w:before="0" w:beforeAutospacing="0" w:after="0" w:afterAutospacing="0"/>
        <w:divId w:val="1697005639"/>
        <w:rPr>
          <w:sz w:val="20"/>
          <w:szCs w:val="20"/>
        </w:rPr>
      </w:pPr>
      <w:r>
        <w:rPr>
          <w:sz w:val="20"/>
          <w:szCs w:val="20"/>
        </w:rPr>
        <w:t> </w:t>
      </w:r>
    </w:p>
    <w:tbl>
      <w:tblPr>
        <w:tblW w:w="4830" w:type="pct"/>
        <w:tblCellSpacing w:w="0" w:type="dxa"/>
        <w:tblCellMar>
          <w:left w:w="0" w:type="dxa"/>
          <w:right w:w="0" w:type="dxa"/>
        </w:tblCellMar>
        <w:tblLook w:val="04A0" w:firstRow="1" w:lastRow="0" w:firstColumn="1" w:lastColumn="0" w:noHBand="0" w:noVBand="1"/>
      </w:tblPr>
      <w:tblGrid>
        <w:gridCol w:w="5324"/>
        <w:gridCol w:w="834"/>
        <w:gridCol w:w="1866"/>
      </w:tblGrid>
      <w:tr w:rsidR="00000000" w14:paraId="095605C2" w14:textId="77777777">
        <w:trPr>
          <w:divId w:val="1697005639"/>
          <w:tblCellSpacing w:w="0" w:type="dxa"/>
        </w:trPr>
        <w:tc>
          <w:tcPr>
            <w:tcW w:w="3320" w:type="pct"/>
            <w:vAlign w:val="center"/>
            <w:hideMark/>
          </w:tcPr>
          <w:p w14:paraId="46824173" w14:textId="77777777" w:rsidR="00000000" w:rsidRDefault="00322B34">
            <w:pPr>
              <w:pStyle w:val="a3"/>
              <w:spacing w:before="0" w:beforeAutospacing="0" w:after="0" w:afterAutospacing="0"/>
              <w:rPr>
                <w:sz w:val="20"/>
                <w:szCs w:val="20"/>
              </w:rPr>
            </w:pPr>
            <w:r>
              <w:rPr>
                <w:sz w:val="20"/>
                <w:szCs w:val="20"/>
                <w:u w:val="single"/>
              </w:rPr>
              <w:t>Title of each class</w:t>
            </w:r>
          </w:p>
        </w:tc>
        <w:tc>
          <w:tcPr>
            <w:tcW w:w="515" w:type="pct"/>
            <w:vAlign w:val="center"/>
            <w:hideMark/>
          </w:tcPr>
          <w:p w14:paraId="0E15B34B" w14:textId="77777777" w:rsidR="00000000" w:rsidRDefault="00322B34">
            <w:pPr>
              <w:pStyle w:val="a3"/>
              <w:spacing w:before="0" w:beforeAutospacing="0" w:after="0" w:afterAutospacing="0"/>
              <w:jc w:val="center"/>
              <w:rPr>
                <w:sz w:val="20"/>
                <w:szCs w:val="20"/>
              </w:rPr>
            </w:pPr>
            <w:r>
              <w:rPr>
                <w:sz w:val="20"/>
                <w:szCs w:val="20"/>
                <w:u w:val="single"/>
              </w:rPr>
              <w:t>Trading</w:t>
            </w:r>
          </w:p>
          <w:p w14:paraId="718C07E7" w14:textId="77777777" w:rsidR="00000000" w:rsidRDefault="00322B34">
            <w:pPr>
              <w:pStyle w:val="a3"/>
              <w:spacing w:before="0" w:beforeAutospacing="0" w:after="0" w:afterAutospacing="0"/>
              <w:jc w:val="center"/>
              <w:rPr>
                <w:sz w:val="20"/>
                <w:szCs w:val="20"/>
              </w:rPr>
            </w:pPr>
            <w:r>
              <w:rPr>
                <w:sz w:val="20"/>
                <w:szCs w:val="20"/>
                <w:u w:val="single"/>
              </w:rPr>
              <w:t>Symbol(s)</w:t>
            </w:r>
          </w:p>
        </w:tc>
        <w:tc>
          <w:tcPr>
            <w:tcW w:w="1165" w:type="pct"/>
            <w:vAlign w:val="center"/>
            <w:hideMark/>
          </w:tcPr>
          <w:p w14:paraId="241829F2" w14:textId="77777777" w:rsidR="00000000" w:rsidRDefault="00322B34">
            <w:pPr>
              <w:pStyle w:val="a3"/>
              <w:spacing w:before="0" w:beforeAutospacing="0" w:after="0" w:afterAutospacing="0"/>
              <w:rPr>
                <w:sz w:val="20"/>
                <w:szCs w:val="20"/>
              </w:rPr>
            </w:pPr>
            <w:r>
              <w:rPr>
                <w:sz w:val="20"/>
                <w:szCs w:val="20"/>
                <w:u w:val="single"/>
              </w:rPr>
              <w:t>Name of each exchange on</w:t>
            </w:r>
          </w:p>
          <w:p w14:paraId="4E0DFAA9" w14:textId="77777777" w:rsidR="00000000" w:rsidRDefault="00322B34">
            <w:pPr>
              <w:pStyle w:val="a3"/>
              <w:spacing w:before="0" w:beforeAutospacing="0" w:after="0" w:afterAutospacing="0"/>
              <w:rPr>
                <w:sz w:val="20"/>
                <w:szCs w:val="20"/>
              </w:rPr>
            </w:pPr>
            <w:r>
              <w:rPr>
                <w:sz w:val="20"/>
                <w:szCs w:val="20"/>
                <w:u w:val="single"/>
              </w:rPr>
              <w:t>which registered</w:t>
            </w:r>
          </w:p>
        </w:tc>
      </w:tr>
      <w:tr w:rsidR="00000000" w14:paraId="3F6403C9" w14:textId="77777777">
        <w:trPr>
          <w:divId w:val="1697005639"/>
          <w:tblCellSpacing w:w="0" w:type="dxa"/>
        </w:trPr>
        <w:tc>
          <w:tcPr>
            <w:tcW w:w="3320" w:type="pct"/>
            <w:vAlign w:val="center"/>
            <w:hideMark/>
          </w:tcPr>
          <w:p w14:paraId="44278738" w14:textId="77777777" w:rsidR="00000000" w:rsidRDefault="00322B34">
            <w:pPr>
              <w:pStyle w:val="a3"/>
              <w:spacing w:before="0" w:beforeAutospacing="0" w:after="0" w:afterAutospacing="0"/>
              <w:rPr>
                <w:sz w:val="20"/>
                <w:szCs w:val="20"/>
              </w:rPr>
            </w:pPr>
            <w:r>
              <w:rPr>
                <w:sz w:val="20"/>
                <w:szCs w:val="20"/>
              </w:rPr>
              <w:t>Common Stock, par value $.01 per share.</w:t>
            </w:r>
          </w:p>
        </w:tc>
        <w:tc>
          <w:tcPr>
            <w:tcW w:w="515" w:type="pct"/>
            <w:vAlign w:val="center"/>
            <w:hideMark/>
          </w:tcPr>
          <w:p w14:paraId="3B7B3B79" w14:textId="77777777" w:rsidR="00000000" w:rsidRDefault="00322B34">
            <w:pPr>
              <w:pStyle w:val="a3"/>
              <w:spacing w:before="0" w:beforeAutospacing="0" w:after="0" w:afterAutospacing="0"/>
              <w:jc w:val="center"/>
              <w:rPr>
                <w:sz w:val="20"/>
                <w:szCs w:val="20"/>
              </w:rPr>
            </w:pPr>
            <w:r>
              <w:rPr>
                <w:sz w:val="20"/>
                <w:szCs w:val="20"/>
              </w:rPr>
              <w:t>KIM</w:t>
            </w:r>
          </w:p>
        </w:tc>
        <w:tc>
          <w:tcPr>
            <w:tcW w:w="1165" w:type="pct"/>
            <w:vAlign w:val="center"/>
            <w:hideMark/>
          </w:tcPr>
          <w:p w14:paraId="01A5596B" w14:textId="77777777" w:rsidR="00000000" w:rsidRDefault="00322B34">
            <w:pPr>
              <w:pStyle w:val="a3"/>
              <w:spacing w:before="0" w:beforeAutospacing="0" w:after="0" w:afterAutospacing="0"/>
              <w:rPr>
                <w:sz w:val="20"/>
                <w:szCs w:val="20"/>
              </w:rPr>
            </w:pPr>
            <w:r>
              <w:rPr>
                <w:sz w:val="20"/>
                <w:szCs w:val="20"/>
              </w:rPr>
              <w:t>New York Stock Exchange</w:t>
            </w:r>
          </w:p>
        </w:tc>
      </w:tr>
      <w:tr w:rsidR="00000000" w14:paraId="0C012AB7" w14:textId="77777777">
        <w:trPr>
          <w:divId w:val="1697005639"/>
          <w:tblCellSpacing w:w="0" w:type="dxa"/>
        </w:trPr>
        <w:tc>
          <w:tcPr>
            <w:tcW w:w="3320" w:type="pct"/>
            <w:vAlign w:val="center"/>
            <w:hideMark/>
          </w:tcPr>
          <w:p w14:paraId="7AF20C69" w14:textId="77777777" w:rsidR="00000000" w:rsidRDefault="00322B34">
            <w:pPr>
              <w:pStyle w:val="a3"/>
              <w:spacing w:before="0" w:beforeAutospacing="0" w:after="0" w:afterAutospacing="0"/>
              <w:rPr>
                <w:sz w:val="20"/>
                <w:szCs w:val="20"/>
              </w:rPr>
            </w:pPr>
            <w:r>
              <w:rPr>
                <w:sz w:val="20"/>
                <w:szCs w:val="20"/>
              </w:rPr>
              <w:t>Depositary Shares, each representing one-thousandth of a share of 5.125% Class L Cumulative Redeemable, Preferred Stock, $1.00 par value per share.</w:t>
            </w:r>
          </w:p>
        </w:tc>
        <w:tc>
          <w:tcPr>
            <w:tcW w:w="515" w:type="pct"/>
            <w:vAlign w:val="center"/>
            <w:hideMark/>
          </w:tcPr>
          <w:p w14:paraId="32D30E02" w14:textId="77777777" w:rsidR="00000000" w:rsidRDefault="00322B34">
            <w:pPr>
              <w:pStyle w:val="a3"/>
              <w:spacing w:before="0" w:beforeAutospacing="0" w:after="0" w:afterAutospacing="0"/>
              <w:jc w:val="center"/>
              <w:rPr>
                <w:sz w:val="20"/>
                <w:szCs w:val="20"/>
              </w:rPr>
            </w:pPr>
            <w:r>
              <w:rPr>
                <w:sz w:val="20"/>
                <w:szCs w:val="20"/>
              </w:rPr>
              <w:t>KIMprL</w:t>
            </w:r>
          </w:p>
        </w:tc>
        <w:tc>
          <w:tcPr>
            <w:tcW w:w="1165" w:type="pct"/>
            <w:vAlign w:val="center"/>
            <w:hideMark/>
          </w:tcPr>
          <w:p w14:paraId="65CD31EC" w14:textId="77777777" w:rsidR="00000000" w:rsidRDefault="00322B34">
            <w:pPr>
              <w:pStyle w:val="a3"/>
              <w:spacing w:before="0" w:beforeAutospacing="0" w:after="0" w:afterAutospacing="0"/>
              <w:rPr>
                <w:sz w:val="20"/>
                <w:szCs w:val="20"/>
              </w:rPr>
            </w:pPr>
            <w:r>
              <w:rPr>
                <w:sz w:val="20"/>
                <w:szCs w:val="20"/>
              </w:rPr>
              <w:t>New York Stock Exchange</w:t>
            </w:r>
          </w:p>
        </w:tc>
      </w:tr>
      <w:tr w:rsidR="00000000" w14:paraId="27AC6688" w14:textId="77777777">
        <w:trPr>
          <w:divId w:val="1697005639"/>
          <w:tblCellSpacing w:w="0" w:type="dxa"/>
        </w:trPr>
        <w:tc>
          <w:tcPr>
            <w:tcW w:w="3320" w:type="pct"/>
            <w:vAlign w:val="center"/>
            <w:hideMark/>
          </w:tcPr>
          <w:p w14:paraId="23D06B40" w14:textId="77777777" w:rsidR="00000000" w:rsidRDefault="00322B34">
            <w:pPr>
              <w:pStyle w:val="a3"/>
              <w:spacing w:before="0" w:beforeAutospacing="0" w:after="0" w:afterAutospacing="0"/>
              <w:rPr>
                <w:sz w:val="20"/>
                <w:szCs w:val="20"/>
              </w:rPr>
            </w:pPr>
            <w:r>
              <w:rPr>
                <w:sz w:val="20"/>
                <w:szCs w:val="20"/>
              </w:rPr>
              <w:t>Depositary Shares, each representing one-thousandth of a share of 5.250% Cla</w:t>
            </w:r>
            <w:r>
              <w:rPr>
                <w:sz w:val="20"/>
                <w:szCs w:val="20"/>
              </w:rPr>
              <w:t>ss M Cumulative Redeemable, Preferred Stock, $1.00 par value per share.</w:t>
            </w:r>
          </w:p>
        </w:tc>
        <w:tc>
          <w:tcPr>
            <w:tcW w:w="515" w:type="pct"/>
            <w:vAlign w:val="center"/>
            <w:hideMark/>
          </w:tcPr>
          <w:p w14:paraId="0DAF35A5" w14:textId="77777777" w:rsidR="00000000" w:rsidRDefault="00322B34">
            <w:pPr>
              <w:pStyle w:val="a3"/>
              <w:spacing w:before="0" w:beforeAutospacing="0" w:after="0" w:afterAutospacing="0"/>
              <w:jc w:val="center"/>
              <w:rPr>
                <w:sz w:val="20"/>
                <w:szCs w:val="20"/>
              </w:rPr>
            </w:pPr>
            <w:r>
              <w:rPr>
                <w:sz w:val="20"/>
                <w:szCs w:val="20"/>
              </w:rPr>
              <w:t>KIMprM</w:t>
            </w:r>
          </w:p>
        </w:tc>
        <w:tc>
          <w:tcPr>
            <w:tcW w:w="1165" w:type="pct"/>
            <w:vAlign w:val="center"/>
            <w:hideMark/>
          </w:tcPr>
          <w:p w14:paraId="15A9A1AF" w14:textId="77777777" w:rsidR="00000000" w:rsidRDefault="00322B34">
            <w:pPr>
              <w:pStyle w:val="a3"/>
              <w:spacing w:before="0" w:beforeAutospacing="0" w:after="0" w:afterAutospacing="0"/>
              <w:rPr>
                <w:sz w:val="20"/>
                <w:szCs w:val="20"/>
              </w:rPr>
            </w:pPr>
            <w:r>
              <w:rPr>
                <w:sz w:val="20"/>
                <w:szCs w:val="20"/>
              </w:rPr>
              <w:t>New York Stock Exchange</w:t>
            </w:r>
          </w:p>
        </w:tc>
      </w:tr>
    </w:tbl>
    <w:p w14:paraId="1BE62C7A" w14:textId="77777777" w:rsidR="00000000" w:rsidRDefault="00322B34">
      <w:pPr>
        <w:pStyle w:val="a3"/>
        <w:spacing w:before="0" w:beforeAutospacing="0" w:after="0" w:afterAutospacing="0"/>
        <w:divId w:val="1697005639"/>
        <w:rPr>
          <w:sz w:val="20"/>
          <w:szCs w:val="20"/>
        </w:rPr>
      </w:pPr>
      <w:r>
        <w:rPr>
          <w:sz w:val="20"/>
          <w:szCs w:val="20"/>
        </w:rPr>
        <w:t> </w:t>
      </w:r>
    </w:p>
    <w:p w14:paraId="6844F938" w14:textId="77777777" w:rsidR="00000000" w:rsidRDefault="00322B34">
      <w:pPr>
        <w:pStyle w:val="a3"/>
        <w:spacing w:before="0" w:beforeAutospacing="0" w:after="0" w:afterAutospacing="0"/>
        <w:ind w:firstLine="360"/>
        <w:divId w:val="1697005639"/>
        <w:rPr>
          <w:sz w:val="20"/>
          <w:szCs w:val="20"/>
        </w:rPr>
      </w:pPr>
      <w:r>
        <w:rPr>
          <w:sz w:val="20"/>
          <w:szCs w:val="20"/>
        </w:rPr>
        <w:t xml:space="preserve">Indicate by check mark whether the registrant (1) has filed all reports required to be filed by Section 13 or 15(d) of the Securities Exchange Act of </w:t>
      </w:r>
      <w:r>
        <w:rPr>
          <w:sz w:val="20"/>
          <w:szCs w:val="20"/>
        </w:rPr>
        <w:t xml:space="preserve">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3919BC53" w14:textId="77777777" w:rsidR="00000000" w:rsidRDefault="00322B34">
      <w:pPr>
        <w:pStyle w:val="a3"/>
        <w:spacing w:before="0" w:beforeAutospacing="0" w:after="0" w:afterAutospacing="0"/>
        <w:divId w:val="1697005639"/>
        <w:rPr>
          <w:sz w:val="20"/>
          <w:szCs w:val="20"/>
        </w:rPr>
      </w:pPr>
      <w:r>
        <w:rPr>
          <w:sz w:val="20"/>
          <w:szCs w:val="20"/>
        </w:rPr>
        <w:t> </w:t>
      </w:r>
    </w:p>
    <w:p w14:paraId="2B5A93F8" w14:textId="77777777" w:rsidR="00000000" w:rsidRDefault="00322B34">
      <w:pPr>
        <w:pStyle w:val="a3"/>
        <w:spacing w:before="0" w:beforeAutospacing="0" w:after="0" w:afterAutospacing="0"/>
        <w:ind w:firstLine="360"/>
        <w:divId w:val="1697005639"/>
        <w:rPr>
          <w:sz w:val="20"/>
          <w:szCs w:val="20"/>
        </w:rPr>
      </w:pPr>
      <w:r>
        <w:rPr>
          <w:sz w:val="20"/>
          <w:szCs w:val="20"/>
        </w:rPr>
        <w:t>Indicate by check mark whether the registran</w:t>
      </w:r>
      <w:r>
        <w:rPr>
          <w:sz w:val="20"/>
          <w:szCs w:val="20"/>
        </w:rPr>
        <w:t xml:space="preserve">t has submitted electronically, every Interactive Data File required to be submitted pursuant to Rule 405 of Regulation S-T (§232.405 of this chapter) during </w:t>
      </w:r>
      <w:r>
        <w:rPr>
          <w:sz w:val="20"/>
          <w:szCs w:val="20"/>
        </w:rPr>
        <w:lastRenderedPageBreak/>
        <w:t>the preceding 12 months (or for such shorter period that the registrant was required to submit suc</w:t>
      </w:r>
      <w:r>
        <w:rPr>
          <w:sz w:val="20"/>
          <w:szCs w:val="20"/>
        </w:rPr>
        <w:t xml:space="preserve">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CEB6670" w14:textId="77777777" w:rsidR="00000000" w:rsidRDefault="00322B34">
      <w:pPr>
        <w:pStyle w:val="a3"/>
        <w:spacing w:before="0" w:beforeAutospacing="0" w:after="0" w:afterAutospacing="0"/>
        <w:divId w:val="1697005639"/>
        <w:rPr>
          <w:sz w:val="20"/>
          <w:szCs w:val="20"/>
        </w:rPr>
      </w:pPr>
      <w:r>
        <w:rPr>
          <w:sz w:val="20"/>
          <w:szCs w:val="20"/>
        </w:rPr>
        <w:t> </w:t>
      </w:r>
    </w:p>
    <w:p w14:paraId="7DC5AC41" w14:textId="77777777" w:rsidR="00000000" w:rsidRDefault="00322B34">
      <w:pPr>
        <w:pStyle w:val="a3"/>
        <w:spacing w:before="0" w:beforeAutospacing="0" w:after="0" w:afterAutospacing="0"/>
        <w:ind w:firstLine="360"/>
        <w:divId w:val="1697005639"/>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accelerated fil</w:t>
      </w:r>
      <w:r>
        <w:rPr>
          <w:sz w:val="20"/>
          <w:szCs w:val="20"/>
        </w:rPr>
        <w:t>er,” “accelerated filer,” “smaller reporting company,” and “emerging growth company” in Rule 12-b-2 of the Exchange Act.</w:t>
      </w:r>
    </w:p>
    <w:p w14:paraId="236E2417" w14:textId="77777777" w:rsidR="00000000" w:rsidRDefault="00322B34">
      <w:pPr>
        <w:pStyle w:val="a3"/>
        <w:spacing w:before="0" w:beforeAutospacing="0" w:after="0" w:afterAutospacing="0"/>
        <w:divId w:val="1697005639"/>
        <w:rPr>
          <w:sz w:val="20"/>
          <w:szCs w:val="20"/>
        </w:rPr>
      </w:pPr>
      <w:r>
        <w:rPr>
          <w:sz w:val="20"/>
          <w:szCs w:val="20"/>
        </w:rPr>
        <w:t> </w:t>
      </w:r>
    </w:p>
    <w:tbl>
      <w:tblPr>
        <w:tblW w:w="4835" w:type="pct"/>
        <w:tblCellSpacing w:w="0" w:type="dxa"/>
        <w:tblCellMar>
          <w:left w:w="0" w:type="dxa"/>
          <w:right w:w="0" w:type="dxa"/>
        </w:tblCellMar>
        <w:tblLook w:val="04A0" w:firstRow="1" w:lastRow="0" w:firstColumn="1" w:lastColumn="0" w:noHBand="0" w:noVBand="1"/>
      </w:tblPr>
      <w:tblGrid>
        <w:gridCol w:w="2131"/>
        <w:gridCol w:w="966"/>
        <w:gridCol w:w="2026"/>
        <w:gridCol w:w="209"/>
        <w:gridCol w:w="691"/>
        <w:gridCol w:w="1664"/>
        <w:gridCol w:w="345"/>
      </w:tblGrid>
      <w:tr w:rsidR="00000000" w14:paraId="51A1D46B" w14:textId="77777777">
        <w:trPr>
          <w:divId w:val="1697005639"/>
          <w:tblCellSpacing w:w="0" w:type="dxa"/>
        </w:trPr>
        <w:tc>
          <w:tcPr>
            <w:tcW w:w="1325" w:type="pct"/>
            <w:vAlign w:val="bottom"/>
            <w:hideMark/>
          </w:tcPr>
          <w:p w14:paraId="536B3E2D" w14:textId="77777777" w:rsidR="00000000" w:rsidRDefault="00322B34">
            <w:pPr>
              <w:pStyle w:val="a3"/>
              <w:spacing w:before="0" w:beforeAutospacing="0" w:after="0" w:afterAutospacing="0"/>
              <w:rPr>
                <w:sz w:val="20"/>
                <w:szCs w:val="20"/>
              </w:rPr>
            </w:pPr>
            <w:r>
              <w:rPr>
                <w:sz w:val="20"/>
                <w:szCs w:val="20"/>
              </w:rPr>
              <w:t>Large accelerated filer</w:t>
            </w:r>
          </w:p>
        </w:tc>
        <w:tc>
          <w:tcPr>
            <w:tcW w:w="600" w:type="pct"/>
            <w:vAlign w:val="bottom"/>
            <w:hideMark/>
          </w:tcPr>
          <w:p w14:paraId="543D2A8D" w14:textId="77777777" w:rsidR="00000000" w:rsidRDefault="00322B34">
            <w:pPr>
              <w:pStyle w:val="a3"/>
              <w:spacing w:before="0" w:beforeAutospacing="0" w:after="0" w:afterAutospacing="0"/>
              <w:rPr>
                <w:sz w:val="20"/>
                <w:szCs w:val="20"/>
              </w:rPr>
            </w:pPr>
            <w:r>
              <w:rPr>
                <w:rFonts w:ascii="Segoe UI Symbol" w:hAnsi="Segoe UI Symbol" w:cs="Segoe UI Symbol"/>
                <w:sz w:val="20"/>
                <w:szCs w:val="20"/>
              </w:rPr>
              <w:t>☒</w:t>
            </w:r>
          </w:p>
        </w:tc>
        <w:tc>
          <w:tcPr>
            <w:tcW w:w="1260" w:type="pct"/>
            <w:vAlign w:val="bottom"/>
            <w:hideMark/>
          </w:tcPr>
          <w:p w14:paraId="499633C5" w14:textId="77777777" w:rsidR="00000000" w:rsidRDefault="00322B34">
            <w:pPr>
              <w:pStyle w:val="a3"/>
              <w:spacing w:before="0" w:beforeAutospacing="0" w:after="0" w:afterAutospacing="0"/>
              <w:rPr>
                <w:sz w:val="20"/>
                <w:szCs w:val="20"/>
              </w:rPr>
            </w:pPr>
            <w:r>
              <w:rPr>
                <w:sz w:val="20"/>
                <w:szCs w:val="20"/>
              </w:rPr>
              <w:t>Accelerated filer</w:t>
            </w:r>
          </w:p>
        </w:tc>
        <w:tc>
          <w:tcPr>
            <w:tcW w:w="130" w:type="pct"/>
            <w:vAlign w:val="bottom"/>
            <w:hideMark/>
          </w:tcPr>
          <w:p w14:paraId="224CF086" w14:textId="77777777" w:rsidR="00000000" w:rsidRDefault="00322B34">
            <w:pPr>
              <w:pStyle w:val="a3"/>
              <w:spacing w:before="0" w:beforeAutospacing="0" w:after="0" w:afterAutospacing="0"/>
              <w:rPr>
                <w:sz w:val="20"/>
                <w:szCs w:val="20"/>
              </w:rPr>
            </w:pPr>
            <w:r>
              <w:rPr>
                <w:rFonts w:ascii="Segoe UI Symbol" w:hAnsi="Segoe UI Symbol" w:cs="Segoe UI Symbol"/>
                <w:sz w:val="20"/>
                <w:szCs w:val="20"/>
              </w:rPr>
              <w:t>☐</w:t>
            </w:r>
          </w:p>
        </w:tc>
        <w:tc>
          <w:tcPr>
            <w:tcW w:w="430" w:type="pct"/>
            <w:hideMark/>
          </w:tcPr>
          <w:p w14:paraId="7CB403FE" w14:textId="77777777" w:rsidR="00000000" w:rsidRDefault="00322B34">
            <w:pPr>
              <w:rPr>
                <w:rFonts w:eastAsia="Times New Roman"/>
                <w:sz w:val="20"/>
                <w:szCs w:val="20"/>
              </w:rPr>
            </w:pPr>
            <w:r>
              <w:rPr>
                <w:rFonts w:eastAsia="Times New Roman"/>
                <w:sz w:val="20"/>
                <w:szCs w:val="20"/>
              </w:rPr>
              <w:t> </w:t>
            </w:r>
          </w:p>
        </w:tc>
        <w:tc>
          <w:tcPr>
            <w:tcW w:w="1035" w:type="pct"/>
            <w:hideMark/>
          </w:tcPr>
          <w:p w14:paraId="210A13C6" w14:textId="77777777" w:rsidR="00000000" w:rsidRDefault="00322B34">
            <w:pPr>
              <w:pStyle w:val="a3"/>
              <w:spacing w:before="0" w:beforeAutospacing="0" w:after="0" w:afterAutospacing="0"/>
              <w:rPr>
                <w:sz w:val="20"/>
                <w:szCs w:val="20"/>
              </w:rPr>
            </w:pPr>
            <w:r>
              <w:rPr>
                <w:sz w:val="20"/>
                <w:szCs w:val="20"/>
              </w:rPr>
              <w:t>Non-accelerated filer</w:t>
            </w:r>
          </w:p>
        </w:tc>
        <w:tc>
          <w:tcPr>
            <w:tcW w:w="215" w:type="pct"/>
            <w:hideMark/>
          </w:tcPr>
          <w:p w14:paraId="1AA54702" w14:textId="77777777" w:rsidR="00000000" w:rsidRDefault="00322B34">
            <w:pPr>
              <w:pStyle w:val="a3"/>
              <w:spacing w:before="0" w:beforeAutospacing="0" w:after="0" w:afterAutospacing="0"/>
              <w:jc w:val="right"/>
              <w:rPr>
                <w:sz w:val="20"/>
                <w:szCs w:val="20"/>
              </w:rPr>
            </w:pPr>
            <w:r>
              <w:rPr>
                <w:rFonts w:ascii="Segoe UI Symbol" w:hAnsi="Segoe UI Symbol" w:cs="Segoe UI Symbol"/>
                <w:sz w:val="20"/>
                <w:szCs w:val="20"/>
              </w:rPr>
              <w:t>☐</w:t>
            </w:r>
          </w:p>
        </w:tc>
      </w:tr>
      <w:tr w:rsidR="00000000" w14:paraId="51238469" w14:textId="77777777">
        <w:trPr>
          <w:divId w:val="1697005639"/>
          <w:tblCellSpacing w:w="0" w:type="dxa"/>
        </w:trPr>
        <w:tc>
          <w:tcPr>
            <w:tcW w:w="1325" w:type="pct"/>
            <w:vAlign w:val="bottom"/>
            <w:hideMark/>
          </w:tcPr>
          <w:p w14:paraId="485EEBA8" w14:textId="77777777" w:rsidR="00000000" w:rsidRDefault="00322B34">
            <w:pPr>
              <w:pStyle w:val="a3"/>
              <w:spacing w:before="0" w:beforeAutospacing="0" w:after="0" w:afterAutospacing="0"/>
              <w:rPr>
                <w:sz w:val="20"/>
                <w:szCs w:val="20"/>
              </w:rPr>
            </w:pPr>
            <w:r>
              <w:rPr>
                <w:sz w:val="20"/>
                <w:szCs w:val="20"/>
              </w:rPr>
              <w:t>Smaller reporting company</w:t>
            </w:r>
          </w:p>
        </w:tc>
        <w:tc>
          <w:tcPr>
            <w:tcW w:w="600" w:type="pct"/>
            <w:vAlign w:val="bottom"/>
            <w:hideMark/>
          </w:tcPr>
          <w:p w14:paraId="7C835D40" w14:textId="77777777" w:rsidR="00000000" w:rsidRDefault="00322B34">
            <w:pPr>
              <w:pStyle w:val="a3"/>
              <w:spacing w:before="0" w:beforeAutospacing="0" w:after="0" w:afterAutospacing="0"/>
              <w:rPr>
                <w:sz w:val="20"/>
                <w:szCs w:val="20"/>
              </w:rPr>
            </w:pPr>
            <w:r>
              <w:rPr>
                <w:rFonts w:ascii="Segoe UI Symbol" w:hAnsi="Segoe UI Symbol" w:cs="Segoe UI Symbol"/>
                <w:sz w:val="20"/>
                <w:szCs w:val="20"/>
              </w:rPr>
              <w:t>☐</w:t>
            </w:r>
          </w:p>
        </w:tc>
        <w:tc>
          <w:tcPr>
            <w:tcW w:w="1260" w:type="pct"/>
            <w:vAlign w:val="bottom"/>
            <w:hideMark/>
          </w:tcPr>
          <w:p w14:paraId="569D5C8E" w14:textId="77777777" w:rsidR="00000000" w:rsidRDefault="00322B34">
            <w:pPr>
              <w:pStyle w:val="a3"/>
              <w:spacing w:before="0" w:beforeAutospacing="0" w:after="0" w:afterAutospacing="0"/>
              <w:rPr>
                <w:sz w:val="20"/>
                <w:szCs w:val="20"/>
              </w:rPr>
            </w:pPr>
            <w:r>
              <w:rPr>
                <w:sz w:val="20"/>
                <w:szCs w:val="20"/>
              </w:rPr>
              <w:t>Emerging growth company</w:t>
            </w:r>
          </w:p>
        </w:tc>
        <w:tc>
          <w:tcPr>
            <w:tcW w:w="130" w:type="pct"/>
            <w:vAlign w:val="bottom"/>
            <w:hideMark/>
          </w:tcPr>
          <w:p w14:paraId="6DF49A9C" w14:textId="77777777" w:rsidR="00000000" w:rsidRDefault="00322B34">
            <w:pPr>
              <w:pStyle w:val="a3"/>
              <w:spacing w:before="0" w:beforeAutospacing="0" w:after="0" w:afterAutospacing="0"/>
              <w:rPr>
                <w:sz w:val="20"/>
                <w:szCs w:val="20"/>
              </w:rPr>
            </w:pPr>
            <w:r>
              <w:rPr>
                <w:rFonts w:ascii="Segoe UI Symbol" w:hAnsi="Segoe UI Symbol" w:cs="Segoe UI Symbol"/>
                <w:sz w:val="20"/>
                <w:szCs w:val="20"/>
              </w:rPr>
              <w:t>☐</w:t>
            </w:r>
          </w:p>
        </w:tc>
        <w:tc>
          <w:tcPr>
            <w:tcW w:w="430" w:type="pct"/>
            <w:hideMark/>
          </w:tcPr>
          <w:p w14:paraId="5BDC4982" w14:textId="77777777" w:rsidR="00000000" w:rsidRDefault="00322B34">
            <w:pPr>
              <w:rPr>
                <w:rFonts w:eastAsia="Times New Roman"/>
                <w:sz w:val="20"/>
                <w:szCs w:val="20"/>
              </w:rPr>
            </w:pPr>
            <w:r>
              <w:rPr>
                <w:rFonts w:eastAsia="Times New Roman"/>
                <w:sz w:val="20"/>
                <w:szCs w:val="20"/>
              </w:rPr>
              <w:t> </w:t>
            </w:r>
          </w:p>
        </w:tc>
        <w:tc>
          <w:tcPr>
            <w:tcW w:w="1035" w:type="pct"/>
            <w:hideMark/>
          </w:tcPr>
          <w:p w14:paraId="2CFCDD5D" w14:textId="77777777" w:rsidR="00000000" w:rsidRDefault="00322B34">
            <w:pPr>
              <w:rPr>
                <w:rFonts w:eastAsia="Times New Roman"/>
                <w:sz w:val="20"/>
                <w:szCs w:val="20"/>
              </w:rPr>
            </w:pPr>
            <w:r>
              <w:rPr>
                <w:rFonts w:eastAsia="Times New Roman"/>
                <w:sz w:val="20"/>
                <w:szCs w:val="20"/>
              </w:rPr>
              <w:t> </w:t>
            </w:r>
          </w:p>
        </w:tc>
        <w:tc>
          <w:tcPr>
            <w:tcW w:w="215" w:type="pct"/>
            <w:hideMark/>
          </w:tcPr>
          <w:p w14:paraId="7BC50A27" w14:textId="77777777" w:rsidR="00000000" w:rsidRDefault="00322B34">
            <w:pPr>
              <w:rPr>
                <w:rFonts w:eastAsia="Times New Roman"/>
                <w:sz w:val="20"/>
                <w:szCs w:val="20"/>
              </w:rPr>
            </w:pPr>
            <w:r>
              <w:rPr>
                <w:rFonts w:eastAsia="Times New Roman"/>
                <w:sz w:val="20"/>
                <w:szCs w:val="20"/>
              </w:rPr>
              <w:t> </w:t>
            </w:r>
          </w:p>
        </w:tc>
      </w:tr>
    </w:tbl>
    <w:p w14:paraId="5A9B8EED" w14:textId="77777777" w:rsidR="00000000" w:rsidRDefault="00322B34">
      <w:pPr>
        <w:pStyle w:val="a3"/>
        <w:spacing w:before="0" w:beforeAutospacing="0" w:after="0" w:afterAutospacing="0"/>
        <w:ind w:firstLine="360"/>
        <w:divId w:val="1697005639"/>
        <w:rPr>
          <w:sz w:val="20"/>
          <w:szCs w:val="20"/>
        </w:rPr>
      </w:pPr>
      <w:r>
        <w:rPr>
          <w:sz w:val="20"/>
          <w:szCs w:val="20"/>
        </w:rPr>
        <w:t> </w:t>
      </w:r>
    </w:p>
    <w:p w14:paraId="1CC711B0" w14:textId="77777777" w:rsidR="00000000" w:rsidRDefault="00322B34">
      <w:pPr>
        <w:pStyle w:val="a3"/>
        <w:spacing w:before="0" w:beforeAutospacing="0" w:after="0" w:afterAutospacing="0"/>
        <w:ind w:firstLine="360"/>
        <w:divId w:val="1697005639"/>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w:t>
      </w:r>
      <w:r>
        <w:rPr>
          <w:sz w:val="20"/>
          <w:szCs w:val="20"/>
        </w:rPr>
        <w:t xml:space="preserve">on 13(a) of the Exchange Act. </w:t>
      </w:r>
      <w:r>
        <w:rPr>
          <w:rFonts w:ascii="Segoe UI Symbol" w:hAnsi="Segoe UI Symbol" w:cs="Segoe UI Symbol"/>
          <w:sz w:val="20"/>
          <w:szCs w:val="20"/>
        </w:rPr>
        <w:t>☐</w:t>
      </w:r>
    </w:p>
    <w:p w14:paraId="1BFE3C85" w14:textId="77777777" w:rsidR="00000000" w:rsidRDefault="00322B34">
      <w:pPr>
        <w:pStyle w:val="a3"/>
        <w:spacing w:before="0" w:beforeAutospacing="0" w:after="0" w:afterAutospacing="0"/>
        <w:divId w:val="1697005639"/>
        <w:rPr>
          <w:sz w:val="20"/>
          <w:szCs w:val="20"/>
        </w:rPr>
      </w:pPr>
      <w:r>
        <w:rPr>
          <w:sz w:val="20"/>
          <w:szCs w:val="20"/>
        </w:rPr>
        <w:t> </w:t>
      </w:r>
    </w:p>
    <w:p w14:paraId="03647AE9" w14:textId="77777777" w:rsidR="00000000" w:rsidRDefault="00322B34">
      <w:pPr>
        <w:pStyle w:val="a3"/>
        <w:spacing w:before="0" w:beforeAutospacing="0" w:after="0" w:afterAutospacing="0"/>
        <w:ind w:firstLine="360"/>
        <w:divId w:val="1697005639"/>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0CBDFC9" w14:textId="77777777" w:rsidR="00000000" w:rsidRDefault="00322B34">
      <w:pPr>
        <w:pStyle w:val="a3"/>
        <w:spacing w:before="0" w:beforeAutospacing="0" w:after="0" w:afterAutospacing="0"/>
        <w:ind w:firstLine="360"/>
        <w:divId w:val="1697005639"/>
        <w:rPr>
          <w:sz w:val="20"/>
          <w:szCs w:val="20"/>
        </w:rPr>
      </w:pPr>
      <w:r>
        <w:rPr>
          <w:sz w:val="20"/>
          <w:szCs w:val="20"/>
        </w:rPr>
        <w:t> </w:t>
      </w:r>
    </w:p>
    <w:p w14:paraId="68550320" w14:textId="77777777" w:rsidR="00000000" w:rsidRDefault="00322B34">
      <w:pPr>
        <w:pStyle w:val="a3"/>
        <w:spacing w:before="0" w:beforeAutospacing="0" w:after="0" w:afterAutospacing="0"/>
        <w:ind w:firstLine="360"/>
        <w:jc w:val="center"/>
        <w:divId w:val="1697005639"/>
        <w:rPr>
          <w:sz w:val="20"/>
          <w:szCs w:val="20"/>
        </w:rPr>
      </w:pPr>
      <w:r>
        <w:rPr>
          <w:sz w:val="20"/>
          <w:szCs w:val="20"/>
        </w:rPr>
        <w:t>As of July 29, 2020, the registrant had 432,503,634 shares of common stock outstanding.</w:t>
      </w:r>
    </w:p>
    <w:p w14:paraId="2065CC0D" w14:textId="77777777" w:rsidR="00000000" w:rsidRDefault="00322B34">
      <w:pPr>
        <w:pStyle w:val="a3"/>
        <w:spacing w:before="0" w:beforeAutospacing="0" w:after="0" w:afterAutospacing="0"/>
        <w:ind w:firstLine="360"/>
        <w:jc w:val="center"/>
        <w:divId w:val="1697005639"/>
        <w:rPr>
          <w:sz w:val="20"/>
          <w:szCs w:val="20"/>
        </w:rPr>
      </w:pPr>
      <w:r>
        <w:rPr>
          <w:sz w:val="20"/>
          <w:szCs w:val="20"/>
        </w:rPr>
        <w:t> </w:t>
      </w:r>
    </w:p>
    <w:p w14:paraId="7C51D800" w14:textId="77777777" w:rsidR="00000000" w:rsidRDefault="00322B34">
      <w:pPr>
        <w:spacing w:before="60" w:after="60"/>
        <w:divId w:val="1697005639"/>
        <w:rPr>
          <w:rFonts w:eastAsia="Times New Roman"/>
          <w:sz w:val="20"/>
          <w:szCs w:val="20"/>
        </w:rPr>
      </w:pPr>
      <w:r>
        <w:rPr>
          <w:rFonts w:eastAsia="Times New Roman"/>
          <w:sz w:val="20"/>
          <w:szCs w:val="20"/>
        </w:rPr>
        <w:pict w14:anchorId="2292C1E2">
          <v:rect id="_x0000_i1027" style="width:415.3pt;height:.75pt" o:hralign="center" o:hrstd="t" o:hrnoshade="t" o:hr="t" fillcolor="black" stroked="f"/>
        </w:pict>
      </w:r>
    </w:p>
    <w:p w14:paraId="6AD86A90" w14:textId="77777777" w:rsidR="00000000" w:rsidRDefault="00322B34">
      <w:pPr>
        <w:spacing w:after="60"/>
        <w:divId w:val="1697005639"/>
        <w:rPr>
          <w:rFonts w:eastAsia="Times New Roman"/>
          <w:sz w:val="20"/>
          <w:szCs w:val="20"/>
        </w:rPr>
      </w:pPr>
      <w:r>
        <w:rPr>
          <w:rFonts w:eastAsia="Times New Roman"/>
          <w:sz w:val="20"/>
          <w:szCs w:val="20"/>
        </w:rPr>
        <w:pict w14:anchorId="7324BB2A">
          <v:rect id="_x0000_i1028" style="width:415.3pt;height:2.25pt" o:hralign="center" o:hrstd="t" o:hrnoshade="t" o:hr="t" fillcolor="black" stroked="f"/>
        </w:pict>
      </w:r>
    </w:p>
    <w:p w14:paraId="0B7D0C2E" w14:textId="77777777" w:rsidR="00000000" w:rsidRDefault="00322B34">
      <w:pPr>
        <w:pStyle w:val="a3"/>
        <w:spacing w:before="0" w:beforeAutospacing="0" w:after="0" w:afterAutospacing="0"/>
        <w:ind w:firstLine="360"/>
        <w:jc w:val="center"/>
        <w:divId w:val="1697005639"/>
        <w:rPr>
          <w:sz w:val="20"/>
          <w:szCs w:val="20"/>
        </w:rPr>
      </w:pPr>
      <w:r>
        <w:rPr>
          <w:sz w:val="20"/>
          <w:szCs w:val="20"/>
        </w:rPr>
        <w:t> </w:t>
      </w:r>
    </w:p>
    <w:p w14:paraId="5748E98C" w14:textId="77777777" w:rsidR="00000000" w:rsidRDefault="00322B34">
      <w:pPr>
        <w:jc w:val="center"/>
        <w:divId w:val="171838225"/>
        <w:rPr>
          <w:rFonts w:eastAsia="Times New Roman"/>
          <w:sz w:val="20"/>
          <w:szCs w:val="20"/>
        </w:rPr>
      </w:pPr>
      <w:r>
        <w:rPr>
          <w:rFonts w:eastAsia="Times New Roman"/>
          <w:sz w:val="20"/>
          <w:szCs w:val="20"/>
        </w:rPr>
        <w:t xml:space="preserve">  </w:t>
      </w:r>
    </w:p>
    <w:p w14:paraId="2334797A" w14:textId="77777777" w:rsidR="00000000" w:rsidRDefault="00322B34">
      <w:pPr>
        <w:divId w:val="1370959648"/>
        <w:rPr>
          <w:rFonts w:eastAsia="Times New Roman"/>
          <w:sz w:val="20"/>
          <w:szCs w:val="20"/>
        </w:rPr>
      </w:pPr>
      <w:r>
        <w:rPr>
          <w:rFonts w:eastAsia="Times New Roman"/>
          <w:sz w:val="20"/>
          <w:szCs w:val="20"/>
        </w:rPr>
        <w:pict w14:anchorId="632D1FB5">
          <v:rect id="_x0000_i1029" style="width:415.3pt;height:1.5pt" o:hralign="center" o:hrstd="t" o:hrnoshade="t" o:hr="t" fillcolor="black" stroked="f"/>
        </w:pict>
      </w:r>
    </w:p>
    <w:p w14:paraId="2F24FA17" w14:textId="77777777" w:rsidR="00000000" w:rsidRDefault="00322B34">
      <w:pPr>
        <w:divId w:val="85827601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89B03BF" w14:textId="77777777" w:rsidR="00000000" w:rsidRDefault="00322B34">
      <w:pPr>
        <w:divId w:val="2115055200"/>
        <w:rPr>
          <w:rFonts w:eastAsia="Times New Roman"/>
          <w:sz w:val="20"/>
          <w:szCs w:val="20"/>
        </w:rPr>
      </w:pPr>
      <w:r>
        <w:rPr>
          <w:rFonts w:eastAsia="Times New Roman"/>
          <w:sz w:val="20"/>
          <w:szCs w:val="20"/>
        </w:rPr>
        <w:t xml:space="preserve">  </w:t>
      </w:r>
    </w:p>
    <w:p w14:paraId="2DEB837D" w14:textId="77777777" w:rsidR="00000000" w:rsidRDefault="00322B34">
      <w:pPr>
        <w:pStyle w:val="a3"/>
        <w:spacing w:before="0" w:beforeAutospacing="0" w:after="0" w:afterAutospacing="0"/>
        <w:rPr>
          <w:sz w:val="20"/>
          <w:szCs w:val="20"/>
        </w:rPr>
      </w:pPr>
      <w:r>
        <w:rPr>
          <w:sz w:val="20"/>
          <w:szCs w:val="20"/>
        </w:rPr>
        <w:t> </w:t>
      </w:r>
    </w:p>
    <w:p w14:paraId="3F2028BA" w14:textId="77777777" w:rsidR="00000000" w:rsidRDefault="00322B34">
      <w:pPr>
        <w:divId w:val="964963560"/>
        <w:rPr>
          <w:rFonts w:eastAsia="Times New Roman"/>
          <w:sz w:val="20"/>
          <w:szCs w:val="20"/>
        </w:rPr>
      </w:pPr>
      <w:r>
        <w:rPr>
          <w:rFonts w:eastAsia="Times New Roman"/>
          <w:sz w:val="20"/>
          <w:szCs w:val="20"/>
        </w:rPr>
        <w:t xml:space="preserve">  </w:t>
      </w:r>
    </w:p>
    <w:p w14:paraId="4FC74B00" w14:textId="77777777" w:rsidR="00000000" w:rsidRDefault="00322B34">
      <w:pPr>
        <w:pStyle w:val="a3"/>
        <w:spacing w:before="0" w:beforeAutospacing="0" w:after="0" w:afterAutospacing="0"/>
        <w:ind w:left="144" w:right="144"/>
        <w:jc w:val="center"/>
        <w:rPr>
          <w:sz w:val="20"/>
          <w:szCs w:val="20"/>
        </w:rPr>
      </w:pPr>
      <w:r>
        <w:rPr>
          <w:sz w:val="20"/>
          <w:szCs w:val="20"/>
        </w:rPr>
        <w:t>PART I - FINANCIAL INFORMATION</w:t>
      </w:r>
    </w:p>
    <w:p w14:paraId="2B951A44" w14:textId="77777777" w:rsidR="00000000" w:rsidRDefault="00322B34">
      <w:pPr>
        <w:pStyle w:val="a3"/>
        <w:spacing w:before="0" w:beforeAutospacing="0" w:after="0" w:afterAutospacing="0"/>
        <w:ind w:left="144" w:right="144"/>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56"/>
        <w:gridCol w:w="7193"/>
        <w:gridCol w:w="557"/>
      </w:tblGrid>
      <w:tr w:rsidR="00000000" w14:paraId="5E5C133C" w14:textId="77777777">
        <w:trPr>
          <w:tblCellSpacing w:w="0" w:type="dxa"/>
        </w:trPr>
        <w:tc>
          <w:tcPr>
            <w:tcW w:w="335" w:type="pct"/>
            <w:hideMark/>
          </w:tcPr>
          <w:p w14:paraId="121D5F53" w14:textId="77777777" w:rsidR="00000000" w:rsidRDefault="00322B34">
            <w:pPr>
              <w:pStyle w:val="a3"/>
              <w:spacing w:before="0" w:beforeAutospacing="0" w:after="0" w:afterAutospacing="0"/>
              <w:rPr>
                <w:sz w:val="20"/>
                <w:szCs w:val="20"/>
              </w:rPr>
            </w:pPr>
            <w:r>
              <w:rPr>
                <w:sz w:val="20"/>
                <w:szCs w:val="20"/>
              </w:rPr>
              <w:t>Item 1.</w:t>
            </w:r>
          </w:p>
        </w:tc>
        <w:tc>
          <w:tcPr>
            <w:tcW w:w="4155" w:type="pct"/>
            <w:hideMark/>
          </w:tcPr>
          <w:p w14:paraId="0BDEA49C" w14:textId="77777777" w:rsidR="00000000" w:rsidRDefault="00322B34">
            <w:pPr>
              <w:pStyle w:val="a3"/>
              <w:spacing w:before="0" w:beforeAutospacing="0" w:after="0" w:afterAutospacing="0"/>
              <w:rPr>
                <w:sz w:val="20"/>
                <w:szCs w:val="20"/>
              </w:rPr>
            </w:pPr>
            <w:hyperlink w:anchor="balance" w:history="1">
              <w:r>
                <w:rPr>
                  <w:rStyle w:val="a4"/>
                  <w:sz w:val="20"/>
                  <w:szCs w:val="20"/>
                </w:rPr>
                <w:t>Financial Statements.</w:t>
              </w:r>
            </w:hyperlink>
          </w:p>
        </w:tc>
        <w:tc>
          <w:tcPr>
            <w:tcW w:w="320" w:type="pct"/>
            <w:hideMark/>
          </w:tcPr>
          <w:p w14:paraId="775DA3A6" w14:textId="77777777" w:rsidR="00000000" w:rsidRDefault="00322B34">
            <w:pPr>
              <w:pStyle w:val="a3"/>
              <w:spacing w:before="0" w:beforeAutospacing="0" w:after="0" w:afterAutospacing="0"/>
              <w:rPr>
                <w:sz w:val="20"/>
                <w:szCs w:val="20"/>
              </w:rPr>
            </w:pPr>
            <w:r>
              <w:rPr>
                <w:sz w:val="20"/>
                <w:szCs w:val="20"/>
              </w:rPr>
              <w:t>  </w:t>
            </w:r>
          </w:p>
        </w:tc>
      </w:tr>
      <w:tr w:rsidR="00000000" w14:paraId="25017A48" w14:textId="77777777">
        <w:trPr>
          <w:tblCellSpacing w:w="0" w:type="dxa"/>
        </w:trPr>
        <w:tc>
          <w:tcPr>
            <w:tcW w:w="335" w:type="pct"/>
            <w:hideMark/>
          </w:tcPr>
          <w:p w14:paraId="0D5ACF6C" w14:textId="77777777" w:rsidR="00000000" w:rsidRDefault="00322B34">
            <w:pPr>
              <w:pStyle w:val="a3"/>
              <w:spacing w:before="0" w:beforeAutospacing="0" w:after="0" w:afterAutospacing="0"/>
              <w:rPr>
                <w:sz w:val="20"/>
                <w:szCs w:val="20"/>
              </w:rPr>
            </w:pPr>
            <w:r>
              <w:rPr>
                <w:sz w:val="20"/>
                <w:szCs w:val="20"/>
              </w:rPr>
              <w:t>  </w:t>
            </w:r>
          </w:p>
        </w:tc>
        <w:tc>
          <w:tcPr>
            <w:tcW w:w="4155" w:type="pct"/>
            <w:hideMark/>
          </w:tcPr>
          <w:p w14:paraId="6FD427EA" w14:textId="77777777" w:rsidR="00000000" w:rsidRDefault="00322B34">
            <w:pPr>
              <w:pStyle w:val="a3"/>
              <w:spacing w:before="0" w:beforeAutospacing="0" w:after="0" w:afterAutospacing="0"/>
              <w:rPr>
                <w:sz w:val="20"/>
                <w:szCs w:val="20"/>
              </w:rPr>
            </w:pPr>
            <w:r>
              <w:rPr>
                <w:sz w:val="20"/>
                <w:szCs w:val="20"/>
              </w:rPr>
              <w:t>  </w:t>
            </w:r>
          </w:p>
        </w:tc>
        <w:tc>
          <w:tcPr>
            <w:tcW w:w="320" w:type="pct"/>
            <w:hideMark/>
          </w:tcPr>
          <w:p w14:paraId="390C395D" w14:textId="77777777" w:rsidR="00000000" w:rsidRDefault="00322B34">
            <w:pPr>
              <w:pStyle w:val="a3"/>
              <w:spacing w:before="0" w:beforeAutospacing="0" w:after="0" w:afterAutospacing="0"/>
              <w:rPr>
                <w:sz w:val="20"/>
                <w:szCs w:val="20"/>
              </w:rPr>
            </w:pPr>
            <w:r>
              <w:rPr>
                <w:sz w:val="20"/>
                <w:szCs w:val="20"/>
              </w:rPr>
              <w:t>  </w:t>
            </w:r>
          </w:p>
        </w:tc>
      </w:tr>
      <w:tr w:rsidR="00000000" w14:paraId="58B788F7" w14:textId="77777777">
        <w:trPr>
          <w:tblCellSpacing w:w="0" w:type="dxa"/>
        </w:trPr>
        <w:tc>
          <w:tcPr>
            <w:tcW w:w="4490" w:type="pct"/>
            <w:gridSpan w:val="2"/>
            <w:hideMark/>
          </w:tcPr>
          <w:p w14:paraId="44BCD94C" w14:textId="77777777" w:rsidR="00000000" w:rsidRDefault="00322B34">
            <w:pPr>
              <w:pStyle w:val="a3"/>
              <w:spacing w:before="0" w:beforeAutospacing="0" w:after="0" w:afterAutospacing="0"/>
              <w:rPr>
                <w:sz w:val="20"/>
                <w:szCs w:val="20"/>
              </w:rPr>
            </w:pPr>
            <w:hyperlink w:anchor="balance" w:history="1">
              <w:r>
                <w:rPr>
                  <w:rStyle w:val="a4"/>
                  <w:sz w:val="20"/>
                  <w:szCs w:val="20"/>
                </w:rPr>
                <w:t>Condensed Consolidated Financial Statements of Kimco Realty Corporation and Subsidiaries (Unaudited) -</w:t>
              </w:r>
            </w:hyperlink>
          </w:p>
        </w:tc>
        <w:tc>
          <w:tcPr>
            <w:tcW w:w="320" w:type="pct"/>
            <w:hideMark/>
          </w:tcPr>
          <w:p w14:paraId="1BE91AD8" w14:textId="77777777" w:rsidR="00000000" w:rsidRDefault="00322B34">
            <w:pPr>
              <w:pStyle w:val="a3"/>
              <w:spacing w:before="0" w:beforeAutospacing="0" w:after="0" w:afterAutospacing="0"/>
              <w:rPr>
                <w:sz w:val="20"/>
                <w:szCs w:val="20"/>
              </w:rPr>
            </w:pPr>
            <w:r>
              <w:rPr>
                <w:sz w:val="20"/>
                <w:szCs w:val="20"/>
              </w:rPr>
              <w:t>  </w:t>
            </w:r>
          </w:p>
        </w:tc>
      </w:tr>
      <w:tr w:rsidR="00000000" w14:paraId="4795C2FE" w14:textId="77777777">
        <w:trPr>
          <w:tblCellSpacing w:w="0" w:type="dxa"/>
        </w:trPr>
        <w:tc>
          <w:tcPr>
            <w:tcW w:w="335" w:type="pct"/>
            <w:hideMark/>
          </w:tcPr>
          <w:p w14:paraId="140E43ED" w14:textId="77777777" w:rsidR="00000000" w:rsidRDefault="00322B34">
            <w:pPr>
              <w:pStyle w:val="a3"/>
              <w:spacing w:before="0" w:beforeAutospacing="0" w:after="0" w:afterAutospacing="0"/>
              <w:rPr>
                <w:sz w:val="20"/>
                <w:szCs w:val="20"/>
              </w:rPr>
            </w:pPr>
            <w:r>
              <w:rPr>
                <w:sz w:val="20"/>
                <w:szCs w:val="20"/>
              </w:rPr>
              <w:t>  </w:t>
            </w:r>
          </w:p>
        </w:tc>
        <w:tc>
          <w:tcPr>
            <w:tcW w:w="4155" w:type="pct"/>
            <w:hideMark/>
          </w:tcPr>
          <w:p w14:paraId="0250868F" w14:textId="77777777" w:rsidR="00000000" w:rsidRDefault="00322B34">
            <w:pPr>
              <w:pStyle w:val="a3"/>
              <w:spacing w:before="0" w:beforeAutospacing="0" w:after="0" w:afterAutospacing="0"/>
              <w:rPr>
                <w:sz w:val="20"/>
                <w:szCs w:val="20"/>
              </w:rPr>
            </w:pPr>
            <w:r>
              <w:rPr>
                <w:sz w:val="20"/>
                <w:szCs w:val="20"/>
              </w:rPr>
              <w:t>  </w:t>
            </w:r>
          </w:p>
        </w:tc>
        <w:tc>
          <w:tcPr>
            <w:tcW w:w="320" w:type="pct"/>
            <w:hideMark/>
          </w:tcPr>
          <w:p w14:paraId="6646DCE9" w14:textId="77777777" w:rsidR="00000000" w:rsidRDefault="00322B34">
            <w:pPr>
              <w:pStyle w:val="a3"/>
              <w:spacing w:before="0" w:beforeAutospacing="0" w:after="0" w:afterAutospacing="0"/>
              <w:rPr>
                <w:sz w:val="20"/>
                <w:szCs w:val="20"/>
              </w:rPr>
            </w:pPr>
            <w:r>
              <w:rPr>
                <w:sz w:val="20"/>
                <w:szCs w:val="20"/>
              </w:rPr>
              <w:t>  </w:t>
            </w:r>
          </w:p>
        </w:tc>
      </w:tr>
      <w:tr w:rsidR="00000000" w14:paraId="12BF4254" w14:textId="77777777">
        <w:trPr>
          <w:tblCellSpacing w:w="0" w:type="dxa"/>
        </w:trPr>
        <w:tc>
          <w:tcPr>
            <w:tcW w:w="335" w:type="pct"/>
            <w:hideMark/>
          </w:tcPr>
          <w:p w14:paraId="57666DC7" w14:textId="77777777" w:rsidR="00000000" w:rsidRDefault="00322B34">
            <w:pPr>
              <w:pStyle w:val="a3"/>
              <w:spacing w:before="0" w:beforeAutospacing="0" w:after="0" w:afterAutospacing="0"/>
              <w:rPr>
                <w:sz w:val="20"/>
                <w:szCs w:val="20"/>
              </w:rPr>
            </w:pPr>
            <w:r>
              <w:rPr>
                <w:sz w:val="20"/>
                <w:szCs w:val="20"/>
              </w:rPr>
              <w:t>  </w:t>
            </w:r>
          </w:p>
        </w:tc>
        <w:tc>
          <w:tcPr>
            <w:tcW w:w="4155" w:type="pct"/>
            <w:hideMark/>
          </w:tcPr>
          <w:p w14:paraId="0F8E4D87" w14:textId="77777777" w:rsidR="00000000" w:rsidRDefault="00322B34">
            <w:pPr>
              <w:pStyle w:val="a3"/>
              <w:spacing w:before="0" w:beforeAutospacing="0" w:after="0" w:afterAutospacing="0"/>
              <w:rPr>
                <w:sz w:val="20"/>
                <w:szCs w:val="20"/>
              </w:rPr>
            </w:pPr>
            <w:hyperlink w:anchor="balance" w:history="1">
              <w:r>
                <w:rPr>
                  <w:rStyle w:val="a4"/>
                  <w:sz w:val="20"/>
                  <w:szCs w:val="20"/>
                </w:rPr>
                <w:t>Condensed Consolidated Balance Sheets as of June 30, 2020 and December 31, 2019</w:t>
              </w:r>
            </w:hyperlink>
          </w:p>
        </w:tc>
        <w:tc>
          <w:tcPr>
            <w:tcW w:w="410" w:type="pct"/>
            <w:vAlign w:val="bottom"/>
            <w:hideMark/>
          </w:tcPr>
          <w:p w14:paraId="6140EC8A" w14:textId="77777777" w:rsidR="00000000" w:rsidRDefault="00322B34">
            <w:pPr>
              <w:pStyle w:val="a3"/>
              <w:spacing w:before="0" w:beforeAutospacing="0" w:after="0" w:afterAutospacing="0"/>
              <w:jc w:val="right"/>
              <w:rPr>
                <w:sz w:val="20"/>
                <w:szCs w:val="20"/>
              </w:rPr>
            </w:pPr>
            <w:r>
              <w:rPr>
                <w:sz w:val="20"/>
                <w:szCs w:val="20"/>
              </w:rPr>
              <w:t>3</w:t>
            </w:r>
          </w:p>
        </w:tc>
      </w:tr>
      <w:tr w:rsidR="00000000" w14:paraId="24A179DE" w14:textId="77777777">
        <w:trPr>
          <w:tblCellSpacing w:w="0" w:type="dxa"/>
        </w:trPr>
        <w:tc>
          <w:tcPr>
            <w:tcW w:w="335" w:type="pct"/>
            <w:hideMark/>
          </w:tcPr>
          <w:p w14:paraId="4E603BF9" w14:textId="77777777" w:rsidR="00000000" w:rsidRDefault="00322B34">
            <w:pPr>
              <w:pStyle w:val="a3"/>
              <w:spacing w:before="0" w:beforeAutospacing="0" w:after="0" w:afterAutospacing="0"/>
              <w:rPr>
                <w:sz w:val="20"/>
                <w:szCs w:val="20"/>
              </w:rPr>
            </w:pPr>
            <w:r>
              <w:rPr>
                <w:sz w:val="20"/>
                <w:szCs w:val="20"/>
              </w:rPr>
              <w:t>  </w:t>
            </w:r>
          </w:p>
        </w:tc>
        <w:tc>
          <w:tcPr>
            <w:tcW w:w="4155" w:type="pct"/>
            <w:hideMark/>
          </w:tcPr>
          <w:p w14:paraId="5CE9A6C8" w14:textId="77777777" w:rsidR="00000000" w:rsidRDefault="00322B34">
            <w:pPr>
              <w:pStyle w:val="a3"/>
              <w:spacing w:before="0" w:beforeAutospacing="0" w:after="0" w:afterAutospacing="0"/>
              <w:rPr>
                <w:sz w:val="20"/>
                <w:szCs w:val="20"/>
              </w:rPr>
            </w:pPr>
            <w:r>
              <w:rPr>
                <w:sz w:val="20"/>
                <w:szCs w:val="20"/>
              </w:rPr>
              <w:t>  </w:t>
            </w:r>
          </w:p>
        </w:tc>
        <w:tc>
          <w:tcPr>
            <w:tcW w:w="410" w:type="pct"/>
            <w:vAlign w:val="bottom"/>
            <w:hideMark/>
          </w:tcPr>
          <w:p w14:paraId="0AB03302" w14:textId="77777777" w:rsidR="00000000" w:rsidRDefault="00322B34">
            <w:pPr>
              <w:rPr>
                <w:rFonts w:eastAsia="Times New Roman"/>
                <w:sz w:val="20"/>
                <w:szCs w:val="20"/>
              </w:rPr>
            </w:pPr>
            <w:r>
              <w:rPr>
                <w:rFonts w:eastAsia="Times New Roman"/>
                <w:sz w:val="20"/>
                <w:szCs w:val="20"/>
              </w:rPr>
              <w:t> </w:t>
            </w:r>
          </w:p>
        </w:tc>
      </w:tr>
      <w:tr w:rsidR="00000000" w14:paraId="4A43DC78" w14:textId="77777777">
        <w:trPr>
          <w:tblCellSpacing w:w="0" w:type="dxa"/>
        </w:trPr>
        <w:tc>
          <w:tcPr>
            <w:tcW w:w="335" w:type="pct"/>
            <w:hideMark/>
          </w:tcPr>
          <w:p w14:paraId="61CCFE95" w14:textId="77777777" w:rsidR="00000000" w:rsidRDefault="00322B34">
            <w:pPr>
              <w:pStyle w:val="a3"/>
              <w:spacing w:before="0" w:beforeAutospacing="0" w:after="0" w:afterAutospacing="0"/>
              <w:rPr>
                <w:sz w:val="20"/>
                <w:szCs w:val="20"/>
              </w:rPr>
            </w:pPr>
            <w:r>
              <w:rPr>
                <w:sz w:val="20"/>
                <w:szCs w:val="20"/>
              </w:rPr>
              <w:t>  </w:t>
            </w:r>
          </w:p>
        </w:tc>
        <w:tc>
          <w:tcPr>
            <w:tcW w:w="4155" w:type="pct"/>
            <w:hideMark/>
          </w:tcPr>
          <w:p w14:paraId="104F782B" w14:textId="77777777" w:rsidR="00000000" w:rsidRDefault="00322B34">
            <w:pPr>
              <w:pStyle w:val="a3"/>
              <w:spacing w:before="0" w:beforeAutospacing="0" w:after="0" w:afterAutospacing="0"/>
              <w:rPr>
                <w:sz w:val="20"/>
                <w:szCs w:val="20"/>
              </w:rPr>
            </w:pPr>
            <w:hyperlink w:anchor="income" w:history="1">
              <w:r>
                <w:rPr>
                  <w:rStyle w:val="a4"/>
                  <w:sz w:val="20"/>
                  <w:szCs w:val="20"/>
                </w:rPr>
                <w:t>Condensed Consolidated Statements of Income for the Three and Six Months Ended June 30, 2020 and 2019</w:t>
              </w:r>
            </w:hyperlink>
          </w:p>
        </w:tc>
        <w:tc>
          <w:tcPr>
            <w:tcW w:w="410" w:type="pct"/>
            <w:vAlign w:val="bottom"/>
            <w:hideMark/>
          </w:tcPr>
          <w:p w14:paraId="53C1BB86" w14:textId="77777777" w:rsidR="00000000" w:rsidRDefault="00322B34">
            <w:pPr>
              <w:pStyle w:val="a3"/>
              <w:spacing w:before="0" w:beforeAutospacing="0" w:after="0" w:afterAutospacing="0"/>
              <w:jc w:val="right"/>
              <w:rPr>
                <w:sz w:val="20"/>
                <w:szCs w:val="20"/>
              </w:rPr>
            </w:pPr>
            <w:r>
              <w:rPr>
                <w:sz w:val="20"/>
                <w:szCs w:val="20"/>
              </w:rPr>
              <w:t>4</w:t>
            </w:r>
          </w:p>
        </w:tc>
      </w:tr>
      <w:tr w:rsidR="00000000" w14:paraId="1E30E41E" w14:textId="77777777">
        <w:trPr>
          <w:tblCellSpacing w:w="0" w:type="dxa"/>
        </w:trPr>
        <w:tc>
          <w:tcPr>
            <w:tcW w:w="335" w:type="pct"/>
            <w:hideMark/>
          </w:tcPr>
          <w:p w14:paraId="286DCACD" w14:textId="77777777" w:rsidR="00000000" w:rsidRDefault="00322B34">
            <w:pPr>
              <w:pStyle w:val="a3"/>
              <w:spacing w:before="0" w:beforeAutospacing="0" w:after="0" w:afterAutospacing="0"/>
              <w:rPr>
                <w:sz w:val="20"/>
                <w:szCs w:val="20"/>
              </w:rPr>
            </w:pPr>
            <w:r>
              <w:rPr>
                <w:sz w:val="20"/>
                <w:szCs w:val="20"/>
              </w:rPr>
              <w:t>  </w:t>
            </w:r>
          </w:p>
        </w:tc>
        <w:tc>
          <w:tcPr>
            <w:tcW w:w="4155" w:type="pct"/>
            <w:hideMark/>
          </w:tcPr>
          <w:p w14:paraId="1709E0D5" w14:textId="77777777" w:rsidR="00000000" w:rsidRDefault="00322B34">
            <w:pPr>
              <w:rPr>
                <w:rFonts w:eastAsia="Times New Roman"/>
                <w:sz w:val="20"/>
                <w:szCs w:val="20"/>
              </w:rPr>
            </w:pPr>
            <w:r>
              <w:rPr>
                <w:rFonts w:eastAsia="Times New Roman"/>
                <w:sz w:val="20"/>
                <w:szCs w:val="20"/>
              </w:rPr>
              <w:t> </w:t>
            </w:r>
          </w:p>
        </w:tc>
        <w:tc>
          <w:tcPr>
            <w:tcW w:w="410" w:type="pct"/>
            <w:vAlign w:val="bottom"/>
            <w:hideMark/>
          </w:tcPr>
          <w:p w14:paraId="7103145B" w14:textId="77777777" w:rsidR="00000000" w:rsidRDefault="00322B34">
            <w:pPr>
              <w:rPr>
                <w:rFonts w:eastAsia="Times New Roman"/>
                <w:sz w:val="20"/>
                <w:szCs w:val="20"/>
              </w:rPr>
            </w:pPr>
            <w:r>
              <w:rPr>
                <w:rFonts w:eastAsia="Times New Roman"/>
                <w:sz w:val="20"/>
                <w:szCs w:val="20"/>
              </w:rPr>
              <w:t> </w:t>
            </w:r>
          </w:p>
        </w:tc>
      </w:tr>
      <w:tr w:rsidR="00000000" w14:paraId="32160C1A" w14:textId="77777777">
        <w:trPr>
          <w:tblCellSpacing w:w="0" w:type="dxa"/>
        </w:trPr>
        <w:tc>
          <w:tcPr>
            <w:tcW w:w="335" w:type="pct"/>
            <w:hideMark/>
          </w:tcPr>
          <w:p w14:paraId="54AC0C84" w14:textId="77777777" w:rsidR="00000000" w:rsidRDefault="00322B34">
            <w:pPr>
              <w:pStyle w:val="a3"/>
              <w:spacing w:before="0" w:beforeAutospacing="0" w:after="0" w:afterAutospacing="0"/>
              <w:rPr>
                <w:sz w:val="20"/>
                <w:szCs w:val="20"/>
              </w:rPr>
            </w:pPr>
            <w:r>
              <w:rPr>
                <w:sz w:val="20"/>
                <w:szCs w:val="20"/>
              </w:rPr>
              <w:t>  </w:t>
            </w:r>
          </w:p>
        </w:tc>
        <w:tc>
          <w:tcPr>
            <w:tcW w:w="4155" w:type="pct"/>
            <w:hideMark/>
          </w:tcPr>
          <w:p w14:paraId="676917F1" w14:textId="77777777" w:rsidR="00000000" w:rsidRDefault="00322B34">
            <w:pPr>
              <w:pStyle w:val="a3"/>
              <w:spacing w:before="0" w:beforeAutospacing="0" w:after="0" w:afterAutospacing="0"/>
              <w:rPr>
                <w:sz w:val="20"/>
                <w:szCs w:val="20"/>
              </w:rPr>
            </w:pPr>
            <w:hyperlink w:anchor="equity" w:history="1">
              <w:r>
                <w:rPr>
                  <w:rStyle w:val="a4"/>
                  <w:sz w:val="20"/>
                  <w:szCs w:val="20"/>
                </w:rPr>
                <w:t>Condensed Consolidated Statements of Changes in Equity for the Three and Six Months Ended June 30, 2020 and 2019</w:t>
              </w:r>
            </w:hyperlink>
          </w:p>
        </w:tc>
        <w:tc>
          <w:tcPr>
            <w:tcW w:w="410" w:type="pct"/>
            <w:vAlign w:val="bottom"/>
            <w:hideMark/>
          </w:tcPr>
          <w:p w14:paraId="45C85948" w14:textId="77777777" w:rsidR="00000000" w:rsidRDefault="00322B34">
            <w:pPr>
              <w:pStyle w:val="a3"/>
              <w:spacing w:before="0" w:beforeAutospacing="0" w:after="0" w:afterAutospacing="0"/>
              <w:jc w:val="right"/>
              <w:rPr>
                <w:sz w:val="20"/>
                <w:szCs w:val="20"/>
              </w:rPr>
            </w:pPr>
            <w:r>
              <w:rPr>
                <w:sz w:val="20"/>
                <w:szCs w:val="20"/>
              </w:rPr>
              <w:t>5</w:t>
            </w:r>
          </w:p>
        </w:tc>
      </w:tr>
      <w:tr w:rsidR="00000000" w14:paraId="7D09B70C" w14:textId="77777777">
        <w:trPr>
          <w:tblCellSpacing w:w="0" w:type="dxa"/>
        </w:trPr>
        <w:tc>
          <w:tcPr>
            <w:tcW w:w="335" w:type="pct"/>
            <w:hideMark/>
          </w:tcPr>
          <w:p w14:paraId="12DB1F55" w14:textId="77777777" w:rsidR="00000000" w:rsidRDefault="00322B34">
            <w:pPr>
              <w:pStyle w:val="a3"/>
              <w:spacing w:before="0" w:beforeAutospacing="0" w:after="0" w:afterAutospacing="0"/>
              <w:rPr>
                <w:sz w:val="20"/>
                <w:szCs w:val="20"/>
              </w:rPr>
            </w:pPr>
            <w:r>
              <w:rPr>
                <w:sz w:val="20"/>
                <w:szCs w:val="20"/>
              </w:rPr>
              <w:t>  </w:t>
            </w:r>
          </w:p>
        </w:tc>
        <w:tc>
          <w:tcPr>
            <w:tcW w:w="4155" w:type="pct"/>
            <w:hideMark/>
          </w:tcPr>
          <w:p w14:paraId="7B4DCA34" w14:textId="77777777" w:rsidR="00000000" w:rsidRDefault="00322B34">
            <w:pPr>
              <w:rPr>
                <w:rFonts w:eastAsia="Times New Roman"/>
                <w:sz w:val="20"/>
                <w:szCs w:val="20"/>
              </w:rPr>
            </w:pPr>
            <w:r>
              <w:rPr>
                <w:rFonts w:eastAsia="Times New Roman"/>
                <w:sz w:val="20"/>
                <w:szCs w:val="20"/>
              </w:rPr>
              <w:t> </w:t>
            </w:r>
          </w:p>
        </w:tc>
        <w:tc>
          <w:tcPr>
            <w:tcW w:w="410" w:type="pct"/>
            <w:vAlign w:val="bottom"/>
            <w:hideMark/>
          </w:tcPr>
          <w:p w14:paraId="72533449" w14:textId="77777777" w:rsidR="00000000" w:rsidRDefault="00322B34">
            <w:pPr>
              <w:rPr>
                <w:rFonts w:eastAsia="Times New Roman"/>
                <w:sz w:val="20"/>
                <w:szCs w:val="20"/>
              </w:rPr>
            </w:pPr>
            <w:r>
              <w:rPr>
                <w:rFonts w:eastAsia="Times New Roman"/>
                <w:sz w:val="20"/>
                <w:szCs w:val="20"/>
              </w:rPr>
              <w:t> </w:t>
            </w:r>
          </w:p>
        </w:tc>
      </w:tr>
      <w:tr w:rsidR="00000000" w14:paraId="2659DC94" w14:textId="77777777">
        <w:trPr>
          <w:tblCellSpacing w:w="0" w:type="dxa"/>
        </w:trPr>
        <w:tc>
          <w:tcPr>
            <w:tcW w:w="335" w:type="pct"/>
            <w:hideMark/>
          </w:tcPr>
          <w:p w14:paraId="78C0422A" w14:textId="77777777" w:rsidR="00000000" w:rsidRDefault="00322B34">
            <w:pPr>
              <w:pStyle w:val="a3"/>
              <w:spacing w:before="0" w:beforeAutospacing="0" w:after="0" w:afterAutospacing="0"/>
              <w:rPr>
                <w:sz w:val="20"/>
                <w:szCs w:val="20"/>
              </w:rPr>
            </w:pPr>
            <w:r>
              <w:rPr>
                <w:sz w:val="20"/>
                <w:szCs w:val="20"/>
              </w:rPr>
              <w:t>  </w:t>
            </w:r>
          </w:p>
        </w:tc>
        <w:tc>
          <w:tcPr>
            <w:tcW w:w="4155" w:type="pct"/>
            <w:hideMark/>
          </w:tcPr>
          <w:p w14:paraId="02B73A60" w14:textId="77777777" w:rsidR="00000000" w:rsidRDefault="00322B34">
            <w:pPr>
              <w:pStyle w:val="a3"/>
              <w:spacing w:before="0" w:beforeAutospacing="0" w:after="0" w:afterAutospacing="0"/>
              <w:rPr>
                <w:sz w:val="20"/>
                <w:szCs w:val="20"/>
              </w:rPr>
            </w:pPr>
            <w:hyperlink w:anchor="cash_flows" w:history="1">
              <w:r>
                <w:rPr>
                  <w:rStyle w:val="a4"/>
                  <w:sz w:val="20"/>
                  <w:szCs w:val="20"/>
                </w:rPr>
                <w:t>Condensed Consolidated Statements of Cash Flows for the Six Months Ended June 30, 2020 and 2019</w:t>
              </w:r>
            </w:hyperlink>
          </w:p>
        </w:tc>
        <w:tc>
          <w:tcPr>
            <w:tcW w:w="410" w:type="pct"/>
            <w:vAlign w:val="bottom"/>
            <w:hideMark/>
          </w:tcPr>
          <w:p w14:paraId="4A4724C1" w14:textId="77777777" w:rsidR="00000000" w:rsidRDefault="00322B34">
            <w:pPr>
              <w:pStyle w:val="a3"/>
              <w:spacing w:before="0" w:beforeAutospacing="0" w:after="0" w:afterAutospacing="0"/>
              <w:jc w:val="right"/>
              <w:rPr>
                <w:sz w:val="20"/>
                <w:szCs w:val="20"/>
              </w:rPr>
            </w:pPr>
            <w:r>
              <w:rPr>
                <w:sz w:val="20"/>
                <w:szCs w:val="20"/>
              </w:rPr>
              <w:t>7</w:t>
            </w:r>
          </w:p>
        </w:tc>
      </w:tr>
      <w:tr w:rsidR="00000000" w14:paraId="0B620B12" w14:textId="77777777">
        <w:trPr>
          <w:tblCellSpacing w:w="0" w:type="dxa"/>
        </w:trPr>
        <w:tc>
          <w:tcPr>
            <w:tcW w:w="335" w:type="pct"/>
            <w:hideMark/>
          </w:tcPr>
          <w:p w14:paraId="606FE9CA" w14:textId="77777777" w:rsidR="00000000" w:rsidRDefault="00322B34">
            <w:pPr>
              <w:pStyle w:val="a3"/>
              <w:spacing w:before="0" w:beforeAutospacing="0" w:after="0" w:afterAutospacing="0"/>
              <w:rPr>
                <w:sz w:val="20"/>
                <w:szCs w:val="20"/>
              </w:rPr>
            </w:pPr>
            <w:r>
              <w:rPr>
                <w:sz w:val="20"/>
                <w:szCs w:val="20"/>
              </w:rPr>
              <w:t>  </w:t>
            </w:r>
          </w:p>
        </w:tc>
        <w:tc>
          <w:tcPr>
            <w:tcW w:w="4155" w:type="pct"/>
            <w:hideMark/>
          </w:tcPr>
          <w:p w14:paraId="4068C3EC" w14:textId="77777777" w:rsidR="00000000" w:rsidRDefault="00322B34">
            <w:pPr>
              <w:rPr>
                <w:rFonts w:eastAsia="Times New Roman"/>
                <w:sz w:val="20"/>
                <w:szCs w:val="20"/>
              </w:rPr>
            </w:pPr>
            <w:r>
              <w:rPr>
                <w:rFonts w:eastAsia="Times New Roman"/>
                <w:sz w:val="20"/>
                <w:szCs w:val="20"/>
              </w:rPr>
              <w:t> </w:t>
            </w:r>
          </w:p>
        </w:tc>
        <w:tc>
          <w:tcPr>
            <w:tcW w:w="410" w:type="pct"/>
            <w:vAlign w:val="bottom"/>
            <w:hideMark/>
          </w:tcPr>
          <w:p w14:paraId="0E3110E6" w14:textId="77777777" w:rsidR="00000000" w:rsidRDefault="00322B34">
            <w:pPr>
              <w:rPr>
                <w:rFonts w:eastAsia="Times New Roman"/>
                <w:sz w:val="20"/>
                <w:szCs w:val="20"/>
              </w:rPr>
            </w:pPr>
            <w:r>
              <w:rPr>
                <w:rFonts w:eastAsia="Times New Roman"/>
                <w:sz w:val="20"/>
                <w:szCs w:val="20"/>
              </w:rPr>
              <w:t> </w:t>
            </w:r>
          </w:p>
        </w:tc>
      </w:tr>
      <w:tr w:rsidR="00000000" w14:paraId="24986E27" w14:textId="77777777">
        <w:trPr>
          <w:tblCellSpacing w:w="0" w:type="dxa"/>
        </w:trPr>
        <w:tc>
          <w:tcPr>
            <w:tcW w:w="4665" w:type="pct"/>
            <w:gridSpan w:val="2"/>
            <w:hideMark/>
          </w:tcPr>
          <w:p w14:paraId="4B4F57E7" w14:textId="77777777" w:rsidR="00000000" w:rsidRDefault="00322B34">
            <w:pPr>
              <w:pStyle w:val="a3"/>
              <w:spacing w:before="0" w:beforeAutospacing="0" w:after="0" w:afterAutospacing="0"/>
              <w:rPr>
                <w:sz w:val="20"/>
                <w:szCs w:val="20"/>
              </w:rPr>
            </w:pPr>
            <w:hyperlink w:anchor="notes" w:history="1">
              <w:r>
                <w:rPr>
                  <w:rStyle w:val="a4"/>
                  <w:sz w:val="20"/>
                  <w:szCs w:val="20"/>
                </w:rPr>
                <w:t>Notes to Condensed Consolidated Financial Statements.</w:t>
              </w:r>
            </w:hyperlink>
          </w:p>
        </w:tc>
        <w:tc>
          <w:tcPr>
            <w:tcW w:w="335" w:type="pct"/>
            <w:vAlign w:val="bottom"/>
            <w:hideMark/>
          </w:tcPr>
          <w:p w14:paraId="3DEC12C2" w14:textId="77777777" w:rsidR="00000000" w:rsidRDefault="00322B34">
            <w:pPr>
              <w:pStyle w:val="a3"/>
              <w:spacing w:before="0" w:beforeAutospacing="0" w:after="0" w:afterAutospacing="0"/>
              <w:jc w:val="right"/>
              <w:rPr>
                <w:sz w:val="20"/>
                <w:szCs w:val="20"/>
              </w:rPr>
            </w:pPr>
            <w:r>
              <w:rPr>
                <w:sz w:val="20"/>
                <w:szCs w:val="20"/>
              </w:rPr>
              <w:t>8</w:t>
            </w:r>
          </w:p>
        </w:tc>
      </w:tr>
      <w:tr w:rsidR="00000000" w14:paraId="108BCA9C" w14:textId="77777777">
        <w:trPr>
          <w:tblCellSpacing w:w="0" w:type="dxa"/>
        </w:trPr>
        <w:tc>
          <w:tcPr>
            <w:tcW w:w="335" w:type="pct"/>
            <w:vAlign w:val="center"/>
            <w:hideMark/>
          </w:tcPr>
          <w:p w14:paraId="06C68133" w14:textId="77777777" w:rsidR="00000000" w:rsidRDefault="00322B34">
            <w:pPr>
              <w:rPr>
                <w:rFonts w:eastAsia="Times New Roman"/>
                <w:sz w:val="20"/>
                <w:szCs w:val="20"/>
              </w:rPr>
            </w:pPr>
            <w:r>
              <w:rPr>
                <w:rFonts w:eastAsia="Times New Roman"/>
                <w:sz w:val="20"/>
                <w:szCs w:val="20"/>
              </w:rPr>
              <w:t> </w:t>
            </w:r>
          </w:p>
        </w:tc>
        <w:tc>
          <w:tcPr>
            <w:tcW w:w="4155" w:type="pct"/>
            <w:vAlign w:val="center"/>
            <w:hideMark/>
          </w:tcPr>
          <w:p w14:paraId="08572965" w14:textId="77777777" w:rsidR="00000000" w:rsidRDefault="00322B34">
            <w:pPr>
              <w:rPr>
                <w:rFonts w:eastAsia="Times New Roman"/>
                <w:sz w:val="20"/>
                <w:szCs w:val="20"/>
              </w:rPr>
            </w:pPr>
            <w:r>
              <w:rPr>
                <w:rFonts w:eastAsia="Times New Roman"/>
                <w:sz w:val="20"/>
                <w:szCs w:val="20"/>
              </w:rPr>
              <w:t> </w:t>
            </w:r>
          </w:p>
        </w:tc>
        <w:tc>
          <w:tcPr>
            <w:tcW w:w="145" w:type="pct"/>
            <w:vAlign w:val="center"/>
            <w:hideMark/>
          </w:tcPr>
          <w:p w14:paraId="12DBAD15" w14:textId="77777777" w:rsidR="00000000" w:rsidRDefault="00322B34">
            <w:pPr>
              <w:rPr>
                <w:rFonts w:eastAsia="Times New Roman"/>
                <w:sz w:val="20"/>
                <w:szCs w:val="20"/>
              </w:rPr>
            </w:pPr>
            <w:r>
              <w:rPr>
                <w:rFonts w:eastAsia="Times New Roman"/>
                <w:sz w:val="20"/>
                <w:szCs w:val="20"/>
              </w:rPr>
              <w:t> </w:t>
            </w:r>
          </w:p>
        </w:tc>
      </w:tr>
      <w:tr w:rsidR="00000000" w14:paraId="275CAD67" w14:textId="77777777">
        <w:trPr>
          <w:tblCellSpacing w:w="0" w:type="dxa"/>
        </w:trPr>
        <w:tc>
          <w:tcPr>
            <w:tcW w:w="335" w:type="pct"/>
            <w:vAlign w:val="center"/>
            <w:hideMark/>
          </w:tcPr>
          <w:p w14:paraId="5DE87D30" w14:textId="77777777" w:rsidR="00000000" w:rsidRDefault="00322B34">
            <w:pPr>
              <w:rPr>
                <w:rFonts w:eastAsia="Times New Roman"/>
                <w:sz w:val="20"/>
                <w:szCs w:val="20"/>
              </w:rPr>
            </w:pPr>
            <w:r>
              <w:rPr>
                <w:rFonts w:eastAsia="Times New Roman"/>
                <w:sz w:val="20"/>
                <w:szCs w:val="20"/>
              </w:rPr>
              <w:t>Item 2. </w:t>
            </w:r>
          </w:p>
        </w:tc>
        <w:tc>
          <w:tcPr>
            <w:tcW w:w="4155" w:type="pct"/>
            <w:vAlign w:val="center"/>
            <w:hideMark/>
          </w:tcPr>
          <w:p w14:paraId="3B179552" w14:textId="77777777" w:rsidR="00000000" w:rsidRDefault="00322B34">
            <w:pPr>
              <w:rPr>
                <w:rFonts w:eastAsia="Times New Roman"/>
                <w:sz w:val="20"/>
                <w:szCs w:val="20"/>
              </w:rPr>
            </w:pPr>
            <w:hyperlink w:anchor="a2" w:history="1">
              <w:r>
                <w:rPr>
                  <w:rStyle w:val="a4"/>
                  <w:rFonts w:eastAsia="Times New Roman"/>
                  <w:sz w:val="20"/>
                  <w:szCs w:val="20"/>
                </w:rPr>
                <w:t>Management's Discussion and Analysis of Financial Condition and Results of Operations.</w:t>
              </w:r>
            </w:hyperlink>
          </w:p>
        </w:tc>
        <w:tc>
          <w:tcPr>
            <w:tcW w:w="145" w:type="pct"/>
            <w:vAlign w:val="center"/>
            <w:hideMark/>
          </w:tcPr>
          <w:p w14:paraId="12C8406F" w14:textId="77777777" w:rsidR="00000000" w:rsidRDefault="00322B34">
            <w:pPr>
              <w:jc w:val="right"/>
              <w:rPr>
                <w:rFonts w:eastAsia="Times New Roman"/>
                <w:sz w:val="20"/>
                <w:szCs w:val="20"/>
              </w:rPr>
            </w:pPr>
            <w:r>
              <w:rPr>
                <w:rFonts w:eastAsia="Times New Roman"/>
                <w:sz w:val="20"/>
                <w:szCs w:val="20"/>
              </w:rPr>
              <w:t>21</w:t>
            </w:r>
          </w:p>
        </w:tc>
      </w:tr>
      <w:tr w:rsidR="00000000" w14:paraId="0339174C" w14:textId="77777777">
        <w:trPr>
          <w:tblCellSpacing w:w="0" w:type="dxa"/>
        </w:trPr>
        <w:tc>
          <w:tcPr>
            <w:tcW w:w="335" w:type="pct"/>
            <w:vAlign w:val="center"/>
            <w:hideMark/>
          </w:tcPr>
          <w:p w14:paraId="29752269" w14:textId="77777777" w:rsidR="00000000" w:rsidRDefault="00322B34">
            <w:pPr>
              <w:rPr>
                <w:rFonts w:eastAsia="Times New Roman"/>
                <w:sz w:val="20"/>
                <w:szCs w:val="20"/>
              </w:rPr>
            </w:pPr>
            <w:r>
              <w:rPr>
                <w:rFonts w:eastAsia="Times New Roman"/>
                <w:sz w:val="20"/>
                <w:szCs w:val="20"/>
              </w:rPr>
              <w:t> </w:t>
            </w:r>
          </w:p>
        </w:tc>
        <w:tc>
          <w:tcPr>
            <w:tcW w:w="4155" w:type="pct"/>
            <w:vAlign w:val="center"/>
            <w:hideMark/>
          </w:tcPr>
          <w:p w14:paraId="0DB5CF65" w14:textId="77777777" w:rsidR="00000000" w:rsidRDefault="00322B34">
            <w:pPr>
              <w:rPr>
                <w:rFonts w:eastAsia="Times New Roman"/>
                <w:sz w:val="20"/>
                <w:szCs w:val="20"/>
              </w:rPr>
            </w:pPr>
            <w:r>
              <w:rPr>
                <w:rFonts w:eastAsia="Times New Roman"/>
                <w:sz w:val="20"/>
                <w:szCs w:val="20"/>
              </w:rPr>
              <w:t> </w:t>
            </w:r>
          </w:p>
        </w:tc>
        <w:tc>
          <w:tcPr>
            <w:tcW w:w="145" w:type="pct"/>
            <w:vAlign w:val="center"/>
            <w:hideMark/>
          </w:tcPr>
          <w:p w14:paraId="12E2007B" w14:textId="77777777" w:rsidR="00000000" w:rsidRDefault="00322B34">
            <w:pPr>
              <w:rPr>
                <w:rFonts w:eastAsia="Times New Roman"/>
                <w:sz w:val="20"/>
                <w:szCs w:val="20"/>
              </w:rPr>
            </w:pPr>
            <w:r>
              <w:rPr>
                <w:rFonts w:eastAsia="Times New Roman"/>
                <w:sz w:val="20"/>
                <w:szCs w:val="20"/>
              </w:rPr>
              <w:t> </w:t>
            </w:r>
          </w:p>
        </w:tc>
      </w:tr>
      <w:tr w:rsidR="00000000" w14:paraId="32B02CF7" w14:textId="77777777">
        <w:trPr>
          <w:tblCellSpacing w:w="0" w:type="dxa"/>
        </w:trPr>
        <w:tc>
          <w:tcPr>
            <w:tcW w:w="335" w:type="pct"/>
            <w:vAlign w:val="center"/>
            <w:hideMark/>
          </w:tcPr>
          <w:p w14:paraId="403F8352" w14:textId="77777777" w:rsidR="00000000" w:rsidRDefault="00322B34">
            <w:pPr>
              <w:rPr>
                <w:rFonts w:eastAsia="Times New Roman"/>
                <w:sz w:val="20"/>
                <w:szCs w:val="20"/>
              </w:rPr>
            </w:pPr>
            <w:r>
              <w:rPr>
                <w:rFonts w:eastAsia="Times New Roman"/>
                <w:sz w:val="20"/>
                <w:szCs w:val="20"/>
              </w:rPr>
              <w:t>Item 3. </w:t>
            </w:r>
          </w:p>
        </w:tc>
        <w:tc>
          <w:tcPr>
            <w:tcW w:w="4155" w:type="pct"/>
            <w:vAlign w:val="center"/>
            <w:hideMark/>
          </w:tcPr>
          <w:p w14:paraId="5F9DA9EB" w14:textId="77777777" w:rsidR="00000000" w:rsidRDefault="00322B34">
            <w:pPr>
              <w:rPr>
                <w:rFonts w:eastAsia="Times New Roman"/>
                <w:sz w:val="20"/>
                <w:szCs w:val="20"/>
              </w:rPr>
            </w:pPr>
            <w:hyperlink w:anchor="a3" w:history="1">
              <w:r>
                <w:rPr>
                  <w:rStyle w:val="a4"/>
                  <w:rFonts w:eastAsia="Times New Roman"/>
                  <w:sz w:val="20"/>
                  <w:szCs w:val="20"/>
                </w:rPr>
                <w:t>Quantitative and Qualitative Disclosures About Market Risk.</w:t>
              </w:r>
            </w:hyperlink>
          </w:p>
        </w:tc>
        <w:tc>
          <w:tcPr>
            <w:tcW w:w="145" w:type="pct"/>
            <w:vAlign w:val="center"/>
            <w:hideMark/>
          </w:tcPr>
          <w:p w14:paraId="3E8C9801" w14:textId="77777777" w:rsidR="00000000" w:rsidRDefault="00322B34">
            <w:pPr>
              <w:jc w:val="right"/>
              <w:rPr>
                <w:rFonts w:eastAsia="Times New Roman"/>
                <w:sz w:val="20"/>
                <w:szCs w:val="20"/>
              </w:rPr>
            </w:pPr>
            <w:r>
              <w:rPr>
                <w:rFonts w:eastAsia="Times New Roman"/>
                <w:sz w:val="20"/>
                <w:szCs w:val="20"/>
              </w:rPr>
              <w:t>33</w:t>
            </w:r>
          </w:p>
        </w:tc>
      </w:tr>
      <w:tr w:rsidR="00000000" w14:paraId="0710EBCE" w14:textId="77777777">
        <w:trPr>
          <w:tblCellSpacing w:w="0" w:type="dxa"/>
        </w:trPr>
        <w:tc>
          <w:tcPr>
            <w:tcW w:w="335" w:type="pct"/>
            <w:vAlign w:val="center"/>
            <w:hideMark/>
          </w:tcPr>
          <w:p w14:paraId="2BB9C7F7" w14:textId="77777777" w:rsidR="00000000" w:rsidRDefault="00322B34">
            <w:pPr>
              <w:rPr>
                <w:rFonts w:eastAsia="Times New Roman"/>
                <w:sz w:val="20"/>
                <w:szCs w:val="20"/>
              </w:rPr>
            </w:pPr>
            <w:r>
              <w:rPr>
                <w:rFonts w:eastAsia="Times New Roman"/>
                <w:sz w:val="20"/>
                <w:szCs w:val="20"/>
              </w:rPr>
              <w:t> </w:t>
            </w:r>
          </w:p>
        </w:tc>
        <w:tc>
          <w:tcPr>
            <w:tcW w:w="4155" w:type="pct"/>
            <w:vAlign w:val="center"/>
            <w:hideMark/>
          </w:tcPr>
          <w:p w14:paraId="1139061B" w14:textId="77777777" w:rsidR="00000000" w:rsidRDefault="00322B34">
            <w:pPr>
              <w:rPr>
                <w:rFonts w:eastAsia="Times New Roman"/>
                <w:sz w:val="20"/>
                <w:szCs w:val="20"/>
              </w:rPr>
            </w:pPr>
            <w:r>
              <w:rPr>
                <w:rFonts w:eastAsia="Times New Roman"/>
                <w:sz w:val="20"/>
                <w:szCs w:val="20"/>
              </w:rPr>
              <w:t> </w:t>
            </w:r>
          </w:p>
        </w:tc>
        <w:tc>
          <w:tcPr>
            <w:tcW w:w="145" w:type="pct"/>
            <w:vAlign w:val="center"/>
            <w:hideMark/>
          </w:tcPr>
          <w:p w14:paraId="53ABF633" w14:textId="77777777" w:rsidR="00000000" w:rsidRDefault="00322B34">
            <w:pPr>
              <w:jc w:val="right"/>
              <w:rPr>
                <w:rFonts w:eastAsia="Times New Roman"/>
                <w:sz w:val="20"/>
                <w:szCs w:val="20"/>
              </w:rPr>
            </w:pPr>
            <w:r>
              <w:rPr>
                <w:rFonts w:eastAsia="Times New Roman"/>
                <w:sz w:val="20"/>
                <w:szCs w:val="20"/>
              </w:rPr>
              <w:t> </w:t>
            </w:r>
          </w:p>
        </w:tc>
      </w:tr>
      <w:tr w:rsidR="00000000" w14:paraId="0DEF5775" w14:textId="77777777">
        <w:trPr>
          <w:tblCellSpacing w:w="0" w:type="dxa"/>
        </w:trPr>
        <w:tc>
          <w:tcPr>
            <w:tcW w:w="335" w:type="pct"/>
            <w:vAlign w:val="center"/>
            <w:hideMark/>
          </w:tcPr>
          <w:p w14:paraId="2F32F92E" w14:textId="77777777" w:rsidR="00000000" w:rsidRDefault="00322B34">
            <w:pPr>
              <w:rPr>
                <w:rFonts w:eastAsia="Times New Roman"/>
                <w:sz w:val="20"/>
                <w:szCs w:val="20"/>
              </w:rPr>
            </w:pPr>
            <w:r>
              <w:rPr>
                <w:rFonts w:eastAsia="Times New Roman"/>
                <w:sz w:val="20"/>
                <w:szCs w:val="20"/>
              </w:rPr>
              <w:lastRenderedPageBreak/>
              <w:t>Item 4. </w:t>
            </w:r>
          </w:p>
        </w:tc>
        <w:tc>
          <w:tcPr>
            <w:tcW w:w="4155" w:type="pct"/>
            <w:vAlign w:val="center"/>
            <w:hideMark/>
          </w:tcPr>
          <w:p w14:paraId="518E2E28" w14:textId="77777777" w:rsidR="00000000" w:rsidRDefault="00322B34">
            <w:pPr>
              <w:rPr>
                <w:rFonts w:eastAsia="Times New Roman"/>
                <w:sz w:val="20"/>
                <w:szCs w:val="20"/>
              </w:rPr>
            </w:pPr>
            <w:hyperlink w:anchor="a4" w:history="1">
              <w:r>
                <w:rPr>
                  <w:rStyle w:val="a4"/>
                  <w:rFonts w:eastAsia="Times New Roman"/>
                  <w:sz w:val="20"/>
                  <w:szCs w:val="20"/>
                </w:rPr>
                <w:t>Controls and Procedures.</w:t>
              </w:r>
            </w:hyperlink>
          </w:p>
        </w:tc>
        <w:tc>
          <w:tcPr>
            <w:tcW w:w="145" w:type="pct"/>
            <w:vAlign w:val="center"/>
            <w:hideMark/>
          </w:tcPr>
          <w:p w14:paraId="568D8334" w14:textId="77777777" w:rsidR="00000000" w:rsidRDefault="00322B34">
            <w:pPr>
              <w:jc w:val="right"/>
              <w:rPr>
                <w:rFonts w:eastAsia="Times New Roman"/>
                <w:sz w:val="20"/>
                <w:szCs w:val="20"/>
              </w:rPr>
            </w:pPr>
            <w:r>
              <w:rPr>
                <w:rFonts w:eastAsia="Times New Roman"/>
                <w:sz w:val="20"/>
                <w:szCs w:val="20"/>
              </w:rPr>
              <w:t>33</w:t>
            </w:r>
          </w:p>
        </w:tc>
      </w:tr>
      <w:tr w:rsidR="00000000" w14:paraId="3303960C" w14:textId="77777777">
        <w:trPr>
          <w:tblCellSpacing w:w="0" w:type="dxa"/>
        </w:trPr>
        <w:tc>
          <w:tcPr>
            <w:tcW w:w="335" w:type="pct"/>
            <w:vAlign w:val="center"/>
            <w:hideMark/>
          </w:tcPr>
          <w:p w14:paraId="31FAD6C2" w14:textId="77777777" w:rsidR="00000000" w:rsidRDefault="00322B34">
            <w:pPr>
              <w:rPr>
                <w:rFonts w:eastAsia="Times New Roman"/>
                <w:sz w:val="20"/>
                <w:szCs w:val="20"/>
              </w:rPr>
            </w:pPr>
            <w:r>
              <w:rPr>
                <w:rFonts w:eastAsia="Times New Roman"/>
                <w:sz w:val="20"/>
                <w:szCs w:val="20"/>
              </w:rPr>
              <w:t> </w:t>
            </w:r>
          </w:p>
        </w:tc>
        <w:tc>
          <w:tcPr>
            <w:tcW w:w="4155" w:type="pct"/>
            <w:vAlign w:val="center"/>
            <w:hideMark/>
          </w:tcPr>
          <w:p w14:paraId="7F0D8D3D" w14:textId="77777777" w:rsidR="00000000" w:rsidRDefault="00322B34">
            <w:pPr>
              <w:rPr>
                <w:rFonts w:eastAsia="Times New Roman"/>
                <w:sz w:val="20"/>
                <w:szCs w:val="20"/>
              </w:rPr>
            </w:pPr>
            <w:r>
              <w:rPr>
                <w:rFonts w:eastAsia="Times New Roman"/>
                <w:sz w:val="20"/>
                <w:szCs w:val="20"/>
              </w:rPr>
              <w:t> </w:t>
            </w:r>
          </w:p>
        </w:tc>
        <w:tc>
          <w:tcPr>
            <w:tcW w:w="145" w:type="pct"/>
            <w:vAlign w:val="center"/>
            <w:hideMark/>
          </w:tcPr>
          <w:p w14:paraId="45F06947" w14:textId="77777777" w:rsidR="00000000" w:rsidRDefault="00322B34">
            <w:pPr>
              <w:rPr>
                <w:rFonts w:eastAsia="Times New Roman"/>
                <w:sz w:val="20"/>
                <w:szCs w:val="20"/>
              </w:rPr>
            </w:pPr>
            <w:r>
              <w:rPr>
                <w:rFonts w:eastAsia="Times New Roman"/>
                <w:sz w:val="20"/>
                <w:szCs w:val="20"/>
              </w:rPr>
              <w:t> </w:t>
            </w:r>
          </w:p>
        </w:tc>
      </w:tr>
      <w:tr w:rsidR="00000000" w14:paraId="35695A70" w14:textId="77777777">
        <w:trPr>
          <w:tblCellSpacing w:w="0" w:type="dxa"/>
        </w:trPr>
        <w:tc>
          <w:tcPr>
            <w:tcW w:w="335" w:type="pct"/>
            <w:gridSpan w:val="3"/>
            <w:vAlign w:val="center"/>
            <w:hideMark/>
          </w:tcPr>
          <w:p w14:paraId="2BA00840" w14:textId="77777777" w:rsidR="00000000" w:rsidRDefault="00322B34">
            <w:pPr>
              <w:jc w:val="center"/>
              <w:rPr>
                <w:rFonts w:eastAsia="Times New Roman"/>
                <w:sz w:val="20"/>
                <w:szCs w:val="20"/>
              </w:rPr>
            </w:pPr>
            <w:hyperlink w:anchor="part_2" w:history="1">
              <w:r>
                <w:rPr>
                  <w:rStyle w:val="a4"/>
                  <w:rFonts w:eastAsia="Times New Roman"/>
                  <w:sz w:val="20"/>
                  <w:szCs w:val="20"/>
                </w:rPr>
                <w:t>PART II - OTHER INFORMATION</w:t>
              </w:r>
            </w:hyperlink>
          </w:p>
        </w:tc>
      </w:tr>
      <w:tr w:rsidR="00000000" w14:paraId="6BDD701D" w14:textId="77777777">
        <w:trPr>
          <w:tblCellSpacing w:w="0" w:type="dxa"/>
        </w:trPr>
        <w:tc>
          <w:tcPr>
            <w:tcW w:w="335" w:type="pct"/>
            <w:vAlign w:val="center"/>
            <w:hideMark/>
          </w:tcPr>
          <w:p w14:paraId="25BF56B4" w14:textId="77777777" w:rsidR="00000000" w:rsidRDefault="00322B34">
            <w:pPr>
              <w:rPr>
                <w:rFonts w:eastAsia="Times New Roman"/>
                <w:sz w:val="20"/>
                <w:szCs w:val="20"/>
              </w:rPr>
            </w:pPr>
            <w:r>
              <w:rPr>
                <w:rFonts w:eastAsia="Times New Roman"/>
                <w:sz w:val="20"/>
                <w:szCs w:val="20"/>
              </w:rPr>
              <w:t> </w:t>
            </w:r>
          </w:p>
        </w:tc>
        <w:tc>
          <w:tcPr>
            <w:tcW w:w="4155" w:type="pct"/>
            <w:vAlign w:val="center"/>
            <w:hideMark/>
          </w:tcPr>
          <w:p w14:paraId="386DECF7" w14:textId="77777777" w:rsidR="00000000" w:rsidRDefault="00322B34">
            <w:pPr>
              <w:rPr>
                <w:rFonts w:eastAsia="Times New Roman"/>
                <w:sz w:val="20"/>
                <w:szCs w:val="20"/>
              </w:rPr>
            </w:pPr>
            <w:r>
              <w:rPr>
                <w:rFonts w:eastAsia="Times New Roman"/>
                <w:sz w:val="20"/>
                <w:szCs w:val="20"/>
              </w:rPr>
              <w:t> </w:t>
            </w:r>
          </w:p>
        </w:tc>
        <w:tc>
          <w:tcPr>
            <w:tcW w:w="145" w:type="pct"/>
            <w:vAlign w:val="center"/>
            <w:hideMark/>
          </w:tcPr>
          <w:p w14:paraId="6C2894B2" w14:textId="77777777" w:rsidR="00000000" w:rsidRDefault="00322B34">
            <w:pPr>
              <w:rPr>
                <w:rFonts w:eastAsia="Times New Roman"/>
                <w:sz w:val="20"/>
                <w:szCs w:val="20"/>
              </w:rPr>
            </w:pPr>
            <w:r>
              <w:rPr>
                <w:rFonts w:eastAsia="Times New Roman"/>
                <w:sz w:val="20"/>
                <w:szCs w:val="20"/>
              </w:rPr>
              <w:t> </w:t>
            </w:r>
          </w:p>
        </w:tc>
      </w:tr>
      <w:tr w:rsidR="00000000" w14:paraId="52911658" w14:textId="77777777">
        <w:trPr>
          <w:tblCellSpacing w:w="0" w:type="dxa"/>
        </w:trPr>
        <w:tc>
          <w:tcPr>
            <w:tcW w:w="335" w:type="pct"/>
            <w:vAlign w:val="center"/>
            <w:hideMark/>
          </w:tcPr>
          <w:p w14:paraId="292307B1" w14:textId="77777777" w:rsidR="00000000" w:rsidRDefault="00322B34">
            <w:pPr>
              <w:rPr>
                <w:rFonts w:eastAsia="Times New Roman"/>
                <w:sz w:val="20"/>
                <w:szCs w:val="20"/>
              </w:rPr>
            </w:pPr>
            <w:r>
              <w:rPr>
                <w:rFonts w:eastAsia="Times New Roman"/>
                <w:sz w:val="20"/>
                <w:szCs w:val="20"/>
              </w:rPr>
              <w:t>Item 1.  </w:t>
            </w:r>
          </w:p>
        </w:tc>
        <w:tc>
          <w:tcPr>
            <w:tcW w:w="4155" w:type="pct"/>
            <w:vAlign w:val="center"/>
            <w:hideMark/>
          </w:tcPr>
          <w:p w14:paraId="3FEACE38" w14:textId="77777777" w:rsidR="00000000" w:rsidRDefault="00322B34">
            <w:pPr>
              <w:rPr>
                <w:rFonts w:eastAsia="Times New Roman"/>
                <w:sz w:val="20"/>
                <w:szCs w:val="20"/>
              </w:rPr>
            </w:pPr>
            <w:hyperlink w:anchor="a2_1" w:history="1">
              <w:r>
                <w:rPr>
                  <w:rStyle w:val="a4"/>
                  <w:rFonts w:eastAsia="Times New Roman"/>
                  <w:sz w:val="20"/>
                  <w:szCs w:val="20"/>
                </w:rPr>
                <w:t>Legal Proceedings.</w:t>
              </w:r>
            </w:hyperlink>
          </w:p>
        </w:tc>
        <w:tc>
          <w:tcPr>
            <w:tcW w:w="145" w:type="pct"/>
            <w:vAlign w:val="center"/>
            <w:hideMark/>
          </w:tcPr>
          <w:p w14:paraId="2DF607AC" w14:textId="77777777" w:rsidR="00000000" w:rsidRDefault="00322B34">
            <w:pPr>
              <w:jc w:val="right"/>
              <w:rPr>
                <w:rFonts w:eastAsia="Times New Roman"/>
                <w:sz w:val="20"/>
                <w:szCs w:val="20"/>
              </w:rPr>
            </w:pPr>
            <w:r>
              <w:rPr>
                <w:rFonts w:eastAsia="Times New Roman"/>
                <w:sz w:val="20"/>
                <w:szCs w:val="20"/>
              </w:rPr>
              <w:t>34</w:t>
            </w:r>
          </w:p>
        </w:tc>
      </w:tr>
      <w:tr w:rsidR="00000000" w14:paraId="0D3B8325" w14:textId="77777777">
        <w:trPr>
          <w:tblCellSpacing w:w="0" w:type="dxa"/>
        </w:trPr>
        <w:tc>
          <w:tcPr>
            <w:tcW w:w="335" w:type="pct"/>
            <w:vAlign w:val="center"/>
            <w:hideMark/>
          </w:tcPr>
          <w:p w14:paraId="2313050A" w14:textId="77777777" w:rsidR="00000000" w:rsidRDefault="00322B34">
            <w:pPr>
              <w:rPr>
                <w:rFonts w:eastAsia="Times New Roman"/>
                <w:sz w:val="20"/>
                <w:szCs w:val="20"/>
              </w:rPr>
            </w:pPr>
            <w:r>
              <w:rPr>
                <w:rFonts w:eastAsia="Times New Roman"/>
                <w:sz w:val="20"/>
                <w:szCs w:val="20"/>
              </w:rPr>
              <w:t> </w:t>
            </w:r>
          </w:p>
        </w:tc>
        <w:tc>
          <w:tcPr>
            <w:tcW w:w="4155" w:type="pct"/>
            <w:vAlign w:val="center"/>
            <w:hideMark/>
          </w:tcPr>
          <w:p w14:paraId="2BB506A8" w14:textId="77777777" w:rsidR="00000000" w:rsidRDefault="00322B34">
            <w:pPr>
              <w:rPr>
                <w:rFonts w:eastAsia="Times New Roman"/>
                <w:sz w:val="20"/>
                <w:szCs w:val="20"/>
              </w:rPr>
            </w:pPr>
            <w:r>
              <w:rPr>
                <w:rFonts w:eastAsia="Times New Roman"/>
                <w:sz w:val="20"/>
                <w:szCs w:val="20"/>
              </w:rPr>
              <w:t> </w:t>
            </w:r>
          </w:p>
        </w:tc>
        <w:tc>
          <w:tcPr>
            <w:tcW w:w="145" w:type="pct"/>
            <w:vAlign w:val="center"/>
            <w:hideMark/>
          </w:tcPr>
          <w:p w14:paraId="5ACD3372" w14:textId="77777777" w:rsidR="00000000" w:rsidRDefault="00322B34">
            <w:pPr>
              <w:rPr>
                <w:rFonts w:eastAsia="Times New Roman"/>
                <w:sz w:val="20"/>
                <w:szCs w:val="20"/>
              </w:rPr>
            </w:pPr>
            <w:r>
              <w:rPr>
                <w:rFonts w:eastAsia="Times New Roman"/>
                <w:sz w:val="20"/>
                <w:szCs w:val="20"/>
              </w:rPr>
              <w:t> </w:t>
            </w:r>
          </w:p>
        </w:tc>
      </w:tr>
      <w:tr w:rsidR="00000000" w14:paraId="4F24B43B" w14:textId="77777777">
        <w:trPr>
          <w:tblCellSpacing w:w="0" w:type="dxa"/>
        </w:trPr>
        <w:tc>
          <w:tcPr>
            <w:tcW w:w="335" w:type="pct"/>
            <w:vAlign w:val="center"/>
            <w:hideMark/>
          </w:tcPr>
          <w:p w14:paraId="3F22D70B" w14:textId="77777777" w:rsidR="00000000" w:rsidRDefault="00322B34">
            <w:pPr>
              <w:rPr>
                <w:rFonts w:eastAsia="Times New Roman"/>
                <w:sz w:val="20"/>
                <w:szCs w:val="20"/>
              </w:rPr>
            </w:pPr>
            <w:r>
              <w:rPr>
                <w:rFonts w:eastAsia="Times New Roman"/>
                <w:sz w:val="20"/>
                <w:szCs w:val="20"/>
              </w:rPr>
              <w:t>Item 1A.  </w:t>
            </w:r>
          </w:p>
        </w:tc>
        <w:tc>
          <w:tcPr>
            <w:tcW w:w="4155" w:type="pct"/>
            <w:vAlign w:val="center"/>
            <w:hideMark/>
          </w:tcPr>
          <w:p w14:paraId="36A0881B" w14:textId="77777777" w:rsidR="00000000" w:rsidRDefault="00322B34">
            <w:pPr>
              <w:rPr>
                <w:rFonts w:eastAsia="Times New Roman"/>
                <w:sz w:val="20"/>
                <w:szCs w:val="20"/>
              </w:rPr>
            </w:pPr>
            <w:hyperlink w:anchor="a1a" w:history="1">
              <w:r>
                <w:rPr>
                  <w:rStyle w:val="a4"/>
                  <w:rFonts w:eastAsia="Times New Roman"/>
                  <w:sz w:val="20"/>
                  <w:szCs w:val="20"/>
                </w:rPr>
                <w:t>Risk Factors.</w:t>
              </w:r>
            </w:hyperlink>
          </w:p>
        </w:tc>
        <w:tc>
          <w:tcPr>
            <w:tcW w:w="145" w:type="pct"/>
            <w:vAlign w:val="center"/>
            <w:hideMark/>
          </w:tcPr>
          <w:p w14:paraId="479235BF" w14:textId="77777777" w:rsidR="00000000" w:rsidRDefault="00322B34">
            <w:pPr>
              <w:jc w:val="right"/>
              <w:rPr>
                <w:rFonts w:eastAsia="Times New Roman"/>
                <w:sz w:val="20"/>
                <w:szCs w:val="20"/>
              </w:rPr>
            </w:pPr>
            <w:r>
              <w:rPr>
                <w:rFonts w:eastAsia="Times New Roman"/>
                <w:sz w:val="20"/>
                <w:szCs w:val="20"/>
              </w:rPr>
              <w:t>34</w:t>
            </w:r>
          </w:p>
        </w:tc>
      </w:tr>
      <w:tr w:rsidR="00000000" w14:paraId="463A6088" w14:textId="77777777">
        <w:trPr>
          <w:tblCellSpacing w:w="0" w:type="dxa"/>
        </w:trPr>
        <w:tc>
          <w:tcPr>
            <w:tcW w:w="335" w:type="pct"/>
            <w:vAlign w:val="center"/>
            <w:hideMark/>
          </w:tcPr>
          <w:p w14:paraId="4E231F16" w14:textId="77777777" w:rsidR="00000000" w:rsidRDefault="00322B34">
            <w:pPr>
              <w:rPr>
                <w:rFonts w:eastAsia="Times New Roman"/>
                <w:sz w:val="20"/>
                <w:szCs w:val="20"/>
              </w:rPr>
            </w:pPr>
            <w:r>
              <w:rPr>
                <w:rFonts w:eastAsia="Times New Roman"/>
                <w:sz w:val="20"/>
                <w:szCs w:val="20"/>
              </w:rPr>
              <w:t> </w:t>
            </w:r>
          </w:p>
        </w:tc>
        <w:tc>
          <w:tcPr>
            <w:tcW w:w="4155" w:type="pct"/>
            <w:vAlign w:val="center"/>
            <w:hideMark/>
          </w:tcPr>
          <w:p w14:paraId="346C7F29" w14:textId="77777777" w:rsidR="00000000" w:rsidRDefault="00322B34">
            <w:pPr>
              <w:rPr>
                <w:rFonts w:eastAsia="Times New Roman"/>
                <w:sz w:val="20"/>
                <w:szCs w:val="20"/>
              </w:rPr>
            </w:pPr>
            <w:r>
              <w:rPr>
                <w:rFonts w:eastAsia="Times New Roman"/>
                <w:sz w:val="20"/>
                <w:szCs w:val="20"/>
              </w:rPr>
              <w:t> </w:t>
            </w:r>
          </w:p>
        </w:tc>
        <w:tc>
          <w:tcPr>
            <w:tcW w:w="145" w:type="pct"/>
            <w:vAlign w:val="center"/>
            <w:hideMark/>
          </w:tcPr>
          <w:p w14:paraId="41571E83" w14:textId="77777777" w:rsidR="00000000" w:rsidRDefault="00322B34">
            <w:pPr>
              <w:rPr>
                <w:rFonts w:eastAsia="Times New Roman"/>
                <w:sz w:val="20"/>
                <w:szCs w:val="20"/>
              </w:rPr>
            </w:pPr>
            <w:r>
              <w:rPr>
                <w:rFonts w:eastAsia="Times New Roman"/>
                <w:sz w:val="20"/>
                <w:szCs w:val="20"/>
              </w:rPr>
              <w:t> </w:t>
            </w:r>
          </w:p>
        </w:tc>
      </w:tr>
      <w:tr w:rsidR="00000000" w14:paraId="58670313" w14:textId="77777777">
        <w:trPr>
          <w:tblCellSpacing w:w="0" w:type="dxa"/>
        </w:trPr>
        <w:tc>
          <w:tcPr>
            <w:tcW w:w="335" w:type="pct"/>
            <w:vAlign w:val="center"/>
            <w:hideMark/>
          </w:tcPr>
          <w:p w14:paraId="48960C2F" w14:textId="77777777" w:rsidR="00000000" w:rsidRDefault="00322B34">
            <w:pPr>
              <w:rPr>
                <w:rFonts w:eastAsia="Times New Roman"/>
                <w:sz w:val="20"/>
                <w:szCs w:val="20"/>
              </w:rPr>
            </w:pPr>
            <w:r>
              <w:rPr>
                <w:rFonts w:eastAsia="Times New Roman"/>
                <w:sz w:val="20"/>
                <w:szCs w:val="20"/>
              </w:rPr>
              <w:t>Item 2. </w:t>
            </w:r>
          </w:p>
        </w:tc>
        <w:tc>
          <w:tcPr>
            <w:tcW w:w="4155" w:type="pct"/>
            <w:vAlign w:val="center"/>
            <w:hideMark/>
          </w:tcPr>
          <w:p w14:paraId="3F5E4B8E" w14:textId="77777777" w:rsidR="00000000" w:rsidRDefault="00322B34">
            <w:pPr>
              <w:rPr>
                <w:rFonts w:eastAsia="Times New Roman"/>
                <w:sz w:val="20"/>
                <w:szCs w:val="20"/>
              </w:rPr>
            </w:pPr>
            <w:hyperlink w:anchor="a2_2" w:history="1">
              <w:r>
                <w:rPr>
                  <w:rStyle w:val="a4"/>
                  <w:rFonts w:eastAsia="Times New Roman"/>
                  <w:sz w:val="20"/>
                  <w:szCs w:val="20"/>
                </w:rPr>
                <w:t>Unregistered Sales of Equity Securities and Use of Proceeds.</w:t>
              </w:r>
            </w:hyperlink>
          </w:p>
        </w:tc>
        <w:tc>
          <w:tcPr>
            <w:tcW w:w="145" w:type="pct"/>
            <w:vAlign w:val="center"/>
            <w:hideMark/>
          </w:tcPr>
          <w:p w14:paraId="1F855051" w14:textId="77777777" w:rsidR="00000000" w:rsidRDefault="00322B34">
            <w:pPr>
              <w:jc w:val="right"/>
              <w:rPr>
                <w:rFonts w:eastAsia="Times New Roman"/>
                <w:sz w:val="20"/>
                <w:szCs w:val="20"/>
              </w:rPr>
            </w:pPr>
            <w:r>
              <w:rPr>
                <w:rFonts w:eastAsia="Times New Roman"/>
                <w:sz w:val="20"/>
                <w:szCs w:val="20"/>
              </w:rPr>
              <w:t>35</w:t>
            </w:r>
          </w:p>
        </w:tc>
      </w:tr>
      <w:tr w:rsidR="00000000" w14:paraId="67DA2C1B" w14:textId="77777777">
        <w:trPr>
          <w:tblCellSpacing w:w="0" w:type="dxa"/>
        </w:trPr>
        <w:tc>
          <w:tcPr>
            <w:tcW w:w="335" w:type="pct"/>
            <w:vAlign w:val="center"/>
            <w:hideMark/>
          </w:tcPr>
          <w:p w14:paraId="02EDCCF8" w14:textId="77777777" w:rsidR="00000000" w:rsidRDefault="00322B34">
            <w:pPr>
              <w:rPr>
                <w:rFonts w:eastAsia="Times New Roman"/>
                <w:sz w:val="20"/>
                <w:szCs w:val="20"/>
              </w:rPr>
            </w:pPr>
            <w:r>
              <w:rPr>
                <w:rFonts w:eastAsia="Times New Roman"/>
                <w:sz w:val="20"/>
                <w:szCs w:val="20"/>
              </w:rPr>
              <w:t> </w:t>
            </w:r>
          </w:p>
        </w:tc>
        <w:tc>
          <w:tcPr>
            <w:tcW w:w="4155" w:type="pct"/>
            <w:vAlign w:val="center"/>
            <w:hideMark/>
          </w:tcPr>
          <w:p w14:paraId="77DCEA22" w14:textId="77777777" w:rsidR="00000000" w:rsidRDefault="00322B34">
            <w:pPr>
              <w:rPr>
                <w:rFonts w:eastAsia="Times New Roman"/>
                <w:sz w:val="20"/>
                <w:szCs w:val="20"/>
              </w:rPr>
            </w:pPr>
            <w:r>
              <w:rPr>
                <w:rFonts w:eastAsia="Times New Roman"/>
                <w:sz w:val="20"/>
                <w:szCs w:val="20"/>
              </w:rPr>
              <w:t> </w:t>
            </w:r>
          </w:p>
        </w:tc>
        <w:tc>
          <w:tcPr>
            <w:tcW w:w="145" w:type="pct"/>
            <w:vAlign w:val="center"/>
            <w:hideMark/>
          </w:tcPr>
          <w:p w14:paraId="710F025A" w14:textId="77777777" w:rsidR="00000000" w:rsidRDefault="00322B34">
            <w:pPr>
              <w:rPr>
                <w:rFonts w:eastAsia="Times New Roman"/>
                <w:sz w:val="20"/>
                <w:szCs w:val="20"/>
              </w:rPr>
            </w:pPr>
            <w:r>
              <w:rPr>
                <w:rFonts w:eastAsia="Times New Roman"/>
                <w:sz w:val="20"/>
                <w:szCs w:val="20"/>
              </w:rPr>
              <w:t> </w:t>
            </w:r>
          </w:p>
        </w:tc>
      </w:tr>
      <w:tr w:rsidR="00000000" w14:paraId="5E24D58A" w14:textId="77777777">
        <w:trPr>
          <w:tblCellSpacing w:w="0" w:type="dxa"/>
        </w:trPr>
        <w:tc>
          <w:tcPr>
            <w:tcW w:w="335" w:type="pct"/>
            <w:vAlign w:val="center"/>
            <w:hideMark/>
          </w:tcPr>
          <w:p w14:paraId="37DAF9ED" w14:textId="77777777" w:rsidR="00000000" w:rsidRDefault="00322B34">
            <w:pPr>
              <w:rPr>
                <w:rFonts w:eastAsia="Times New Roman"/>
                <w:sz w:val="20"/>
                <w:szCs w:val="20"/>
              </w:rPr>
            </w:pPr>
            <w:r>
              <w:rPr>
                <w:rFonts w:eastAsia="Times New Roman"/>
                <w:sz w:val="20"/>
                <w:szCs w:val="20"/>
              </w:rPr>
              <w:t>Item 3.  </w:t>
            </w:r>
          </w:p>
        </w:tc>
        <w:tc>
          <w:tcPr>
            <w:tcW w:w="4155" w:type="pct"/>
            <w:vAlign w:val="center"/>
            <w:hideMark/>
          </w:tcPr>
          <w:p w14:paraId="66B2C513" w14:textId="77777777" w:rsidR="00000000" w:rsidRDefault="00322B34">
            <w:pPr>
              <w:rPr>
                <w:rFonts w:eastAsia="Times New Roman"/>
                <w:sz w:val="20"/>
                <w:szCs w:val="20"/>
              </w:rPr>
            </w:pPr>
            <w:hyperlink w:anchor="a2_3" w:history="1">
              <w:r>
                <w:rPr>
                  <w:rStyle w:val="a4"/>
                  <w:rFonts w:eastAsia="Times New Roman"/>
                  <w:sz w:val="20"/>
                  <w:szCs w:val="20"/>
                </w:rPr>
                <w:t>Defaults Upon Senior Securities.</w:t>
              </w:r>
            </w:hyperlink>
          </w:p>
        </w:tc>
        <w:tc>
          <w:tcPr>
            <w:tcW w:w="145" w:type="pct"/>
            <w:vAlign w:val="center"/>
            <w:hideMark/>
          </w:tcPr>
          <w:p w14:paraId="733F4AC8" w14:textId="77777777" w:rsidR="00000000" w:rsidRDefault="00322B34">
            <w:pPr>
              <w:jc w:val="right"/>
              <w:rPr>
                <w:rFonts w:eastAsia="Times New Roman"/>
                <w:sz w:val="20"/>
                <w:szCs w:val="20"/>
              </w:rPr>
            </w:pPr>
            <w:r>
              <w:rPr>
                <w:rFonts w:eastAsia="Times New Roman"/>
                <w:sz w:val="20"/>
                <w:szCs w:val="20"/>
              </w:rPr>
              <w:t>35</w:t>
            </w:r>
          </w:p>
        </w:tc>
      </w:tr>
      <w:tr w:rsidR="00000000" w14:paraId="635DC52E" w14:textId="77777777">
        <w:trPr>
          <w:tblCellSpacing w:w="0" w:type="dxa"/>
        </w:trPr>
        <w:tc>
          <w:tcPr>
            <w:tcW w:w="335" w:type="pct"/>
            <w:vAlign w:val="center"/>
            <w:hideMark/>
          </w:tcPr>
          <w:p w14:paraId="4620E4C7" w14:textId="77777777" w:rsidR="00000000" w:rsidRDefault="00322B34">
            <w:pPr>
              <w:rPr>
                <w:rFonts w:eastAsia="Times New Roman"/>
                <w:sz w:val="20"/>
                <w:szCs w:val="20"/>
              </w:rPr>
            </w:pPr>
            <w:r>
              <w:rPr>
                <w:rFonts w:eastAsia="Times New Roman"/>
                <w:sz w:val="20"/>
                <w:szCs w:val="20"/>
              </w:rPr>
              <w:t> </w:t>
            </w:r>
          </w:p>
        </w:tc>
        <w:tc>
          <w:tcPr>
            <w:tcW w:w="4155" w:type="pct"/>
            <w:vAlign w:val="center"/>
            <w:hideMark/>
          </w:tcPr>
          <w:p w14:paraId="76F5715E" w14:textId="77777777" w:rsidR="00000000" w:rsidRDefault="00322B34">
            <w:pPr>
              <w:rPr>
                <w:rFonts w:eastAsia="Times New Roman"/>
                <w:sz w:val="20"/>
                <w:szCs w:val="20"/>
              </w:rPr>
            </w:pPr>
            <w:r>
              <w:rPr>
                <w:rFonts w:eastAsia="Times New Roman"/>
                <w:sz w:val="20"/>
                <w:szCs w:val="20"/>
              </w:rPr>
              <w:t> </w:t>
            </w:r>
          </w:p>
        </w:tc>
        <w:tc>
          <w:tcPr>
            <w:tcW w:w="145" w:type="pct"/>
            <w:vAlign w:val="center"/>
            <w:hideMark/>
          </w:tcPr>
          <w:p w14:paraId="410B2380" w14:textId="77777777" w:rsidR="00000000" w:rsidRDefault="00322B34">
            <w:pPr>
              <w:rPr>
                <w:rFonts w:eastAsia="Times New Roman"/>
                <w:sz w:val="20"/>
                <w:szCs w:val="20"/>
              </w:rPr>
            </w:pPr>
            <w:r>
              <w:rPr>
                <w:rFonts w:eastAsia="Times New Roman"/>
                <w:sz w:val="20"/>
                <w:szCs w:val="20"/>
              </w:rPr>
              <w:t> </w:t>
            </w:r>
          </w:p>
        </w:tc>
      </w:tr>
      <w:tr w:rsidR="00000000" w14:paraId="3B3B2482" w14:textId="77777777">
        <w:trPr>
          <w:tblCellSpacing w:w="0" w:type="dxa"/>
        </w:trPr>
        <w:tc>
          <w:tcPr>
            <w:tcW w:w="335" w:type="pct"/>
            <w:vAlign w:val="center"/>
            <w:hideMark/>
          </w:tcPr>
          <w:p w14:paraId="1F627431" w14:textId="77777777" w:rsidR="00000000" w:rsidRDefault="00322B34">
            <w:pPr>
              <w:rPr>
                <w:rFonts w:eastAsia="Times New Roman"/>
                <w:sz w:val="20"/>
                <w:szCs w:val="20"/>
              </w:rPr>
            </w:pPr>
            <w:r>
              <w:rPr>
                <w:rFonts w:eastAsia="Times New Roman"/>
                <w:sz w:val="20"/>
                <w:szCs w:val="20"/>
              </w:rPr>
              <w:t>Item 4.  </w:t>
            </w:r>
          </w:p>
        </w:tc>
        <w:tc>
          <w:tcPr>
            <w:tcW w:w="4155" w:type="pct"/>
            <w:vAlign w:val="center"/>
            <w:hideMark/>
          </w:tcPr>
          <w:p w14:paraId="1F1046A8" w14:textId="77777777" w:rsidR="00000000" w:rsidRDefault="00322B34">
            <w:pPr>
              <w:rPr>
                <w:rFonts w:eastAsia="Times New Roman"/>
                <w:sz w:val="20"/>
                <w:szCs w:val="20"/>
              </w:rPr>
            </w:pPr>
            <w:hyperlink w:anchor="a2_4" w:history="1">
              <w:r>
                <w:rPr>
                  <w:rStyle w:val="a4"/>
                  <w:rFonts w:eastAsia="Times New Roman"/>
                  <w:sz w:val="20"/>
                  <w:szCs w:val="20"/>
                </w:rPr>
                <w:t>Mine Safety Disclosures.</w:t>
              </w:r>
            </w:hyperlink>
          </w:p>
        </w:tc>
        <w:tc>
          <w:tcPr>
            <w:tcW w:w="145" w:type="pct"/>
            <w:vAlign w:val="center"/>
            <w:hideMark/>
          </w:tcPr>
          <w:p w14:paraId="4E73601D" w14:textId="77777777" w:rsidR="00000000" w:rsidRDefault="00322B34">
            <w:pPr>
              <w:jc w:val="right"/>
              <w:rPr>
                <w:rFonts w:eastAsia="Times New Roman"/>
                <w:sz w:val="20"/>
                <w:szCs w:val="20"/>
              </w:rPr>
            </w:pPr>
            <w:r>
              <w:rPr>
                <w:rFonts w:eastAsia="Times New Roman"/>
                <w:sz w:val="20"/>
                <w:szCs w:val="20"/>
              </w:rPr>
              <w:t>35</w:t>
            </w:r>
          </w:p>
        </w:tc>
      </w:tr>
      <w:tr w:rsidR="00000000" w14:paraId="7FFE865E" w14:textId="77777777">
        <w:trPr>
          <w:tblCellSpacing w:w="0" w:type="dxa"/>
        </w:trPr>
        <w:tc>
          <w:tcPr>
            <w:tcW w:w="335" w:type="pct"/>
            <w:vAlign w:val="center"/>
            <w:hideMark/>
          </w:tcPr>
          <w:p w14:paraId="66F45F3F" w14:textId="77777777" w:rsidR="00000000" w:rsidRDefault="00322B34">
            <w:pPr>
              <w:rPr>
                <w:rFonts w:eastAsia="Times New Roman"/>
                <w:sz w:val="20"/>
                <w:szCs w:val="20"/>
              </w:rPr>
            </w:pPr>
            <w:r>
              <w:rPr>
                <w:rFonts w:eastAsia="Times New Roman"/>
                <w:sz w:val="20"/>
                <w:szCs w:val="20"/>
              </w:rPr>
              <w:t> </w:t>
            </w:r>
          </w:p>
        </w:tc>
        <w:tc>
          <w:tcPr>
            <w:tcW w:w="4155" w:type="pct"/>
            <w:vAlign w:val="center"/>
            <w:hideMark/>
          </w:tcPr>
          <w:p w14:paraId="47F6F3CA" w14:textId="77777777" w:rsidR="00000000" w:rsidRDefault="00322B34">
            <w:pPr>
              <w:rPr>
                <w:rFonts w:eastAsia="Times New Roman"/>
                <w:sz w:val="20"/>
                <w:szCs w:val="20"/>
              </w:rPr>
            </w:pPr>
            <w:r>
              <w:rPr>
                <w:rFonts w:eastAsia="Times New Roman"/>
                <w:sz w:val="20"/>
                <w:szCs w:val="20"/>
              </w:rPr>
              <w:t> </w:t>
            </w:r>
          </w:p>
        </w:tc>
        <w:tc>
          <w:tcPr>
            <w:tcW w:w="145" w:type="pct"/>
            <w:vAlign w:val="center"/>
            <w:hideMark/>
          </w:tcPr>
          <w:p w14:paraId="67F3688B" w14:textId="77777777" w:rsidR="00000000" w:rsidRDefault="00322B34">
            <w:pPr>
              <w:rPr>
                <w:rFonts w:eastAsia="Times New Roman"/>
                <w:sz w:val="20"/>
                <w:szCs w:val="20"/>
              </w:rPr>
            </w:pPr>
            <w:r>
              <w:rPr>
                <w:rFonts w:eastAsia="Times New Roman"/>
                <w:sz w:val="20"/>
                <w:szCs w:val="20"/>
              </w:rPr>
              <w:t> </w:t>
            </w:r>
          </w:p>
        </w:tc>
      </w:tr>
      <w:tr w:rsidR="00000000" w14:paraId="10E38DE1" w14:textId="77777777">
        <w:trPr>
          <w:tblCellSpacing w:w="0" w:type="dxa"/>
        </w:trPr>
        <w:tc>
          <w:tcPr>
            <w:tcW w:w="335" w:type="pct"/>
            <w:vAlign w:val="center"/>
            <w:hideMark/>
          </w:tcPr>
          <w:p w14:paraId="6275B73D" w14:textId="77777777" w:rsidR="00000000" w:rsidRDefault="00322B34">
            <w:pPr>
              <w:rPr>
                <w:rFonts w:eastAsia="Times New Roman"/>
                <w:sz w:val="20"/>
                <w:szCs w:val="20"/>
              </w:rPr>
            </w:pPr>
            <w:r>
              <w:rPr>
                <w:rFonts w:eastAsia="Times New Roman"/>
                <w:sz w:val="20"/>
                <w:szCs w:val="20"/>
              </w:rPr>
              <w:t>Item 5.  </w:t>
            </w:r>
          </w:p>
        </w:tc>
        <w:tc>
          <w:tcPr>
            <w:tcW w:w="4155" w:type="pct"/>
            <w:vAlign w:val="center"/>
            <w:hideMark/>
          </w:tcPr>
          <w:p w14:paraId="590378FF" w14:textId="77777777" w:rsidR="00000000" w:rsidRDefault="00322B34">
            <w:pPr>
              <w:rPr>
                <w:rFonts w:eastAsia="Times New Roman"/>
                <w:sz w:val="20"/>
                <w:szCs w:val="20"/>
              </w:rPr>
            </w:pPr>
            <w:hyperlink w:anchor="a5" w:history="1">
              <w:r>
                <w:rPr>
                  <w:rStyle w:val="a4"/>
                  <w:rFonts w:eastAsia="Times New Roman"/>
                  <w:sz w:val="20"/>
                  <w:szCs w:val="20"/>
                </w:rPr>
                <w:t>Other Information.</w:t>
              </w:r>
            </w:hyperlink>
          </w:p>
        </w:tc>
        <w:tc>
          <w:tcPr>
            <w:tcW w:w="145" w:type="pct"/>
            <w:vAlign w:val="center"/>
            <w:hideMark/>
          </w:tcPr>
          <w:p w14:paraId="7545C6AB" w14:textId="77777777" w:rsidR="00000000" w:rsidRDefault="00322B34">
            <w:pPr>
              <w:jc w:val="right"/>
              <w:rPr>
                <w:rFonts w:eastAsia="Times New Roman"/>
                <w:sz w:val="20"/>
                <w:szCs w:val="20"/>
              </w:rPr>
            </w:pPr>
            <w:r>
              <w:rPr>
                <w:rFonts w:eastAsia="Times New Roman"/>
                <w:sz w:val="20"/>
                <w:szCs w:val="20"/>
              </w:rPr>
              <w:t>35</w:t>
            </w:r>
          </w:p>
        </w:tc>
      </w:tr>
      <w:tr w:rsidR="00000000" w14:paraId="0FC62974" w14:textId="77777777">
        <w:trPr>
          <w:tblCellSpacing w:w="0" w:type="dxa"/>
        </w:trPr>
        <w:tc>
          <w:tcPr>
            <w:tcW w:w="335" w:type="pct"/>
            <w:vAlign w:val="center"/>
            <w:hideMark/>
          </w:tcPr>
          <w:p w14:paraId="04C698AE" w14:textId="77777777" w:rsidR="00000000" w:rsidRDefault="00322B34">
            <w:pPr>
              <w:rPr>
                <w:rFonts w:eastAsia="Times New Roman"/>
                <w:sz w:val="20"/>
                <w:szCs w:val="20"/>
              </w:rPr>
            </w:pPr>
            <w:r>
              <w:rPr>
                <w:rFonts w:eastAsia="Times New Roman"/>
                <w:sz w:val="20"/>
                <w:szCs w:val="20"/>
              </w:rPr>
              <w:t> </w:t>
            </w:r>
          </w:p>
        </w:tc>
        <w:tc>
          <w:tcPr>
            <w:tcW w:w="4155" w:type="pct"/>
            <w:vAlign w:val="center"/>
            <w:hideMark/>
          </w:tcPr>
          <w:p w14:paraId="51DBF791" w14:textId="77777777" w:rsidR="00000000" w:rsidRDefault="00322B34">
            <w:pPr>
              <w:rPr>
                <w:rFonts w:eastAsia="Times New Roman"/>
                <w:sz w:val="20"/>
                <w:szCs w:val="20"/>
              </w:rPr>
            </w:pPr>
            <w:r>
              <w:rPr>
                <w:rFonts w:eastAsia="Times New Roman"/>
                <w:sz w:val="20"/>
                <w:szCs w:val="20"/>
              </w:rPr>
              <w:t> </w:t>
            </w:r>
          </w:p>
        </w:tc>
        <w:tc>
          <w:tcPr>
            <w:tcW w:w="145" w:type="pct"/>
            <w:vAlign w:val="center"/>
            <w:hideMark/>
          </w:tcPr>
          <w:p w14:paraId="7EB563E4" w14:textId="77777777" w:rsidR="00000000" w:rsidRDefault="00322B34">
            <w:pPr>
              <w:rPr>
                <w:rFonts w:eastAsia="Times New Roman"/>
                <w:sz w:val="20"/>
                <w:szCs w:val="20"/>
              </w:rPr>
            </w:pPr>
            <w:r>
              <w:rPr>
                <w:rFonts w:eastAsia="Times New Roman"/>
                <w:sz w:val="20"/>
                <w:szCs w:val="20"/>
              </w:rPr>
              <w:t> </w:t>
            </w:r>
          </w:p>
        </w:tc>
      </w:tr>
      <w:tr w:rsidR="00000000" w14:paraId="5493392A" w14:textId="77777777">
        <w:trPr>
          <w:tblCellSpacing w:w="0" w:type="dxa"/>
        </w:trPr>
        <w:tc>
          <w:tcPr>
            <w:tcW w:w="335" w:type="pct"/>
            <w:vAlign w:val="center"/>
            <w:hideMark/>
          </w:tcPr>
          <w:p w14:paraId="4030F1ED" w14:textId="77777777" w:rsidR="00000000" w:rsidRDefault="00322B34">
            <w:pPr>
              <w:rPr>
                <w:rFonts w:eastAsia="Times New Roman"/>
                <w:sz w:val="20"/>
                <w:szCs w:val="20"/>
              </w:rPr>
            </w:pPr>
            <w:r>
              <w:rPr>
                <w:rFonts w:eastAsia="Times New Roman"/>
                <w:sz w:val="20"/>
                <w:szCs w:val="20"/>
              </w:rPr>
              <w:t>Item 6.  </w:t>
            </w:r>
          </w:p>
        </w:tc>
        <w:tc>
          <w:tcPr>
            <w:tcW w:w="4155" w:type="pct"/>
            <w:vAlign w:val="center"/>
            <w:hideMark/>
          </w:tcPr>
          <w:p w14:paraId="30BDE013" w14:textId="77777777" w:rsidR="00000000" w:rsidRDefault="00322B34">
            <w:pPr>
              <w:rPr>
                <w:rFonts w:eastAsia="Times New Roman"/>
                <w:sz w:val="20"/>
                <w:szCs w:val="20"/>
              </w:rPr>
            </w:pPr>
            <w:hyperlink w:anchor="a6" w:history="1">
              <w:r>
                <w:rPr>
                  <w:rStyle w:val="a4"/>
                  <w:rFonts w:eastAsia="Times New Roman"/>
                  <w:sz w:val="20"/>
                  <w:szCs w:val="20"/>
                </w:rPr>
                <w:t>Exhibits.</w:t>
              </w:r>
            </w:hyperlink>
          </w:p>
        </w:tc>
        <w:tc>
          <w:tcPr>
            <w:tcW w:w="145" w:type="pct"/>
            <w:vAlign w:val="center"/>
            <w:hideMark/>
          </w:tcPr>
          <w:p w14:paraId="7F49FD9C" w14:textId="77777777" w:rsidR="00000000" w:rsidRDefault="00322B34">
            <w:pPr>
              <w:jc w:val="right"/>
              <w:rPr>
                <w:rFonts w:eastAsia="Times New Roman"/>
                <w:sz w:val="20"/>
                <w:szCs w:val="20"/>
              </w:rPr>
            </w:pPr>
            <w:r>
              <w:rPr>
                <w:rFonts w:eastAsia="Times New Roman"/>
                <w:sz w:val="20"/>
                <w:szCs w:val="20"/>
              </w:rPr>
              <w:t>35</w:t>
            </w:r>
          </w:p>
        </w:tc>
      </w:tr>
      <w:tr w:rsidR="00000000" w14:paraId="55312349" w14:textId="77777777">
        <w:trPr>
          <w:tblCellSpacing w:w="0" w:type="dxa"/>
        </w:trPr>
        <w:tc>
          <w:tcPr>
            <w:tcW w:w="335" w:type="pct"/>
            <w:vAlign w:val="center"/>
            <w:hideMark/>
          </w:tcPr>
          <w:p w14:paraId="2F04E4E3" w14:textId="77777777" w:rsidR="00000000" w:rsidRDefault="00322B34">
            <w:pPr>
              <w:rPr>
                <w:rFonts w:eastAsia="Times New Roman"/>
                <w:sz w:val="20"/>
                <w:szCs w:val="20"/>
              </w:rPr>
            </w:pPr>
            <w:r>
              <w:rPr>
                <w:rFonts w:eastAsia="Times New Roman"/>
                <w:sz w:val="20"/>
                <w:szCs w:val="20"/>
              </w:rPr>
              <w:t> </w:t>
            </w:r>
          </w:p>
        </w:tc>
        <w:tc>
          <w:tcPr>
            <w:tcW w:w="4155" w:type="pct"/>
            <w:vAlign w:val="center"/>
            <w:hideMark/>
          </w:tcPr>
          <w:p w14:paraId="69CDB021" w14:textId="77777777" w:rsidR="00000000" w:rsidRDefault="00322B34">
            <w:pPr>
              <w:rPr>
                <w:rFonts w:eastAsia="Times New Roman"/>
                <w:sz w:val="20"/>
                <w:szCs w:val="20"/>
              </w:rPr>
            </w:pPr>
            <w:r>
              <w:rPr>
                <w:rFonts w:eastAsia="Times New Roman"/>
                <w:sz w:val="20"/>
                <w:szCs w:val="20"/>
              </w:rPr>
              <w:t> </w:t>
            </w:r>
          </w:p>
        </w:tc>
        <w:tc>
          <w:tcPr>
            <w:tcW w:w="145" w:type="pct"/>
            <w:vAlign w:val="center"/>
            <w:hideMark/>
          </w:tcPr>
          <w:p w14:paraId="12EACFC3" w14:textId="77777777" w:rsidR="00000000" w:rsidRDefault="00322B34">
            <w:pPr>
              <w:rPr>
                <w:rFonts w:eastAsia="Times New Roman"/>
                <w:sz w:val="20"/>
                <w:szCs w:val="20"/>
              </w:rPr>
            </w:pPr>
            <w:r>
              <w:rPr>
                <w:rFonts w:eastAsia="Times New Roman"/>
                <w:sz w:val="20"/>
                <w:szCs w:val="20"/>
              </w:rPr>
              <w:t> </w:t>
            </w:r>
          </w:p>
        </w:tc>
      </w:tr>
      <w:tr w:rsidR="00000000" w14:paraId="2B29BAEE" w14:textId="77777777">
        <w:trPr>
          <w:tblCellSpacing w:w="0" w:type="dxa"/>
        </w:trPr>
        <w:tc>
          <w:tcPr>
            <w:tcW w:w="335" w:type="pct"/>
            <w:gridSpan w:val="2"/>
            <w:vAlign w:val="center"/>
            <w:hideMark/>
          </w:tcPr>
          <w:p w14:paraId="5923913E" w14:textId="77777777" w:rsidR="00000000" w:rsidRDefault="00322B34">
            <w:pPr>
              <w:rPr>
                <w:rFonts w:eastAsia="Times New Roman"/>
                <w:sz w:val="20"/>
                <w:szCs w:val="20"/>
              </w:rPr>
            </w:pPr>
            <w:hyperlink w:anchor="signatures" w:history="1">
              <w:r>
                <w:rPr>
                  <w:rStyle w:val="a4"/>
                  <w:rFonts w:eastAsia="Times New Roman"/>
                  <w:sz w:val="20"/>
                  <w:szCs w:val="20"/>
                </w:rPr>
                <w:t>Signatures</w:t>
              </w:r>
            </w:hyperlink>
          </w:p>
        </w:tc>
        <w:tc>
          <w:tcPr>
            <w:tcW w:w="145" w:type="pct"/>
            <w:vAlign w:val="center"/>
            <w:hideMark/>
          </w:tcPr>
          <w:p w14:paraId="4487DCAD" w14:textId="77777777" w:rsidR="00000000" w:rsidRDefault="00322B34">
            <w:pPr>
              <w:jc w:val="right"/>
              <w:rPr>
                <w:rFonts w:eastAsia="Times New Roman"/>
                <w:sz w:val="20"/>
                <w:szCs w:val="20"/>
              </w:rPr>
            </w:pPr>
            <w:r>
              <w:rPr>
                <w:rFonts w:eastAsia="Times New Roman"/>
                <w:sz w:val="20"/>
                <w:szCs w:val="20"/>
              </w:rPr>
              <w:t>37</w:t>
            </w:r>
          </w:p>
        </w:tc>
      </w:tr>
    </w:tbl>
    <w:p w14:paraId="7AF50D61" w14:textId="77777777" w:rsidR="00000000" w:rsidRDefault="00322B34">
      <w:pPr>
        <w:pStyle w:val="a3"/>
        <w:spacing w:before="0" w:beforeAutospacing="0" w:after="0" w:afterAutospacing="0"/>
        <w:ind w:left="144" w:right="144"/>
        <w:rPr>
          <w:sz w:val="20"/>
          <w:szCs w:val="20"/>
        </w:rPr>
      </w:pPr>
      <w:r>
        <w:rPr>
          <w:sz w:val="20"/>
          <w:szCs w:val="20"/>
        </w:rPr>
        <w:t> </w:t>
      </w:r>
    </w:p>
    <w:p w14:paraId="260F4909" w14:textId="77777777" w:rsidR="00000000" w:rsidRDefault="00322B34">
      <w:pPr>
        <w:jc w:val="center"/>
        <w:divId w:val="215118945"/>
        <w:rPr>
          <w:rFonts w:eastAsia="Times New Roman"/>
          <w:sz w:val="20"/>
          <w:szCs w:val="20"/>
        </w:rPr>
      </w:pPr>
      <w:r>
        <w:rPr>
          <w:rFonts w:eastAsia="Times New Roman"/>
          <w:sz w:val="20"/>
          <w:szCs w:val="20"/>
        </w:rPr>
        <w:t xml:space="preserve">2 </w:t>
      </w:r>
    </w:p>
    <w:p w14:paraId="3371AF6B" w14:textId="77777777" w:rsidR="00000000" w:rsidRDefault="00322B34">
      <w:pPr>
        <w:divId w:val="1008366968"/>
        <w:rPr>
          <w:rFonts w:eastAsia="Times New Roman"/>
          <w:sz w:val="20"/>
          <w:szCs w:val="20"/>
        </w:rPr>
      </w:pPr>
      <w:r>
        <w:rPr>
          <w:rFonts w:eastAsia="Times New Roman"/>
          <w:sz w:val="20"/>
          <w:szCs w:val="20"/>
        </w:rPr>
        <w:pict w14:anchorId="552660DB">
          <v:rect id="_x0000_i1030" style="width:0;height:1.5pt" o:hralign="center" o:hrstd="t" o:hr="t" fillcolor="#a0a0a0" stroked="f"/>
        </w:pict>
      </w:r>
    </w:p>
    <w:p w14:paraId="2B636AD9" w14:textId="77777777" w:rsidR="00000000" w:rsidRDefault="00322B34">
      <w:pPr>
        <w:divId w:val="17055174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006CB8B" w14:textId="77777777" w:rsidR="00000000" w:rsidRDefault="00322B34">
      <w:pPr>
        <w:pStyle w:val="a3"/>
        <w:spacing w:before="0" w:beforeAutospacing="0" w:after="0" w:afterAutospacing="0"/>
        <w:rPr>
          <w:sz w:val="20"/>
          <w:szCs w:val="20"/>
        </w:rPr>
      </w:pPr>
      <w:r>
        <w:rPr>
          <w:sz w:val="20"/>
          <w:szCs w:val="20"/>
        </w:rPr>
        <w:t> </w:t>
      </w:r>
    </w:p>
    <w:p w14:paraId="3FBB5CA0" w14:textId="77777777" w:rsidR="00000000" w:rsidRDefault="00322B34">
      <w:pPr>
        <w:divId w:val="911236395"/>
        <w:rPr>
          <w:rFonts w:eastAsia="Times New Roman"/>
          <w:sz w:val="20"/>
          <w:szCs w:val="20"/>
        </w:rPr>
      </w:pPr>
      <w:r>
        <w:rPr>
          <w:rFonts w:eastAsia="Times New Roman"/>
          <w:sz w:val="20"/>
          <w:szCs w:val="20"/>
        </w:rPr>
        <w:t xml:space="preserve">  </w:t>
      </w:r>
    </w:p>
    <w:p w14:paraId="11DD4AC2" w14:textId="77777777" w:rsidR="00000000" w:rsidRDefault="00322B34">
      <w:pPr>
        <w:pStyle w:val="a3"/>
        <w:spacing w:before="0" w:beforeAutospacing="0" w:after="0" w:afterAutospacing="0"/>
        <w:jc w:val="center"/>
        <w:rPr>
          <w:sz w:val="20"/>
          <w:szCs w:val="20"/>
        </w:rPr>
      </w:pPr>
      <w:r>
        <w:rPr>
          <w:sz w:val="20"/>
          <w:szCs w:val="20"/>
        </w:rPr>
        <w:t>KIMCO REALTY CORPORATION AND SUBSIDIARIES</w:t>
      </w:r>
    </w:p>
    <w:p w14:paraId="7189A5C7" w14:textId="77777777" w:rsidR="00000000" w:rsidRDefault="00322B34">
      <w:pPr>
        <w:pStyle w:val="a3"/>
        <w:spacing w:before="0" w:beforeAutospacing="0" w:after="0" w:afterAutospacing="0"/>
        <w:jc w:val="center"/>
        <w:rPr>
          <w:sz w:val="20"/>
          <w:szCs w:val="20"/>
        </w:rPr>
      </w:pPr>
      <w:r>
        <w:rPr>
          <w:sz w:val="20"/>
          <w:szCs w:val="20"/>
        </w:rPr>
        <w:t>CONDENSED CONSOLIDATED BALANCE SHEETS</w:t>
      </w:r>
    </w:p>
    <w:p w14:paraId="48A9B110" w14:textId="77777777" w:rsidR="00000000" w:rsidRDefault="00322B34">
      <w:pPr>
        <w:pStyle w:val="a3"/>
        <w:spacing w:before="0" w:beforeAutospacing="0" w:after="0" w:afterAutospacing="0"/>
        <w:jc w:val="center"/>
        <w:rPr>
          <w:sz w:val="20"/>
          <w:szCs w:val="20"/>
        </w:rPr>
      </w:pPr>
      <w:r>
        <w:rPr>
          <w:sz w:val="20"/>
          <w:szCs w:val="20"/>
        </w:rPr>
        <w:t>(Unaudited)</w:t>
      </w:r>
    </w:p>
    <w:p w14:paraId="30FA90B3" w14:textId="77777777" w:rsidR="00000000" w:rsidRDefault="00322B34">
      <w:pPr>
        <w:pStyle w:val="a3"/>
        <w:spacing w:before="0" w:beforeAutospacing="0" w:after="0" w:afterAutospacing="0"/>
        <w:jc w:val="center"/>
        <w:rPr>
          <w:sz w:val="20"/>
          <w:szCs w:val="20"/>
        </w:rPr>
      </w:pPr>
      <w:r>
        <w:rPr>
          <w:sz w:val="20"/>
          <w:szCs w:val="20"/>
        </w:rPr>
        <w:t>(in thousands, except share information)</w:t>
      </w:r>
    </w:p>
    <w:p w14:paraId="178DED5C" w14:textId="77777777" w:rsidR="00000000" w:rsidRDefault="00322B3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5"/>
        <w:gridCol w:w="74"/>
        <w:gridCol w:w="100"/>
        <w:gridCol w:w="988"/>
        <w:gridCol w:w="75"/>
        <w:gridCol w:w="100"/>
        <w:gridCol w:w="100"/>
        <w:gridCol w:w="989"/>
        <w:gridCol w:w="75"/>
      </w:tblGrid>
      <w:tr w:rsidR="00000000" w14:paraId="2A632343" w14:textId="77777777">
        <w:trPr>
          <w:divId w:val="85080704"/>
          <w:tblCellSpacing w:w="0" w:type="dxa"/>
        </w:trPr>
        <w:tc>
          <w:tcPr>
            <w:tcW w:w="0" w:type="auto"/>
            <w:vAlign w:val="bottom"/>
            <w:hideMark/>
          </w:tcPr>
          <w:p w14:paraId="3AD79D1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CB25DCF"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1C5C1F6" w14:textId="77777777" w:rsidR="00000000" w:rsidRDefault="00322B34">
            <w:pPr>
              <w:pStyle w:val="a3"/>
              <w:spacing w:before="0" w:beforeAutospacing="0" w:after="0" w:afterAutospacing="0"/>
              <w:jc w:val="center"/>
              <w:rPr>
                <w:sz w:val="20"/>
                <w:szCs w:val="20"/>
              </w:rPr>
            </w:pPr>
            <w:r>
              <w:rPr>
                <w:b/>
                <w:bCs/>
                <w:sz w:val="20"/>
                <w:szCs w:val="20"/>
              </w:rPr>
              <w:t>J</w:t>
            </w:r>
            <w:r>
              <w:rPr>
                <w:b/>
                <w:bCs/>
                <w:sz w:val="20"/>
                <w:szCs w:val="20"/>
              </w:rPr>
              <w:t>une 30, 2020</w:t>
            </w:r>
          </w:p>
        </w:tc>
        <w:tc>
          <w:tcPr>
            <w:tcW w:w="0" w:type="auto"/>
            <w:tcMar>
              <w:top w:w="0" w:type="dxa"/>
              <w:left w:w="0" w:type="dxa"/>
              <w:bottom w:w="15" w:type="dxa"/>
              <w:right w:w="0" w:type="dxa"/>
            </w:tcMar>
            <w:vAlign w:val="bottom"/>
            <w:hideMark/>
          </w:tcPr>
          <w:p w14:paraId="7AAEECA1"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3B8DCC4"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5FA23D9" w14:textId="77777777" w:rsidR="00000000" w:rsidRDefault="00322B34">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683DEABC" w14:textId="77777777" w:rsidR="00000000" w:rsidRDefault="00322B34">
            <w:pPr>
              <w:rPr>
                <w:rFonts w:eastAsia="Times New Roman"/>
                <w:sz w:val="20"/>
                <w:szCs w:val="20"/>
              </w:rPr>
            </w:pPr>
            <w:r>
              <w:rPr>
                <w:rFonts w:eastAsia="Times New Roman"/>
                <w:sz w:val="20"/>
                <w:szCs w:val="20"/>
              </w:rPr>
              <w:t> </w:t>
            </w:r>
          </w:p>
        </w:tc>
      </w:tr>
      <w:tr w:rsidR="00000000" w14:paraId="7E8836B9" w14:textId="77777777">
        <w:trPr>
          <w:divId w:val="85080704"/>
          <w:tblCellSpacing w:w="0" w:type="dxa"/>
        </w:trPr>
        <w:tc>
          <w:tcPr>
            <w:tcW w:w="3500" w:type="pct"/>
            <w:shd w:val="clear" w:color="auto" w:fill="CCEEFF"/>
            <w:vAlign w:val="bottom"/>
            <w:hideMark/>
          </w:tcPr>
          <w:p w14:paraId="384C8992" w14:textId="77777777" w:rsidR="00000000" w:rsidRDefault="00322B34">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14:paraId="6B4683C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3A25B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C493F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6E8D4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2ECF5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D5CBD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FA0BF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AABFAE" w14:textId="77777777" w:rsidR="00000000" w:rsidRDefault="00322B34">
            <w:pPr>
              <w:rPr>
                <w:rFonts w:eastAsia="Times New Roman"/>
                <w:sz w:val="20"/>
                <w:szCs w:val="20"/>
              </w:rPr>
            </w:pPr>
            <w:r>
              <w:rPr>
                <w:rFonts w:eastAsia="Times New Roman"/>
                <w:sz w:val="20"/>
                <w:szCs w:val="20"/>
              </w:rPr>
              <w:t> </w:t>
            </w:r>
          </w:p>
        </w:tc>
      </w:tr>
      <w:tr w:rsidR="00000000" w14:paraId="3774F318" w14:textId="77777777">
        <w:trPr>
          <w:divId w:val="85080704"/>
          <w:tblCellSpacing w:w="0" w:type="dxa"/>
        </w:trPr>
        <w:tc>
          <w:tcPr>
            <w:tcW w:w="0" w:type="auto"/>
            <w:shd w:val="clear" w:color="auto" w:fill="FFFFFF"/>
            <w:vAlign w:val="bottom"/>
            <w:hideMark/>
          </w:tcPr>
          <w:p w14:paraId="4AA8401B" w14:textId="77777777" w:rsidR="00000000" w:rsidRDefault="00322B34">
            <w:pPr>
              <w:pStyle w:val="a3"/>
              <w:spacing w:before="0" w:beforeAutospacing="0" w:after="0" w:afterAutospacing="0"/>
              <w:ind w:left="540" w:hanging="180"/>
              <w:rPr>
                <w:sz w:val="20"/>
                <w:szCs w:val="20"/>
              </w:rPr>
            </w:pPr>
            <w:r>
              <w:rPr>
                <w:sz w:val="20"/>
                <w:szCs w:val="20"/>
              </w:rPr>
              <w:t xml:space="preserve">Real estate, net of accumulated depreciation and amortization of </w:t>
            </w:r>
            <w:r>
              <w:rPr>
                <w:sz w:val="20"/>
                <w:szCs w:val="20"/>
              </w:rPr>
              <w:t>$</w:t>
            </w:r>
            <w:r>
              <w:rPr>
                <w:sz w:val="20"/>
                <w:szCs w:val="20"/>
              </w:rPr>
              <w:t>2,606,65</w:t>
            </w:r>
            <w:r>
              <w:rPr>
                <w:sz w:val="20"/>
                <w:szCs w:val="20"/>
              </w:rPr>
              <w:t>3</w:t>
            </w:r>
            <w:r>
              <w:rPr>
                <w:sz w:val="20"/>
                <w:szCs w:val="20"/>
              </w:rPr>
              <w:t xml:space="preserve"> and </w:t>
            </w:r>
            <w:r>
              <w:rPr>
                <w:sz w:val="20"/>
                <w:szCs w:val="20"/>
              </w:rPr>
              <w:t>$</w:t>
            </w:r>
            <w:r>
              <w:rPr>
                <w:sz w:val="20"/>
                <w:szCs w:val="20"/>
              </w:rPr>
              <w:t>2,500,05</w:t>
            </w:r>
            <w:r>
              <w:rPr>
                <w:sz w:val="20"/>
                <w:szCs w:val="20"/>
              </w:rPr>
              <w:t>3</w:t>
            </w:r>
            <w:r>
              <w:rPr>
                <w:sz w:val="20"/>
                <w:szCs w:val="20"/>
              </w:rPr>
              <w:t>, respectively</w:t>
            </w:r>
          </w:p>
        </w:tc>
        <w:tc>
          <w:tcPr>
            <w:tcW w:w="50" w:type="pct"/>
            <w:shd w:val="clear" w:color="auto" w:fill="FFFFFF"/>
            <w:vAlign w:val="bottom"/>
            <w:hideMark/>
          </w:tcPr>
          <w:p w14:paraId="33B0310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560F53" w14:textId="77777777" w:rsidR="00000000" w:rsidRDefault="00322B34">
            <w:pPr>
              <w:rPr>
                <w:rFonts w:eastAsia="Times New Roman"/>
                <w:sz w:val="20"/>
                <w:szCs w:val="20"/>
              </w:rPr>
            </w:pPr>
            <w:r>
              <w:rPr>
                <w:rFonts w:eastAsia="Times New Roman"/>
                <w:sz w:val="20"/>
                <w:szCs w:val="20"/>
              </w:rPr>
              <w:t>$</w:t>
            </w:r>
          </w:p>
        </w:tc>
        <w:tc>
          <w:tcPr>
            <w:tcW w:w="600" w:type="pct"/>
            <w:shd w:val="clear" w:color="auto" w:fill="FFFFFF"/>
            <w:vAlign w:val="bottom"/>
            <w:hideMark/>
          </w:tcPr>
          <w:p w14:paraId="45968997" w14:textId="77777777" w:rsidR="00000000" w:rsidRDefault="00322B34">
            <w:pPr>
              <w:jc w:val="right"/>
              <w:rPr>
                <w:rFonts w:eastAsia="Times New Roman"/>
                <w:sz w:val="20"/>
                <w:szCs w:val="20"/>
              </w:rPr>
            </w:pPr>
            <w:r>
              <w:rPr>
                <w:rFonts w:eastAsia="Times New Roman"/>
                <w:sz w:val="20"/>
                <w:szCs w:val="20"/>
              </w:rPr>
              <w:t>9,397,045</w:t>
            </w:r>
          </w:p>
        </w:tc>
        <w:tc>
          <w:tcPr>
            <w:tcW w:w="50" w:type="pct"/>
            <w:shd w:val="clear" w:color="auto" w:fill="FFFFFF"/>
            <w:vAlign w:val="bottom"/>
            <w:hideMark/>
          </w:tcPr>
          <w:p w14:paraId="3B2946A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88B54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A07176" w14:textId="77777777" w:rsidR="00000000" w:rsidRDefault="00322B34">
            <w:pPr>
              <w:rPr>
                <w:rFonts w:eastAsia="Times New Roman"/>
                <w:sz w:val="20"/>
                <w:szCs w:val="20"/>
              </w:rPr>
            </w:pPr>
            <w:r>
              <w:rPr>
                <w:rFonts w:eastAsia="Times New Roman"/>
                <w:sz w:val="20"/>
                <w:szCs w:val="20"/>
              </w:rPr>
              <w:t>$</w:t>
            </w:r>
          </w:p>
        </w:tc>
        <w:tc>
          <w:tcPr>
            <w:tcW w:w="600" w:type="pct"/>
            <w:shd w:val="clear" w:color="auto" w:fill="FFFFFF"/>
            <w:vAlign w:val="bottom"/>
            <w:hideMark/>
          </w:tcPr>
          <w:p w14:paraId="422DACEF" w14:textId="77777777" w:rsidR="00000000" w:rsidRDefault="00322B34">
            <w:pPr>
              <w:jc w:val="right"/>
              <w:rPr>
                <w:rFonts w:eastAsia="Times New Roman"/>
                <w:sz w:val="20"/>
                <w:szCs w:val="20"/>
              </w:rPr>
            </w:pPr>
            <w:r>
              <w:rPr>
                <w:rFonts w:eastAsia="Times New Roman"/>
                <w:sz w:val="20"/>
                <w:szCs w:val="20"/>
              </w:rPr>
              <w:t>9,209,053</w:t>
            </w:r>
          </w:p>
        </w:tc>
        <w:tc>
          <w:tcPr>
            <w:tcW w:w="50" w:type="pct"/>
            <w:shd w:val="clear" w:color="auto" w:fill="FFFFFF"/>
            <w:vAlign w:val="bottom"/>
            <w:hideMark/>
          </w:tcPr>
          <w:p w14:paraId="6D502A55" w14:textId="77777777" w:rsidR="00000000" w:rsidRDefault="00322B34">
            <w:pPr>
              <w:rPr>
                <w:rFonts w:eastAsia="Times New Roman"/>
                <w:sz w:val="20"/>
                <w:szCs w:val="20"/>
              </w:rPr>
            </w:pPr>
            <w:r>
              <w:rPr>
                <w:rFonts w:eastAsia="Times New Roman"/>
                <w:sz w:val="20"/>
                <w:szCs w:val="20"/>
              </w:rPr>
              <w:t> </w:t>
            </w:r>
          </w:p>
        </w:tc>
      </w:tr>
      <w:tr w:rsidR="00000000" w14:paraId="44FD04F1" w14:textId="77777777">
        <w:trPr>
          <w:divId w:val="85080704"/>
          <w:tblCellSpacing w:w="0" w:type="dxa"/>
        </w:trPr>
        <w:tc>
          <w:tcPr>
            <w:tcW w:w="0" w:type="auto"/>
            <w:shd w:val="clear" w:color="auto" w:fill="CCEEFF"/>
            <w:vAlign w:val="bottom"/>
            <w:hideMark/>
          </w:tcPr>
          <w:p w14:paraId="1C9EAF12" w14:textId="77777777" w:rsidR="00000000" w:rsidRDefault="00322B34">
            <w:pPr>
              <w:pStyle w:val="a3"/>
              <w:spacing w:before="0" w:beforeAutospacing="0" w:after="0" w:afterAutospacing="0"/>
              <w:ind w:left="360"/>
              <w:rPr>
                <w:sz w:val="20"/>
                <w:szCs w:val="20"/>
              </w:rPr>
            </w:pPr>
            <w:r>
              <w:rPr>
                <w:sz w:val="20"/>
                <w:szCs w:val="20"/>
              </w:rPr>
              <w:t>Real estate under development</w:t>
            </w:r>
          </w:p>
        </w:tc>
        <w:tc>
          <w:tcPr>
            <w:tcW w:w="50" w:type="pct"/>
            <w:shd w:val="clear" w:color="auto" w:fill="CCEEFF"/>
            <w:vAlign w:val="bottom"/>
            <w:hideMark/>
          </w:tcPr>
          <w:p w14:paraId="0EAF06B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A1E87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D5FB702" w14:textId="77777777" w:rsidR="00000000" w:rsidRDefault="00322B34">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14:paraId="1BFC8DC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D82B7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09419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025F5E7" w14:textId="77777777" w:rsidR="00000000" w:rsidRDefault="00322B34">
            <w:pPr>
              <w:jc w:val="right"/>
              <w:rPr>
                <w:rFonts w:eastAsia="Times New Roman"/>
                <w:sz w:val="20"/>
                <w:szCs w:val="20"/>
              </w:rPr>
            </w:pPr>
            <w:r>
              <w:rPr>
                <w:rFonts w:eastAsia="Times New Roman"/>
                <w:sz w:val="20"/>
                <w:szCs w:val="20"/>
              </w:rPr>
              <w:t>220,170</w:t>
            </w:r>
          </w:p>
        </w:tc>
        <w:tc>
          <w:tcPr>
            <w:tcW w:w="50" w:type="pct"/>
            <w:shd w:val="clear" w:color="auto" w:fill="CCEEFF"/>
            <w:vAlign w:val="bottom"/>
            <w:hideMark/>
          </w:tcPr>
          <w:p w14:paraId="5B5773A9" w14:textId="77777777" w:rsidR="00000000" w:rsidRDefault="00322B34">
            <w:pPr>
              <w:rPr>
                <w:rFonts w:eastAsia="Times New Roman"/>
                <w:sz w:val="20"/>
                <w:szCs w:val="20"/>
              </w:rPr>
            </w:pPr>
            <w:r>
              <w:rPr>
                <w:rFonts w:eastAsia="Times New Roman"/>
                <w:sz w:val="20"/>
                <w:szCs w:val="20"/>
              </w:rPr>
              <w:t> </w:t>
            </w:r>
          </w:p>
        </w:tc>
      </w:tr>
      <w:tr w:rsidR="00000000" w14:paraId="5192F3D1" w14:textId="77777777">
        <w:trPr>
          <w:divId w:val="85080704"/>
          <w:tblCellSpacing w:w="0" w:type="dxa"/>
        </w:trPr>
        <w:tc>
          <w:tcPr>
            <w:tcW w:w="0" w:type="auto"/>
            <w:shd w:val="clear" w:color="auto" w:fill="FFFFFF"/>
            <w:vAlign w:val="bottom"/>
            <w:hideMark/>
          </w:tcPr>
          <w:p w14:paraId="39B376A1" w14:textId="77777777" w:rsidR="00000000" w:rsidRDefault="00322B34">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14:paraId="34DAD99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DABDFD"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4B772F8" w14:textId="77777777" w:rsidR="00000000" w:rsidRDefault="00322B34">
            <w:pPr>
              <w:jc w:val="right"/>
              <w:rPr>
                <w:rFonts w:eastAsia="Times New Roman"/>
                <w:sz w:val="20"/>
                <w:szCs w:val="20"/>
              </w:rPr>
            </w:pPr>
            <w:r>
              <w:rPr>
                <w:rFonts w:eastAsia="Times New Roman"/>
                <w:sz w:val="20"/>
                <w:szCs w:val="20"/>
              </w:rPr>
              <w:t>585,363</w:t>
            </w:r>
          </w:p>
        </w:tc>
        <w:tc>
          <w:tcPr>
            <w:tcW w:w="50" w:type="pct"/>
            <w:shd w:val="clear" w:color="auto" w:fill="FFFFFF"/>
            <w:vAlign w:val="bottom"/>
            <w:hideMark/>
          </w:tcPr>
          <w:p w14:paraId="4CC268B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37048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B65C2E"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4FB2B14" w14:textId="77777777" w:rsidR="00000000" w:rsidRDefault="00322B34">
            <w:pPr>
              <w:jc w:val="right"/>
              <w:rPr>
                <w:rFonts w:eastAsia="Times New Roman"/>
                <w:sz w:val="20"/>
                <w:szCs w:val="20"/>
              </w:rPr>
            </w:pPr>
            <w:r>
              <w:rPr>
                <w:rFonts w:eastAsia="Times New Roman"/>
                <w:sz w:val="20"/>
                <w:szCs w:val="20"/>
              </w:rPr>
              <w:t>578,118</w:t>
            </w:r>
          </w:p>
        </w:tc>
        <w:tc>
          <w:tcPr>
            <w:tcW w:w="50" w:type="pct"/>
            <w:shd w:val="clear" w:color="auto" w:fill="FFFFFF"/>
            <w:vAlign w:val="bottom"/>
            <w:hideMark/>
          </w:tcPr>
          <w:p w14:paraId="52B053FD" w14:textId="77777777" w:rsidR="00000000" w:rsidRDefault="00322B34">
            <w:pPr>
              <w:rPr>
                <w:rFonts w:eastAsia="Times New Roman"/>
                <w:sz w:val="20"/>
                <w:szCs w:val="20"/>
              </w:rPr>
            </w:pPr>
            <w:r>
              <w:rPr>
                <w:rFonts w:eastAsia="Times New Roman"/>
                <w:sz w:val="20"/>
                <w:szCs w:val="20"/>
              </w:rPr>
              <w:t> </w:t>
            </w:r>
          </w:p>
        </w:tc>
      </w:tr>
      <w:tr w:rsidR="00000000" w14:paraId="6FFEE554" w14:textId="77777777">
        <w:trPr>
          <w:divId w:val="85080704"/>
          <w:tblCellSpacing w:w="0" w:type="dxa"/>
        </w:trPr>
        <w:tc>
          <w:tcPr>
            <w:tcW w:w="0" w:type="auto"/>
            <w:shd w:val="clear" w:color="auto" w:fill="CCEEFF"/>
            <w:vAlign w:val="bottom"/>
            <w:hideMark/>
          </w:tcPr>
          <w:p w14:paraId="0DA069C7" w14:textId="77777777" w:rsidR="00000000" w:rsidRDefault="00322B34">
            <w:pPr>
              <w:pStyle w:val="a3"/>
              <w:spacing w:before="0" w:beforeAutospacing="0" w:after="0" w:afterAutospacing="0"/>
              <w:ind w:left="360"/>
              <w:rPr>
                <w:sz w:val="20"/>
                <w:szCs w:val="20"/>
              </w:rPr>
            </w:pPr>
            <w:r>
              <w:rPr>
                <w:sz w:val="20"/>
                <w:szCs w:val="20"/>
              </w:rPr>
              <w:t>Other real estate investments</w:t>
            </w:r>
          </w:p>
        </w:tc>
        <w:tc>
          <w:tcPr>
            <w:tcW w:w="50" w:type="pct"/>
            <w:shd w:val="clear" w:color="auto" w:fill="CCEEFF"/>
            <w:vAlign w:val="bottom"/>
            <w:hideMark/>
          </w:tcPr>
          <w:p w14:paraId="5E06AA6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C3B9E3"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FBF0119" w14:textId="77777777" w:rsidR="00000000" w:rsidRDefault="00322B34">
            <w:pPr>
              <w:jc w:val="right"/>
              <w:rPr>
                <w:rFonts w:eastAsia="Times New Roman"/>
                <w:sz w:val="20"/>
                <w:szCs w:val="20"/>
              </w:rPr>
            </w:pPr>
            <w:r>
              <w:rPr>
                <w:rFonts w:eastAsia="Times New Roman"/>
                <w:sz w:val="20"/>
                <w:szCs w:val="20"/>
              </w:rPr>
              <w:t>176,037</w:t>
            </w:r>
          </w:p>
        </w:tc>
        <w:tc>
          <w:tcPr>
            <w:tcW w:w="50" w:type="pct"/>
            <w:shd w:val="clear" w:color="auto" w:fill="CCEEFF"/>
            <w:vAlign w:val="bottom"/>
            <w:hideMark/>
          </w:tcPr>
          <w:p w14:paraId="4D99E86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76C7B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D76AD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22B04B7" w14:textId="77777777" w:rsidR="00000000" w:rsidRDefault="00322B34">
            <w:pPr>
              <w:jc w:val="right"/>
              <w:rPr>
                <w:rFonts w:eastAsia="Times New Roman"/>
                <w:sz w:val="20"/>
                <w:szCs w:val="20"/>
              </w:rPr>
            </w:pPr>
            <w:r>
              <w:rPr>
                <w:rFonts w:eastAsia="Times New Roman"/>
                <w:sz w:val="20"/>
                <w:szCs w:val="20"/>
              </w:rPr>
              <w:t>194,400</w:t>
            </w:r>
          </w:p>
        </w:tc>
        <w:tc>
          <w:tcPr>
            <w:tcW w:w="50" w:type="pct"/>
            <w:shd w:val="clear" w:color="auto" w:fill="CCEEFF"/>
            <w:vAlign w:val="bottom"/>
            <w:hideMark/>
          </w:tcPr>
          <w:p w14:paraId="176099F4" w14:textId="77777777" w:rsidR="00000000" w:rsidRDefault="00322B34">
            <w:pPr>
              <w:rPr>
                <w:rFonts w:eastAsia="Times New Roman"/>
                <w:sz w:val="20"/>
                <w:szCs w:val="20"/>
              </w:rPr>
            </w:pPr>
            <w:r>
              <w:rPr>
                <w:rFonts w:eastAsia="Times New Roman"/>
                <w:sz w:val="20"/>
                <w:szCs w:val="20"/>
              </w:rPr>
              <w:t> </w:t>
            </w:r>
          </w:p>
        </w:tc>
      </w:tr>
      <w:tr w:rsidR="00000000" w14:paraId="0635AD38" w14:textId="77777777">
        <w:trPr>
          <w:divId w:val="85080704"/>
          <w:tblCellSpacing w:w="0" w:type="dxa"/>
        </w:trPr>
        <w:tc>
          <w:tcPr>
            <w:tcW w:w="0" w:type="auto"/>
            <w:shd w:val="clear" w:color="auto" w:fill="FFFFFF"/>
            <w:vAlign w:val="bottom"/>
            <w:hideMark/>
          </w:tcPr>
          <w:p w14:paraId="20B0B07E" w14:textId="77777777" w:rsidR="00000000" w:rsidRDefault="00322B34">
            <w:pPr>
              <w:pStyle w:val="a3"/>
              <w:spacing w:before="0" w:beforeAutospacing="0" w:after="0" w:afterAutospacing="0"/>
              <w:ind w:left="360"/>
              <w:rPr>
                <w:sz w:val="20"/>
                <w:szCs w:val="20"/>
              </w:rPr>
            </w:pPr>
            <w:r>
              <w:rPr>
                <w:sz w:val="20"/>
                <w:szCs w:val="20"/>
              </w:rPr>
              <w:t>Cash and cash equivalents</w:t>
            </w:r>
          </w:p>
        </w:tc>
        <w:tc>
          <w:tcPr>
            <w:tcW w:w="50" w:type="pct"/>
            <w:shd w:val="clear" w:color="auto" w:fill="FFFFFF"/>
            <w:vAlign w:val="bottom"/>
            <w:hideMark/>
          </w:tcPr>
          <w:p w14:paraId="356F97A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1ADA1C"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22E2D3A" w14:textId="77777777" w:rsidR="00000000" w:rsidRDefault="00322B34">
            <w:pPr>
              <w:jc w:val="right"/>
              <w:rPr>
                <w:rFonts w:eastAsia="Times New Roman"/>
                <w:sz w:val="20"/>
                <w:szCs w:val="20"/>
              </w:rPr>
            </w:pPr>
            <w:r>
              <w:rPr>
                <w:rFonts w:eastAsia="Times New Roman"/>
                <w:sz w:val="20"/>
                <w:szCs w:val="20"/>
              </w:rPr>
              <w:t>201,687</w:t>
            </w:r>
          </w:p>
        </w:tc>
        <w:tc>
          <w:tcPr>
            <w:tcW w:w="50" w:type="pct"/>
            <w:shd w:val="clear" w:color="auto" w:fill="FFFFFF"/>
            <w:vAlign w:val="bottom"/>
            <w:hideMark/>
          </w:tcPr>
          <w:p w14:paraId="0089E7B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8BCCB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399C3E"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02BBCF6" w14:textId="77777777" w:rsidR="00000000" w:rsidRDefault="00322B34">
            <w:pPr>
              <w:jc w:val="right"/>
              <w:rPr>
                <w:rFonts w:eastAsia="Times New Roman"/>
                <w:sz w:val="20"/>
                <w:szCs w:val="20"/>
              </w:rPr>
            </w:pPr>
            <w:r>
              <w:rPr>
                <w:rFonts w:eastAsia="Times New Roman"/>
                <w:sz w:val="20"/>
                <w:szCs w:val="20"/>
              </w:rPr>
              <w:t>123,947</w:t>
            </w:r>
          </w:p>
        </w:tc>
        <w:tc>
          <w:tcPr>
            <w:tcW w:w="50" w:type="pct"/>
            <w:shd w:val="clear" w:color="auto" w:fill="FFFFFF"/>
            <w:vAlign w:val="bottom"/>
            <w:hideMark/>
          </w:tcPr>
          <w:p w14:paraId="28FCD2F4" w14:textId="77777777" w:rsidR="00000000" w:rsidRDefault="00322B34">
            <w:pPr>
              <w:rPr>
                <w:rFonts w:eastAsia="Times New Roman"/>
                <w:sz w:val="20"/>
                <w:szCs w:val="20"/>
              </w:rPr>
            </w:pPr>
            <w:r>
              <w:rPr>
                <w:rFonts w:eastAsia="Times New Roman"/>
                <w:sz w:val="20"/>
                <w:szCs w:val="20"/>
              </w:rPr>
              <w:t> </w:t>
            </w:r>
          </w:p>
        </w:tc>
      </w:tr>
      <w:tr w:rsidR="00000000" w14:paraId="0367B3F9" w14:textId="77777777">
        <w:trPr>
          <w:divId w:val="85080704"/>
          <w:tblCellSpacing w:w="0" w:type="dxa"/>
        </w:trPr>
        <w:tc>
          <w:tcPr>
            <w:tcW w:w="0" w:type="auto"/>
            <w:shd w:val="clear" w:color="auto" w:fill="CCEEFF"/>
            <w:vAlign w:val="bottom"/>
            <w:hideMark/>
          </w:tcPr>
          <w:p w14:paraId="5442DF49" w14:textId="77777777" w:rsidR="00000000" w:rsidRDefault="00322B34">
            <w:pPr>
              <w:pStyle w:val="a3"/>
              <w:spacing w:before="0" w:beforeAutospacing="0" w:after="0" w:afterAutospacing="0"/>
              <w:ind w:left="360"/>
              <w:rPr>
                <w:sz w:val="20"/>
                <w:szCs w:val="20"/>
              </w:rPr>
            </w:pPr>
            <w:r>
              <w:rPr>
                <w:sz w:val="20"/>
                <w:szCs w:val="20"/>
              </w:rPr>
              <w:t>Marketable securities</w:t>
            </w:r>
          </w:p>
        </w:tc>
        <w:tc>
          <w:tcPr>
            <w:tcW w:w="50" w:type="pct"/>
            <w:shd w:val="clear" w:color="auto" w:fill="CCEEFF"/>
            <w:vAlign w:val="bottom"/>
            <w:hideMark/>
          </w:tcPr>
          <w:p w14:paraId="247CD83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7FE157"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8F4B042" w14:textId="77777777" w:rsidR="00000000" w:rsidRDefault="00322B34">
            <w:pPr>
              <w:jc w:val="right"/>
              <w:rPr>
                <w:rFonts w:eastAsia="Times New Roman"/>
                <w:sz w:val="20"/>
                <w:szCs w:val="20"/>
              </w:rPr>
            </w:pPr>
            <w:r>
              <w:rPr>
                <w:rFonts w:eastAsia="Times New Roman"/>
                <w:sz w:val="20"/>
                <w:szCs w:val="20"/>
              </w:rPr>
              <w:t>633,551</w:t>
            </w:r>
          </w:p>
        </w:tc>
        <w:tc>
          <w:tcPr>
            <w:tcW w:w="50" w:type="pct"/>
            <w:shd w:val="clear" w:color="auto" w:fill="CCEEFF"/>
            <w:vAlign w:val="bottom"/>
            <w:hideMark/>
          </w:tcPr>
          <w:p w14:paraId="7E1A8BC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71F74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29889C"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A6AACA0" w14:textId="77777777" w:rsidR="00000000" w:rsidRDefault="00322B34">
            <w:pPr>
              <w:jc w:val="right"/>
              <w:rPr>
                <w:rFonts w:eastAsia="Times New Roman"/>
                <w:sz w:val="20"/>
                <w:szCs w:val="20"/>
              </w:rPr>
            </w:pPr>
            <w:r>
              <w:rPr>
                <w:rFonts w:eastAsia="Times New Roman"/>
                <w:sz w:val="20"/>
                <w:szCs w:val="20"/>
              </w:rPr>
              <w:t>9,353</w:t>
            </w:r>
          </w:p>
        </w:tc>
        <w:tc>
          <w:tcPr>
            <w:tcW w:w="50" w:type="pct"/>
            <w:shd w:val="clear" w:color="auto" w:fill="CCEEFF"/>
            <w:vAlign w:val="bottom"/>
            <w:hideMark/>
          </w:tcPr>
          <w:p w14:paraId="496D5BCD" w14:textId="77777777" w:rsidR="00000000" w:rsidRDefault="00322B34">
            <w:pPr>
              <w:rPr>
                <w:rFonts w:eastAsia="Times New Roman"/>
                <w:sz w:val="20"/>
                <w:szCs w:val="20"/>
              </w:rPr>
            </w:pPr>
            <w:r>
              <w:rPr>
                <w:rFonts w:eastAsia="Times New Roman"/>
                <w:sz w:val="20"/>
                <w:szCs w:val="20"/>
              </w:rPr>
              <w:t> </w:t>
            </w:r>
          </w:p>
        </w:tc>
      </w:tr>
      <w:tr w:rsidR="00000000" w14:paraId="2D9401A0" w14:textId="77777777">
        <w:trPr>
          <w:divId w:val="85080704"/>
          <w:tblCellSpacing w:w="0" w:type="dxa"/>
        </w:trPr>
        <w:tc>
          <w:tcPr>
            <w:tcW w:w="0" w:type="auto"/>
            <w:shd w:val="clear" w:color="auto" w:fill="FFFFFF"/>
            <w:vAlign w:val="bottom"/>
            <w:hideMark/>
          </w:tcPr>
          <w:p w14:paraId="3C700B88" w14:textId="77777777" w:rsidR="00000000" w:rsidRDefault="00322B34">
            <w:pPr>
              <w:pStyle w:val="a3"/>
              <w:spacing w:before="0" w:beforeAutospacing="0" w:after="0" w:afterAutospacing="0"/>
              <w:ind w:left="360"/>
              <w:rPr>
                <w:sz w:val="20"/>
                <w:szCs w:val="20"/>
              </w:rPr>
            </w:pPr>
            <w:r>
              <w:rPr>
                <w:sz w:val="20"/>
                <w:szCs w:val="20"/>
              </w:rPr>
              <w:t>Accounts and notes receivable, net</w:t>
            </w:r>
          </w:p>
        </w:tc>
        <w:tc>
          <w:tcPr>
            <w:tcW w:w="50" w:type="pct"/>
            <w:shd w:val="clear" w:color="auto" w:fill="FFFFFF"/>
            <w:vAlign w:val="bottom"/>
            <w:hideMark/>
          </w:tcPr>
          <w:p w14:paraId="3177437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63E4A7"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E47ABE4" w14:textId="77777777" w:rsidR="00000000" w:rsidRDefault="00322B34">
            <w:pPr>
              <w:jc w:val="right"/>
              <w:rPr>
                <w:rFonts w:eastAsia="Times New Roman"/>
                <w:sz w:val="20"/>
                <w:szCs w:val="20"/>
              </w:rPr>
            </w:pPr>
            <w:r>
              <w:rPr>
                <w:rFonts w:eastAsia="Times New Roman"/>
                <w:sz w:val="20"/>
                <w:szCs w:val="20"/>
              </w:rPr>
              <w:t>250,150</w:t>
            </w:r>
          </w:p>
        </w:tc>
        <w:tc>
          <w:tcPr>
            <w:tcW w:w="50" w:type="pct"/>
            <w:shd w:val="clear" w:color="auto" w:fill="FFFFFF"/>
            <w:vAlign w:val="bottom"/>
            <w:hideMark/>
          </w:tcPr>
          <w:p w14:paraId="7E9A1FC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C1AF8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774AF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983FB36" w14:textId="77777777" w:rsidR="00000000" w:rsidRDefault="00322B34">
            <w:pPr>
              <w:jc w:val="right"/>
              <w:rPr>
                <w:rFonts w:eastAsia="Times New Roman"/>
                <w:sz w:val="20"/>
                <w:szCs w:val="20"/>
              </w:rPr>
            </w:pPr>
            <w:r>
              <w:rPr>
                <w:rFonts w:eastAsia="Times New Roman"/>
                <w:sz w:val="20"/>
                <w:szCs w:val="20"/>
              </w:rPr>
              <w:t>218,689</w:t>
            </w:r>
          </w:p>
        </w:tc>
        <w:tc>
          <w:tcPr>
            <w:tcW w:w="50" w:type="pct"/>
            <w:shd w:val="clear" w:color="auto" w:fill="FFFFFF"/>
            <w:vAlign w:val="bottom"/>
            <w:hideMark/>
          </w:tcPr>
          <w:p w14:paraId="57492EC4" w14:textId="77777777" w:rsidR="00000000" w:rsidRDefault="00322B34">
            <w:pPr>
              <w:rPr>
                <w:rFonts w:eastAsia="Times New Roman"/>
                <w:sz w:val="20"/>
                <w:szCs w:val="20"/>
              </w:rPr>
            </w:pPr>
            <w:r>
              <w:rPr>
                <w:rFonts w:eastAsia="Times New Roman"/>
                <w:sz w:val="20"/>
                <w:szCs w:val="20"/>
              </w:rPr>
              <w:t> </w:t>
            </w:r>
          </w:p>
        </w:tc>
      </w:tr>
      <w:tr w:rsidR="00000000" w14:paraId="42F0793E" w14:textId="77777777">
        <w:trPr>
          <w:divId w:val="85080704"/>
          <w:tblCellSpacing w:w="0" w:type="dxa"/>
        </w:trPr>
        <w:tc>
          <w:tcPr>
            <w:tcW w:w="0" w:type="auto"/>
            <w:shd w:val="clear" w:color="auto" w:fill="CCEEFF"/>
            <w:vAlign w:val="bottom"/>
            <w:hideMark/>
          </w:tcPr>
          <w:p w14:paraId="220F2A99" w14:textId="77777777" w:rsidR="00000000" w:rsidRDefault="00322B34">
            <w:pPr>
              <w:pStyle w:val="a3"/>
              <w:spacing w:before="0" w:beforeAutospacing="0" w:after="0" w:afterAutospacing="0"/>
              <w:ind w:left="360"/>
              <w:rPr>
                <w:sz w:val="20"/>
                <w:szCs w:val="20"/>
              </w:rPr>
            </w:pPr>
            <w:r>
              <w:rPr>
                <w:sz w:val="20"/>
                <w:szCs w:val="20"/>
              </w:rPr>
              <w:t>Operating lease right-of-use assets, net</w:t>
            </w:r>
          </w:p>
        </w:tc>
        <w:tc>
          <w:tcPr>
            <w:tcW w:w="50" w:type="pct"/>
            <w:shd w:val="clear" w:color="auto" w:fill="CCEEFF"/>
            <w:vAlign w:val="bottom"/>
            <w:hideMark/>
          </w:tcPr>
          <w:p w14:paraId="3AE1F06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D0311B"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5F88731" w14:textId="77777777" w:rsidR="00000000" w:rsidRDefault="00322B34">
            <w:pPr>
              <w:jc w:val="right"/>
              <w:rPr>
                <w:rFonts w:eastAsia="Times New Roman"/>
                <w:sz w:val="20"/>
                <w:szCs w:val="20"/>
              </w:rPr>
            </w:pPr>
            <w:r>
              <w:rPr>
                <w:rFonts w:eastAsia="Times New Roman"/>
                <w:sz w:val="20"/>
                <w:szCs w:val="20"/>
              </w:rPr>
              <w:t>96,437</w:t>
            </w:r>
          </w:p>
        </w:tc>
        <w:tc>
          <w:tcPr>
            <w:tcW w:w="50" w:type="pct"/>
            <w:shd w:val="clear" w:color="auto" w:fill="CCEEFF"/>
            <w:vAlign w:val="bottom"/>
            <w:hideMark/>
          </w:tcPr>
          <w:p w14:paraId="1A6726F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4F76A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86B33D"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3970034" w14:textId="77777777" w:rsidR="00000000" w:rsidRDefault="00322B34">
            <w:pPr>
              <w:jc w:val="right"/>
              <w:rPr>
                <w:rFonts w:eastAsia="Times New Roman"/>
                <w:sz w:val="20"/>
                <w:szCs w:val="20"/>
              </w:rPr>
            </w:pPr>
            <w:r>
              <w:rPr>
                <w:rFonts w:eastAsia="Times New Roman"/>
                <w:sz w:val="20"/>
                <w:szCs w:val="20"/>
              </w:rPr>
              <w:t>99,125</w:t>
            </w:r>
          </w:p>
        </w:tc>
        <w:tc>
          <w:tcPr>
            <w:tcW w:w="50" w:type="pct"/>
            <w:shd w:val="clear" w:color="auto" w:fill="CCEEFF"/>
            <w:vAlign w:val="bottom"/>
            <w:hideMark/>
          </w:tcPr>
          <w:p w14:paraId="02EFC1F5" w14:textId="77777777" w:rsidR="00000000" w:rsidRDefault="00322B34">
            <w:pPr>
              <w:rPr>
                <w:rFonts w:eastAsia="Times New Roman"/>
                <w:sz w:val="20"/>
                <w:szCs w:val="20"/>
              </w:rPr>
            </w:pPr>
            <w:r>
              <w:rPr>
                <w:rFonts w:eastAsia="Times New Roman"/>
                <w:sz w:val="20"/>
                <w:szCs w:val="20"/>
              </w:rPr>
              <w:t> </w:t>
            </w:r>
          </w:p>
        </w:tc>
      </w:tr>
      <w:tr w:rsidR="00000000" w14:paraId="5DA91EA2" w14:textId="77777777">
        <w:trPr>
          <w:divId w:val="85080704"/>
          <w:tblCellSpacing w:w="0" w:type="dxa"/>
        </w:trPr>
        <w:tc>
          <w:tcPr>
            <w:tcW w:w="0" w:type="auto"/>
            <w:shd w:val="clear" w:color="auto" w:fill="FFFFFF"/>
            <w:vAlign w:val="bottom"/>
            <w:hideMark/>
          </w:tcPr>
          <w:p w14:paraId="1E6823EF" w14:textId="77777777" w:rsidR="00000000" w:rsidRDefault="00322B34">
            <w:pPr>
              <w:pStyle w:val="a3"/>
              <w:spacing w:before="0" w:beforeAutospacing="0" w:after="0" w:afterAutospacing="0"/>
              <w:ind w:left="360"/>
              <w:rPr>
                <w:sz w:val="20"/>
                <w:szCs w:val="20"/>
              </w:rPr>
            </w:pPr>
            <w:r>
              <w:rPr>
                <w:sz w:val="20"/>
                <w:szCs w:val="20"/>
              </w:rPr>
              <w:t>Other assets</w:t>
            </w:r>
          </w:p>
        </w:tc>
        <w:tc>
          <w:tcPr>
            <w:tcW w:w="50" w:type="pct"/>
            <w:shd w:val="clear" w:color="auto" w:fill="FFFFFF"/>
            <w:tcMar>
              <w:top w:w="0" w:type="dxa"/>
              <w:left w:w="0" w:type="dxa"/>
              <w:bottom w:w="15" w:type="dxa"/>
              <w:right w:w="0" w:type="dxa"/>
            </w:tcMar>
            <w:vAlign w:val="bottom"/>
            <w:hideMark/>
          </w:tcPr>
          <w:p w14:paraId="1C373B3A"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DE7EAC7"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5268B71" w14:textId="77777777" w:rsidR="00000000" w:rsidRDefault="00322B34">
            <w:pPr>
              <w:jc w:val="right"/>
              <w:rPr>
                <w:rFonts w:eastAsia="Times New Roman"/>
                <w:sz w:val="20"/>
                <w:szCs w:val="20"/>
              </w:rPr>
            </w:pPr>
            <w:r>
              <w:rPr>
                <w:rFonts w:eastAsia="Times New Roman"/>
                <w:sz w:val="20"/>
                <w:szCs w:val="20"/>
              </w:rPr>
              <w:t>214,028</w:t>
            </w:r>
          </w:p>
        </w:tc>
        <w:tc>
          <w:tcPr>
            <w:tcW w:w="50" w:type="pct"/>
            <w:shd w:val="clear" w:color="auto" w:fill="FFFFFF"/>
            <w:tcMar>
              <w:top w:w="0" w:type="dxa"/>
              <w:left w:w="0" w:type="dxa"/>
              <w:bottom w:w="15" w:type="dxa"/>
              <w:right w:w="0" w:type="dxa"/>
            </w:tcMar>
            <w:vAlign w:val="bottom"/>
            <w:hideMark/>
          </w:tcPr>
          <w:p w14:paraId="02C03BE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23C6DC32"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EFA2463"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D52B99C" w14:textId="77777777" w:rsidR="00000000" w:rsidRDefault="00322B34">
            <w:pPr>
              <w:jc w:val="right"/>
              <w:rPr>
                <w:rFonts w:eastAsia="Times New Roman"/>
                <w:sz w:val="20"/>
                <w:szCs w:val="20"/>
              </w:rPr>
            </w:pPr>
            <w:r>
              <w:rPr>
                <w:rFonts w:eastAsia="Times New Roman"/>
                <w:sz w:val="20"/>
                <w:szCs w:val="20"/>
              </w:rPr>
              <w:t>345,012</w:t>
            </w:r>
          </w:p>
        </w:tc>
        <w:tc>
          <w:tcPr>
            <w:tcW w:w="50" w:type="pct"/>
            <w:shd w:val="clear" w:color="auto" w:fill="FFFFFF"/>
            <w:tcMar>
              <w:top w:w="0" w:type="dxa"/>
              <w:left w:w="0" w:type="dxa"/>
              <w:bottom w:w="15" w:type="dxa"/>
              <w:right w:w="0" w:type="dxa"/>
            </w:tcMar>
            <w:vAlign w:val="bottom"/>
            <w:hideMark/>
          </w:tcPr>
          <w:p w14:paraId="69A79918" w14:textId="77777777" w:rsidR="00000000" w:rsidRDefault="00322B34">
            <w:pPr>
              <w:rPr>
                <w:rFonts w:eastAsia="Times New Roman"/>
                <w:sz w:val="20"/>
                <w:szCs w:val="20"/>
              </w:rPr>
            </w:pPr>
            <w:r>
              <w:rPr>
                <w:rFonts w:eastAsia="Times New Roman"/>
                <w:sz w:val="20"/>
                <w:szCs w:val="20"/>
              </w:rPr>
              <w:t> </w:t>
            </w:r>
          </w:p>
        </w:tc>
      </w:tr>
      <w:tr w:rsidR="00000000" w14:paraId="18D33762" w14:textId="77777777">
        <w:trPr>
          <w:divId w:val="85080704"/>
          <w:tblCellSpacing w:w="0" w:type="dxa"/>
        </w:trPr>
        <w:tc>
          <w:tcPr>
            <w:tcW w:w="0" w:type="auto"/>
            <w:shd w:val="clear" w:color="auto" w:fill="CCEEFF"/>
            <w:vAlign w:val="bottom"/>
            <w:hideMark/>
          </w:tcPr>
          <w:p w14:paraId="3C0922CA" w14:textId="77777777" w:rsidR="00000000" w:rsidRDefault="00322B34">
            <w:pPr>
              <w:pStyle w:val="a3"/>
              <w:spacing w:before="0" w:beforeAutospacing="0" w:after="0" w:afterAutospacing="0"/>
              <w:rPr>
                <w:sz w:val="20"/>
                <w:szCs w:val="20"/>
              </w:rPr>
            </w:pPr>
            <w:r>
              <w:rPr>
                <w:sz w:val="20"/>
                <w:szCs w:val="20"/>
              </w:rPr>
              <w:t>Total assets (1)</w:t>
            </w:r>
          </w:p>
        </w:tc>
        <w:tc>
          <w:tcPr>
            <w:tcW w:w="50" w:type="pct"/>
            <w:shd w:val="clear" w:color="auto" w:fill="CCEEFF"/>
            <w:vAlign w:val="bottom"/>
            <w:hideMark/>
          </w:tcPr>
          <w:p w14:paraId="4588757A"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F0F97D9" w14:textId="77777777" w:rsidR="00000000" w:rsidRDefault="00322B3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34412118" w14:textId="77777777" w:rsidR="00000000" w:rsidRDefault="00322B34">
            <w:pPr>
              <w:jc w:val="right"/>
              <w:rPr>
                <w:rFonts w:eastAsia="Times New Roman"/>
                <w:sz w:val="20"/>
                <w:szCs w:val="20"/>
              </w:rPr>
            </w:pPr>
            <w:r>
              <w:rPr>
                <w:rFonts w:eastAsia="Times New Roman"/>
                <w:sz w:val="20"/>
                <w:szCs w:val="20"/>
              </w:rPr>
              <w:t>11,559,970</w:t>
            </w:r>
          </w:p>
        </w:tc>
        <w:tc>
          <w:tcPr>
            <w:tcW w:w="50" w:type="pct"/>
            <w:shd w:val="clear" w:color="auto" w:fill="CCEEFF"/>
            <w:tcMar>
              <w:top w:w="0" w:type="dxa"/>
              <w:left w:w="0" w:type="dxa"/>
              <w:bottom w:w="45" w:type="dxa"/>
              <w:right w:w="0" w:type="dxa"/>
            </w:tcMar>
            <w:vAlign w:val="bottom"/>
            <w:hideMark/>
          </w:tcPr>
          <w:p w14:paraId="419F779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BB24C9"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F7EF974" w14:textId="77777777" w:rsidR="00000000" w:rsidRDefault="00322B3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3534A717" w14:textId="77777777" w:rsidR="00000000" w:rsidRDefault="00322B34">
            <w:pPr>
              <w:jc w:val="right"/>
              <w:rPr>
                <w:rFonts w:eastAsia="Times New Roman"/>
                <w:sz w:val="20"/>
                <w:szCs w:val="20"/>
              </w:rPr>
            </w:pPr>
            <w:r>
              <w:rPr>
                <w:rFonts w:eastAsia="Times New Roman"/>
                <w:sz w:val="20"/>
                <w:szCs w:val="20"/>
              </w:rPr>
              <w:t>10,997,867</w:t>
            </w:r>
          </w:p>
        </w:tc>
        <w:tc>
          <w:tcPr>
            <w:tcW w:w="50" w:type="pct"/>
            <w:shd w:val="clear" w:color="auto" w:fill="CCEEFF"/>
            <w:tcMar>
              <w:top w:w="0" w:type="dxa"/>
              <w:left w:w="0" w:type="dxa"/>
              <w:bottom w:w="45" w:type="dxa"/>
              <w:right w:w="0" w:type="dxa"/>
            </w:tcMar>
            <w:vAlign w:val="bottom"/>
            <w:hideMark/>
          </w:tcPr>
          <w:p w14:paraId="3FFAEFED" w14:textId="77777777" w:rsidR="00000000" w:rsidRDefault="00322B34">
            <w:pPr>
              <w:rPr>
                <w:rFonts w:eastAsia="Times New Roman"/>
                <w:sz w:val="20"/>
                <w:szCs w:val="20"/>
              </w:rPr>
            </w:pPr>
            <w:r>
              <w:rPr>
                <w:rFonts w:eastAsia="Times New Roman"/>
                <w:sz w:val="20"/>
                <w:szCs w:val="20"/>
              </w:rPr>
              <w:t> </w:t>
            </w:r>
          </w:p>
        </w:tc>
      </w:tr>
      <w:tr w:rsidR="00000000" w14:paraId="057CC72A" w14:textId="77777777">
        <w:trPr>
          <w:divId w:val="85080704"/>
          <w:tblCellSpacing w:w="0" w:type="dxa"/>
        </w:trPr>
        <w:tc>
          <w:tcPr>
            <w:tcW w:w="0" w:type="auto"/>
            <w:shd w:val="clear" w:color="auto" w:fill="FFFFFF"/>
            <w:vAlign w:val="bottom"/>
            <w:hideMark/>
          </w:tcPr>
          <w:p w14:paraId="7A006DB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7EBBE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FBA1C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7B0C5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9446E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712E1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00F85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4454B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719C0F" w14:textId="77777777" w:rsidR="00000000" w:rsidRDefault="00322B34">
            <w:pPr>
              <w:rPr>
                <w:rFonts w:eastAsia="Times New Roman"/>
                <w:sz w:val="20"/>
                <w:szCs w:val="20"/>
              </w:rPr>
            </w:pPr>
            <w:r>
              <w:rPr>
                <w:rFonts w:eastAsia="Times New Roman"/>
                <w:sz w:val="20"/>
                <w:szCs w:val="20"/>
              </w:rPr>
              <w:t> </w:t>
            </w:r>
          </w:p>
        </w:tc>
      </w:tr>
      <w:tr w:rsidR="00000000" w14:paraId="6A092557" w14:textId="77777777">
        <w:trPr>
          <w:divId w:val="85080704"/>
          <w:tblCellSpacing w:w="0" w:type="dxa"/>
        </w:trPr>
        <w:tc>
          <w:tcPr>
            <w:tcW w:w="0" w:type="auto"/>
            <w:shd w:val="clear" w:color="auto" w:fill="CCEEFF"/>
            <w:vAlign w:val="bottom"/>
            <w:hideMark/>
          </w:tcPr>
          <w:p w14:paraId="1EF15653" w14:textId="77777777" w:rsidR="00000000" w:rsidRDefault="00322B34">
            <w:pPr>
              <w:pStyle w:val="a3"/>
              <w:spacing w:before="0" w:beforeAutospacing="0" w:after="0" w:afterAutospacing="0"/>
              <w:rPr>
                <w:sz w:val="20"/>
                <w:szCs w:val="20"/>
              </w:rPr>
            </w:pPr>
            <w:r>
              <w:rPr>
                <w:sz w:val="20"/>
                <w:szCs w:val="20"/>
              </w:rPr>
              <w:t>Liabilities:</w:t>
            </w:r>
          </w:p>
        </w:tc>
        <w:tc>
          <w:tcPr>
            <w:tcW w:w="0" w:type="auto"/>
            <w:shd w:val="clear" w:color="auto" w:fill="CCEEFF"/>
            <w:vAlign w:val="bottom"/>
            <w:hideMark/>
          </w:tcPr>
          <w:p w14:paraId="2B896D3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30BB1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872E5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097B2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C7305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96158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C5B8E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5391B1" w14:textId="77777777" w:rsidR="00000000" w:rsidRDefault="00322B34">
            <w:pPr>
              <w:rPr>
                <w:rFonts w:eastAsia="Times New Roman"/>
                <w:sz w:val="20"/>
                <w:szCs w:val="20"/>
              </w:rPr>
            </w:pPr>
            <w:r>
              <w:rPr>
                <w:rFonts w:eastAsia="Times New Roman"/>
                <w:sz w:val="20"/>
                <w:szCs w:val="20"/>
              </w:rPr>
              <w:t> </w:t>
            </w:r>
          </w:p>
        </w:tc>
      </w:tr>
      <w:tr w:rsidR="00000000" w14:paraId="70FC27A8" w14:textId="77777777">
        <w:trPr>
          <w:divId w:val="85080704"/>
          <w:tblCellSpacing w:w="0" w:type="dxa"/>
        </w:trPr>
        <w:tc>
          <w:tcPr>
            <w:tcW w:w="0" w:type="auto"/>
            <w:shd w:val="clear" w:color="auto" w:fill="FFFFFF"/>
            <w:vAlign w:val="bottom"/>
            <w:hideMark/>
          </w:tcPr>
          <w:p w14:paraId="7BEA65F9" w14:textId="77777777" w:rsidR="00000000" w:rsidRDefault="00322B34">
            <w:pPr>
              <w:pStyle w:val="a3"/>
              <w:spacing w:before="0" w:beforeAutospacing="0" w:after="0" w:afterAutospacing="0"/>
              <w:ind w:left="360"/>
              <w:rPr>
                <w:sz w:val="20"/>
                <w:szCs w:val="20"/>
              </w:rPr>
            </w:pPr>
            <w:r>
              <w:rPr>
                <w:sz w:val="20"/>
                <w:szCs w:val="20"/>
              </w:rPr>
              <w:t>Notes payable, net</w:t>
            </w:r>
          </w:p>
        </w:tc>
        <w:tc>
          <w:tcPr>
            <w:tcW w:w="50" w:type="pct"/>
            <w:shd w:val="clear" w:color="auto" w:fill="FFFFFF"/>
            <w:vAlign w:val="bottom"/>
            <w:hideMark/>
          </w:tcPr>
          <w:p w14:paraId="6A570CD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93CECC" w14:textId="77777777" w:rsidR="00000000" w:rsidRDefault="00322B34">
            <w:pPr>
              <w:rPr>
                <w:rFonts w:eastAsia="Times New Roman"/>
                <w:sz w:val="20"/>
                <w:szCs w:val="20"/>
              </w:rPr>
            </w:pPr>
            <w:r>
              <w:rPr>
                <w:rFonts w:eastAsia="Times New Roman"/>
                <w:sz w:val="20"/>
                <w:szCs w:val="20"/>
              </w:rPr>
              <w:t>$</w:t>
            </w:r>
          </w:p>
        </w:tc>
        <w:tc>
          <w:tcPr>
            <w:tcW w:w="600" w:type="pct"/>
            <w:shd w:val="clear" w:color="auto" w:fill="FFFFFF"/>
            <w:vAlign w:val="bottom"/>
            <w:hideMark/>
          </w:tcPr>
          <w:p w14:paraId="49714146" w14:textId="77777777" w:rsidR="00000000" w:rsidRDefault="00322B34">
            <w:pPr>
              <w:jc w:val="right"/>
              <w:rPr>
                <w:rFonts w:eastAsia="Times New Roman"/>
                <w:sz w:val="20"/>
                <w:szCs w:val="20"/>
              </w:rPr>
            </w:pPr>
            <w:r>
              <w:rPr>
                <w:rFonts w:eastAsia="Times New Roman"/>
                <w:sz w:val="20"/>
                <w:szCs w:val="20"/>
              </w:rPr>
              <w:t>4,961,972</w:t>
            </w:r>
          </w:p>
        </w:tc>
        <w:tc>
          <w:tcPr>
            <w:tcW w:w="50" w:type="pct"/>
            <w:shd w:val="clear" w:color="auto" w:fill="FFFFFF"/>
            <w:vAlign w:val="bottom"/>
            <w:hideMark/>
          </w:tcPr>
          <w:p w14:paraId="18E1FA1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4502A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838B85" w14:textId="77777777" w:rsidR="00000000" w:rsidRDefault="00322B34">
            <w:pPr>
              <w:rPr>
                <w:rFonts w:eastAsia="Times New Roman"/>
                <w:sz w:val="20"/>
                <w:szCs w:val="20"/>
              </w:rPr>
            </w:pPr>
            <w:r>
              <w:rPr>
                <w:rFonts w:eastAsia="Times New Roman"/>
                <w:sz w:val="20"/>
                <w:szCs w:val="20"/>
              </w:rPr>
              <w:t>$</w:t>
            </w:r>
          </w:p>
        </w:tc>
        <w:tc>
          <w:tcPr>
            <w:tcW w:w="600" w:type="pct"/>
            <w:shd w:val="clear" w:color="auto" w:fill="FFFFFF"/>
            <w:vAlign w:val="bottom"/>
            <w:hideMark/>
          </w:tcPr>
          <w:p w14:paraId="6B8C58C3" w14:textId="77777777" w:rsidR="00000000" w:rsidRDefault="00322B34">
            <w:pPr>
              <w:jc w:val="right"/>
              <w:rPr>
                <w:rFonts w:eastAsia="Times New Roman"/>
                <w:sz w:val="20"/>
                <w:szCs w:val="20"/>
              </w:rPr>
            </w:pPr>
            <w:r>
              <w:rPr>
                <w:rFonts w:eastAsia="Times New Roman"/>
                <w:sz w:val="20"/>
                <w:szCs w:val="20"/>
              </w:rPr>
              <w:t>4,831,759</w:t>
            </w:r>
          </w:p>
        </w:tc>
        <w:tc>
          <w:tcPr>
            <w:tcW w:w="50" w:type="pct"/>
            <w:shd w:val="clear" w:color="auto" w:fill="FFFFFF"/>
            <w:vAlign w:val="bottom"/>
            <w:hideMark/>
          </w:tcPr>
          <w:p w14:paraId="02361CD1" w14:textId="77777777" w:rsidR="00000000" w:rsidRDefault="00322B34">
            <w:pPr>
              <w:rPr>
                <w:rFonts w:eastAsia="Times New Roman"/>
                <w:sz w:val="20"/>
                <w:szCs w:val="20"/>
              </w:rPr>
            </w:pPr>
            <w:r>
              <w:rPr>
                <w:rFonts w:eastAsia="Times New Roman"/>
                <w:sz w:val="20"/>
                <w:szCs w:val="20"/>
              </w:rPr>
              <w:t> </w:t>
            </w:r>
          </w:p>
        </w:tc>
      </w:tr>
      <w:tr w:rsidR="00000000" w14:paraId="3D37DCEC" w14:textId="77777777">
        <w:trPr>
          <w:divId w:val="85080704"/>
          <w:tblCellSpacing w:w="0" w:type="dxa"/>
        </w:trPr>
        <w:tc>
          <w:tcPr>
            <w:tcW w:w="0" w:type="auto"/>
            <w:shd w:val="clear" w:color="auto" w:fill="CCEEFF"/>
            <w:vAlign w:val="bottom"/>
            <w:hideMark/>
          </w:tcPr>
          <w:p w14:paraId="148A5EE8" w14:textId="77777777" w:rsidR="00000000" w:rsidRDefault="00322B34">
            <w:pPr>
              <w:pStyle w:val="a3"/>
              <w:spacing w:before="0" w:beforeAutospacing="0" w:after="0" w:afterAutospacing="0"/>
              <w:ind w:left="360"/>
              <w:rPr>
                <w:sz w:val="20"/>
                <w:szCs w:val="20"/>
              </w:rPr>
            </w:pPr>
            <w:r>
              <w:rPr>
                <w:sz w:val="20"/>
                <w:szCs w:val="20"/>
              </w:rPr>
              <w:t>Mortgages and construction loan payable, net</w:t>
            </w:r>
          </w:p>
        </w:tc>
        <w:tc>
          <w:tcPr>
            <w:tcW w:w="50" w:type="pct"/>
            <w:shd w:val="clear" w:color="auto" w:fill="CCEEFF"/>
            <w:vAlign w:val="bottom"/>
            <w:hideMark/>
          </w:tcPr>
          <w:p w14:paraId="1B67B30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4C486B"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D831D25" w14:textId="77777777" w:rsidR="00000000" w:rsidRDefault="00322B34">
            <w:pPr>
              <w:jc w:val="right"/>
              <w:rPr>
                <w:rFonts w:eastAsia="Times New Roman"/>
                <w:sz w:val="20"/>
                <w:szCs w:val="20"/>
              </w:rPr>
            </w:pPr>
            <w:r>
              <w:rPr>
                <w:rFonts w:eastAsia="Times New Roman"/>
                <w:sz w:val="20"/>
                <w:szCs w:val="20"/>
              </w:rPr>
              <w:t>388,406</w:t>
            </w:r>
          </w:p>
        </w:tc>
        <w:tc>
          <w:tcPr>
            <w:tcW w:w="50" w:type="pct"/>
            <w:shd w:val="clear" w:color="auto" w:fill="CCEEFF"/>
            <w:vAlign w:val="bottom"/>
            <w:hideMark/>
          </w:tcPr>
          <w:p w14:paraId="1A01DA0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16F4B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B81CEE"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53A8C43" w14:textId="77777777" w:rsidR="00000000" w:rsidRDefault="00322B34">
            <w:pPr>
              <w:jc w:val="right"/>
              <w:rPr>
                <w:rFonts w:eastAsia="Times New Roman"/>
                <w:sz w:val="20"/>
                <w:szCs w:val="20"/>
              </w:rPr>
            </w:pPr>
            <w:r>
              <w:rPr>
                <w:rFonts w:eastAsia="Times New Roman"/>
                <w:sz w:val="20"/>
                <w:szCs w:val="20"/>
              </w:rPr>
              <w:t>484,008</w:t>
            </w:r>
          </w:p>
        </w:tc>
        <w:tc>
          <w:tcPr>
            <w:tcW w:w="50" w:type="pct"/>
            <w:shd w:val="clear" w:color="auto" w:fill="CCEEFF"/>
            <w:vAlign w:val="bottom"/>
            <w:hideMark/>
          </w:tcPr>
          <w:p w14:paraId="5223A9D9" w14:textId="77777777" w:rsidR="00000000" w:rsidRDefault="00322B34">
            <w:pPr>
              <w:rPr>
                <w:rFonts w:eastAsia="Times New Roman"/>
                <w:sz w:val="20"/>
                <w:szCs w:val="20"/>
              </w:rPr>
            </w:pPr>
            <w:r>
              <w:rPr>
                <w:rFonts w:eastAsia="Times New Roman"/>
                <w:sz w:val="20"/>
                <w:szCs w:val="20"/>
              </w:rPr>
              <w:t> </w:t>
            </w:r>
          </w:p>
        </w:tc>
      </w:tr>
      <w:tr w:rsidR="00000000" w14:paraId="2A8F9BDC" w14:textId="77777777">
        <w:trPr>
          <w:divId w:val="85080704"/>
          <w:tblCellSpacing w:w="0" w:type="dxa"/>
        </w:trPr>
        <w:tc>
          <w:tcPr>
            <w:tcW w:w="0" w:type="auto"/>
            <w:shd w:val="clear" w:color="auto" w:fill="FFFFFF"/>
            <w:vAlign w:val="bottom"/>
            <w:hideMark/>
          </w:tcPr>
          <w:p w14:paraId="23232393" w14:textId="77777777" w:rsidR="00000000" w:rsidRDefault="00322B34">
            <w:pPr>
              <w:pStyle w:val="a3"/>
              <w:spacing w:before="0" w:beforeAutospacing="0" w:after="0" w:afterAutospacing="0"/>
              <w:ind w:left="360"/>
              <w:rPr>
                <w:sz w:val="20"/>
                <w:szCs w:val="20"/>
              </w:rPr>
            </w:pPr>
            <w:r>
              <w:rPr>
                <w:sz w:val="20"/>
                <w:szCs w:val="20"/>
              </w:rPr>
              <w:t>Dividends payable</w:t>
            </w:r>
          </w:p>
        </w:tc>
        <w:tc>
          <w:tcPr>
            <w:tcW w:w="50" w:type="pct"/>
            <w:shd w:val="clear" w:color="auto" w:fill="FFFFFF"/>
            <w:vAlign w:val="bottom"/>
            <w:hideMark/>
          </w:tcPr>
          <w:p w14:paraId="1618901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5C024B"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FD0C579" w14:textId="77777777" w:rsidR="00000000" w:rsidRDefault="00322B34">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14:paraId="77347EB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EDD81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87F1C0"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8523534" w14:textId="77777777" w:rsidR="00000000" w:rsidRDefault="00322B34">
            <w:pPr>
              <w:jc w:val="right"/>
              <w:rPr>
                <w:rFonts w:eastAsia="Times New Roman"/>
                <w:sz w:val="20"/>
                <w:szCs w:val="20"/>
              </w:rPr>
            </w:pPr>
            <w:r>
              <w:rPr>
                <w:rFonts w:eastAsia="Times New Roman"/>
                <w:sz w:val="20"/>
                <w:szCs w:val="20"/>
              </w:rPr>
              <w:t>126,274</w:t>
            </w:r>
          </w:p>
        </w:tc>
        <w:tc>
          <w:tcPr>
            <w:tcW w:w="50" w:type="pct"/>
            <w:shd w:val="clear" w:color="auto" w:fill="FFFFFF"/>
            <w:vAlign w:val="bottom"/>
            <w:hideMark/>
          </w:tcPr>
          <w:p w14:paraId="34CFFFA8" w14:textId="77777777" w:rsidR="00000000" w:rsidRDefault="00322B34">
            <w:pPr>
              <w:rPr>
                <w:rFonts w:eastAsia="Times New Roman"/>
                <w:sz w:val="20"/>
                <w:szCs w:val="20"/>
              </w:rPr>
            </w:pPr>
            <w:r>
              <w:rPr>
                <w:rFonts w:eastAsia="Times New Roman"/>
                <w:sz w:val="20"/>
                <w:szCs w:val="20"/>
              </w:rPr>
              <w:t> </w:t>
            </w:r>
          </w:p>
        </w:tc>
      </w:tr>
      <w:tr w:rsidR="00000000" w14:paraId="5953004C" w14:textId="77777777">
        <w:trPr>
          <w:divId w:val="85080704"/>
          <w:tblCellSpacing w:w="0" w:type="dxa"/>
        </w:trPr>
        <w:tc>
          <w:tcPr>
            <w:tcW w:w="0" w:type="auto"/>
            <w:shd w:val="clear" w:color="auto" w:fill="CCEEFF"/>
            <w:vAlign w:val="bottom"/>
            <w:hideMark/>
          </w:tcPr>
          <w:p w14:paraId="625B19DE" w14:textId="77777777" w:rsidR="00000000" w:rsidRDefault="00322B34">
            <w:pPr>
              <w:pStyle w:val="a3"/>
              <w:spacing w:before="0" w:beforeAutospacing="0" w:after="0" w:afterAutospacing="0"/>
              <w:ind w:left="360"/>
              <w:rPr>
                <w:sz w:val="20"/>
                <w:szCs w:val="20"/>
              </w:rPr>
            </w:pPr>
            <w:r>
              <w:rPr>
                <w:sz w:val="20"/>
                <w:szCs w:val="20"/>
              </w:rPr>
              <w:t>Operating lease liabilities</w:t>
            </w:r>
          </w:p>
        </w:tc>
        <w:tc>
          <w:tcPr>
            <w:tcW w:w="50" w:type="pct"/>
            <w:shd w:val="clear" w:color="auto" w:fill="CCEEFF"/>
            <w:vAlign w:val="bottom"/>
            <w:hideMark/>
          </w:tcPr>
          <w:p w14:paraId="5BFC366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C02F0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8D964C1" w14:textId="77777777" w:rsidR="00000000" w:rsidRDefault="00322B34">
            <w:pPr>
              <w:jc w:val="right"/>
              <w:rPr>
                <w:rFonts w:eastAsia="Times New Roman"/>
                <w:sz w:val="20"/>
                <w:szCs w:val="20"/>
              </w:rPr>
            </w:pPr>
            <w:r>
              <w:rPr>
                <w:rFonts w:eastAsia="Times New Roman"/>
                <w:sz w:val="20"/>
                <w:szCs w:val="20"/>
              </w:rPr>
              <w:t>90,364</w:t>
            </w:r>
          </w:p>
        </w:tc>
        <w:tc>
          <w:tcPr>
            <w:tcW w:w="50" w:type="pct"/>
            <w:shd w:val="clear" w:color="auto" w:fill="CCEEFF"/>
            <w:vAlign w:val="bottom"/>
            <w:hideMark/>
          </w:tcPr>
          <w:p w14:paraId="76FB1CF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92722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319D3A"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D69A538" w14:textId="77777777" w:rsidR="00000000" w:rsidRDefault="00322B34">
            <w:pPr>
              <w:jc w:val="right"/>
              <w:rPr>
                <w:rFonts w:eastAsia="Times New Roman"/>
                <w:sz w:val="20"/>
                <w:szCs w:val="20"/>
              </w:rPr>
            </w:pPr>
            <w:r>
              <w:rPr>
                <w:rFonts w:eastAsia="Times New Roman"/>
                <w:sz w:val="20"/>
                <w:szCs w:val="20"/>
              </w:rPr>
              <w:t>92,711</w:t>
            </w:r>
          </w:p>
        </w:tc>
        <w:tc>
          <w:tcPr>
            <w:tcW w:w="50" w:type="pct"/>
            <w:shd w:val="clear" w:color="auto" w:fill="CCEEFF"/>
            <w:vAlign w:val="bottom"/>
            <w:hideMark/>
          </w:tcPr>
          <w:p w14:paraId="48F42597" w14:textId="77777777" w:rsidR="00000000" w:rsidRDefault="00322B34">
            <w:pPr>
              <w:rPr>
                <w:rFonts w:eastAsia="Times New Roman"/>
                <w:sz w:val="20"/>
                <w:szCs w:val="20"/>
              </w:rPr>
            </w:pPr>
            <w:r>
              <w:rPr>
                <w:rFonts w:eastAsia="Times New Roman"/>
                <w:sz w:val="20"/>
                <w:szCs w:val="20"/>
              </w:rPr>
              <w:t> </w:t>
            </w:r>
          </w:p>
        </w:tc>
      </w:tr>
      <w:tr w:rsidR="00000000" w14:paraId="7C4D49AF" w14:textId="77777777">
        <w:trPr>
          <w:divId w:val="85080704"/>
          <w:tblCellSpacing w:w="0" w:type="dxa"/>
        </w:trPr>
        <w:tc>
          <w:tcPr>
            <w:tcW w:w="0" w:type="auto"/>
            <w:shd w:val="clear" w:color="auto" w:fill="FFFFFF"/>
            <w:vAlign w:val="bottom"/>
            <w:hideMark/>
          </w:tcPr>
          <w:p w14:paraId="603F59C5" w14:textId="77777777" w:rsidR="00000000" w:rsidRDefault="00322B34">
            <w:pPr>
              <w:pStyle w:val="a3"/>
              <w:spacing w:before="0" w:beforeAutospacing="0" w:after="0" w:afterAutospacing="0"/>
              <w:ind w:left="36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14:paraId="7963C590"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39F0DD7"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7E2B392" w14:textId="77777777" w:rsidR="00000000" w:rsidRDefault="00322B34">
            <w:pPr>
              <w:jc w:val="right"/>
              <w:rPr>
                <w:rFonts w:eastAsia="Times New Roman"/>
                <w:sz w:val="20"/>
                <w:szCs w:val="20"/>
              </w:rPr>
            </w:pPr>
            <w:r>
              <w:rPr>
                <w:rFonts w:eastAsia="Times New Roman"/>
                <w:sz w:val="20"/>
                <w:szCs w:val="20"/>
              </w:rPr>
              <w:t>477,545</w:t>
            </w:r>
          </w:p>
        </w:tc>
        <w:tc>
          <w:tcPr>
            <w:tcW w:w="50" w:type="pct"/>
            <w:shd w:val="clear" w:color="auto" w:fill="FFFFFF"/>
            <w:tcMar>
              <w:top w:w="0" w:type="dxa"/>
              <w:left w:w="0" w:type="dxa"/>
              <w:bottom w:w="15" w:type="dxa"/>
              <w:right w:w="0" w:type="dxa"/>
            </w:tcMar>
            <w:vAlign w:val="bottom"/>
            <w:hideMark/>
          </w:tcPr>
          <w:p w14:paraId="1F0F9FF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357780FF"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49C8310"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35CE124" w14:textId="77777777" w:rsidR="00000000" w:rsidRDefault="00322B34">
            <w:pPr>
              <w:jc w:val="right"/>
              <w:rPr>
                <w:rFonts w:eastAsia="Times New Roman"/>
                <w:sz w:val="20"/>
                <w:szCs w:val="20"/>
              </w:rPr>
            </w:pPr>
            <w:r>
              <w:rPr>
                <w:rFonts w:eastAsia="Times New Roman"/>
                <w:sz w:val="20"/>
                <w:szCs w:val="20"/>
              </w:rPr>
              <w:t>516,265</w:t>
            </w:r>
          </w:p>
        </w:tc>
        <w:tc>
          <w:tcPr>
            <w:tcW w:w="50" w:type="pct"/>
            <w:shd w:val="clear" w:color="auto" w:fill="FFFFFF"/>
            <w:tcMar>
              <w:top w:w="0" w:type="dxa"/>
              <w:left w:w="0" w:type="dxa"/>
              <w:bottom w:w="15" w:type="dxa"/>
              <w:right w:w="0" w:type="dxa"/>
            </w:tcMar>
            <w:vAlign w:val="bottom"/>
            <w:hideMark/>
          </w:tcPr>
          <w:p w14:paraId="5D36043C" w14:textId="77777777" w:rsidR="00000000" w:rsidRDefault="00322B34">
            <w:pPr>
              <w:rPr>
                <w:rFonts w:eastAsia="Times New Roman"/>
                <w:sz w:val="20"/>
                <w:szCs w:val="20"/>
              </w:rPr>
            </w:pPr>
            <w:r>
              <w:rPr>
                <w:rFonts w:eastAsia="Times New Roman"/>
                <w:sz w:val="20"/>
                <w:szCs w:val="20"/>
              </w:rPr>
              <w:t> </w:t>
            </w:r>
          </w:p>
        </w:tc>
      </w:tr>
      <w:tr w:rsidR="00000000" w14:paraId="29B3FF89" w14:textId="77777777">
        <w:trPr>
          <w:divId w:val="85080704"/>
          <w:tblCellSpacing w:w="0" w:type="dxa"/>
        </w:trPr>
        <w:tc>
          <w:tcPr>
            <w:tcW w:w="0" w:type="auto"/>
            <w:shd w:val="clear" w:color="auto" w:fill="CCEEFF"/>
            <w:vAlign w:val="bottom"/>
            <w:hideMark/>
          </w:tcPr>
          <w:p w14:paraId="3C10C140" w14:textId="77777777" w:rsidR="00000000" w:rsidRDefault="00322B34">
            <w:pPr>
              <w:pStyle w:val="a3"/>
              <w:spacing w:before="0" w:beforeAutospacing="0" w:after="0" w:afterAutospacing="0"/>
              <w:rPr>
                <w:sz w:val="20"/>
                <w:szCs w:val="20"/>
              </w:rPr>
            </w:pPr>
            <w:r>
              <w:rPr>
                <w:sz w:val="20"/>
                <w:szCs w:val="20"/>
              </w:rPr>
              <w:t>Total liabilities (2)</w:t>
            </w:r>
          </w:p>
        </w:tc>
        <w:tc>
          <w:tcPr>
            <w:tcW w:w="50" w:type="pct"/>
            <w:shd w:val="clear" w:color="auto" w:fill="CCEEFF"/>
            <w:vAlign w:val="bottom"/>
            <w:hideMark/>
          </w:tcPr>
          <w:p w14:paraId="69D285B2"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C5FE883"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667C42E" w14:textId="77777777" w:rsidR="00000000" w:rsidRDefault="00322B34">
            <w:pPr>
              <w:jc w:val="right"/>
              <w:rPr>
                <w:rFonts w:eastAsia="Times New Roman"/>
                <w:sz w:val="20"/>
                <w:szCs w:val="20"/>
              </w:rPr>
            </w:pPr>
            <w:r>
              <w:rPr>
                <w:rFonts w:eastAsia="Times New Roman"/>
                <w:sz w:val="20"/>
                <w:szCs w:val="20"/>
              </w:rPr>
              <w:t>5,923,653</w:t>
            </w:r>
          </w:p>
        </w:tc>
        <w:tc>
          <w:tcPr>
            <w:tcW w:w="50" w:type="pct"/>
            <w:shd w:val="clear" w:color="auto" w:fill="CCEEFF"/>
            <w:tcMar>
              <w:top w:w="0" w:type="dxa"/>
              <w:left w:w="0" w:type="dxa"/>
              <w:bottom w:w="15" w:type="dxa"/>
              <w:right w:w="0" w:type="dxa"/>
            </w:tcMar>
            <w:vAlign w:val="bottom"/>
            <w:hideMark/>
          </w:tcPr>
          <w:p w14:paraId="25DDE35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675726"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3871EC7"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61B48731" w14:textId="77777777" w:rsidR="00000000" w:rsidRDefault="00322B34">
            <w:pPr>
              <w:jc w:val="right"/>
              <w:rPr>
                <w:rFonts w:eastAsia="Times New Roman"/>
                <w:sz w:val="20"/>
                <w:szCs w:val="20"/>
              </w:rPr>
            </w:pPr>
            <w:r>
              <w:rPr>
                <w:rFonts w:eastAsia="Times New Roman"/>
                <w:sz w:val="20"/>
                <w:szCs w:val="20"/>
              </w:rPr>
              <w:t>6,051,017</w:t>
            </w:r>
          </w:p>
        </w:tc>
        <w:tc>
          <w:tcPr>
            <w:tcW w:w="50" w:type="pct"/>
            <w:shd w:val="clear" w:color="auto" w:fill="CCEEFF"/>
            <w:tcMar>
              <w:top w:w="0" w:type="dxa"/>
              <w:left w:w="0" w:type="dxa"/>
              <w:bottom w:w="15" w:type="dxa"/>
              <w:right w:w="0" w:type="dxa"/>
            </w:tcMar>
            <w:vAlign w:val="bottom"/>
            <w:hideMark/>
          </w:tcPr>
          <w:p w14:paraId="65B346E7" w14:textId="77777777" w:rsidR="00000000" w:rsidRDefault="00322B34">
            <w:pPr>
              <w:rPr>
                <w:rFonts w:eastAsia="Times New Roman"/>
                <w:sz w:val="20"/>
                <w:szCs w:val="20"/>
              </w:rPr>
            </w:pPr>
            <w:r>
              <w:rPr>
                <w:rFonts w:eastAsia="Times New Roman"/>
                <w:sz w:val="20"/>
                <w:szCs w:val="20"/>
              </w:rPr>
              <w:t> </w:t>
            </w:r>
          </w:p>
        </w:tc>
      </w:tr>
      <w:tr w:rsidR="00000000" w14:paraId="4BC2F471" w14:textId="77777777">
        <w:trPr>
          <w:divId w:val="85080704"/>
          <w:tblCellSpacing w:w="0" w:type="dxa"/>
        </w:trPr>
        <w:tc>
          <w:tcPr>
            <w:tcW w:w="0" w:type="auto"/>
            <w:shd w:val="clear" w:color="auto" w:fill="FFFFFF"/>
            <w:vAlign w:val="bottom"/>
            <w:hideMark/>
          </w:tcPr>
          <w:p w14:paraId="795EE8A8" w14:textId="77777777" w:rsidR="00000000" w:rsidRDefault="00322B34">
            <w:pPr>
              <w:pStyle w:val="a3"/>
              <w:spacing w:before="0" w:beforeAutospacing="0" w:after="0" w:afterAutospacing="0"/>
              <w:rPr>
                <w:sz w:val="20"/>
                <w:szCs w:val="20"/>
              </w:rPr>
            </w:pPr>
            <w:r>
              <w:rPr>
                <w:sz w:val="20"/>
                <w:szCs w:val="20"/>
              </w:rPr>
              <w:lastRenderedPageBreak/>
              <w:t>Redeemable noncontrolling interests</w:t>
            </w:r>
          </w:p>
        </w:tc>
        <w:tc>
          <w:tcPr>
            <w:tcW w:w="50" w:type="pct"/>
            <w:shd w:val="clear" w:color="auto" w:fill="FFFFFF"/>
            <w:vAlign w:val="bottom"/>
            <w:hideMark/>
          </w:tcPr>
          <w:p w14:paraId="49107695"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7A20E38"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3F0836E3" w14:textId="77777777" w:rsidR="00000000" w:rsidRDefault="00322B34">
            <w:pPr>
              <w:jc w:val="right"/>
              <w:rPr>
                <w:rFonts w:eastAsia="Times New Roman"/>
                <w:sz w:val="20"/>
                <w:szCs w:val="20"/>
              </w:rPr>
            </w:pPr>
            <w:r>
              <w:rPr>
                <w:rFonts w:eastAsia="Times New Roman"/>
                <w:sz w:val="20"/>
                <w:szCs w:val="20"/>
              </w:rPr>
              <w:t>17,943</w:t>
            </w:r>
          </w:p>
        </w:tc>
        <w:tc>
          <w:tcPr>
            <w:tcW w:w="50" w:type="pct"/>
            <w:shd w:val="clear" w:color="auto" w:fill="FFFFFF"/>
            <w:tcMar>
              <w:top w:w="0" w:type="dxa"/>
              <w:left w:w="0" w:type="dxa"/>
              <w:bottom w:w="15" w:type="dxa"/>
              <w:right w:w="0" w:type="dxa"/>
            </w:tcMar>
            <w:vAlign w:val="bottom"/>
            <w:hideMark/>
          </w:tcPr>
          <w:p w14:paraId="392E735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0A9D8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04A193D"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5B700CA" w14:textId="77777777" w:rsidR="00000000" w:rsidRDefault="00322B34">
            <w:pPr>
              <w:jc w:val="right"/>
              <w:rPr>
                <w:rFonts w:eastAsia="Times New Roman"/>
                <w:sz w:val="20"/>
                <w:szCs w:val="20"/>
              </w:rPr>
            </w:pPr>
            <w:r>
              <w:rPr>
                <w:rFonts w:eastAsia="Times New Roman"/>
                <w:sz w:val="20"/>
                <w:szCs w:val="20"/>
              </w:rPr>
              <w:t>17,943</w:t>
            </w:r>
          </w:p>
        </w:tc>
        <w:tc>
          <w:tcPr>
            <w:tcW w:w="50" w:type="pct"/>
            <w:shd w:val="clear" w:color="auto" w:fill="FFFFFF"/>
            <w:tcMar>
              <w:top w:w="0" w:type="dxa"/>
              <w:left w:w="0" w:type="dxa"/>
              <w:bottom w:w="15" w:type="dxa"/>
              <w:right w:w="0" w:type="dxa"/>
            </w:tcMar>
            <w:vAlign w:val="bottom"/>
            <w:hideMark/>
          </w:tcPr>
          <w:p w14:paraId="68A63819" w14:textId="77777777" w:rsidR="00000000" w:rsidRDefault="00322B34">
            <w:pPr>
              <w:rPr>
                <w:rFonts w:eastAsia="Times New Roman"/>
                <w:sz w:val="20"/>
                <w:szCs w:val="20"/>
              </w:rPr>
            </w:pPr>
            <w:r>
              <w:rPr>
                <w:rFonts w:eastAsia="Times New Roman"/>
                <w:sz w:val="20"/>
                <w:szCs w:val="20"/>
              </w:rPr>
              <w:t> </w:t>
            </w:r>
          </w:p>
        </w:tc>
      </w:tr>
      <w:tr w:rsidR="00000000" w14:paraId="6CD576EB" w14:textId="77777777">
        <w:trPr>
          <w:divId w:val="85080704"/>
          <w:tblCellSpacing w:w="0" w:type="dxa"/>
        </w:trPr>
        <w:tc>
          <w:tcPr>
            <w:tcW w:w="0" w:type="auto"/>
            <w:shd w:val="clear" w:color="auto" w:fill="CCEEFF"/>
            <w:vAlign w:val="bottom"/>
            <w:hideMark/>
          </w:tcPr>
          <w:p w14:paraId="1128795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C3630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BB09B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717DB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F0981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07968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27842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05995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D8A242" w14:textId="77777777" w:rsidR="00000000" w:rsidRDefault="00322B34">
            <w:pPr>
              <w:rPr>
                <w:rFonts w:eastAsia="Times New Roman"/>
                <w:sz w:val="20"/>
                <w:szCs w:val="20"/>
              </w:rPr>
            </w:pPr>
            <w:r>
              <w:rPr>
                <w:rFonts w:eastAsia="Times New Roman"/>
                <w:sz w:val="20"/>
                <w:szCs w:val="20"/>
              </w:rPr>
              <w:t> </w:t>
            </w:r>
          </w:p>
        </w:tc>
      </w:tr>
      <w:tr w:rsidR="00000000" w14:paraId="29C136AA" w14:textId="77777777">
        <w:trPr>
          <w:divId w:val="85080704"/>
          <w:tblCellSpacing w:w="0" w:type="dxa"/>
        </w:trPr>
        <w:tc>
          <w:tcPr>
            <w:tcW w:w="0" w:type="auto"/>
            <w:shd w:val="clear" w:color="auto" w:fill="FFFFFF"/>
            <w:vAlign w:val="bottom"/>
            <w:hideMark/>
          </w:tcPr>
          <w:p w14:paraId="5440175F" w14:textId="77777777" w:rsidR="00000000" w:rsidRDefault="00322B34">
            <w:pPr>
              <w:pStyle w:val="a3"/>
              <w:spacing w:before="0" w:beforeAutospacing="0" w:after="0" w:afterAutospacing="0"/>
              <w:rPr>
                <w:sz w:val="20"/>
                <w:szCs w:val="20"/>
              </w:rPr>
            </w:pPr>
            <w:r>
              <w:rPr>
                <w:sz w:val="20"/>
                <w:szCs w:val="20"/>
              </w:rPr>
              <w:t>Commitments and Contingencies</w:t>
            </w:r>
          </w:p>
        </w:tc>
        <w:tc>
          <w:tcPr>
            <w:tcW w:w="0" w:type="auto"/>
            <w:shd w:val="clear" w:color="auto" w:fill="FFFFFF"/>
            <w:vAlign w:val="bottom"/>
            <w:hideMark/>
          </w:tcPr>
          <w:p w14:paraId="39CD770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5CD18A" w14:textId="77777777" w:rsidR="00000000" w:rsidRDefault="00322B34">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14:paraId="75DF6E3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9491C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8FF38" w14:textId="77777777" w:rsidR="00000000" w:rsidRDefault="00322B34">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14:paraId="2353DA3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E745C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6C95F1" w14:textId="77777777" w:rsidR="00000000" w:rsidRDefault="00322B34">
            <w:pPr>
              <w:rPr>
                <w:rFonts w:eastAsia="Times New Roman"/>
                <w:sz w:val="20"/>
                <w:szCs w:val="20"/>
              </w:rPr>
            </w:pPr>
            <w:r>
              <w:rPr>
                <w:rFonts w:eastAsia="Times New Roman"/>
                <w:sz w:val="20"/>
                <w:szCs w:val="20"/>
              </w:rPr>
              <w:t> </w:t>
            </w:r>
          </w:p>
        </w:tc>
      </w:tr>
      <w:tr w:rsidR="00000000" w14:paraId="6D2411A7" w14:textId="77777777">
        <w:trPr>
          <w:divId w:val="85080704"/>
          <w:tblCellSpacing w:w="0" w:type="dxa"/>
        </w:trPr>
        <w:tc>
          <w:tcPr>
            <w:tcW w:w="0" w:type="auto"/>
            <w:shd w:val="clear" w:color="auto" w:fill="CCEEFF"/>
            <w:vAlign w:val="bottom"/>
            <w:hideMark/>
          </w:tcPr>
          <w:p w14:paraId="745AD1C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2DA33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DB678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20354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A8F9A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7F443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6951F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79617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9D070B" w14:textId="77777777" w:rsidR="00000000" w:rsidRDefault="00322B34">
            <w:pPr>
              <w:rPr>
                <w:rFonts w:eastAsia="Times New Roman"/>
                <w:sz w:val="20"/>
                <w:szCs w:val="20"/>
              </w:rPr>
            </w:pPr>
            <w:r>
              <w:rPr>
                <w:rFonts w:eastAsia="Times New Roman"/>
                <w:sz w:val="20"/>
                <w:szCs w:val="20"/>
              </w:rPr>
              <w:t> </w:t>
            </w:r>
          </w:p>
        </w:tc>
      </w:tr>
      <w:tr w:rsidR="00000000" w14:paraId="476267F7" w14:textId="77777777">
        <w:trPr>
          <w:divId w:val="85080704"/>
          <w:tblCellSpacing w:w="0" w:type="dxa"/>
        </w:trPr>
        <w:tc>
          <w:tcPr>
            <w:tcW w:w="0" w:type="auto"/>
            <w:shd w:val="clear" w:color="auto" w:fill="FFFFFF"/>
            <w:vAlign w:val="bottom"/>
            <w:hideMark/>
          </w:tcPr>
          <w:p w14:paraId="1BC619A6" w14:textId="77777777" w:rsidR="00000000" w:rsidRDefault="00322B34">
            <w:pPr>
              <w:pStyle w:val="a3"/>
              <w:spacing w:before="0" w:beforeAutospacing="0" w:after="0" w:afterAutospacing="0"/>
              <w:rPr>
                <w:sz w:val="20"/>
                <w:szCs w:val="20"/>
              </w:rPr>
            </w:pPr>
            <w:r>
              <w:rPr>
                <w:sz w:val="20"/>
                <w:szCs w:val="20"/>
              </w:rPr>
              <w:t>Stockholders' equity:</w:t>
            </w:r>
          </w:p>
        </w:tc>
        <w:tc>
          <w:tcPr>
            <w:tcW w:w="0" w:type="auto"/>
            <w:shd w:val="clear" w:color="auto" w:fill="FFFFFF"/>
            <w:vAlign w:val="bottom"/>
            <w:hideMark/>
          </w:tcPr>
          <w:p w14:paraId="19D2B10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DE041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5039E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C93DC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551C9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35D5D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5A94C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0A0B5B" w14:textId="77777777" w:rsidR="00000000" w:rsidRDefault="00322B34">
            <w:pPr>
              <w:rPr>
                <w:rFonts w:eastAsia="Times New Roman"/>
                <w:sz w:val="20"/>
                <w:szCs w:val="20"/>
              </w:rPr>
            </w:pPr>
            <w:r>
              <w:rPr>
                <w:rFonts w:eastAsia="Times New Roman"/>
                <w:sz w:val="20"/>
                <w:szCs w:val="20"/>
              </w:rPr>
              <w:t> </w:t>
            </w:r>
          </w:p>
        </w:tc>
      </w:tr>
      <w:tr w:rsidR="00000000" w14:paraId="550272D9" w14:textId="77777777">
        <w:trPr>
          <w:divId w:val="85080704"/>
          <w:tblCellSpacing w:w="0" w:type="dxa"/>
        </w:trPr>
        <w:tc>
          <w:tcPr>
            <w:tcW w:w="0" w:type="auto"/>
            <w:shd w:val="clear" w:color="auto" w:fill="CCEEFF"/>
            <w:vAlign w:val="bottom"/>
            <w:hideMark/>
          </w:tcPr>
          <w:p w14:paraId="253B5AA1" w14:textId="77777777" w:rsidR="00000000" w:rsidRDefault="00322B34">
            <w:pPr>
              <w:pStyle w:val="a3"/>
              <w:spacing w:before="0" w:beforeAutospacing="0" w:after="0" w:afterAutospacing="0"/>
              <w:ind w:left="540" w:hanging="180"/>
              <w:rPr>
                <w:sz w:val="20"/>
                <w:szCs w:val="20"/>
              </w:rPr>
            </w:pPr>
            <w:r>
              <w:rPr>
                <w:sz w:val="20"/>
                <w:szCs w:val="20"/>
              </w:rPr>
              <w:t xml:space="preserve">Preferred stock, </w:t>
            </w:r>
            <w:r>
              <w:rPr>
                <w:sz w:val="20"/>
                <w:szCs w:val="20"/>
              </w:rPr>
              <w:t>$</w:t>
            </w:r>
            <w:r>
              <w:rPr>
                <w:sz w:val="20"/>
                <w:szCs w:val="20"/>
              </w:rPr>
              <w:t>1.0</w:t>
            </w:r>
            <w:r>
              <w:rPr>
                <w:sz w:val="20"/>
                <w:szCs w:val="20"/>
              </w:rPr>
              <w:t>0</w:t>
            </w:r>
            <w:r>
              <w:rPr>
                <w:sz w:val="20"/>
                <w:szCs w:val="20"/>
              </w:rPr>
              <w:t xml:space="preserve"> par value, authorized</w:t>
            </w:r>
            <w:r>
              <w:rPr>
                <w:sz w:val="20"/>
                <w:szCs w:val="20"/>
              </w:rPr>
              <w:t xml:space="preserve"> </w:t>
            </w:r>
            <w:r>
              <w:rPr>
                <w:sz w:val="20"/>
                <w:szCs w:val="20"/>
              </w:rPr>
              <w:t>7,054,00</w:t>
            </w:r>
            <w:r>
              <w:rPr>
                <w:sz w:val="20"/>
                <w:szCs w:val="20"/>
              </w:rPr>
              <w:t>0</w:t>
            </w:r>
            <w:r>
              <w:rPr>
                <w:sz w:val="20"/>
                <w:szCs w:val="20"/>
              </w:rPr>
              <w:t xml:space="preserve"> </w:t>
            </w:r>
            <w:r>
              <w:rPr>
                <w:sz w:val="20"/>
                <w:szCs w:val="20"/>
              </w:rPr>
              <w:t>shares; Issued and outstanding (in series)</w:t>
            </w:r>
            <w:r>
              <w:rPr>
                <w:sz w:val="20"/>
                <w:szCs w:val="20"/>
              </w:rPr>
              <w:t xml:space="preserve"> </w:t>
            </w:r>
            <w:r>
              <w:rPr>
                <w:sz w:val="20"/>
                <w:szCs w:val="20"/>
              </w:rPr>
              <w:t>19,58</w:t>
            </w:r>
            <w:r>
              <w:rPr>
                <w:sz w:val="20"/>
                <w:szCs w:val="20"/>
              </w:rPr>
              <w:t>0</w:t>
            </w:r>
            <w:r>
              <w:rPr>
                <w:sz w:val="20"/>
                <w:szCs w:val="20"/>
              </w:rPr>
              <w:t xml:space="preserve"> shares; Aggregate liquidation preference </w:t>
            </w:r>
            <w:r>
              <w:rPr>
                <w:sz w:val="20"/>
                <w:szCs w:val="20"/>
              </w:rPr>
              <w:t>$</w:t>
            </w:r>
            <w:r>
              <w:rPr>
                <w:sz w:val="20"/>
                <w:szCs w:val="20"/>
              </w:rPr>
              <w:t>489,50</w:t>
            </w:r>
            <w:r>
              <w:rPr>
                <w:sz w:val="20"/>
                <w:szCs w:val="20"/>
              </w:rPr>
              <w:t>0</w:t>
            </w:r>
          </w:p>
        </w:tc>
        <w:tc>
          <w:tcPr>
            <w:tcW w:w="50" w:type="pct"/>
            <w:shd w:val="clear" w:color="auto" w:fill="CCEEFF"/>
            <w:vAlign w:val="bottom"/>
            <w:hideMark/>
          </w:tcPr>
          <w:p w14:paraId="71109B8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2C012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4353778" w14:textId="77777777" w:rsidR="00000000" w:rsidRDefault="00322B34">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289DCB9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972C6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8F4421"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535A897" w14:textId="77777777" w:rsidR="00000000" w:rsidRDefault="00322B34">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46917356" w14:textId="77777777" w:rsidR="00000000" w:rsidRDefault="00322B34">
            <w:pPr>
              <w:rPr>
                <w:rFonts w:eastAsia="Times New Roman"/>
                <w:sz w:val="20"/>
                <w:szCs w:val="20"/>
              </w:rPr>
            </w:pPr>
            <w:r>
              <w:rPr>
                <w:rFonts w:eastAsia="Times New Roman"/>
                <w:sz w:val="20"/>
                <w:szCs w:val="20"/>
              </w:rPr>
              <w:t> </w:t>
            </w:r>
          </w:p>
        </w:tc>
      </w:tr>
      <w:tr w:rsidR="00000000" w14:paraId="58ADBF3D" w14:textId="77777777">
        <w:trPr>
          <w:divId w:val="85080704"/>
          <w:tblCellSpacing w:w="0" w:type="dxa"/>
        </w:trPr>
        <w:tc>
          <w:tcPr>
            <w:tcW w:w="0" w:type="auto"/>
            <w:shd w:val="clear" w:color="auto" w:fill="FFFFFF"/>
            <w:vAlign w:val="bottom"/>
            <w:hideMark/>
          </w:tcPr>
          <w:p w14:paraId="59FCC90B" w14:textId="77777777" w:rsidR="00000000" w:rsidRDefault="00322B34">
            <w:pPr>
              <w:pStyle w:val="a3"/>
              <w:spacing w:before="0" w:beforeAutospacing="0" w:after="0" w:afterAutospacing="0"/>
              <w:ind w:left="540" w:hanging="180"/>
              <w:rPr>
                <w:sz w:val="20"/>
                <w:szCs w:val="20"/>
              </w:rPr>
            </w:pPr>
            <w:r>
              <w:rPr>
                <w:sz w:val="20"/>
                <w:szCs w:val="20"/>
              </w:rPr>
              <w:t xml:space="preserve">Common stock, </w:t>
            </w:r>
            <w:r>
              <w:rPr>
                <w:sz w:val="20"/>
                <w:szCs w:val="20"/>
              </w:rPr>
              <w:t>$</w:t>
            </w:r>
            <w:r>
              <w:rPr>
                <w:sz w:val="20"/>
                <w:szCs w:val="20"/>
              </w:rPr>
              <w:t>.0</w:t>
            </w:r>
            <w:r>
              <w:rPr>
                <w:sz w:val="20"/>
                <w:szCs w:val="20"/>
              </w:rPr>
              <w:t>1</w:t>
            </w:r>
            <w:r>
              <w:rPr>
                <w:sz w:val="20"/>
                <w:szCs w:val="20"/>
              </w:rPr>
              <w:t xml:space="preserve"> par value, authorized</w:t>
            </w:r>
            <w:r>
              <w:rPr>
                <w:sz w:val="20"/>
                <w:szCs w:val="20"/>
              </w:rPr>
              <w:t xml:space="preserve"> </w:t>
            </w:r>
            <w:r>
              <w:rPr>
                <w:sz w:val="20"/>
                <w:szCs w:val="20"/>
              </w:rPr>
              <w:t>750,000,00</w:t>
            </w:r>
            <w:r>
              <w:rPr>
                <w:sz w:val="20"/>
                <w:szCs w:val="20"/>
              </w:rPr>
              <w:t>0</w:t>
            </w:r>
            <w:r>
              <w:rPr>
                <w:sz w:val="20"/>
                <w:szCs w:val="20"/>
              </w:rPr>
              <w:t xml:space="preserve"> shares; Issued and outstanding</w:t>
            </w:r>
            <w:r>
              <w:rPr>
                <w:sz w:val="20"/>
                <w:szCs w:val="20"/>
              </w:rPr>
              <w:t xml:space="preserve"> </w:t>
            </w:r>
            <w:r>
              <w:rPr>
                <w:sz w:val="20"/>
                <w:szCs w:val="20"/>
              </w:rPr>
              <w:t>432,503,63</w:t>
            </w:r>
            <w:r>
              <w:rPr>
                <w:sz w:val="20"/>
                <w:szCs w:val="20"/>
              </w:rPr>
              <w:t>4</w:t>
            </w:r>
            <w:r>
              <w:rPr>
                <w:sz w:val="20"/>
                <w:szCs w:val="20"/>
              </w:rPr>
              <w:t xml:space="preserve"> and</w:t>
            </w:r>
            <w:r>
              <w:rPr>
                <w:sz w:val="20"/>
                <w:szCs w:val="20"/>
              </w:rPr>
              <w:t xml:space="preserve"> </w:t>
            </w:r>
            <w:r>
              <w:rPr>
                <w:sz w:val="20"/>
                <w:szCs w:val="20"/>
              </w:rPr>
              <w:t>431,814,95</w:t>
            </w:r>
            <w:r>
              <w:rPr>
                <w:sz w:val="20"/>
                <w:szCs w:val="20"/>
              </w:rPr>
              <w:t>1</w:t>
            </w:r>
            <w:r>
              <w:rPr>
                <w:sz w:val="20"/>
                <w:szCs w:val="20"/>
              </w:rPr>
              <w:t xml:space="preserve"> </w:t>
            </w:r>
            <w:r>
              <w:rPr>
                <w:sz w:val="20"/>
                <w:szCs w:val="20"/>
              </w:rPr>
              <w:t>shares, respectively</w:t>
            </w:r>
          </w:p>
        </w:tc>
        <w:tc>
          <w:tcPr>
            <w:tcW w:w="50" w:type="pct"/>
            <w:shd w:val="clear" w:color="auto" w:fill="FFFFFF"/>
            <w:vAlign w:val="bottom"/>
            <w:hideMark/>
          </w:tcPr>
          <w:p w14:paraId="51B99F8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29295F"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B2517FA" w14:textId="77777777" w:rsidR="00000000" w:rsidRDefault="00322B34">
            <w:pPr>
              <w:jc w:val="right"/>
              <w:rPr>
                <w:rFonts w:eastAsia="Times New Roman"/>
                <w:sz w:val="20"/>
                <w:szCs w:val="20"/>
              </w:rPr>
            </w:pPr>
            <w:r>
              <w:rPr>
                <w:rFonts w:eastAsia="Times New Roman"/>
                <w:sz w:val="20"/>
                <w:szCs w:val="20"/>
              </w:rPr>
              <w:t>4,325</w:t>
            </w:r>
          </w:p>
        </w:tc>
        <w:tc>
          <w:tcPr>
            <w:tcW w:w="50" w:type="pct"/>
            <w:shd w:val="clear" w:color="auto" w:fill="FFFFFF"/>
            <w:vAlign w:val="bottom"/>
            <w:hideMark/>
          </w:tcPr>
          <w:p w14:paraId="79158BF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A75AC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5221E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6EAF801" w14:textId="77777777" w:rsidR="00000000" w:rsidRDefault="00322B34">
            <w:pPr>
              <w:jc w:val="right"/>
              <w:rPr>
                <w:rFonts w:eastAsia="Times New Roman"/>
                <w:sz w:val="20"/>
                <w:szCs w:val="20"/>
              </w:rPr>
            </w:pPr>
            <w:r>
              <w:rPr>
                <w:rFonts w:eastAsia="Times New Roman"/>
                <w:sz w:val="20"/>
                <w:szCs w:val="20"/>
              </w:rPr>
              <w:t>4,318</w:t>
            </w:r>
          </w:p>
        </w:tc>
        <w:tc>
          <w:tcPr>
            <w:tcW w:w="50" w:type="pct"/>
            <w:shd w:val="clear" w:color="auto" w:fill="FFFFFF"/>
            <w:vAlign w:val="bottom"/>
            <w:hideMark/>
          </w:tcPr>
          <w:p w14:paraId="4F38FF7A" w14:textId="77777777" w:rsidR="00000000" w:rsidRDefault="00322B34">
            <w:pPr>
              <w:rPr>
                <w:rFonts w:eastAsia="Times New Roman"/>
                <w:sz w:val="20"/>
                <w:szCs w:val="20"/>
              </w:rPr>
            </w:pPr>
            <w:r>
              <w:rPr>
                <w:rFonts w:eastAsia="Times New Roman"/>
                <w:sz w:val="20"/>
                <w:szCs w:val="20"/>
              </w:rPr>
              <w:t> </w:t>
            </w:r>
          </w:p>
        </w:tc>
      </w:tr>
      <w:tr w:rsidR="00000000" w14:paraId="7B2F7389" w14:textId="77777777">
        <w:trPr>
          <w:divId w:val="85080704"/>
          <w:tblCellSpacing w:w="0" w:type="dxa"/>
        </w:trPr>
        <w:tc>
          <w:tcPr>
            <w:tcW w:w="0" w:type="auto"/>
            <w:shd w:val="clear" w:color="auto" w:fill="CCEEFF"/>
            <w:vAlign w:val="bottom"/>
            <w:hideMark/>
          </w:tcPr>
          <w:p w14:paraId="1C8E71C9" w14:textId="77777777" w:rsidR="00000000" w:rsidRDefault="00322B34">
            <w:pPr>
              <w:pStyle w:val="a3"/>
              <w:spacing w:before="0" w:beforeAutospacing="0" w:after="0" w:afterAutospacing="0"/>
              <w:ind w:left="360"/>
              <w:rPr>
                <w:sz w:val="20"/>
                <w:szCs w:val="20"/>
              </w:rPr>
            </w:pPr>
            <w:r>
              <w:rPr>
                <w:sz w:val="20"/>
                <w:szCs w:val="20"/>
              </w:rPr>
              <w:t>Paid-in capital</w:t>
            </w:r>
          </w:p>
        </w:tc>
        <w:tc>
          <w:tcPr>
            <w:tcW w:w="50" w:type="pct"/>
            <w:shd w:val="clear" w:color="auto" w:fill="CCEEFF"/>
            <w:vAlign w:val="bottom"/>
            <w:hideMark/>
          </w:tcPr>
          <w:p w14:paraId="1FAFF1B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D85D62"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6834E04" w14:textId="77777777" w:rsidR="00000000" w:rsidRDefault="00322B34">
            <w:pPr>
              <w:jc w:val="right"/>
              <w:rPr>
                <w:rFonts w:eastAsia="Times New Roman"/>
                <w:sz w:val="20"/>
                <w:szCs w:val="20"/>
              </w:rPr>
            </w:pPr>
            <w:r>
              <w:rPr>
                <w:rFonts w:eastAsia="Times New Roman"/>
                <w:sz w:val="20"/>
                <w:szCs w:val="20"/>
              </w:rPr>
              <w:t>5,752,658</w:t>
            </w:r>
          </w:p>
        </w:tc>
        <w:tc>
          <w:tcPr>
            <w:tcW w:w="50" w:type="pct"/>
            <w:shd w:val="clear" w:color="auto" w:fill="CCEEFF"/>
            <w:vAlign w:val="bottom"/>
            <w:hideMark/>
          </w:tcPr>
          <w:p w14:paraId="2654F25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E24D2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B583B7"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D8ADB12" w14:textId="77777777" w:rsidR="00000000" w:rsidRDefault="00322B34">
            <w:pPr>
              <w:jc w:val="right"/>
              <w:rPr>
                <w:rFonts w:eastAsia="Times New Roman"/>
                <w:sz w:val="20"/>
                <w:szCs w:val="20"/>
              </w:rPr>
            </w:pPr>
            <w:r>
              <w:rPr>
                <w:rFonts w:eastAsia="Times New Roman"/>
                <w:sz w:val="20"/>
                <w:szCs w:val="20"/>
              </w:rPr>
              <w:t>5,765,233</w:t>
            </w:r>
          </w:p>
        </w:tc>
        <w:tc>
          <w:tcPr>
            <w:tcW w:w="50" w:type="pct"/>
            <w:shd w:val="clear" w:color="auto" w:fill="CCEEFF"/>
            <w:vAlign w:val="bottom"/>
            <w:hideMark/>
          </w:tcPr>
          <w:p w14:paraId="13032858" w14:textId="77777777" w:rsidR="00000000" w:rsidRDefault="00322B34">
            <w:pPr>
              <w:rPr>
                <w:rFonts w:eastAsia="Times New Roman"/>
                <w:sz w:val="20"/>
                <w:szCs w:val="20"/>
              </w:rPr>
            </w:pPr>
            <w:r>
              <w:rPr>
                <w:rFonts w:eastAsia="Times New Roman"/>
                <w:sz w:val="20"/>
                <w:szCs w:val="20"/>
              </w:rPr>
              <w:t> </w:t>
            </w:r>
          </w:p>
        </w:tc>
      </w:tr>
      <w:tr w:rsidR="00000000" w14:paraId="60506B29" w14:textId="77777777">
        <w:trPr>
          <w:divId w:val="85080704"/>
          <w:tblCellSpacing w:w="0" w:type="dxa"/>
        </w:trPr>
        <w:tc>
          <w:tcPr>
            <w:tcW w:w="0" w:type="auto"/>
            <w:shd w:val="clear" w:color="auto" w:fill="FFFFFF"/>
            <w:vAlign w:val="bottom"/>
            <w:hideMark/>
          </w:tcPr>
          <w:p w14:paraId="6670381E" w14:textId="77777777" w:rsidR="00000000" w:rsidRDefault="00322B34">
            <w:pPr>
              <w:pStyle w:val="a3"/>
              <w:spacing w:before="0" w:beforeAutospacing="0" w:after="0" w:afterAutospacing="0"/>
              <w:ind w:left="360"/>
              <w:rPr>
                <w:sz w:val="20"/>
                <w:szCs w:val="20"/>
              </w:rPr>
            </w:pPr>
            <w:r>
              <w:rPr>
                <w:sz w:val="20"/>
                <w:szCs w:val="20"/>
              </w:rPr>
              <w:t>Cumulative distributions in excess of net income</w:t>
            </w:r>
          </w:p>
        </w:tc>
        <w:tc>
          <w:tcPr>
            <w:tcW w:w="50" w:type="pct"/>
            <w:shd w:val="clear" w:color="auto" w:fill="FFFFFF"/>
            <w:vAlign w:val="bottom"/>
            <w:hideMark/>
          </w:tcPr>
          <w:p w14:paraId="7A25BFB8"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538FA78"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5ED948D" w14:textId="77777777" w:rsidR="00000000" w:rsidRDefault="00322B34">
            <w:pPr>
              <w:jc w:val="right"/>
              <w:rPr>
                <w:rFonts w:eastAsia="Times New Roman"/>
                <w:sz w:val="20"/>
                <w:szCs w:val="20"/>
              </w:rPr>
            </w:pPr>
            <w:r>
              <w:rPr>
                <w:rFonts w:eastAsia="Times New Roman"/>
                <w:sz w:val="20"/>
                <w:szCs w:val="20"/>
              </w:rPr>
              <w:t>(200,492</w:t>
            </w:r>
          </w:p>
        </w:tc>
        <w:tc>
          <w:tcPr>
            <w:tcW w:w="50" w:type="pct"/>
            <w:shd w:val="clear" w:color="auto" w:fill="FFFFFF"/>
            <w:tcMar>
              <w:top w:w="0" w:type="dxa"/>
              <w:left w:w="0" w:type="dxa"/>
              <w:bottom w:w="15" w:type="dxa"/>
              <w:right w:w="0" w:type="dxa"/>
            </w:tcMar>
            <w:vAlign w:val="bottom"/>
            <w:hideMark/>
          </w:tcPr>
          <w:p w14:paraId="4668BF96"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3B8AB994"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3FE45AC"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CC3A855" w14:textId="77777777" w:rsidR="00000000" w:rsidRDefault="00322B34">
            <w:pPr>
              <w:jc w:val="right"/>
              <w:rPr>
                <w:rFonts w:eastAsia="Times New Roman"/>
                <w:sz w:val="20"/>
                <w:szCs w:val="20"/>
              </w:rPr>
            </w:pPr>
            <w:r>
              <w:rPr>
                <w:rFonts w:eastAsia="Times New Roman"/>
                <w:sz w:val="20"/>
                <w:szCs w:val="20"/>
              </w:rPr>
              <w:t>(904,679</w:t>
            </w:r>
          </w:p>
        </w:tc>
        <w:tc>
          <w:tcPr>
            <w:tcW w:w="50" w:type="pct"/>
            <w:shd w:val="clear" w:color="auto" w:fill="FFFFFF"/>
            <w:tcMar>
              <w:top w:w="0" w:type="dxa"/>
              <w:left w:w="0" w:type="dxa"/>
              <w:bottom w:w="15" w:type="dxa"/>
              <w:right w:w="0" w:type="dxa"/>
            </w:tcMar>
            <w:vAlign w:val="bottom"/>
            <w:hideMark/>
          </w:tcPr>
          <w:p w14:paraId="591D9E58" w14:textId="77777777" w:rsidR="00000000" w:rsidRDefault="00322B34">
            <w:pPr>
              <w:rPr>
                <w:rFonts w:eastAsia="Times New Roman"/>
                <w:sz w:val="20"/>
                <w:szCs w:val="20"/>
              </w:rPr>
            </w:pPr>
            <w:r>
              <w:rPr>
                <w:rFonts w:eastAsia="Times New Roman"/>
                <w:sz w:val="20"/>
                <w:szCs w:val="20"/>
              </w:rPr>
              <w:t>)</w:t>
            </w:r>
          </w:p>
        </w:tc>
      </w:tr>
      <w:tr w:rsidR="00000000" w14:paraId="153DF53B" w14:textId="77777777">
        <w:trPr>
          <w:divId w:val="85080704"/>
          <w:tblCellSpacing w:w="0" w:type="dxa"/>
        </w:trPr>
        <w:tc>
          <w:tcPr>
            <w:tcW w:w="0" w:type="auto"/>
            <w:shd w:val="clear" w:color="auto" w:fill="CCEEFF"/>
            <w:vAlign w:val="bottom"/>
            <w:hideMark/>
          </w:tcPr>
          <w:p w14:paraId="082BF1E5" w14:textId="77777777" w:rsidR="00000000" w:rsidRDefault="00322B34">
            <w:pPr>
              <w:pStyle w:val="a3"/>
              <w:spacing w:before="0" w:beforeAutospacing="0" w:after="0" w:afterAutospacing="0"/>
              <w:rPr>
                <w:sz w:val="20"/>
                <w:szCs w:val="20"/>
              </w:rPr>
            </w:pPr>
            <w:r>
              <w:rPr>
                <w:sz w:val="20"/>
                <w:szCs w:val="20"/>
              </w:rPr>
              <w:t>Total stockholders' equity</w:t>
            </w:r>
          </w:p>
        </w:tc>
        <w:tc>
          <w:tcPr>
            <w:tcW w:w="50" w:type="pct"/>
            <w:shd w:val="clear" w:color="auto" w:fill="CCEEFF"/>
            <w:vAlign w:val="bottom"/>
            <w:hideMark/>
          </w:tcPr>
          <w:p w14:paraId="18EB842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3AB613"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D67B6D1" w14:textId="77777777" w:rsidR="00000000" w:rsidRDefault="00322B34">
            <w:pPr>
              <w:jc w:val="right"/>
              <w:rPr>
                <w:rFonts w:eastAsia="Times New Roman"/>
                <w:sz w:val="20"/>
                <w:szCs w:val="20"/>
              </w:rPr>
            </w:pPr>
            <w:r>
              <w:rPr>
                <w:rFonts w:eastAsia="Times New Roman"/>
                <w:sz w:val="20"/>
                <w:szCs w:val="20"/>
              </w:rPr>
              <w:t>5,556,511</w:t>
            </w:r>
          </w:p>
        </w:tc>
        <w:tc>
          <w:tcPr>
            <w:tcW w:w="50" w:type="pct"/>
            <w:shd w:val="clear" w:color="auto" w:fill="CCEEFF"/>
            <w:vAlign w:val="bottom"/>
            <w:hideMark/>
          </w:tcPr>
          <w:p w14:paraId="1EDD477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0A99E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BE5927"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86F1624" w14:textId="77777777" w:rsidR="00000000" w:rsidRDefault="00322B34">
            <w:pPr>
              <w:jc w:val="right"/>
              <w:rPr>
                <w:rFonts w:eastAsia="Times New Roman"/>
                <w:sz w:val="20"/>
                <w:szCs w:val="20"/>
              </w:rPr>
            </w:pPr>
            <w:r>
              <w:rPr>
                <w:rFonts w:eastAsia="Times New Roman"/>
                <w:sz w:val="20"/>
                <w:szCs w:val="20"/>
              </w:rPr>
              <w:t>4,864,892</w:t>
            </w:r>
          </w:p>
        </w:tc>
        <w:tc>
          <w:tcPr>
            <w:tcW w:w="50" w:type="pct"/>
            <w:shd w:val="clear" w:color="auto" w:fill="CCEEFF"/>
            <w:vAlign w:val="bottom"/>
            <w:hideMark/>
          </w:tcPr>
          <w:p w14:paraId="08B14F5A" w14:textId="77777777" w:rsidR="00000000" w:rsidRDefault="00322B34">
            <w:pPr>
              <w:rPr>
                <w:rFonts w:eastAsia="Times New Roman"/>
                <w:sz w:val="20"/>
                <w:szCs w:val="20"/>
              </w:rPr>
            </w:pPr>
            <w:r>
              <w:rPr>
                <w:rFonts w:eastAsia="Times New Roman"/>
                <w:sz w:val="20"/>
                <w:szCs w:val="20"/>
              </w:rPr>
              <w:t> </w:t>
            </w:r>
          </w:p>
        </w:tc>
      </w:tr>
      <w:tr w:rsidR="00000000" w14:paraId="02015B09" w14:textId="77777777">
        <w:trPr>
          <w:divId w:val="85080704"/>
          <w:tblCellSpacing w:w="0" w:type="dxa"/>
        </w:trPr>
        <w:tc>
          <w:tcPr>
            <w:tcW w:w="0" w:type="auto"/>
            <w:shd w:val="clear" w:color="auto" w:fill="FFFFFF"/>
            <w:vAlign w:val="bottom"/>
            <w:hideMark/>
          </w:tcPr>
          <w:p w14:paraId="04F5A17E" w14:textId="77777777" w:rsidR="00000000" w:rsidRDefault="00322B34">
            <w:pPr>
              <w:pStyle w:val="a3"/>
              <w:spacing w:before="0" w:beforeAutospacing="0" w:after="0" w:afterAutospacing="0"/>
              <w:ind w:left="360"/>
              <w:rPr>
                <w:sz w:val="20"/>
                <w:szCs w:val="20"/>
              </w:rPr>
            </w:pPr>
            <w:r>
              <w:rPr>
                <w:sz w:val="20"/>
                <w:szCs w:val="20"/>
              </w:rPr>
              <w:t>Noncontrolling interests</w:t>
            </w:r>
          </w:p>
        </w:tc>
        <w:tc>
          <w:tcPr>
            <w:tcW w:w="50" w:type="pct"/>
            <w:shd w:val="clear" w:color="auto" w:fill="FFFFFF"/>
            <w:vAlign w:val="bottom"/>
            <w:hideMark/>
          </w:tcPr>
          <w:p w14:paraId="5E411612"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1F88C55"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372C398C" w14:textId="77777777" w:rsidR="00000000" w:rsidRDefault="00322B34">
            <w:pPr>
              <w:jc w:val="right"/>
              <w:rPr>
                <w:rFonts w:eastAsia="Times New Roman"/>
                <w:sz w:val="20"/>
                <w:szCs w:val="20"/>
              </w:rPr>
            </w:pPr>
            <w:r>
              <w:rPr>
                <w:rFonts w:eastAsia="Times New Roman"/>
                <w:sz w:val="20"/>
                <w:szCs w:val="20"/>
              </w:rPr>
              <w:t>61,863</w:t>
            </w:r>
          </w:p>
        </w:tc>
        <w:tc>
          <w:tcPr>
            <w:tcW w:w="50" w:type="pct"/>
            <w:shd w:val="clear" w:color="auto" w:fill="FFFFFF"/>
            <w:tcMar>
              <w:top w:w="0" w:type="dxa"/>
              <w:left w:w="0" w:type="dxa"/>
              <w:bottom w:w="15" w:type="dxa"/>
              <w:right w:w="0" w:type="dxa"/>
            </w:tcMar>
            <w:vAlign w:val="bottom"/>
            <w:hideMark/>
          </w:tcPr>
          <w:p w14:paraId="36A8913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D6F3C4"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052A6C9"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DD514CE" w14:textId="77777777" w:rsidR="00000000" w:rsidRDefault="00322B34">
            <w:pPr>
              <w:jc w:val="right"/>
              <w:rPr>
                <w:rFonts w:eastAsia="Times New Roman"/>
                <w:sz w:val="20"/>
                <w:szCs w:val="20"/>
              </w:rPr>
            </w:pPr>
            <w:r>
              <w:rPr>
                <w:rFonts w:eastAsia="Times New Roman"/>
                <w:sz w:val="20"/>
                <w:szCs w:val="20"/>
              </w:rPr>
              <w:t>64,015</w:t>
            </w:r>
          </w:p>
        </w:tc>
        <w:tc>
          <w:tcPr>
            <w:tcW w:w="50" w:type="pct"/>
            <w:shd w:val="clear" w:color="auto" w:fill="FFFFFF"/>
            <w:tcMar>
              <w:top w:w="0" w:type="dxa"/>
              <w:left w:w="0" w:type="dxa"/>
              <w:bottom w:w="15" w:type="dxa"/>
              <w:right w:w="0" w:type="dxa"/>
            </w:tcMar>
            <w:vAlign w:val="bottom"/>
            <w:hideMark/>
          </w:tcPr>
          <w:p w14:paraId="728C0DFB" w14:textId="77777777" w:rsidR="00000000" w:rsidRDefault="00322B34">
            <w:pPr>
              <w:rPr>
                <w:rFonts w:eastAsia="Times New Roman"/>
                <w:sz w:val="20"/>
                <w:szCs w:val="20"/>
              </w:rPr>
            </w:pPr>
            <w:r>
              <w:rPr>
                <w:rFonts w:eastAsia="Times New Roman"/>
                <w:sz w:val="20"/>
                <w:szCs w:val="20"/>
              </w:rPr>
              <w:t> </w:t>
            </w:r>
          </w:p>
        </w:tc>
      </w:tr>
      <w:tr w:rsidR="00000000" w14:paraId="0115723D" w14:textId="77777777">
        <w:trPr>
          <w:divId w:val="85080704"/>
          <w:tblCellSpacing w:w="0" w:type="dxa"/>
        </w:trPr>
        <w:tc>
          <w:tcPr>
            <w:tcW w:w="0" w:type="auto"/>
            <w:shd w:val="clear" w:color="auto" w:fill="CCEEFF"/>
            <w:vAlign w:val="bottom"/>
            <w:hideMark/>
          </w:tcPr>
          <w:p w14:paraId="090E1DB2" w14:textId="77777777" w:rsidR="00000000" w:rsidRDefault="00322B34">
            <w:pPr>
              <w:pStyle w:val="a3"/>
              <w:spacing w:before="0" w:beforeAutospacing="0" w:after="0" w:afterAutospacing="0"/>
              <w:rPr>
                <w:sz w:val="20"/>
                <w:szCs w:val="20"/>
              </w:rPr>
            </w:pPr>
            <w:r>
              <w:rPr>
                <w:sz w:val="20"/>
                <w:szCs w:val="20"/>
              </w:rPr>
              <w:t>Total equity</w:t>
            </w:r>
          </w:p>
        </w:tc>
        <w:tc>
          <w:tcPr>
            <w:tcW w:w="50" w:type="pct"/>
            <w:shd w:val="clear" w:color="auto" w:fill="CCEEFF"/>
            <w:tcMar>
              <w:top w:w="0" w:type="dxa"/>
              <w:left w:w="0" w:type="dxa"/>
              <w:bottom w:w="15" w:type="dxa"/>
              <w:right w:w="0" w:type="dxa"/>
            </w:tcMar>
            <w:vAlign w:val="bottom"/>
            <w:hideMark/>
          </w:tcPr>
          <w:p w14:paraId="7D95FCB2"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E0C30FC"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4C0400A" w14:textId="77777777" w:rsidR="00000000" w:rsidRDefault="00322B34">
            <w:pPr>
              <w:jc w:val="right"/>
              <w:rPr>
                <w:rFonts w:eastAsia="Times New Roman"/>
                <w:sz w:val="20"/>
                <w:szCs w:val="20"/>
              </w:rPr>
            </w:pPr>
            <w:r>
              <w:rPr>
                <w:rFonts w:eastAsia="Times New Roman"/>
                <w:sz w:val="20"/>
                <w:szCs w:val="20"/>
              </w:rPr>
              <w:t>5,618,374</w:t>
            </w:r>
          </w:p>
        </w:tc>
        <w:tc>
          <w:tcPr>
            <w:tcW w:w="50" w:type="pct"/>
            <w:shd w:val="clear" w:color="auto" w:fill="CCEEFF"/>
            <w:tcMar>
              <w:top w:w="0" w:type="dxa"/>
              <w:left w:w="0" w:type="dxa"/>
              <w:bottom w:w="15" w:type="dxa"/>
              <w:right w:w="0" w:type="dxa"/>
            </w:tcMar>
            <w:vAlign w:val="bottom"/>
            <w:hideMark/>
          </w:tcPr>
          <w:p w14:paraId="4E65894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2850A491"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8C6097F"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067172B" w14:textId="77777777" w:rsidR="00000000" w:rsidRDefault="00322B34">
            <w:pPr>
              <w:jc w:val="right"/>
              <w:rPr>
                <w:rFonts w:eastAsia="Times New Roman"/>
                <w:sz w:val="20"/>
                <w:szCs w:val="20"/>
              </w:rPr>
            </w:pPr>
            <w:r>
              <w:rPr>
                <w:rFonts w:eastAsia="Times New Roman"/>
                <w:sz w:val="20"/>
                <w:szCs w:val="20"/>
              </w:rPr>
              <w:t>4,928,907</w:t>
            </w:r>
          </w:p>
        </w:tc>
        <w:tc>
          <w:tcPr>
            <w:tcW w:w="50" w:type="pct"/>
            <w:shd w:val="clear" w:color="auto" w:fill="CCEEFF"/>
            <w:tcMar>
              <w:top w:w="0" w:type="dxa"/>
              <w:left w:w="0" w:type="dxa"/>
              <w:bottom w:w="15" w:type="dxa"/>
              <w:right w:w="0" w:type="dxa"/>
            </w:tcMar>
            <w:vAlign w:val="bottom"/>
            <w:hideMark/>
          </w:tcPr>
          <w:p w14:paraId="2DF091C8" w14:textId="77777777" w:rsidR="00000000" w:rsidRDefault="00322B34">
            <w:pPr>
              <w:rPr>
                <w:rFonts w:eastAsia="Times New Roman"/>
                <w:sz w:val="20"/>
                <w:szCs w:val="20"/>
              </w:rPr>
            </w:pPr>
            <w:r>
              <w:rPr>
                <w:rFonts w:eastAsia="Times New Roman"/>
                <w:sz w:val="20"/>
                <w:szCs w:val="20"/>
              </w:rPr>
              <w:t> </w:t>
            </w:r>
          </w:p>
        </w:tc>
      </w:tr>
      <w:tr w:rsidR="00000000" w14:paraId="12E6FFC6" w14:textId="77777777">
        <w:trPr>
          <w:divId w:val="85080704"/>
          <w:tblCellSpacing w:w="0" w:type="dxa"/>
        </w:trPr>
        <w:tc>
          <w:tcPr>
            <w:tcW w:w="0" w:type="auto"/>
            <w:shd w:val="clear" w:color="auto" w:fill="FFFFFF"/>
            <w:vAlign w:val="bottom"/>
            <w:hideMark/>
          </w:tcPr>
          <w:p w14:paraId="2ECC33B3" w14:textId="77777777" w:rsidR="00000000" w:rsidRDefault="00322B34">
            <w:pPr>
              <w:pStyle w:val="a3"/>
              <w:spacing w:before="0" w:beforeAutospacing="0" w:after="0" w:afterAutospacing="0"/>
              <w:rPr>
                <w:sz w:val="20"/>
                <w:szCs w:val="20"/>
              </w:rPr>
            </w:pPr>
            <w:r>
              <w:rPr>
                <w:sz w:val="20"/>
                <w:szCs w:val="20"/>
              </w:rPr>
              <w:t>Total liabilities and equity</w:t>
            </w:r>
          </w:p>
        </w:tc>
        <w:tc>
          <w:tcPr>
            <w:tcW w:w="50" w:type="pct"/>
            <w:shd w:val="clear" w:color="auto" w:fill="FFFFFF"/>
            <w:vAlign w:val="bottom"/>
            <w:hideMark/>
          </w:tcPr>
          <w:p w14:paraId="6AE833F1"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91D88B1" w14:textId="77777777" w:rsidR="00000000" w:rsidRDefault="00322B3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2D11D255" w14:textId="77777777" w:rsidR="00000000" w:rsidRDefault="00322B34">
            <w:pPr>
              <w:jc w:val="right"/>
              <w:rPr>
                <w:rFonts w:eastAsia="Times New Roman"/>
                <w:sz w:val="20"/>
                <w:szCs w:val="20"/>
              </w:rPr>
            </w:pPr>
            <w:r>
              <w:rPr>
                <w:rFonts w:eastAsia="Times New Roman"/>
                <w:sz w:val="20"/>
                <w:szCs w:val="20"/>
              </w:rPr>
              <w:t>11,559,970</w:t>
            </w:r>
          </w:p>
        </w:tc>
        <w:tc>
          <w:tcPr>
            <w:tcW w:w="50" w:type="pct"/>
            <w:shd w:val="clear" w:color="auto" w:fill="FFFFFF"/>
            <w:tcMar>
              <w:top w:w="0" w:type="dxa"/>
              <w:left w:w="0" w:type="dxa"/>
              <w:bottom w:w="45" w:type="dxa"/>
              <w:right w:w="0" w:type="dxa"/>
            </w:tcMar>
            <w:vAlign w:val="bottom"/>
            <w:hideMark/>
          </w:tcPr>
          <w:p w14:paraId="1FBECD2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D18644"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218DFE2" w14:textId="77777777" w:rsidR="00000000" w:rsidRDefault="00322B3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0F519A46" w14:textId="77777777" w:rsidR="00000000" w:rsidRDefault="00322B34">
            <w:pPr>
              <w:jc w:val="right"/>
              <w:rPr>
                <w:rFonts w:eastAsia="Times New Roman"/>
                <w:sz w:val="20"/>
                <w:szCs w:val="20"/>
              </w:rPr>
            </w:pPr>
            <w:r>
              <w:rPr>
                <w:rFonts w:eastAsia="Times New Roman"/>
                <w:sz w:val="20"/>
                <w:szCs w:val="20"/>
              </w:rPr>
              <w:t>10,997,867</w:t>
            </w:r>
          </w:p>
        </w:tc>
        <w:tc>
          <w:tcPr>
            <w:tcW w:w="50" w:type="pct"/>
            <w:shd w:val="clear" w:color="auto" w:fill="FFFFFF"/>
            <w:tcMar>
              <w:top w:w="0" w:type="dxa"/>
              <w:left w:w="0" w:type="dxa"/>
              <w:bottom w:w="45" w:type="dxa"/>
              <w:right w:w="0" w:type="dxa"/>
            </w:tcMar>
            <w:vAlign w:val="bottom"/>
            <w:hideMark/>
          </w:tcPr>
          <w:p w14:paraId="4898399C" w14:textId="77777777" w:rsidR="00000000" w:rsidRDefault="00322B34">
            <w:pPr>
              <w:rPr>
                <w:rFonts w:eastAsia="Times New Roman"/>
                <w:sz w:val="20"/>
                <w:szCs w:val="20"/>
              </w:rPr>
            </w:pPr>
            <w:r>
              <w:rPr>
                <w:rFonts w:eastAsia="Times New Roman"/>
                <w:sz w:val="20"/>
                <w:szCs w:val="20"/>
              </w:rPr>
              <w:t> </w:t>
            </w:r>
          </w:p>
        </w:tc>
      </w:tr>
    </w:tbl>
    <w:p w14:paraId="42EF0A33" w14:textId="77777777" w:rsidR="00000000" w:rsidRDefault="00322B3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1721CB9" w14:textId="77777777">
        <w:trPr>
          <w:tblCellSpacing w:w="0" w:type="dxa"/>
        </w:trPr>
        <w:tc>
          <w:tcPr>
            <w:tcW w:w="360" w:type="dxa"/>
            <w:hideMark/>
          </w:tcPr>
          <w:p w14:paraId="67671400" w14:textId="77777777" w:rsidR="00000000" w:rsidRDefault="00322B34">
            <w:pPr>
              <w:rPr>
                <w:rFonts w:eastAsia="Times New Roman"/>
                <w:sz w:val="20"/>
                <w:szCs w:val="20"/>
              </w:rPr>
            </w:pPr>
            <w:r>
              <w:rPr>
                <w:rFonts w:eastAsia="Times New Roman"/>
                <w:sz w:val="20"/>
                <w:szCs w:val="20"/>
              </w:rPr>
              <w:t>(1)</w:t>
            </w:r>
          </w:p>
        </w:tc>
        <w:tc>
          <w:tcPr>
            <w:tcW w:w="0" w:type="auto"/>
            <w:hideMark/>
          </w:tcPr>
          <w:p w14:paraId="78773D28" w14:textId="77777777" w:rsidR="00000000" w:rsidRDefault="00322B34">
            <w:pPr>
              <w:pStyle w:val="a3"/>
              <w:spacing w:before="0" w:beforeAutospacing="0" w:after="0" w:afterAutospacing="0"/>
              <w:rPr>
                <w:sz w:val="20"/>
                <w:szCs w:val="20"/>
              </w:rPr>
            </w:pPr>
            <w:r>
              <w:rPr>
                <w:sz w:val="20"/>
                <w:szCs w:val="20"/>
              </w:rPr>
              <w:t>Includes restricted assets of consolidated variable interest entities (“VIEs”) at June 30, 2020 and December 31, 2019 of $104,214 and $245,489, respectively.  See Footnote 10 of the Notes to Condensed Consolidated  Financial Statements.</w:t>
            </w:r>
          </w:p>
        </w:tc>
      </w:tr>
      <w:tr w:rsidR="00000000" w14:paraId="0794D478" w14:textId="77777777">
        <w:trPr>
          <w:tblCellSpacing w:w="0" w:type="dxa"/>
        </w:trPr>
        <w:tc>
          <w:tcPr>
            <w:tcW w:w="360" w:type="dxa"/>
            <w:hideMark/>
          </w:tcPr>
          <w:p w14:paraId="61C49BFA" w14:textId="77777777" w:rsidR="00000000" w:rsidRDefault="00322B34">
            <w:pPr>
              <w:rPr>
                <w:rFonts w:eastAsia="Times New Roman"/>
                <w:sz w:val="20"/>
                <w:szCs w:val="20"/>
              </w:rPr>
            </w:pPr>
            <w:r>
              <w:rPr>
                <w:rFonts w:eastAsia="Times New Roman"/>
                <w:sz w:val="20"/>
                <w:szCs w:val="20"/>
              </w:rPr>
              <w:t>(2)</w:t>
            </w:r>
          </w:p>
        </w:tc>
        <w:tc>
          <w:tcPr>
            <w:tcW w:w="0" w:type="auto"/>
            <w:hideMark/>
          </w:tcPr>
          <w:p w14:paraId="4EA0BD8E" w14:textId="77777777" w:rsidR="00000000" w:rsidRDefault="00322B34">
            <w:pPr>
              <w:pStyle w:val="a3"/>
              <w:spacing w:before="0" w:beforeAutospacing="0" w:after="0" w:afterAutospacing="0"/>
              <w:rPr>
                <w:sz w:val="20"/>
                <w:szCs w:val="20"/>
              </w:rPr>
            </w:pPr>
            <w:r>
              <w:rPr>
                <w:sz w:val="20"/>
                <w:szCs w:val="20"/>
              </w:rPr>
              <w:t>Includes non-recourse liabilities of consolidated VIEs at June 30, 2020 and December 31, 2019 of $64,780 and $153,436, respectively.  See Footnote 10 of the Notes to Condensed Consolidated Financial Statements.</w:t>
            </w:r>
          </w:p>
        </w:tc>
      </w:tr>
    </w:tbl>
    <w:p w14:paraId="73A7B7F0" w14:textId="77777777" w:rsidR="00000000" w:rsidRDefault="00322B34">
      <w:pPr>
        <w:pStyle w:val="a3"/>
        <w:spacing w:before="0" w:beforeAutospacing="0" w:after="0" w:afterAutospacing="0"/>
        <w:rPr>
          <w:sz w:val="20"/>
          <w:szCs w:val="20"/>
        </w:rPr>
      </w:pPr>
      <w:r>
        <w:rPr>
          <w:sz w:val="20"/>
          <w:szCs w:val="20"/>
        </w:rPr>
        <w:t> </w:t>
      </w:r>
    </w:p>
    <w:p w14:paraId="044862CF" w14:textId="77777777" w:rsidR="00000000" w:rsidRDefault="00322B34">
      <w:pPr>
        <w:pStyle w:val="a3"/>
        <w:spacing w:before="0" w:beforeAutospacing="0" w:after="0" w:afterAutospacing="0"/>
        <w:jc w:val="center"/>
        <w:rPr>
          <w:sz w:val="20"/>
          <w:szCs w:val="20"/>
        </w:rPr>
      </w:pPr>
      <w:r>
        <w:rPr>
          <w:sz w:val="20"/>
          <w:szCs w:val="20"/>
        </w:rPr>
        <w:t>The accompanying notes are an integral par</w:t>
      </w:r>
      <w:r>
        <w:rPr>
          <w:sz w:val="20"/>
          <w:szCs w:val="20"/>
        </w:rPr>
        <w:t>t of these condensed consolidated financial statements.</w:t>
      </w:r>
    </w:p>
    <w:p w14:paraId="680352F9" w14:textId="77777777" w:rsidR="00000000" w:rsidRDefault="00322B34">
      <w:pPr>
        <w:pStyle w:val="a3"/>
        <w:spacing w:before="0" w:beforeAutospacing="0" w:after="0" w:afterAutospacing="0"/>
        <w:jc w:val="center"/>
        <w:rPr>
          <w:sz w:val="20"/>
          <w:szCs w:val="20"/>
        </w:rPr>
      </w:pPr>
      <w:r>
        <w:rPr>
          <w:sz w:val="20"/>
          <w:szCs w:val="20"/>
        </w:rPr>
        <w:t> </w:t>
      </w:r>
    </w:p>
    <w:p w14:paraId="62930800" w14:textId="77777777" w:rsidR="00000000" w:rsidRDefault="00322B34">
      <w:pPr>
        <w:jc w:val="center"/>
        <w:divId w:val="718287239"/>
        <w:rPr>
          <w:rFonts w:eastAsia="Times New Roman"/>
          <w:sz w:val="20"/>
          <w:szCs w:val="20"/>
        </w:rPr>
      </w:pPr>
      <w:r>
        <w:rPr>
          <w:rFonts w:eastAsia="Times New Roman"/>
          <w:sz w:val="20"/>
          <w:szCs w:val="20"/>
        </w:rPr>
        <w:t xml:space="preserve">3 </w:t>
      </w:r>
    </w:p>
    <w:p w14:paraId="3DA6D745" w14:textId="77777777" w:rsidR="00000000" w:rsidRDefault="00322B34">
      <w:pPr>
        <w:divId w:val="1953316481"/>
        <w:rPr>
          <w:rFonts w:eastAsia="Times New Roman"/>
          <w:sz w:val="20"/>
          <w:szCs w:val="20"/>
        </w:rPr>
      </w:pPr>
      <w:r>
        <w:rPr>
          <w:rFonts w:eastAsia="Times New Roman"/>
          <w:sz w:val="20"/>
          <w:szCs w:val="20"/>
        </w:rPr>
        <w:pict w14:anchorId="3C5EA64C">
          <v:rect id="_x0000_i1031" style="width:0;height:1.5pt" o:hralign="center" o:hrstd="t" o:hr="t" fillcolor="#a0a0a0" stroked="f"/>
        </w:pict>
      </w:r>
    </w:p>
    <w:p w14:paraId="449D41CA" w14:textId="77777777" w:rsidR="00000000" w:rsidRDefault="00322B34">
      <w:pPr>
        <w:divId w:val="52857019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FF1C669" w14:textId="77777777" w:rsidR="00000000" w:rsidRDefault="00322B34">
      <w:pPr>
        <w:pStyle w:val="a3"/>
        <w:spacing w:before="0" w:beforeAutospacing="0" w:after="0" w:afterAutospacing="0"/>
        <w:rPr>
          <w:sz w:val="20"/>
          <w:szCs w:val="20"/>
        </w:rPr>
      </w:pPr>
      <w:r>
        <w:rPr>
          <w:sz w:val="20"/>
          <w:szCs w:val="20"/>
        </w:rPr>
        <w:t> </w:t>
      </w:r>
    </w:p>
    <w:p w14:paraId="595596CA" w14:textId="77777777" w:rsidR="00000000" w:rsidRDefault="00322B34">
      <w:pPr>
        <w:divId w:val="22873815"/>
        <w:rPr>
          <w:rFonts w:eastAsia="Times New Roman"/>
          <w:sz w:val="20"/>
          <w:szCs w:val="20"/>
        </w:rPr>
      </w:pPr>
      <w:r>
        <w:rPr>
          <w:rFonts w:eastAsia="Times New Roman"/>
          <w:sz w:val="20"/>
          <w:szCs w:val="20"/>
        </w:rPr>
        <w:t xml:space="preserve">  </w:t>
      </w:r>
    </w:p>
    <w:p w14:paraId="4386ABC2" w14:textId="77777777" w:rsidR="00000000" w:rsidRDefault="00322B34">
      <w:pPr>
        <w:pStyle w:val="a3"/>
        <w:spacing w:before="0" w:beforeAutospacing="0" w:after="0" w:afterAutospacing="0"/>
        <w:jc w:val="center"/>
        <w:rPr>
          <w:sz w:val="20"/>
          <w:szCs w:val="20"/>
        </w:rPr>
      </w:pPr>
      <w:r>
        <w:rPr>
          <w:sz w:val="20"/>
          <w:szCs w:val="20"/>
        </w:rPr>
        <w:t>KIMCO REALTY CORPORATION AND SUBSIDIARIES</w:t>
      </w:r>
    </w:p>
    <w:p w14:paraId="20780C4B" w14:textId="77777777" w:rsidR="00000000" w:rsidRDefault="00322B34">
      <w:pPr>
        <w:pStyle w:val="a3"/>
        <w:spacing w:before="0" w:beforeAutospacing="0" w:after="0" w:afterAutospacing="0"/>
        <w:jc w:val="center"/>
        <w:rPr>
          <w:sz w:val="20"/>
          <w:szCs w:val="20"/>
        </w:rPr>
      </w:pPr>
      <w:r>
        <w:rPr>
          <w:sz w:val="20"/>
          <w:szCs w:val="20"/>
        </w:rPr>
        <w:t xml:space="preserve">CONDENSED CONSOLIDATED STATEMENTS OF </w:t>
      </w:r>
      <w:r>
        <w:rPr>
          <w:sz w:val="20"/>
          <w:szCs w:val="20"/>
        </w:rPr>
        <w:t>INCOME</w:t>
      </w:r>
    </w:p>
    <w:p w14:paraId="387C526B" w14:textId="77777777" w:rsidR="00000000" w:rsidRDefault="00322B34">
      <w:pPr>
        <w:pStyle w:val="a3"/>
        <w:spacing w:before="0" w:beforeAutospacing="0" w:after="0" w:afterAutospacing="0"/>
        <w:jc w:val="center"/>
        <w:rPr>
          <w:sz w:val="20"/>
          <w:szCs w:val="20"/>
        </w:rPr>
      </w:pPr>
      <w:r>
        <w:rPr>
          <w:sz w:val="20"/>
          <w:szCs w:val="20"/>
        </w:rPr>
        <w:t>(Unaudited)</w:t>
      </w:r>
    </w:p>
    <w:p w14:paraId="14729D0E" w14:textId="77777777" w:rsidR="00000000" w:rsidRDefault="00322B34">
      <w:pPr>
        <w:pStyle w:val="a3"/>
        <w:spacing w:before="0" w:beforeAutospacing="0" w:after="0" w:afterAutospacing="0"/>
        <w:jc w:val="center"/>
        <w:rPr>
          <w:sz w:val="20"/>
          <w:szCs w:val="20"/>
        </w:rPr>
      </w:pPr>
      <w:r>
        <w:rPr>
          <w:sz w:val="20"/>
          <w:szCs w:val="20"/>
        </w:rPr>
        <w:t>(in thousands, except per share data)</w:t>
      </w:r>
    </w:p>
    <w:p w14:paraId="0BFFCED2" w14:textId="77777777" w:rsidR="00000000" w:rsidRDefault="00322B3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14:paraId="3EA8493D" w14:textId="77777777">
        <w:trPr>
          <w:divId w:val="3636607"/>
          <w:tblCellSpacing w:w="0" w:type="dxa"/>
        </w:trPr>
        <w:tc>
          <w:tcPr>
            <w:tcW w:w="0" w:type="auto"/>
            <w:vAlign w:val="bottom"/>
            <w:hideMark/>
          </w:tcPr>
          <w:p w14:paraId="6FAE129F"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40D50C8" w14:textId="77777777" w:rsidR="00000000" w:rsidRDefault="00322B34">
            <w:pPr>
              <w:rPr>
                <w:rFonts w:eastAsia="Times New Roman"/>
                <w:sz w:val="20"/>
                <w:szCs w:val="20"/>
              </w:rPr>
            </w:pPr>
            <w:r>
              <w:rPr>
                <w:rFonts w:eastAsia="Times New Roman"/>
                <w:sz w:val="20"/>
                <w:szCs w:val="20"/>
              </w:rPr>
              <w:t> </w:t>
            </w:r>
          </w:p>
        </w:tc>
        <w:tc>
          <w:tcPr>
            <w:tcW w:w="0" w:type="auto"/>
            <w:gridSpan w:val="6"/>
            <w:vAlign w:val="bottom"/>
            <w:hideMark/>
          </w:tcPr>
          <w:p w14:paraId="0DE0B53E" w14:textId="77777777" w:rsidR="00000000" w:rsidRDefault="00322B34">
            <w:pPr>
              <w:pStyle w:val="a3"/>
              <w:spacing w:before="0" w:beforeAutospacing="0" w:after="0" w:afterAutospacing="0"/>
              <w:jc w:val="center"/>
              <w:rPr>
                <w:sz w:val="20"/>
                <w:szCs w:val="20"/>
              </w:rPr>
            </w:pPr>
            <w:r>
              <w:rPr>
                <w:b/>
                <w:bCs/>
                <w:sz w:val="20"/>
                <w:szCs w:val="20"/>
              </w:rPr>
              <w:t xml:space="preserve">Three Months Ended June 30, </w:t>
            </w:r>
          </w:p>
        </w:tc>
        <w:tc>
          <w:tcPr>
            <w:tcW w:w="0" w:type="auto"/>
            <w:vAlign w:val="bottom"/>
            <w:hideMark/>
          </w:tcPr>
          <w:p w14:paraId="0095C1ED"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C3D4FA2" w14:textId="77777777" w:rsidR="00000000" w:rsidRDefault="00322B34">
            <w:pPr>
              <w:rPr>
                <w:rFonts w:eastAsia="Times New Roman"/>
                <w:sz w:val="20"/>
                <w:szCs w:val="20"/>
              </w:rPr>
            </w:pPr>
            <w:r>
              <w:rPr>
                <w:rFonts w:eastAsia="Times New Roman"/>
                <w:sz w:val="20"/>
                <w:szCs w:val="20"/>
              </w:rPr>
              <w:t> </w:t>
            </w:r>
          </w:p>
        </w:tc>
        <w:tc>
          <w:tcPr>
            <w:tcW w:w="0" w:type="auto"/>
            <w:gridSpan w:val="6"/>
            <w:vAlign w:val="bottom"/>
            <w:hideMark/>
          </w:tcPr>
          <w:p w14:paraId="2724A59D" w14:textId="77777777" w:rsidR="00000000" w:rsidRDefault="00322B34">
            <w:pPr>
              <w:pStyle w:val="a3"/>
              <w:spacing w:before="0" w:beforeAutospacing="0" w:after="0" w:afterAutospacing="0"/>
              <w:jc w:val="center"/>
              <w:rPr>
                <w:sz w:val="20"/>
                <w:szCs w:val="20"/>
              </w:rPr>
            </w:pPr>
            <w:r>
              <w:rPr>
                <w:b/>
                <w:bCs/>
                <w:sz w:val="20"/>
                <w:szCs w:val="20"/>
              </w:rPr>
              <w:t xml:space="preserve">Six Months Ended June 30, </w:t>
            </w:r>
          </w:p>
        </w:tc>
        <w:tc>
          <w:tcPr>
            <w:tcW w:w="0" w:type="auto"/>
            <w:vAlign w:val="bottom"/>
            <w:hideMark/>
          </w:tcPr>
          <w:p w14:paraId="43F23A02" w14:textId="77777777" w:rsidR="00000000" w:rsidRDefault="00322B34">
            <w:pPr>
              <w:rPr>
                <w:rFonts w:eastAsia="Times New Roman"/>
                <w:sz w:val="20"/>
                <w:szCs w:val="20"/>
              </w:rPr>
            </w:pPr>
            <w:r>
              <w:rPr>
                <w:rFonts w:eastAsia="Times New Roman"/>
                <w:sz w:val="20"/>
                <w:szCs w:val="20"/>
              </w:rPr>
              <w:t> </w:t>
            </w:r>
          </w:p>
        </w:tc>
      </w:tr>
      <w:tr w:rsidR="00000000" w14:paraId="124F1BEB" w14:textId="77777777">
        <w:trPr>
          <w:divId w:val="3636607"/>
          <w:tblCellSpacing w:w="0" w:type="dxa"/>
        </w:trPr>
        <w:tc>
          <w:tcPr>
            <w:tcW w:w="0" w:type="auto"/>
            <w:vAlign w:val="bottom"/>
            <w:hideMark/>
          </w:tcPr>
          <w:p w14:paraId="590E7789"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B0C9C76"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DDB1E9A"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6A31DB9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5C18A3F"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CE13F52"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2846FB9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62F932C"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A2DD05C"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3A9F16F0"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43FD3E7"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FB0E8D0"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0E02743" w14:textId="77777777" w:rsidR="00000000" w:rsidRDefault="00322B34">
            <w:pPr>
              <w:rPr>
                <w:rFonts w:eastAsia="Times New Roman"/>
                <w:sz w:val="20"/>
                <w:szCs w:val="20"/>
              </w:rPr>
            </w:pPr>
            <w:r>
              <w:rPr>
                <w:rFonts w:eastAsia="Times New Roman"/>
                <w:sz w:val="20"/>
                <w:szCs w:val="20"/>
              </w:rPr>
              <w:t> </w:t>
            </w:r>
          </w:p>
        </w:tc>
      </w:tr>
      <w:tr w:rsidR="00000000" w14:paraId="6BE755A8" w14:textId="77777777">
        <w:trPr>
          <w:divId w:val="3636607"/>
          <w:tblCellSpacing w:w="0" w:type="dxa"/>
        </w:trPr>
        <w:tc>
          <w:tcPr>
            <w:tcW w:w="0" w:type="auto"/>
            <w:vAlign w:val="bottom"/>
            <w:hideMark/>
          </w:tcPr>
          <w:p w14:paraId="7FEED365"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830BF68"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12BBA0B"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58D19DB"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125A29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BDACE32"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4254A7B"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5A6FCF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24376FC"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13860B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AE304AD"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2374388"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D26745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74A602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B57D8F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42B4DE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C5960E7" w14:textId="77777777" w:rsidR="00000000" w:rsidRDefault="00322B34">
            <w:pPr>
              <w:rPr>
                <w:rFonts w:eastAsia="Times New Roman"/>
                <w:sz w:val="20"/>
                <w:szCs w:val="20"/>
              </w:rPr>
            </w:pPr>
            <w:r>
              <w:rPr>
                <w:rFonts w:eastAsia="Times New Roman"/>
                <w:sz w:val="20"/>
                <w:szCs w:val="20"/>
              </w:rPr>
              <w:t> </w:t>
            </w:r>
          </w:p>
        </w:tc>
      </w:tr>
      <w:tr w:rsidR="00000000" w14:paraId="3FED8129" w14:textId="77777777">
        <w:trPr>
          <w:divId w:val="3636607"/>
          <w:tblCellSpacing w:w="0" w:type="dxa"/>
        </w:trPr>
        <w:tc>
          <w:tcPr>
            <w:tcW w:w="2600" w:type="pct"/>
            <w:shd w:val="clear" w:color="auto" w:fill="CCEEFF"/>
            <w:vAlign w:val="bottom"/>
            <w:hideMark/>
          </w:tcPr>
          <w:p w14:paraId="24CE02C6" w14:textId="77777777" w:rsidR="00000000" w:rsidRDefault="00322B34">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14:paraId="0E4D196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D47C7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B7478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3FFAA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7EE49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14DA4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07038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201AA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AC529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EA1CD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621D3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083D3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207C1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441D9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2F46E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BEDB3E" w14:textId="77777777" w:rsidR="00000000" w:rsidRDefault="00322B34">
            <w:pPr>
              <w:rPr>
                <w:rFonts w:eastAsia="Times New Roman"/>
                <w:sz w:val="20"/>
                <w:szCs w:val="20"/>
              </w:rPr>
            </w:pPr>
            <w:r>
              <w:rPr>
                <w:rFonts w:eastAsia="Times New Roman"/>
                <w:sz w:val="20"/>
                <w:szCs w:val="20"/>
              </w:rPr>
              <w:t> </w:t>
            </w:r>
          </w:p>
        </w:tc>
      </w:tr>
      <w:tr w:rsidR="00000000" w14:paraId="3E3BCD5D" w14:textId="77777777">
        <w:trPr>
          <w:divId w:val="3636607"/>
          <w:tblCellSpacing w:w="0" w:type="dxa"/>
        </w:trPr>
        <w:tc>
          <w:tcPr>
            <w:tcW w:w="0" w:type="auto"/>
            <w:shd w:val="clear" w:color="auto" w:fill="FFFFFF"/>
            <w:vAlign w:val="bottom"/>
            <w:hideMark/>
          </w:tcPr>
          <w:p w14:paraId="1580DF1C" w14:textId="77777777" w:rsidR="00000000" w:rsidRDefault="00322B34">
            <w:pPr>
              <w:pStyle w:val="a3"/>
              <w:spacing w:before="0" w:beforeAutospacing="0" w:after="0" w:afterAutospacing="0"/>
              <w:ind w:left="540"/>
              <w:rPr>
                <w:sz w:val="20"/>
                <w:szCs w:val="20"/>
              </w:rPr>
            </w:pPr>
            <w:r>
              <w:rPr>
                <w:sz w:val="20"/>
                <w:szCs w:val="20"/>
              </w:rPr>
              <w:t>Revenues from rental properties, net</w:t>
            </w:r>
          </w:p>
        </w:tc>
        <w:tc>
          <w:tcPr>
            <w:tcW w:w="50" w:type="pct"/>
            <w:shd w:val="clear" w:color="auto" w:fill="FFFFFF"/>
            <w:vAlign w:val="bottom"/>
            <w:hideMark/>
          </w:tcPr>
          <w:p w14:paraId="0BFBE72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DF7C90" w14:textId="77777777" w:rsidR="00000000" w:rsidRDefault="00322B34">
            <w:pPr>
              <w:rPr>
                <w:rFonts w:eastAsia="Times New Roman"/>
                <w:sz w:val="20"/>
                <w:szCs w:val="20"/>
              </w:rPr>
            </w:pPr>
            <w:r>
              <w:rPr>
                <w:rFonts w:eastAsia="Times New Roman"/>
                <w:sz w:val="20"/>
                <w:szCs w:val="20"/>
              </w:rPr>
              <w:t>$</w:t>
            </w:r>
          </w:p>
        </w:tc>
        <w:tc>
          <w:tcPr>
            <w:tcW w:w="450" w:type="pct"/>
            <w:shd w:val="clear" w:color="auto" w:fill="FFFFFF"/>
            <w:vAlign w:val="bottom"/>
            <w:hideMark/>
          </w:tcPr>
          <w:p w14:paraId="6DBA7F65" w14:textId="77777777" w:rsidR="00000000" w:rsidRDefault="00322B34">
            <w:pPr>
              <w:jc w:val="right"/>
              <w:rPr>
                <w:rFonts w:eastAsia="Times New Roman"/>
                <w:sz w:val="20"/>
                <w:szCs w:val="20"/>
              </w:rPr>
            </w:pPr>
            <w:r>
              <w:rPr>
                <w:rFonts w:eastAsia="Times New Roman"/>
                <w:sz w:val="20"/>
                <w:szCs w:val="20"/>
              </w:rPr>
              <w:t>235,961</w:t>
            </w:r>
          </w:p>
        </w:tc>
        <w:tc>
          <w:tcPr>
            <w:tcW w:w="50" w:type="pct"/>
            <w:shd w:val="clear" w:color="auto" w:fill="FFFFFF"/>
            <w:vAlign w:val="bottom"/>
            <w:hideMark/>
          </w:tcPr>
          <w:p w14:paraId="26B632C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C734D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43048F" w14:textId="77777777" w:rsidR="00000000" w:rsidRDefault="00322B34">
            <w:pPr>
              <w:rPr>
                <w:rFonts w:eastAsia="Times New Roman"/>
                <w:sz w:val="20"/>
                <w:szCs w:val="20"/>
              </w:rPr>
            </w:pPr>
            <w:r>
              <w:rPr>
                <w:rFonts w:eastAsia="Times New Roman"/>
                <w:sz w:val="20"/>
                <w:szCs w:val="20"/>
              </w:rPr>
              <w:t>$</w:t>
            </w:r>
          </w:p>
        </w:tc>
        <w:tc>
          <w:tcPr>
            <w:tcW w:w="450" w:type="pct"/>
            <w:shd w:val="clear" w:color="auto" w:fill="FFFFFF"/>
            <w:vAlign w:val="bottom"/>
            <w:hideMark/>
          </w:tcPr>
          <w:p w14:paraId="0D129D5F" w14:textId="77777777" w:rsidR="00000000" w:rsidRDefault="00322B34">
            <w:pPr>
              <w:jc w:val="right"/>
              <w:rPr>
                <w:rFonts w:eastAsia="Times New Roman"/>
                <w:sz w:val="20"/>
                <w:szCs w:val="20"/>
              </w:rPr>
            </w:pPr>
            <w:r>
              <w:rPr>
                <w:rFonts w:eastAsia="Times New Roman"/>
                <w:sz w:val="20"/>
                <w:szCs w:val="20"/>
              </w:rPr>
              <w:t>280,710</w:t>
            </w:r>
          </w:p>
        </w:tc>
        <w:tc>
          <w:tcPr>
            <w:tcW w:w="50" w:type="pct"/>
            <w:shd w:val="clear" w:color="auto" w:fill="FFFFFF"/>
            <w:vAlign w:val="bottom"/>
            <w:hideMark/>
          </w:tcPr>
          <w:p w14:paraId="1E2BFA9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3830D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B78439" w14:textId="77777777" w:rsidR="00000000" w:rsidRDefault="00322B34">
            <w:pPr>
              <w:rPr>
                <w:rFonts w:eastAsia="Times New Roman"/>
                <w:sz w:val="20"/>
                <w:szCs w:val="20"/>
              </w:rPr>
            </w:pPr>
            <w:r>
              <w:rPr>
                <w:rFonts w:eastAsia="Times New Roman"/>
                <w:sz w:val="20"/>
                <w:szCs w:val="20"/>
              </w:rPr>
              <w:t>$</w:t>
            </w:r>
          </w:p>
        </w:tc>
        <w:tc>
          <w:tcPr>
            <w:tcW w:w="450" w:type="pct"/>
            <w:shd w:val="clear" w:color="auto" w:fill="FFFFFF"/>
            <w:vAlign w:val="bottom"/>
            <w:hideMark/>
          </w:tcPr>
          <w:p w14:paraId="215854CD" w14:textId="77777777" w:rsidR="00000000" w:rsidRDefault="00322B34">
            <w:pPr>
              <w:jc w:val="right"/>
              <w:rPr>
                <w:rFonts w:eastAsia="Times New Roman"/>
                <w:sz w:val="20"/>
                <w:szCs w:val="20"/>
              </w:rPr>
            </w:pPr>
            <w:r>
              <w:rPr>
                <w:rFonts w:eastAsia="Times New Roman"/>
                <w:sz w:val="20"/>
                <w:szCs w:val="20"/>
              </w:rPr>
              <w:t>521,965</w:t>
            </w:r>
          </w:p>
        </w:tc>
        <w:tc>
          <w:tcPr>
            <w:tcW w:w="50" w:type="pct"/>
            <w:shd w:val="clear" w:color="auto" w:fill="FFFFFF"/>
            <w:vAlign w:val="bottom"/>
            <w:hideMark/>
          </w:tcPr>
          <w:p w14:paraId="54BA0AF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44C04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90AC32" w14:textId="77777777" w:rsidR="00000000" w:rsidRDefault="00322B34">
            <w:pPr>
              <w:rPr>
                <w:rFonts w:eastAsia="Times New Roman"/>
                <w:sz w:val="20"/>
                <w:szCs w:val="20"/>
              </w:rPr>
            </w:pPr>
            <w:r>
              <w:rPr>
                <w:rFonts w:eastAsia="Times New Roman"/>
                <w:sz w:val="20"/>
                <w:szCs w:val="20"/>
              </w:rPr>
              <w:t>$</w:t>
            </w:r>
          </w:p>
        </w:tc>
        <w:tc>
          <w:tcPr>
            <w:tcW w:w="450" w:type="pct"/>
            <w:shd w:val="clear" w:color="auto" w:fill="FFFFFF"/>
            <w:vAlign w:val="bottom"/>
            <w:hideMark/>
          </w:tcPr>
          <w:p w14:paraId="112ADC8D" w14:textId="77777777" w:rsidR="00000000" w:rsidRDefault="00322B34">
            <w:pPr>
              <w:jc w:val="right"/>
              <w:rPr>
                <w:rFonts w:eastAsia="Times New Roman"/>
                <w:sz w:val="20"/>
                <w:szCs w:val="20"/>
              </w:rPr>
            </w:pPr>
            <w:r>
              <w:rPr>
                <w:rFonts w:eastAsia="Times New Roman"/>
                <w:sz w:val="20"/>
                <w:szCs w:val="20"/>
              </w:rPr>
              <w:t>571,344</w:t>
            </w:r>
          </w:p>
        </w:tc>
        <w:tc>
          <w:tcPr>
            <w:tcW w:w="50" w:type="pct"/>
            <w:shd w:val="clear" w:color="auto" w:fill="FFFFFF"/>
            <w:vAlign w:val="bottom"/>
            <w:hideMark/>
          </w:tcPr>
          <w:p w14:paraId="345BBBAE" w14:textId="77777777" w:rsidR="00000000" w:rsidRDefault="00322B34">
            <w:pPr>
              <w:rPr>
                <w:rFonts w:eastAsia="Times New Roman"/>
                <w:sz w:val="20"/>
                <w:szCs w:val="20"/>
              </w:rPr>
            </w:pPr>
            <w:r>
              <w:rPr>
                <w:rFonts w:eastAsia="Times New Roman"/>
                <w:sz w:val="20"/>
                <w:szCs w:val="20"/>
              </w:rPr>
              <w:t> </w:t>
            </w:r>
          </w:p>
        </w:tc>
      </w:tr>
      <w:tr w:rsidR="00000000" w14:paraId="4E66A6B8" w14:textId="77777777">
        <w:trPr>
          <w:divId w:val="3636607"/>
          <w:tblCellSpacing w:w="0" w:type="dxa"/>
        </w:trPr>
        <w:tc>
          <w:tcPr>
            <w:tcW w:w="0" w:type="auto"/>
            <w:shd w:val="clear" w:color="auto" w:fill="CCEEFF"/>
            <w:vAlign w:val="bottom"/>
            <w:hideMark/>
          </w:tcPr>
          <w:p w14:paraId="174249BF" w14:textId="77777777" w:rsidR="00000000" w:rsidRDefault="00322B34">
            <w:pPr>
              <w:pStyle w:val="a3"/>
              <w:spacing w:before="0" w:beforeAutospacing="0" w:after="0" w:afterAutospacing="0"/>
              <w:ind w:left="540"/>
              <w:rPr>
                <w:sz w:val="20"/>
                <w:szCs w:val="20"/>
              </w:rPr>
            </w:pPr>
            <w:r>
              <w:rPr>
                <w:sz w:val="20"/>
                <w:szCs w:val="20"/>
              </w:rPr>
              <w:t>Management and other fee income</w:t>
            </w:r>
          </w:p>
        </w:tc>
        <w:tc>
          <w:tcPr>
            <w:tcW w:w="50" w:type="pct"/>
            <w:shd w:val="clear" w:color="auto" w:fill="CCEEFF"/>
            <w:vAlign w:val="bottom"/>
            <w:hideMark/>
          </w:tcPr>
          <w:p w14:paraId="6513D982"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58C481D"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1B74BFD" w14:textId="77777777" w:rsidR="00000000" w:rsidRDefault="00322B34">
            <w:pPr>
              <w:jc w:val="right"/>
              <w:rPr>
                <w:rFonts w:eastAsia="Times New Roman"/>
                <w:sz w:val="20"/>
                <w:szCs w:val="20"/>
              </w:rPr>
            </w:pPr>
            <w:r>
              <w:rPr>
                <w:rFonts w:eastAsia="Times New Roman"/>
                <w:sz w:val="20"/>
                <w:szCs w:val="20"/>
              </w:rPr>
              <w:t>2,955</w:t>
            </w:r>
          </w:p>
        </w:tc>
        <w:tc>
          <w:tcPr>
            <w:tcW w:w="50" w:type="pct"/>
            <w:shd w:val="clear" w:color="auto" w:fill="CCEEFF"/>
            <w:tcMar>
              <w:top w:w="0" w:type="dxa"/>
              <w:left w:w="0" w:type="dxa"/>
              <w:bottom w:w="15" w:type="dxa"/>
              <w:right w:w="0" w:type="dxa"/>
            </w:tcMar>
            <w:vAlign w:val="bottom"/>
            <w:hideMark/>
          </w:tcPr>
          <w:p w14:paraId="5FEAFF6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53F73E"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140D88C"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7FC03039" w14:textId="77777777" w:rsidR="00000000" w:rsidRDefault="00322B34">
            <w:pPr>
              <w:jc w:val="right"/>
              <w:rPr>
                <w:rFonts w:eastAsia="Times New Roman"/>
                <w:sz w:val="20"/>
                <w:szCs w:val="20"/>
              </w:rPr>
            </w:pPr>
            <w:r>
              <w:rPr>
                <w:rFonts w:eastAsia="Times New Roman"/>
                <w:sz w:val="20"/>
                <w:szCs w:val="20"/>
              </w:rPr>
              <w:t>4,163</w:t>
            </w:r>
          </w:p>
        </w:tc>
        <w:tc>
          <w:tcPr>
            <w:tcW w:w="50" w:type="pct"/>
            <w:shd w:val="clear" w:color="auto" w:fill="CCEEFF"/>
            <w:tcMar>
              <w:top w:w="0" w:type="dxa"/>
              <w:left w:w="0" w:type="dxa"/>
              <w:bottom w:w="15" w:type="dxa"/>
              <w:right w:w="0" w:type="dxa"/>
            </w:tcMar>
            <w:vAlign w:val="bottom"/>
            <w:hideMark/>
          </w:tcPr>
          <w:p w14:paraId="0B06F1D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78BE1E"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72245C9"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8DC1567" w14:textId="77777777" w:rsidR="00000000" w:rsidRDefault="00322B34">
            <w:pPr>
              <w:jc w:val="right"/>
              <w:rPr>
                <w:rFonts w:eastAsia="Times New Roman"/>
                <w:sz w:val="20"/>
                <w:szCs w:val="20"/>
              </w:rPr>
            </w:pPr>
            <w:r>
              <w:rPr>
                <w:rFonts w:eastAsia="Times New Roman"/>
                <w:sz w:val="20"/>
                <w:szCs w:val="20"/>
              </w:rPr>
              <w:t>6,695</w:t>
            </w:r>
          </w:p>
        </w:tc>
        <w:tc>
          <w:tcPr>
            <w:tcW w:w="50" w:type="pct"/>
            <w:shd w:val="clear" w:color="auto" w:fill="CCEEFF"/>
            <w:tcMar>
              <w:top w:w="0" w:type="dxa"/>
              <w:left w:w="0" w:type="dxa"/>
              <w:bottom w:w="15" w:type="dxa"/>
              <w:right w:w="0" w:type="dxa"/>
            </w:tcMar>
            <w:vAlign w:val="bottom"/>
            <w:hideMark/>
          </w:tcPr>
          <w:p w14:paraId="7E2DBAA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5F69C5"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6698C32"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A344E01" w14:textId="77777777" w:rsidR="00000000" w:rsidRDefault="00322B34">
            <w:pPr>
              <w:jc w:val="right"/>
              <w:rPr>
                <w:rFonts w:eastAsia="Times New Roman"/>
                <w:sz w:val="20"/>
                <w:szCs w:val="20"/>
              </w:rPr>
            </w:pPr>
            <w:r>
              <w:rPr>
                <w:rFonts w:eastAsia="Times New Roman"/>
                <w:sz w:val="20"/>
                <w:szCs w:val="20"/>
              </w:rPr>
              <w:t>8,539</w:t>
            </w:r>
          </w:p>
        </w:tc>
        <w:tc>
          <w:tcPr>
            <w:tcW w:w="50" w:type="pct"/>
            <w:shd w:val="clear" w:color="auto" w:fill="CCEEFF"/>
            <w:tcMar>
              <w:top w:w="0" w:type="dxa"/>
              <w:left w:w="0" w:type="dxa"/>
              <w:bottom w:w="15" w:type="dxa"/>
              <w:right w:w="0" w:type="dxa"/>
            </w:tcMar>
            <w:vAlign w:val="bottom"/>
            <w:hideMark/>
          </w:tcPr>
          <w:p w14:paraId="33A14F29" w14:textId="77777777" w:rsidR="00000000" w:rsidRDefault="00322B34">
            <w:pPr>
              <w:rPr>
                <w:rFonts w:eastAsia="Times New Roman"/>
                <w:sz w:val="20"/>
                <w:szCs w:val="20"/>
              </w:rPr>
            </w:pPr>
            <w:r>
              <w:rPr>
                <w:rFonts w:eastAsia="Times New Roman"/>
                <w:sz w:val="20"/>
                <w:szCs w:val="20"/>
              </w:rPr>
              <w:t> </w:t>
            </w:r>
          </w:p>
        </w:tc>
      </w:tr>
      <w:tr w:rsidR="00000000" w14:paraId="70D96BEF" w14:textId="77777777">
        <w:trPr>
          <w:divId w:val="3636607"/>
          <w:tblCellSpacing w:w="0" w:type="dxa"/>
        </w:trPr>
        <w:tc>
          <w:tcPr>
            <w:tcW w:w="0" w:type="auto"/>
            <w:shd w:val="clear" w:color="auto" w:fill="FFFFFF"/>
            <w:vAlign w:val="bottom"/>
            <w:hideMark/>
          </w:tcPr>
          <w:p w14:paraId="5316BDFB" w14:textId="77777777" w:rsidR="00000000" w:rsidRDefault="00322B34">
            <w:pPr>
              <w:pStyle w:val="a3"/>
              <w:spacing w:before="0" w:beforeAutospacing="0" w:after="0" w:afterAutospacing="0"/>
              <w:ind w:left="720"/>
              <w:rPr>
                <w:sz w:val="20"/>
                <w:szCs w:val="20"/>
              </w:rPr>
            </w:pPr>
            <w:r>
              <w:rPr>
                <w:sz w:val="20"/>
                <w:szCs w:val="20"/>
              </w:rPr>
              <w:t>Total revenues</w:t>
            </w:r>
          </w:p>
        </w:tc>
        <w:tc>
          <w:tcPr>
            <w:tcW w:w="50" w:type="pct"/>
            <w:shd w:val="clear" w:color="auto" w:fill="FFFFFF"/>
            <w:vAlign w:val="bottom"/>
            <w:hideMark/>
          </w:tcPr>
          <w:p w14:paraId="2A83178F"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22B8678"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AD261F0" w14:textId="77777777" w:rsidR="00000000" w:rsidRDefault="00322B34">
            <w:pPr>
              <w:jc w:val="right"/>
              <w:rPr>
                <w:rFonts w:eastAsia="Times New Roman"/>
                <w:sz w:val="20"/>
                <w:szCs w:val="20"/>
              </w:rPr>
            </w:pPr>
            <w:r>
              <w:rPr>
                <w:rFonts w:eastAsia="Times New Roman"/>
                <w:sz w:val="20"/>
                <w:szCs w:val="20"/>
              </w:rPr>
              <w:t>238,916</w:t>
            </w:r>
          </w:p>
        </w:tc>
        <w:tc>
          <w:tcPr>
            <w:tcW w:w="50" w:type="pct"/>
            <w:shd w:val="clear" w:color="auto" w:fill="FFFFFF"/>
            <w:tcMar>
              <w:top w:w="0" w:type="dxa"/>
              <w:left w:w="0" w:type="dxa"/>
              <w:bottom w:w="15" w:type="dxa"/>
              <w:right w:w="0" w:type="dxa"/>
            </w:tcMar>
            <w:vAlign w:val="bottom"/>
            <w:hideMark/>
          </w:tcPr>
          <w:p w14:paraId="540424C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04E3E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CA7F26D"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20C33D0" w14:textId="77777777" w:rsidR="00000000" w:rsidRDefault="00322B34">
            <w:pPr>
              <w:jc w:val="right"/>
              <w:rPr>
                <w:rFonts w:eastAsia="Times New Roman"/>
                <w:sz w:val="20"/>
                <w:szCs w:val="20"/>
              </w:rPr>
            </w:pPr>
            <w:r>
              <w:rPr>
                <w:rFonts w:eastAsia="Times New Roman"/>
                <w:sz w:val="20"/>
                <w:szCs w:val="20"/>
              </w:rPr>
              <w:t>284,873</w:t>
            </w:r>
          </w:p>
        </w:tc>
        <w:tc>
          <w:tcPr>
            <w:tcW w:w="50" w:type="pct"/>
            <w:shd w:val="clear" w:color="auto" w:fill="FFFFFF"/>
            <w:tcMar>
              <w:top w:w="0" w:type="dxa"/>
              <w:left w:w="0" w:type="dxa"/>
              <w:bottom w:w="15" w:type="dxa"/>
              <w:right w:w="0" w:type="dxa"/>
            </w:tcMar>
            <w:vAlign w:val="bottom"/>
            <w:hideMark/>
          </w:tcPr>
          <w:p w14:paraId="192C81D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7DCF53"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487822A"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D994505" w14:textId="77777777" w:rsidR="00000000" w:rsidRDefault="00322B34">
            <w:pPr>
              <w:jc w:val="right"/>
              <w:rPr>
                <w:rFonts w:eastAsia="Times New Roman"/>
                <w:sz w:val="20"/>
                <w:szCs w:val="20"/>
              </w:rPr>
            </w:pPr>
            <w:r>
              <w:rPr>
                <w:rFonts w:eastAsia="Times New Roman"/>
                <w:sz w:val="20"/>
                <w:szCs w:val="20"/>
              </w:rPr>
              <w:t>528,660</w:t>
            </w:r>
          </w:p>
        </w:tc>
        <w:tc>
          <w:tcPr>
            <w:tcW w:w="50" w:type="pct"/>
            <w:shd w:val="clear" w:color="auto" w:fill="FFFFFF"/>
            <w:tcMar>
              <w:top w:w="0" w:type="dxa"/>
              <w:left w:w="0" w:type="dxa"/>
              <w:bottom w:w="15" w:type="dxa"/>
              <w:right w:w="0" w:type="dxa"/>
            </w:tcMar>
            <w:vAlign w:val="bottom"/>
            <w:hideMark/>
          </w:tcPr>
          <w:p w14:paraId="5BF9C0C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64BA8E"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E559887"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4C93CB4" w14:textId="77777777" w:rsidR="00000000" w:rsidRDefault="00322B34">
            <w:pPr>
              <w:jc w:val="right"/>
              <w:rPr>
                <w:rFonts w:eastAsia="Times New Roman"/>
                <w:sz w:val="20"/>
                <w:szCs w:val="20"/>
              </w:rPr>
            </w:pPr>
            <w:r>
              <w:rPr>
                <w:rFonts w:eastAsia="Times New Roman"/>
                <w:sz w:val="20"/>
                <w:szCs w:val="20"/>
              </w:rPr>
              <w:t>579,883</w:t>
            </w:r>
          </w:p>
        </w:tc>
        <w:tc>
          <w:tcPr>
            <w:tcW w:w="50" w:type="pct"/>
            <w:shd w:val="clear" w:color="auto" w:fill="FFFFFF"/>
            <w:tcMar>
              <w:top w:w="0" w:type="dxa"/>
              <w:left w:w="0" w:type="dxa"/>
              <w:bottom w:w="15" w:type="dxa"/>
              <w:right w:w="0" w:type="dxa"/>
            </w:tcMar>
            <w:vAlign w:val="bottom"/>
            <w:hideMark/>
          </w:tcPr>
          <w:p w14:paraId="372A67B5" w14:textId="77777777" w:rsidR="00000000" w:rsidRDefault="00322B34">
            <w:pPr>
              <w:rPr>
                <w:rFonts w:eastAsia="Times New Roman"/>
                <w:sz w:val="20"/>
                <w:szCs w:val="20"/>
              </w:rPr>
            </w:pPr>
            <w:r>
              <w:rPr>
                <w:rFonts w:eastAsia="Times New Roman"/>
                <w:sz w:val="20"/>
                <w:szCs w:val="20"/>
              </w:rPr>
              <w:t> </w:t>
            </w:r>
          </w:p>
        </w:tc>
      </w:tr>
      <w:tr w:rsidR="00000000" w14:paraId="337F2B8B" w14:textId="77777777">
        <w:trPr>
          <w:divId w:val="3636607"/>
          <w:tblCellSpacing w:w="0" w:type="dxa"/>
        </w:trPr>
        <w:tc>
          <w:tcPr>
            <w:tcW w:w="0" w:type="auto"/>
            <w:shd w:val="clear" w:color="auto" w:fill="CCEEFF"/>
            <w:vAlign w:val="bottom"/>
            <w:hideMark/>
          </w:tcPr>
          <w:p w14:paraId="600EA03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25498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81A67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DB08F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F3528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B2EA3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D0885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0B403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AAF97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31E7C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95C66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E9936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C9519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4B6F3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F6394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00C17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0A0C1B" w14:textId="77777777" w:rsidR="00000000" w:rsidRDefault="00322B34">
            <w:pPr>
              <w:rPr>
                <w:rFonts w:eastAsia="Times New Roman"/>
                <w:sz w:val="20"/>
                <w:szCs w:val="20"/>
              </w:rPr>
            </w:pPr>
            <w:r>
              <w:rPr>
                <w:rFonts w:eastAsia="Times New Roman"/>
                <w:sz w:val="20"/>
                <w:szCs w:val="20"/>
              </w:rPr>
              <w:t> </w:t>
            </w:r>
          </w:p>
        </w:tc>
      </w:tr>
      <w:tr w:rsidR="00000000" w14:paraId="5752FBA4" w14:textId="77777777">
        <w:trPr>
          <w:divId w:val="3636607"/>
          <w:tblCellSpacing w:w="0" w:type="dxa"/>
        </w:trPr>
        <w:tc>
          <w:tcPr>
            <w:tcW w:w="0" w:type="auto"/>
            <w:shd w:val="clear" w:color="auto" w:fill="FFFFFF"/>
            <w:vAlign w:val="bottom"/>
            <w:hideMark/>
          </w:tcPr>
          <w:p w14:paraId="30B65522" w14:textId="77777777" w:rsidR="00000000" w:rsidRDefault="00322B34">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14:paraId="5DECB77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47405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7B7FC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E2B88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CE2A2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34C1F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02BEE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61B1E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F1CD0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5403B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1EC8A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04E50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D3B55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E04BB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C6144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04F5B6" w14:textId="77777777" w:rsidR="00000000" w:rsidRDefault="00322B34">
            <w:pPr>
              <w:rPr>
                <w:rFonts w:eastAsia="Times New Roman"/>
                <w:sz w:val="20"/>
                <w:szCs w:val="20"/>
              </w:rPr>
            </w:pPr>
            <w:r>
              <w:rPr>
                <w:rFonts w:eastAsia="Times New Roman"/>
                <w:sz w:val="20"/>
                <w:szCs w:val="20"/>
              </w:rPr>
              <w:t> </w:t>
            </w:r>
          </w:p>
        </w:tc>
      </w:tr>
      <w:tr w:rsidR="00000000" w14:paraId="45CE6618" w14:textId="77777777">
        <w:trPr>
          <w:divId w:val="3636607"/>
          <w:tblCellSpacing w:w="0" w:type="dxa"/>
        </w:trPr>
        <w:tc>
          <w:tcPr>
            <w:tcW w:w="0" w:type="auto"/>
            <w:shd w:val="clear" w:color="auto" w:fill="CCEEFF"/>
            <w:vAlign w:val="bottom"/>
            <w:hideMark/>
          </w:tcPr>
          <w:p w14:paraId="258CA915" w14:textId="77777777" w:rsidR="00000000" w:rsidRDefault="00322B34">
            <w:pPr>
              <w:pStyle w:val="a3"/>
              <w:spacing w:before="0" w:beforeAutospacing="0" w:after="0" w:afterAutospacing="0"/>
              <w:ind w:left="540"/>
              <w:rPr>
                <w:sz w:val="20"/>
                <w:szCs w:val="20"/>
              </w:rPr>
            </w:pPr>
            <w:r>
              <w:rPr>
                <w:sz w:val="20"/>
                <w:szCs w:val="20"/>
              </w:rPr>
              <w:t>Rent</w:t>
            </w:r>
          </w:p>
        </w:tc>
        <w:tc>
          <w:tcPr>
            <w:tcW w:w="50" w:type="pct"/>
            <w:shd w:val="clear" w:color="auto" w:fill="CCEEFF"/>
            <w:vAlign w:val="bottom"/>
            <w:hideMark/>
          </w:tcPr>
          <w:p w14:paraId="203F50B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07436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9B1D3F6" w14:textId="77777777" w:rsidR="00000000" w:rsidRDefault="00322B34">
            <w:pPr>
              <w:jc w:val="right"/>
              <w:rPr>
                <w:rFonts w:eastAsia="Times New Roman"/>
                <w:sz w:val="20"/>
                <w:szCs w:val="20"/>
              </w:rPr>
            </w:pPr>
            <w:r>
              <w:rPr>
                <w:rFonts w:eastAsia="Times New Roman"/>
                <w:sz w:val="20"/>
                <w:szCs w:val="20"/>
              </w:rPr>
              <w:t>(2,827</w:t>
            </w:r>
          </w:p>
        </w:tc>
        <w:tc>
          <w:tcPr>
            <w:tcW w:w="50" w:type="pct"/>
            <w:shd w:val="clear" w:color="auto" w:fill="CCEEFF"/>
            <w:vAlign w:val="bottom"/>
            <w:hideMark/>
          </w:tcPr>
          <w:p w14:paraId="061D3C6B"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2AA3834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EF18CC"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8972F30" w14:textId="77777777" w:rsidR="00000000" w:rsidRDefault="00322B34">
            <w:pPr>
              <w:jc w:val="right"/>
              <w:rPr>
                <w:rFonts w:eastAsia="Times New Roman"/>
                <w:sz w:val="20"/>
                <w:szCs w:val="20"/>
              </w:rPr>
            </w:pPr>
            <w:r>
              <w:rPr>
                <w:rFonts w:eastAsia="Times New Roman"/>
                <w:sz w:val="20"/>
                <w:szCs w:val="20"/>
              </w:rPr>
              <w:t>(2,924</w:t>
            </w:r>
          </w:p>
        </w:tc>
        <w:tc>
          <w:tcPr>
            <w:tcW w:w="50" w:type="pct"/>
            <w:shd w:val="clear" w:color="auto" w:fill="CCEEFF"/>
            <w:vAlign w:val="bottom"/>
            <w:hideMark/>
          </w:tcPr>
          <w:p w14:paraId="1AFA1F8E"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899394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36C5C2"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54D9E6F" w14:textId="77777777" w:rsidR="00000000" w:rsidRDefault="00322B34">
            <w:pPr>
              <w:jc w:val="right"/>
              <w:rPr>
                <w:rFonts w:eastAsia="Times New Roman"/>
                <w:sz w:val="20"/>
                <w:szCs w:val="20"/>
              </w:rPr>
            </w:pPr>
            <w:r>
              <w:rPr>
                <w:rFonts w:eastAsia="Times New Roman"/>
                <w:sz w:val="20"/>
                <w:szCs w:val="20"/>
              </w:rPr>
              <w:t>(5,662</w:t>
            </w:r>
          </w:p>
        </w:tc>
        <w:tc>
          <w:tcPr>
            <w:tcW w:w="50" w:type="pct"/>
            <w:shd w:val="clear" w:color="auto" w:fill="CCEEFF"/>
            <w:vAlign w:val="bottom"/>
            <w:hideMark/>
          </w:tcPr>
          <w:p w14:paraId="4DC3E503"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6F35720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63D9B1"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1A35E33" w14:textId="77777777" w:rsidR="00000000" w:rsidRDefault="00322B34">
            <w:pPr>
              <w:jc w:val="right"/>
              <w:rPr>
                <w:rFonts w:eastAsia="Times New Roman"/>
                <w:sz w:val="20"/>
                <w:szCs w:val="20"/>
              </w:rPr>
            </w:pPr>
            <w:r>
              <w:rPr>
                <w:rFonts w:eastAsia="Times New Roman"/>
                <w:sz w:val="20"/>
                <w:szCs w:val="20"/>
              </w:rPr>
              <w:t>(5,616</w:t>
            </w:r>
          </w:p>
        </w:tc>
        <w:tc>
          <w:tcPr>
            <w:tcW w:w="50" w:type="pct"/>
            <w:shd w:val="clear" w:color="auto" w:fill="CCEEFF"/>
            <w:vAlign w:val="bottom"/>
            <w:hideMark/>
          </w:tcPr>
          <w:p w14:paraId="3361B0F5" w14:textId="77777777" w:rsidR="00000000" w:rsidRDefault="00322B34">
            <w:pPr>
              <w:rPr>
                <w:rFonts w:eastAsia="Times New Roman"/>
                <w:sz w:val="20"/>
                <w:szCs w:val="20"/>
              </w:rPr>
            </w:pPr>
            <w:r>
              <w:rPr>
                <w:rFonts w:eastAsia="Times New Roman"/>
                <w:sz w:val="20"/>
                <w:szCs w:val="20"/>
              </w:rPr>
              <w:t>)</w:t>
            </w:r>
          </w:p>
        </w:tc>
      </w:tr>
      <w:tr w:rsidR="00000000" w14:paraId="76EDF8FD" w14:textId="77777777">
        <w:trPr>
          <w:divId w:val="3636607"/>
          <w:tblCellSpacing w:w="0" w:type="dxa"/>
        </w:trPr>
        <w:tc>
          <w:tcPr>
            <w:tcW w:w="0" w:type="auto"/>
            <w:shd w:val="clear" w:color="auto" w:fill="FFFFFF"/>
            <w:vAlign w:val="bottom"/>
            <w:hideMark/>
          </w:tcPr>
          <w:p w14:paraId="1A2F7E50" w14:textId="77777777" w:rsidR="00000000" w:rsidRDefault="00322B34">
            <w:pPr>
              <w:pStyle w:val="a3"/>
              <w:spacing w:before="0" w:beforeAutospacing="0" w:after="0" w:afterAutospacing="0"/>
              <w:ind w:left="540"/>
              <w:rPr>
                <w:sz w:val="20"/>
                <w:szCs w:val="20"/>
              </w:rPr>
            </w:pPr>
            <w:r>
              <w:rPr>
                <w:sz w:val="20"/>
                <w:szCs w:val="20"/>
              </w:rPr>
              <w:t>Real estate taxes</w:t>
            </w:r>
          </w:p>
        </w:tc>
        <w:tc>
          <w:tcPr>
            <w:tcW w:w="50" w:type="pct"/>
            <w:shd w:val="clear" w:color="auto" w:fill="FFFFFF"/>
            <w:vAlign w:val="bottom"/>
            <w:hideMark/>
          </w:tcPr>
          <w:p w14:paraId="2B0D838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7AA76E"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C761050" w14:textId="77777777" w:rsidR="00000000" w:rsidRDefault="00322B34">
            <w:pPr>
              <w:jc w:val="right"/>
              <w:rPr>
                <w:rFonts w:eastAsia="Times New Roman"/>
                <w:sz w:val="20"/>
                <w:szCs w:val="20"/>
              </w:rPr>
            </w:pPr>
            <w:r>
              <w:rPr>
                <w:rFonts w:eastAsia="Times New Roman"/>
                <w:sz w:val="20"/>
                <w:szCs w:val="20"/>
              </w:rPr>
              <w:t>(38,678</w:t>
            </w:r>
          </w:p>
        </w:tc>
        <w:tc>
          <w:tcPr>
            <w:tcW w:w="50" w:type="pct"/>
            <w:shd w:val="clear" w:color="auto" w:fill="FFFFFF"/>
            <w:vAlign w:val="bottom"/>
            <w:hideMark/>
          </w:tcPr>
          <w:p w14:paraId="185C8F60"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31F5263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C74194"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B2B9672" w14:textId="77777777" w:rsidR="00000000" w:rsidRDefault="00322B34">
            <w:pPr>
              <w:jc w:val="right"/>
              <w:rPr>
                <w:rFonts w:eastAsia="Times New Roman"/>
                <w:sz w:val="20"/>
                <w:szCs w:val="20"/>
              </w:rPr>
            </w:pPr>
            <w:r>
              <w:rPr>
                <w:rFonts w:eastAsia="Times New Roman"/>
                <w:sz w:val="20"/>
                <w:szCs w:val="20"/>
              </w:rPr>
              <w:t>(37,005</w:t>
            </w:r>
          </w:p>
        </w:tc>
        <w:tc>
          <w:tcPr>
            <w:tcW w:w="50" w:type="pct"/>
            <w:shd w:val="clear" w:color="auto" w:fill="FFFFFF"/>
            <w:vAlign w:val="bottom"/>
            <w:hideMark/>
          </w:tcPr>
          <w:p w14:paraId="2237586D"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40480C3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0A544E"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2510D80" w14:textId="77777777" w:rsidR="00000000" w:rsidRDefault="00322B34">
            <w:pPr>
              <w:jc w:val="right"/>
              <w:rPr>
                <w:rFonts w:eastAsia="Times New Roman"/>
                <w:sz w:val="20"/>
                <w:szCs w:val="20"/>
              </w:rPr>
            </w:pPr>
            <w:r>
              <w:rPr>
                <w:rFonts w:eastAsia="Times New Roman"/>
                <w:sz w:val="20"/>
                <w:szCs w:val="20"/>
              </w:rPr>
              <w:t>(78,330</w:t>
            </w:r>
          </w:p>
        </w:tc>
        <w:tc>
          <w:tcPr>
            <w:tcW w:w="50" w:type="pct"/>
            <w:shd w:val="clear" w:color="auto" w:fill="FFFFFF"/>
            <w:vAlign w:val="bottom"/>
            <w:hideMark/>
          </w:tcPr>
          <w:p w14:paraId="0A7FC730"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63092E3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3DD8A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9AD6A1D" w14:textId="77777777" w:rsidR="00000000" w:rsidRDefault="00322B34">
            <w:pPr>
              <w:jc w:val="right"/>
              <w:rPr>
                <w:rFonts w:eastAsia="Times New Roman"/>
                <w:sz w:val="20"/>
                <w:szCs w:val="20"/>
              </w:rPr>
            </w:pPr>
            <w:r>
              <w:rPr>
                <w:rFonts w:eastAsia="Times New Roman"/>
                <w:sz w:val="20"/>
                <w:szCs w:val="20"/>
              </w:rPr>
              <w:t>(76,352</w:t>
            </w:r>
          </w:p>
        </w:tc>
        <w:tc>
          <w:tcPr>
            <w:tcW w:w="50" w:type="pct"/>
            <w:shd w:val="clear" w:color="auto" w:fill="FFFFFF"/>
            <w:vAlign w:val="bottom"/>
            <w:hideMark/>
          </w:tcPr>
          <w:p w14:paraId="1CCCC6A9" w14:textId="77777777" w:rsidR="00000000" w:rsidRDefault="00322B34">
            <w:pPr>
              <w:rPr>
                <w:rFonts w:eastAsia="Times New Roman"/>
                <w:sz w:val="20"/>
                <w:szCs w:val="20"/>
              </w:rPr>
            </w:pPr>
            <w:r>
              <w:rPr>
                <w:rFonts w:eastAsia="Times New Roman"/>
                <w:sz w:val="20"/>
                <w:szCs w:val="20"/>
              </w:rPr>
              <w:t>)</w:t>
            </w:r>
          </w:p>
        </w:tc>
      </w:tr>
      <w:tr w:rsidR="00000000" w14:paraId="3668D5A2" w14:textId="77777777">
        <w:trPr>
          <w:divId w:val="3636607"/>
          <w:tblCellSpacing w:w="0" w:type="dxa"/>
        </w:trPr>
        <w:tc>
          <w:tcPr>
            <w:tcW w:w="0" w:type="auto"/>
            <w:shd w:val="clear" w:color="auto" w:fill="CCEEFF"/>
            <w:vAlign w:val="bottom"/>
            <w:hideMark/>
          </w:tcPr>
          <w:p w14:paraId="2275F993" w14:textId="77777777" w:rsidR="00000000" w:rsidRDefault="00322B34">
            <w:pPr>
              <w:pStyle w:val="a3"/>
              <w:spacing w:before="0" w:beforeAutospacing="0" w:after="0" w:afterAutospacing="0"/>
              <w:ind w:left="540"/>
              <w:rPr>
                <w:sz w:val="20"/>
                <w:szCs w:val="20"/>
              </w:rPr>
            </w:pPr>
            <w:r>
              <w:rPr>
                <w:sz w:val="20"/>
                <w:szCs w:val="20"/>
              </w:rPr>
              <w:t>Operating and maintenance</w:t>
            </w:r>
          </w:p>
        </w:tc>
        <w:tc>
          <w:tcPr>
            <w:tcW w:w="50" w:type="pct"/>
            <w:shd w:val="clear" w:color="auto" w:fill="CCEEFF"/>
            <w:vAlign w:val="bottom"/>
            <w:hideMark/>
          </w:tcPr>
          <w:p w14:paraId="22F4330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5656FB"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453A0F1" w14:textId="77777777" w:rsidR="00000000" w:rsidRDefault="00322B34">
            <w:pPr>
              <w:jc w:val="right"/>
              <w:rPr>
                <w:rFonts w:eastAsia="Times New Roman"/>
                <w:sz w:val="20"/>
                <w:szCs w:val="20"/>
              </w:rPr>
            </w:pPr>
            <w:r>
              <w:rPr>
                <w:rFonts w:eastAsia="Times New Roman"/>
                <w:sz w:val="20"/>
                <w:szCs w:val="20"/>
              </w:rPr>
              <w:t>(38,940</w:t>
            </w:r>
          </w:p>
        </w:tc>
        <w:tc>
          <w:tcPr>
            <w:tcW w:w="50" w:type="pct"/>
            <w:shd w:val="clear" w:color="auto" w:fill="CCEEFF"/>
            <w:vAlign w:val="bottom"/>
            <w:hideMark/>
          </w:tcPr>
          <w:p w14:paraId="57521B82"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3F641E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4A7E61"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9DF0BB4" w14:textId="77777777" w:rsidR="00000000" w:rsidRDefault="00322B34">
            <w:pPr>
              <w:jc w:val="right"/>
              <w:rPr>
                <w:rFonts w:eastAsia="Times New Roman"/>
                <w:sz w:val="20"/>
                <w:szCs w:val="20"/>
              </w:rPr>
            </w:pPr>
            <w:r>
              <w:rPr>
                <w:rFonts w:eastAsia="Times New Roman"/>
                <w:sz w:val="20"/>
                <w:szCs w:val="20"/>
              </w:rPr>
              <w:t>(43,217</w:t>
            </w:r>
          </w:p>
        </w:tc>
        <w:tc>
          <w:tcPr>
            <w:tcW w:w="50" w:type="pct"/>
            <w:shd w:val="clear" w:color="auto" w:fill="CCEEFF"/>
            <w:vAlign w:val="bottom"/>
            <w:hideMark/>
          </w:tcPr>
          <w:p w14:paraId="5CD0E8A2"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55796C7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41D982"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F421B62" w14:textId="77777777" w:rsidR="00000000" w:rsidRDefault="00322B34">
            <w:pPr>
              <w:jc w:val="right"/>
              <w:rPr>
                <w:rFonts w:eastAsia="Times New Roman"/>
                <w:sz w:val="20"/>
                <w:szCs w:val="20"/>
              </w:rPr>
            </w:pPr>
            <w:r>
              <w:rPr>
                <w:rFonts w:eastAsia="Times New Roman"/>
                <w:sz w:val="20"/>
                <w:szCs w:val="20"/>
              </w:rPr>
              <w:t>(81,348</w:t>
            </w:r>
          </w:p>
        </w:tc>
        <w:tc>
          <w:tcPr>
            <w:tcW w:w="50" w:type="pct"/>
            <w:shd w:val="clear" w:color="auto" w:fill="CCEEFF"/>
            <w:vAlign w:val="bottom"/>
            <w:hideMark/>
          </w:tcPr>
          <w:p w14:paraId="16213933"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139C0EA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EAEE30"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3C09941" w14:textId="77777777" w:rsidR="00000000" w:rsidRDefault="00322B34">
            <w:pPr>
              <w:jc w:val="right"/>
              <w:rPr>
                <w:rFonts w:eastAsia="Times New Roman"/>
                <w:sz w:val="20"/>
                <w:szCs w:val="20"/>
              </w:rPr>
            </w:pPr>
            <w:r>
              <w:rPr>
                <w:rFonts w:eastAsia="Times New Roman"/>
                <w:sz w:val="20"/>
                <w:szCs w:val="20"/>
              </w:rPr>
              <w:t>(84,113</w:t>
            </w:r>
          </w:p>
        </w:tc>
        <w:tc>
          <w:tcPr>
            <w:tcW w:w="50" w:type="pct"/>
            <w:shd w:val="clear" w:color="auto" w:fill="CCEEFF"/>
            <w:vAlign w:val="bottom"/>
            <w:hideMark/>
          </w:tcPr>
          <w:p w14:paraId="2EC42915" w14:textId="77777777" w:rsidR="00000000" w:rsidRDefault="00322B34">
            <w:pPr>
              <w:rPr>
                <w:rFonts w:eastAsia="Times New Roman"/>
                <w:sz w:val="20"/>
                <w:szCs w:val="20"/>
              </w:rPr>
            </w:pPr>
            <w:r>
              <w:rPr>
                <w:rFonts w:eastAsia="Times New Roman"/>
                <w:sz w:val="20"/>
                <w:szCs w:val="20"/>
              </w:rPr>
              <w:t>)</w:t>
            </w:r>
          </w:p>
        </w:tc>
      </w:tr>
      <w:tr w:rsidR="00000000" w14:paraId="1A229FD0" w14:textId="77777777">
        <w:trPr>
          <w:divId w:val="3636607"/>
          <w:tblCellSpacing w:w="0" w:type="dxa"/>
        </w:trPr>
        <w:tc>
          <w:tcPr>
            <w:tcW w:w="0" w:type="auto"/>
            <w:shd w:val="clear" w:color="auto" w:fill="FFFFFF"/>
            <w:vAlign w:val="bottom"/>
            <w:hideMark/>
          </w:tcPr>
          <w:p w14:paraId="6ED87ADF" w14:textId="77777777" w:rsidR="00000000" w:rsidRDefault="00322B34">
            <w:pPr>
              <w:pStyle w:val="a3"/>
              <w:spacing w:before="0" w:beforeAutospacing="0" w:after="0" w:afterAutospacing="0"/>
              <w:ind w:left="540"/>
              <w:rPr>
                <w:sz w:val="20"/>
                <w:szCs w:val="20"/>
              </w:rPr>
            </w:pPr>
            <w:r>
              <w:rPr>
                <w:sz w:val="20"/>
                <w:szCs w:val="20"/>
              </w:rPr>
              <w:t>General and administrative</w:t>
            </w:r>
          </w:p>
        </w:tc>
        <w:tc>
          <w:tcPr>
            <w:tcW w:w="50" w:type="pct"/>
            <w:shd w:val="clear" w:color="auto" w:fill="FFFFFF"/>
            <w:vAlign w:val="bottom"/>
            <w:hideMark/>
          </w:tcPr>
          <w:p w14:paraId="01EEA0B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9969DF"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A7F697B" w14:textId="77777777" w:rsidR="00000000" w:rsidRDefault="00322B34">
            <w:pPr>
              <w:jc w:val="right"/>
              <w:rPr>
                <w:rFonts w:eastAsia="Times New Roman"/>
                <w:sz w:val="20"/>
                <w:szCs w:val="20"/>
              </w:rPr>
            </w:pPr>
            <w:r>
              <w:rPr>
                <w:rFonts w:eastAsia="Times New Roman"/>
                <w:sz w:val="20"/>
                <w:szCs w:val="20"/>
              </w:rPr>
              <w:t>(22,504</w:t>
            </w:r>
          </w:p>
        </w:tc>
        <w:tc>
          <w:tcPr>
            <w:tcW w:w="50" w:type="pct"/>
            <w:shd w:val="clear" w:color="auto" w:fill="FFFFFF"/>
            <w:vAlign w:val="bottom"/>
            <w:hideMark/>
          </w:tcPr>
          <w:p w14:paraId="74FE5984"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5CBD01E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FE085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19348F4" w14:textId="77777777" w:rsidR="00000000" w:rsidRDefault="00322B34">
            <w:pPr>
              <w:jc w:val="right"/>
              <w:rPr>
                <w:rFonts w:eastAsia="Times New Roman"/>
                <w:sz w:val="20"/>
                <w:szCs w:val="20"/>
              </w:rPr>
            </w:pPr>
            <w:r>
              <w:rPr>
                <w:rFonts w:eastAsia="Times New Roman"/>
                <w:sz w:val="20"/>
                <w:szCs w:val="20"/>
              </w:rPr>
              <w:t>(22,633</w:t>
            </w:r>
          </w:p>
        </w:tc>
        <w:tc>
          <w:tcPr>
            <w:tcW w:w="50" w:type="pct"/>
            <w:shd w:val="clear" w:color="auto" w:fill="FFFFFF"/>
            <w:vAlign w:val="bottom"/>
            <w:hideMark/>
          </w:tcPr>
          <w:p w14:paraId="0A626D78"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7D0E4A3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4313F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061A819" w14:textId="77777777" w:rsidR="00000000" w:rsidRDefault="00322B34">
            <w:pPr>
              <w:jc w:val="right"/>
              <w:rPr>
                <w:rFonts w:eastAsia="Times New Roman"/>
                <w:sz w:val="20"/>
                <w:szCs w:val="20"/>
              </w:rPr>
            </w:pPr>
            <w:r>
              <w:rPr>
                <w:rFonts w:eastAsia="Times New Roman"/>
                <w:sz w:val="20"/>
                <w:szCs w:val="20"/>
              </w:rPr>
              <w:t>(43,521</w:t>
            </w:r>
          </w:p>
        </w:tc>
        <w:tc>
          <w:tcPr>
            <w:tcW w:w="50" w:type="pct"/>
            <w:shd w:val="clear" w:color="auto" w:fill="FFFFFF"/>
            <w:vAlign w:val="bottom"/>
            <w:hideMark/>
          </w:tcPr>
          <w:p w14:paraId="2D7A97DB"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53207F0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B7156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ABCD7AD" w14:textId="77777777" w:rsidR="00000000" w:rsidRDefault="00322B34">
            <w:pPr>
              <w:jc w:val="right"/>
              <w:rPr>
                <w:rFonts w:eastAsia="Times New Roman"/>
                <w:sz w:val="20"/>
                <w:szCs w:val="20"/>
              </w:rPr>
            </w:pPr>
            <w:r>
              <w:rPr>
                <w:rFonts w:eastAsia="Times New Roman"/>
                <w:sz w:val="20"/>
                <w:szCs w:val="20"/>
              </w:rPr>
              <w:t>(48,464</w:t>
            </w:r>
          </w:p>
        </w:tc>
        <w:tc>
          <w:tcPr>
            <w:tcW w:w="50" w:type="pct"/>
            <w:shd w:val="clear" w:color="auto" w:fill="FFFFFF"/>
            <w:vAlign w:val="bottom"/>
            <w:hideMark/>
          </w:tcPr>
          <w:p w14:paraId="29AAD7B9" w14:textId="77777777" w:rsidR="00000000" w:rsidRDefault="00322B34">
            <w:pPr>
              <w:rPr>
                <w:rFonts w:eastAsia="Times New Roman"/>
                <w:sz w:val="20"/>
                <w:szCs w:val="20"/>
              </w:rPr>
            </w:pPr>
            <w:r>
              <w:rPr>
                <w:rFonts w:eastAsia="Times New Roman"/>
                <w:sz w:val="20"/>
                <w:szCs w:val="20"/>
              </w:rPr>
              <w:t>)</w:t>
            </w:r>
          </w:p>
        </w:tc>
      </w:tr>
      <w:tr w:rsidR="00000000" w14:paraId="584AACC4" w14:textId="77777777">
        <w:trPr>
          <w:divId w:val="3636607"/>
          <w:tblCellSpacing w:w="0" w:type="dxa"/>
        </w:trPr>
        <w:tc>
          <w:tcPr>
            <w:tcW w:w="0" w:type="auto"/>
            <w:shd w:val="clear" w:color="auto" w:fill="CCEEFF"/>
            <w:vAlign w:val="bottom"/>
            <w:hideMark/>
          </w:tcPr>
          <w:p w14:paraId="3D59AC9B" w14:textId="77777777" w:rsidR="00000000" w:rsidRDefault="00322B34">
            <w:pPr>
              <w:pStyle w:val="a3"/>
              <w:spacing w:before="0" w:beforeAutospacing="0" w:after="0" w:afterAutospacing="0"/>
              <w:ind w:left="540"/>
              <w:rPr>
                <w:sz w:val="20"/>
                <w:szCs w:val="20"/>
              </w:rPr>
            </w:pPr>
            <w:r>
              <w:rPr>
                <w:sz w:val="20"/>
                <w:szCs w:val="20"/>
              </w:rPr>
              <w:t>Impairment charges</w:t>
            </w:r>
          </w:p>
        </w:tc>
        <w:tc>
          <w:tcPr>
            <w:tcW w:w="50" w:type="pct"/>
            <w:shd w:val="clear" w:color="auto" w:fill="CCEEFF"/>
            <w:vAlign w:val="bottom"/>
            <w:hideMark/>
          </w:tcPr>
          <w:p w14:paraId="343F791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147B50"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6CB6262" w14:textId="77777777" w:rsidR="00000000" w:rsidRDefault="00322B34">
            <w:pPr>
              <w:jc w:val="right"/>
              <w:rPr>
                <w:rFonts w:eastAsia="Times New Roman"/>
                <w:sz w:val="20"/>
                <w:szCs w:val="20"/>
              </w:rPr>
            </w:pPr>
            <w:r>
              <w:rPr>
                <w:rFonts w:eastAsia="Times New Roman"/>
                <w:sz w:val="20"/>
                <w:szCs w:val="20"/>
              </w:rPr>
              <w:t>(138</w:t>
            </w:r>
          </w:p>
        </w:tc>
        <w:tc>
          <w:tcPr>
            <w:tcW w:w="50" w:type="pct"/>
            <w:shd w:val="clear" w:color="auto" w:fill="CCEEFF"/>
            <w:vAlign w:val="bottom"/>
            <w:hideMark/>
          </w:tcPr>
          <w:p w14:paraId="238A3DE5"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975411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4E494B"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05EC8D1" w14:textId="77777777" w:rsidR="00000000" w:rsidRDefault="00322B34">
            <w:pPr>
              <w:jc w:val="right"/>
              <w:rPr>
                <w:rFonts w:eastAsia="Times New Roman"/>
                <w:sz w:val="20"/>
                <w:szCs w:val="20"/>
              </w:rPr>
            </w:pPr>
            <w:r>
              <w:rPr>
                <w:rFonts w:eastAsia="Times New Roman"/>
                <w:sz w:val="20"/>
                <w:szCs w:val="20"/>
              </w:rPr>
              <w:t>(17,451</w:t>
            </w:r>
          </w:p>
        </w:tc>
        <w:tc>
          <w:tcPr>
            <w:tcW w:w="50" w:type="pct"/>
            <w:shd w:val="clear" w:color="auto" w:fill="CCEEFF"/>
            <w:vAlign w:val="bottom"/>
            <w:hideMark/>
          </w:tcPr>
          <w:p w14:paraId="0F4ADC76"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45F848E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108114"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134D5F3" w14:textId="77777777" w:rsidR="00000000" w:rsidRDefault="00322B34">
            <w:pPr>
              <w:jc w:val="right"/>
              <w:rPr>
                <w:rFonts w:eastAsia="Times New Roman"/>
                <w:sz w:val="20"/>
                <w:szCs w:val="20"/>
              </w:rPr>
            </w:pPr>
            <w:r>
              <w:rPr>
                <w:rFonts w:eastAsia="Times New Roman"/>
                <w:sz w:val="20"/>
                <w:szCs w:val="20"/>
              </w:rPr>
              <w:t>(3,112</w:t>
            </w:r>
          </w:p>
        </w:tc>
        <w:tc>
          <w:tcPr>
            <w:tcW w:w="50" w:type="pct"/>
            <w:shd w:val="clear" w:color="auto" w:fill="CCEEFF"/>
            <w:vAlign w:val="bottom"/>
            <w:hideMark/>
          </w:tcPr>
          <w:p w14:paraId="7300A484"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7AB4429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6C0873"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B8D2360" w14:textId="77777777" w:rsidR="00000000" w:rsidRDefault="00322B34">
            <w:pPr>
              <w:jc w:val="right"/>
              <w:rPr>
                <w:rFonts w:eastAsia="Times New Roman"/>
                <w:sz w:val="20"/>
                <w:szCs w:val="20"/>
              </w:rPr>
            </w:pPr>
            <w:r>
              <w:rPr>
                <w:rFonts w:eastAsia="Times New Roman"/>
                <w:sz w:val="20"/>
                <w:szCs w:val="20"/>
              </w:rPr>
              <w:t>(21,626</w:t>
            </w:r>
          </w:p>
        </w:tc>
        <w:tc>
          <w:tcPr>
            <w:tcW w:w="50" w:type="pct"/>
            <w:shd w:val="clear" w:color="auto" w:fill="CCEEFF"/>
            <w:vAlign w:val="bottom"/>
            <w:hideMark/>
          </w:tcPr>
          <w:p w14:paraId="709326F6" w14:textId="77777777" w:rsidR="00000000" w:rsidRDefault="00322B34">
            <w:pPr>
              <w:rPr>
                <w:rFonts w:eastAsia="Times New Roman"/>
                <w:sz w:val="20"/>
                <w:szCs w:val="20"/>
              </w:rPr>
            </w:pPr>
            <w:r>
              <w:rPr>
                <w:rFonts w:eastAsia="Times New Roman"/>
                <w:sz w:val="20"/>
                <w:szCs w:val="20"/>
              </w:rPr>
              <w:t>)</w:t>
            </w:r>
          </w:p>
        </w:tc>
      </w:tr>
      <w:tr w:rsidR="00000000" w14:paraId="0A79E2D7" w14:textId="77777777">
        <w:trPr>
          <w:divId w:val="3636607"/>
          <w:tblCellSpacing w:w="0" w:type="dxa"/>
        </w:trPr>
        <w:tc>
          <w:tcPr>
            <w:tcW w:w="0" w:type="auto"/>
            <w:shd w:val="clear" w:color="auto" w:fill="FFFFFF"/>
            <w:vAlign w:val="bottom"/>
            <w:hideMark/>
          </w:tcPr>
          <w:p w14:paraId="43D2CFB7" w14:textId="77777777" w:rsidR="00000000" w:rsidRDefault="00322B34">
            <w:pPr>
              <w:pStyle w:val="a3"/>
              <w:spacing w:before="0" w:beforeAutospacing="0" w:after="0" w:afterAutospacing="0"/>
              <w:ind w:left="540"/>
              <w:rPr>
                <w:sz w:val="20"/>
                <w:szCs w:val="20"/>
              </w:rPr>
            </w:pPr>
            <w:r>
              <w:rPr>
                <w:sz w:val="20"/>
                <w:szCs w:val="20"/>
              </w:rPr>
              <w:t>Depreciation and amortization</w:t>
            </w:r>
          </w:p>
        </w:tc>
        <w:tc>
          <w:tcPr>
            <w:tcW w:w="50" w:type="pct"/>
            <w:shd w:val="clear" w:color="auto" w:fill="FFFFFF"/>
            <w:vAlign w:val="bottom"/>
            <w:hideMark/>
          </w:tcPr>
          <w:p w14:paraId="09778AA2"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A0E1296"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8EBE501" w14:textId="77777777" w:rsidR="00000000" w:rsidRDefault="00322B34">
            <w:pPr>
              <w:jc w:val="right"/>
              <w:rPr>
                <w:rFonts w:eastAsia="Times New Roman"/>
                <w:sz w:val="20"/>
                <w:szCs w:val="20"/>
              </w:rPr>
            </w:pPr>
            <w:r>
              <w:rPr>
                <w:rFonts w:eastAsia="Times New Roman"/>
                <w:sz w:val="20"/>
                <w:szCs w:val="20"/>
              </w:rPr>
              <w:t>(73,559</w:t>
            </w:r>
          </w:p>
        </w:tc>
        <w:tc>
          <w:tcPr>
            <w:tcW w:w="50" w:type="pct"/>
            <w:shd w:val="clear" w:color="auto" w:fill="FFFFFF"/>
            <w:tcMar>
              <w:top w:w="0" w:type="dxa"/>
              <w:left w:w="0" w:type="dxa"/>
              <w:bottom w:w="15" w:type="dxa"/>
              <w:right w:w="0" w:type="dxa"/>
            </w:tcMar>
            <w:vAlign w:val="bottom"/>
            <w:hideMark/>
          </w:tcPr>
          <w:p w14:paraId="2CBD090B"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6B10AEE1"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A11DD4E"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A63E503" w14:textId="77777777" w:rsidR="00000000" w:rsidRDefault="00322B34">
            <w:pPr>
              <w:jc w:val="right"/>
              <w:rPr>
                <w:rFonts w:eastAsia="Times New Roman"/>
                <w:sz w:val="20"/>
                <w:szCs w:val="20"/>
              </w:rPr>
            </w:pPr>
            <w:r>
              <w:rPr>
                <w:rFonts w:eastAsia="Times New Roman"/>
                <w:sz w:val="20"/>
                <w:szCs w:val="20"/>
              </w:rPr>
              <w:t>(69,005</w:t>
            </w:r>
          </w:p>
        </w:tc>
        <w:tc>
          <w:tcPr>
            <w:tcW w:w="50" w:type="pct"/>
            <w:shd w:val="clear" w:color="auto" w:fill="FFFFFF"/>
            <w:tcMar>
              <w:top w:w="0" w:type="dxa"/>
              <w:left w:w="0" w:type="dxa"/>
              <w:bottom w:w="15" w:type="dxa"/>
              <w:right w:w="0" w:type="dxa"/>
            </w:tcMar>
            <w:vAlign w:val="bottom"/>
            <w:hideMark/>
          </w:tcPr>
          <w:p w14:paraId="05555852"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3629E60E"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06B7DA2"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6BF5B76" w14:textId="77777777" w:rsidR="00000000" w:rsidRDefault="00322B34">
            <w:pPr>
              <w:jc w:val="right"/>
              <w:rPr>
                <w:rFonts w:eastAsia="Times New Roman"/>
                <w:sz w:val="20"/>
                <w:szCs w:val="20"/>
              </w:rPr>
            </w:pPr>
            <w:r>
              <w:rPr>
                <w:rFonts w:eastAsia="Times New Roman"/>
                <w:sz w:val="20"/>
                <w:szCs w:val="20"/>
              </w:rPr>
              <w:t>(142,956</w:t>
            </w:r>
          </w:p>
        </w:tc>
        <w:tc>
          <w:tcPr>
            <w:tcW w:w="50" w:type="pct"/>
            <w:shd w:val="clear" w:color="auto" w:fill="FFFFFF"/>
            <w:tcMar>
              <w:top w:w="0" w:type="dxa"/>
              <w:left w:w="0" w:type="dxa"/>
              <w:bottom w:w="15" w:type="dxa"/>
              <w:right w:w="0" w:type="dxa"/>
            </w:tcMar>
            <w:vAlign w:val="bottom"/>
            <w:hideMark/>
          </w:tcPr>
          <w:p w14:paraId="66248CC4"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23392AC6"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32AB329"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82825CD" w14:textId="77777777" w:rsidR="00000000" w:rsidRDefault="00322B34">
            <w:pPr>
              <w:jc w:val="right"/>
              <w:rPr>
                <w:rFonts w:eastAsia="Times New Roman"/>
                <w:sz w:val="20"/>
                <w:szCs w:val="20"/>
              </w:rPr>
            </w:pPr>
            <w:r>
              <w:rPr>
                <w:rFonts w:eastAsia="Times New Roman"/>
                <w:sz w:val="20"/>
                <w:szCs w:val="20"/>
              </w:rPr>
              <w:t>(140,566</w:t>
            </w:r>
          </w:p>
        </w:tc>
        <w:tc>
          <w:tcPr>
            <w:tcW w:w="50" w:type="pct"/>
            <w:shd w:val="clear" w:color="auto" w:fill="FFFFFF"/>
            <w:tcMar>
              <w:top w:w="0" w:type="dxa"/>
              <w:left w:w="0" w:type="dxa"/>
              <w:bottom w:w="15" w:type="dxa"/>
              <w:right w:w="0" w:type="dxa"/>
            </w:tcMar>
            <w:vAlign w:val="bottom"/>
            <w:hideMark/>
          </w:tcPr>
          <w:p w14:paraId="373F179E" w14:textId="77777777" w:rsidR="00000000" w:rsidRDefault="00322B34">
            <w:pPr>
              <w:rPr>
                <w:rFonts w:eastAsia="Times New Roman"/>
                <w:sz w:val="20"/>
                <w:szCs w:val="20"/>
              </w:rPr>
            </w:pPr>
            <w:r>
              <w:rPr>
                <w:rFonts w:eastAsia="Times New Roman"/>
                <w:sz w:val="20"/>
                <w:szCs w:val="20"/>
              </w:rPr>
              <w:t>)</w:t>
            </w:r>
          </w:p>
        </w:tc>
      </w:tr>
      <w:tr w:rsidR="00000000" w14:paraId="5C279197" w14:textId="77777777">
        <w:trPr>
          <w:divId w:val="3636607"/>
          <w:tblCellSpacing w:w="0" w:type="dxa"/>
        </w:trPr>
        <w:tc>
          <w:tcPr>
            <w:tcW w:w="0" w:type="auto"/>
            <w:shd w:val="clear" w:color="auto" w:fill="CCEEFF"/>
            <w:vAlign w:val="bottom"/>
            <w:hideMark/>
          </w:tcPr>
          <w:p w14:paraId="01000ECD" w14:textId="77777777" w:rsidR="00000000" w:rsidRDefault="00322B34">
            <w:pPr>
              <w:pStyle w:val="a3"/>
              <w:spacing w:before="0" w:beforeAutospacing="0" w:after="0" w:afterAutospacing="0"/>
              <w:ind w:left="900"/>
              <w:rPr>
                <w:sz w:val="20"/>
                <w:szCs w:val="20"/>
              </w:rPr>
            </w:pPr>
            <w:r>
              <w:rPr>
                <w:sz w:val="20"/>
                <w:szCs w:val="20"/>
              </w:rPr>
              <w:t>Total operating expenses</w:t>
            </w:r>
          </w:p>
        </w:tc>
        <w:tc>
          <w:tcPr>
            <w:tcW w:w="50" w:type="pct"/>
            <w:shd w:val="clear" w:color="auto" w:fill="CCEEFF"/>
            <w:vAlign w:val="bottom"/>
            <w:hideMark/>
          </w:tcPr>
          <w:p w14:paraId="7A4486E4"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1F7D06B"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B0353FE" w14:textId="77777777" w:rsidR="00000000" w:rsidRDefault="00322B34">
            <w:pPr>
              <w:jc w:val="right"/>
              <w:rPr>
                <w:rFonts w:eastAsia="Times New Roman"/>
                <w:sz w:val="20"/>
                <w:szCs w:val="20"/>
              </w:rPr>
            </w:pPr>
            <w:r>
              <w:rPr>
                <w:rFonts w:eastAsia="Times New Roman"/>
                <w:sz w:val="20"/>
                <w:szCs w:val="20"/>
              </w:rPr>
              <w:t>(176,646</w:t>
            </w:r>
          </w:p>
        </w:tc>
        <w:tc>
          <w:tcPr>
            <w:tcW w:w="50" w:type="pct"/>
            <w:shd w:val="clear" w:color="auto" w:fill="CCEEFF"/>
            <w:tcMar>
              <w:top w:w="0" w:type="dxa"/>
              <w:left w:w="0" w:type="dxa"/>
              <w:bottom w:w="15" w:type="dxa"/>
              <w:right w:w="0" w:type="dxa"/>
            </w:tcMar>
            <w:vAlign w:val="bottom"/>
            <w:hideMark/>
          </w:tcPr>
          <w:p w14:paraId="19B9F6D1"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E3E649B"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AA63606"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57341FF" w14:textId="77777777" w:rsidR="00000000" w:rsidRDefault="00322B34">
            <w:pPr>
              <w:jc w:val="right"/>
              <w:rPr>
                <w:rFonts w:eastAsia="Times New Roman"/>
                <w:sz w:val="20"/>
                <w:szCs w:val="20"/>
              </w:rPr>
            </w:pPr>
            <w:r>
              <w:rPr>
                <w:rFonts w:eastAsia="Times New Roman"/>
                <w:sz w:val="20"/>
                <w:szCs w:val="20"/>
              </w:rPr>
              <w:t>(192,235</w:t>
            </w:r>
          </w:p>
        </w:tc>
        <w:tc>
          <w:tcPr>
            <w:tcW w:w="50" w:type="pct"/>
            <w:shd w:val="clear" w:color="auto" w:fill="CCEEFF"/>
            <w:tcMar>
              <w:top w:w="0" w:type="dxa"/>
              <w:left w:w="0" w:type="dxa"/>
              <w:bottom w:w="15" w:type="dxa"/>
              <w:right w:w="0" w:type="dxa"/>
            </w:tcMar>
            <w:vAlign w:val="bottom"/>
            <w:hideMark/>
          </w:tcPr>
          <w:p w14:paraId="51B7A7DB"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DAF5CB2"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B83CDDE"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A7D6FC7" w14:textId="77777777" w:rsidR="00000000" w:rsidRDefault="00322B34">
            <w:pPr>
              <w:jc w:val="right"/>
              <w:rPr>
                <w:rFonts w:eastAsia="Times New Roman"/>
                <w:sz w:val="20"/>
                <w:szCs w:val="20"/>
              </w:rPr>
            </w:pPr>
            <w:r>
              <w:rPr>
                <w:rFonts w:eastAsia="Times New Roman"/>
                <w:sz w:val="20"/>
                <w:szCs w:val="20"/>
              </w:rPr>
              <w:t>(354,929</w:t>
            </w:r>
          </w:p>
        </w:tc>
        <w:tc>
          <w:tcPr>
            <w:tcW w:w="50" w:type="pct"/>
            <w:shd w:val="clear" w:color="auto" w:fill="CCEEFF"/>
            <w:tcMar>
              <w:top w:w="0" w:type="dxa"/>
              <w:left w:w="0" w:type="dxa"/>
              <w:bottom w:w="15" w:type="dxa"/>
              <w:right w:w="0" w:type="dxa"/>
            </w:tcMar>
            <w:vAlign w:val="bottom"/>
            <w:hideMark/>
          </w:tcPr>
          <w:p w14:paraId="2935ECA0"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14C38CF8"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D03CD94"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5F2652F" w14:textId="77777777" w:rsidR="00000000" w:rsidRDefault="00322B34">
            <w:pPr>
              <w:jc w:val="right"/>
              <w:rPr>
                <w:rFonts w:eastAsia="Times New Roman"/>
                <w:sz w:val="20"/>
                <w:szCs w:val="20"/>
              </w:rPr>
            </w:pPr>
            <w:r>
              <w:rPr>
                <w:rFonts w:eastAsia="Times New Roman"/>
                <w:sz w:val="20"/>
                <w:szCs w:val="20"/>
              </w:rPr>
              <w:t>(376,737</w:t>
            </w:r>
          </w:p>
        </w:tc>
        <w:tc>
          <w:tcPr>
            <w:tcW w:w="50" w:type="pct"/>
            <w:shd w:val="clear" w:color="auto" w:fill="CCEEFF"/>
            <w:tcMar>
              <w:top w:w="0" w:type="dxa"/>
              <w:left w:w="0" w:type="dxa"/>
              <w:bottom w:w="15" w:type="dxa"/>
              <w:right w:w="0" w:type="dxa"/>
            </w:tcMar>
            <w:vAlign w:val="bottom"/>
            <w:hideMark/>
          </w:tcPr>
          <w:p w14:paraId="3F207B50" w14:textId="77777777" w:rsidR="00000000" w:rsidRDefault="00322B34">
            <w:pPr>
              <w:rPr>
                <w:rFonts w:eastAsia="Times New Roman"/>
                <w:sz w:val="20"/>
                <w:szCs w:val="20"/>
              </w:rPr>
            </w:pPr>
            <w:r>
              <w:rPr>
                <w:rFonts w:eastAsia="Times New Roman"/>
                <w:sz w:val="20"/>
                <w:szCs w:val="20"/>
              </w:rPr>
              <w:t>)</w:t>
            </w:r>
          </w:p>
        </w:tc>
      </w:tr>
      <w:tr w:rsidR="00000000" w14:paraId="065E89CC" w14:textId="77777777">
        <w:trPr>
          <w:divId w:val="3636607"/>
          <w:tblCellSpacing w:w="0" w:type="dxa"/>
        </w:trPr>
        <w:tc>
          <w:tcPr>
            <w:tcW w:w="0" w:type="auto"/>
            <w:shd w:val="clear" w:color="auto" w:fill="FFFFFF"/>
            <w:vAlign w:val="bottom"/>
            <w:hideMark/>
          </w:tcPr>
          <w:p w14:paraId="75092C6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F9C12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7530D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DEAEC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E49F0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B59DF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7AFA0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D5E54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CAE59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D675D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72DA5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2E5E5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E5443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77807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88712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69E52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889F93" w14:textId="77777777" w:rsidR="00000000" w:rsidRDefault="00322B34">
            <w:pPr>
              <w:rPr>
                <w:rFonts w:eastAsia="Times New Roman"/>
                <w:sz w:val="20"/>
                <w:szCs w:val="20"/>
              </w:rPr>
            </w:pPr>
            <w:r>
              <w:rPr>
                <w:rFonts w:eastAsia="Times New Roman"/>
                <w:sz w:val="20"/>
                <w:szCs w:val="20"/>
              </w:rPr>
              <w:t> </w:t>
            </w:r>
          </w:p>
        </w:tc>
      </w:tr>
      <w:tr w:rsidR="00000000" w14:paraId="31C8563B" w14:textId="77777777">
        <w:trPr>
          <w:divId w:val="3636607"/>
          <w:tblCellSpacing w:w="0" w:type="dxa"/>
        </w:trPr>
        <w:tc>
          <w:tcPr>
            <w:tcW w:w="0" w:type="auto"/>
            <w:shd w:val="clear" w:color="auto" w:fill="CCEEFF"/>
            <w:vAlign w:val="bottom"/>
            <w:hideMark/>
          </w:tcPr>
          <w:p w14:paraId="73D8FDD8" w14:textId="77777777" w:rsidR="00000000" w:rsidRDefault="00322B34">
            <w:pPr>
              <w:pStyle w:val="a3"/>
              <w:spacing w:before="0" w:beforeAutospacing="0" w:after="0" w:afterAutospacing="0"/>
              <w:ind w:left="540"/>
              <w:rPr>
                <w:sz w:val="20"/>
                <w:szCs w:val="20"/>
              </w:rPr>
            </w:pPr>
            <w:r>
              <w:rPr>
                <w:sz w:val="20"/>
                <w:szCs w:val="20"/>
              </w:rPr>
              <w:t>Gain on sale of properties</w:t>
            </w:r>
          </w:p>
        </w:tc>
        <w:tc>
          <w:tcPr>
            <w:tcW w:w="50" w:type="pct"/>
            <w:shd w:val="clear" w:color="auto" w:fill="CCEEFF"/>
            <w:vAlign w:val="bottom"/>
            <w:hideMark/>
          </w:tcPr>
          <w:p w14:paraId="668F4426"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136493D"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AA45E0F" w14:textId="77777777" w:rsidR="00000000" w:rsidRDefault="00322B34">
            <w:pPr>
              <w:jc w:val="right"/>
              <w:rPr>
                <w:rFonts w:eastAsia="Times New Roman"/>
                <w:sz w:val="20"/>
                <w:szCs w:val="20"/>
              </w:rPr>
            </w:pPr>
            <w:r>
              <w:rPr>
                <w:rFonts w:eastAsia="Times New Roman"/>
                <w:sz w:val="20"/>
                <w:szCs w:val="20"/>
              </w:rPr>
              <w:t>1,850</w:t>
            </w:r>
          </w:p>
        </w:tc>
        <w:tc>
          <w:tcPr>
            <w:tcW w:w="50" w:type="pct"/>
            <w:shd w:val="clear" w:color="auto" w:fill="CCEEFF"/>
            <w:tcMar>
              <w:top w:w="0" w:type="dxa"/>
              <w:left w:w="0" w:type="dxa"/>
              <w:bottom w:w="15" w:type="dxa"/>
              <w:right w:w="0" w:type="dxa"/>
            </w:tcMar>
            <w:vAlign w:val="bottom"/>
            <w:hideMark/>
          </w:tcPr>
          <w:p w14:paraId="4EB9486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1C7BC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0C556A3"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D9980C8" w14:textId="77777777" w:rsidR="00000000" w:rsidRDefault="00322B34">
            <w:pPr>
              <w:jc w:val="right"/>
              <w:rPr>
                <w:rFonts w:eastAsia="Times New Roman"/>
                <w:sz w:val="20"/>
                <w:szCs w:val="20"/>
              </w:rPr>
            </w:pPr>
            <w:r>
              <w:rPr>
                <w:rFonts w:eastAsia="Times New Roman"/>
                <w:sz w:val="20"/>
                <w:szCs w:val="20"/>
              </w:rPr>
              <w:t>14,762</w:t>
            </w:r>
          </w:p>
        </w:tc>
        <w:tc>
          <w:tcPr>
            <w:tcW w:w="50" w:type="pct"/>
            <w:shd w:val="clear" w:color="auto" w:fill="CCEEFF"/>
            <w:tcMar>
              <w:top w:w="0" w:type="dxa"/>
              <w:left w:w="0" w:type="dxa"/>
              <w:bottom w:w="15" w:type="dxa"/>
              <w:right w:w="0" w:type="dxa"/>
            </w:tcMar>
            <w:vAlign w:val="bottom"/>
            <w:hideMark/>
          </w:tcPr>
          <w:p w14:paraId="14EE632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5DC71A"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0ABE950"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E229D18" w14:textId="77777777" w:rsidR="00000000" w:rsidRDefault="00322B34">
            <w:pPr>
              <w:jc w:val="right"/>
              <w:rPr>
                <w:rFonts w:eastAsia="Times New Roman"/>
                <w:sz w:val="20"/>
                <w:szCs w:val="20"/>
              </w:rPr>
            </w:pPr>
            <w:r>
              <w:rPr>
                <w:rFonts w:eastAsia="Times New Roman"/>
                <w:sz w:val="20"/>
                <w:szCs w:val="20"/>
              </w:rPr>
              <w:t>5,697</w:t>
            </w:r>
          </w:p>
        </w:tc>
        <w:tc>
          <w:tcPr>
            <w:tcW w:w="50" w:type="pct"/>
            <w:shd w:val="clear" w:color="auto" w:fill="CCEEFF"/>
            <w:tcMar>
              <w:top w:w="0" w:type="dxa"/>
              <w:left w:w="0" w:type="dxa"/>
              <w:bottom w:w="15" w:type="dxa"/>
              <w:right w:w="0" w:type="dxa"/>
            </w:tcMar>
            <w:vAlign w:val="bottom"/>
            <w:hideMark/>
          </w:tcPr>
          <w:p w14:paraId="50F1854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939DCF"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619E8F0"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B0A17C1" w14:textId="77777777" w:rsidR="00000000" w:rsidRDefault="00322B34">
            <w:pPr>
              <w:jc w:val="right"/>
              <w:rPr>
                <w:rFonts w:eastAsia="Times New Roman"/>
                <w:sz w:val="20"/>
                <w:szCs w:val="20"/>
              </w:rPr>
            </w:pPr>
            <w:r>
              <w:rPr>
                <w:rFonts w:eastAsia="Times New Roman"/>
                <w:sz w:val="20"/>
                <w:szCs w:val="20"/>
              </w:rPr>
              <w:t>38,357</w:t>
            </w:r>
          </w:p>
        </w:tc>
        <w:tc>
          <w:tcPr>
            <w:tcW w:w="50" w:type="pct"/>
            <w:shd w:val="clear" w:color="auto" w:fill="CCEEFF"/>
            <w:tcMar>
              <w:top w:w="0" w:type="dxa"/>
              <w:left w:w="0" w:type="dxa"/>
              <w:bottom w:w="15" w:type="dxa"/>
              <w:right w:w="0" w:type="dxa"/>
            </w:tcMar>
            <w:vAlign w:val="bottom"/>
            <w:hideMark/>
          </w:tcPr>
          <w:p w14:paraId="5D3E1569" w14:textId="77777777" w:rsidR="00000000" w:rsidRDefault="00322B34">
            <w:pPr>
              <w:rPr>
                <w:rFonts w:eastAsia="Times New Roman"/>
                <w:sz w:val="20"/>
                <w:szCs w:val="20"/>
              </w:rPr>
            </w:pPr>
            <w:r>
              <w:rPr>
                <w:rFonts w:eastAsia="Times New Roman"/>
                <w:sz w:val="20"/>
                <w:szCs w:val="20"/>
              </w:rPr>
              <w:t> </w:t>
            </w:r>
          </w:p>
        </w:tc>
      </w:tr>
      <w:tr w:rsidR="00000000" w14:paraId="07E9EAAC" w14:textId="77777777">
        <w:trPr>
          <w:divId w:val="3636607"/>
          <w:tblCellSpacing w:w="0" w:type="dxa"/>
        </w:trPr>
        <w:tc>
          <w:tcPr>
            <w:tcW w:w="0" w:type="auto"/>
            <w:shd w:val="clear" w:color="auto" w:fill="FFFFFF"/>
            <w:vAlign w:val="bottom"/>
            <w:hideMark/>
          </w:tcPr>
          <w:p w14:paraId="6DA0DD4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56412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0DD33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6D270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7FBC1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5EC7A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1ECFB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14D06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8C604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56619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EB3AA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36974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563A8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0F848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5B760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CB954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29A69E" w14:textId="77777777" w:rsidR="00000000" w:rsidRDefault="00322B34">
            <w:pPr>
              <w:rPr>
                <w:rFonts w:eastAsia="Times New Roman"/>
                <w:sz w:val="20"/>
                <w:szCs w:val="20"/>
              </w:rPr>
            </w:pPr>
            <w:r>
              <w:rPr>
                <w:rFonts w:eastAsia="Times New Roman"/>
                <w:sz w:val="20"/>
                <w:szCs w:val="20"/>
              </w:rPr>
              <w:t> </w:t>
            </w:r>
          </w:p>
        </w:tc>
      </w:tr>
      <w:tr w:rsidR="00000000" w14:paraId="3D4D6E45" w14:textId="77777777">
        <w:trPr>
          <w:divId w:val="3636607"/>
          <w:tblCellSpacing w:w="0" w:type="dxa"/>
        </w:trPr>
        <w:tc>
          <w:tcPr>
            <w:tcW w:w="0" w:type="auto"/>
            <w:shd w:val="clear" w:color="auto" w:fill="CCEEFF"/>
            <w:vAlign w:val="bottom"/>
            <w:hideMark/>
          </w:tcPr>
          <w:p w14:paraId="33DC71EC" w14:textId="77777777" w:rsidR="00000000" w:rsidRDefault="00322B34">
            <w:pPr>
              <w:pStyle w:val="a3"/>
              <w:spacing w:before="0" w:beforeAutospacing="0" w:after="0" w:afterAutospacing="0"/>
              <w:rPr>
                <w:sz w:val="20"/>
                <w:szCs w:val="20"/>
              </w:rPr>
            </w:pPr>
            <w:r>
              <w:rPr>
                <w:sz w:val="20"/>
                <w:szCs w:val="20"/>
              </w:rPr>
              <w:t>Operating income</w:t>
            </w:r>
          </w:p>
        </w:tc>
        <w:tc>
          <w:tcPr>
            <w:tcW w:w="50" w:type="pct"/>
            <w:shd w:val="clear" w:color="auto" w:fill="CCEEFF"/>
            <w:vAlign w:val="bottom"/>
            <w:hideMark/>
          </w:tcPr>
          <w:p w14:paraId="2B0B2F5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2511AC"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423DC3D" w14:textId="77777777" w:rsidR="00000000" w:rsidRDefault="00322B34">
            <w:pPr>
              <w:jc w:val="right"/>
              <w:rPr>
                <w:rFonts w:eastAsia="Times New Roman"/>
                <w:sz w:val="20"/>
                <w:szCs w:val="20"/>
              </w:rPr>
            </w:pPr>
            <w:r>
              <w:rPr>
                <w:rFonts w:eastAsia="Times New Roman"/>
                <w:sz w:val="20"/>
                <w:szCs w:val="20"/>
              </w:rPr>
              <w:t>64,120</w:t>
            </w:r>
          </w:p>
        </w:tc>
        <w:tc>
          <w:tcPr>
            <w:tcW w:w="50" w:type="pct"/>
            <w:shd w:val="clear" w:color="auto" w:fill="CCEEFF"/>
            <w:vAlign w:val="bottom"/>
            <w:hideMark/>
          </w:tcPr>
          <w:p w14:paraId="3EC4C11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305A4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046E92"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C12BEE4" w14:textId="77777777" w:rsidR="00000000" w:rsidRDefault="00322B34">
            <w:pPr>
              <w:jc w:val="right"/>
              <w:rPr>
                <w:rFonts w:eastAsia="Times New Roman"/>
                <w:sz w:val="20"/>
                <w:szCs w:val="20"/>
              </w:rPr>
            </w:pPr>
            <w:r>
              <w:rPr>
                <w:rFonts w:eastAsia="Times New Roman"/>
                <w:sz w:val="20"/>
                <w:szCs w:val="20"/>
              </w:rPr>
              <w:t>107,400</w:t>
            </w:r>
          </w:p>
        </w:tc>
        <w:tc>
          <w:tcPr>
            <w:tcW w:w="50" w:type="pct"/>
            <w:shd w:val="clear" w:color="auto" w:fill="CCEEFF"/>
            <w:vAlign w:val="bottom"/>
            <w:hideMark/>
          </w:tcPr>
          <w:p w14:paraId="3632013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65E41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EC0DE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CDE8F65" w14:textId="77777777" w:rsidR="00000000" w:rsidRDefault="00322B34">
            <w:pPr>
              <w:jc w:val="right"/>
              <w:rPr>
                <w:rFonts w:eastAsia="Times New Roman"/>
                <w:sz w:val="20"/>
                <w:szCs w:val="20"/>
              </w:rPr>
            </w:pPr>
            <w:r>
              <w:rPr>
                <w:rFonts w:eastAsia="Times New Roman"/>
                <w:sz w:val="20"/>
                <w:szCs w:val="20"/>
              </w:rPr>
              <w:t>179,428</w:t>
            </w:r>
          </w:p>
        </w:tc>
        <w:tc>
          <w:tcPr>
            <w:tcW w:w="50" w:type="pct"/>
            <w:shd w:val="clear" w:color="auto" w:fill="CCEEFF"/>
            <w:vAlign w:val="bottom"/>
            <w:hideMark/>
          </w:tcPr>
          <w:p w14:paraId="712FD0C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6A7B1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016F7B"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41EB620" w14:textId="77777777" w:rsidR="00000000" w:rsidRDefault="00322B34">
            <w:pPr>
              <w:jc w:val="right"/>
              <w:rPr>
                <w:rFonts w:eastAsia="Times New Roman"/>
                <w:sz w:val="20"/>
                <w:szCs w:val="20"/>
              </w:rPr>
            </w:pPr>
            <w:r>
              <w:rPr>
                <w:rFonts w:eastAsia="Times New Roman"/>
                <w:sz w:val="20"/>
                <w:szCs w:val="20"/>
              </w:rPr>
              <w:t>241,503</w:t>
            </w:r>
          </w:p>
        </w:tc>
        <w:tc>
          <w:tcPr>
            <w:tcW w:w="50" w:type="pct"/>
            <w:shd w:val="clear" w:color="auto" w:fill="CCEEFF"/>
            <w:vAlign w:val="bottom"/>
            <w:hideMark/>
          </w:tcPr>
          <w:p w14:paraId="293DA771" w14:textId="77777777" w:rsidR="00000000" w:rsidRDefault="00322B34">
            <w:pPr>
              <w:rPr>
                <w:rFonts w:eastAsia="Times New Roman"/>
                <w:sz w:val="20"/>
                <w:szCs w:val="20"/>
              </w:rPr>
            </w:pPr>
            <w:r>
              <w:rPr>
                <w:rFonts w:eastAsia="Times New Roman"/>
                <w:sz w:val="20"/>
                <w:szCs w:val="20"/>
              </w:rPr>
              <w:t> </w:t>
            </w:r>
          </w:p>
        </w:tc>
      </w:tr>
      <w:tr w:rsidR="00000000" w14:paraId="0F5B29F8" w14:textId="77777777">
        <w:trPr>
          <w:divId w:val="3636607"/>
          <w:tblCellSpacing w:w="0" w:type="dxa"/>
        </w:trPr>
        <w:tc>
          <w:tcPr>
            <w:tcW w:w="0" w:type="auto"/>
            <w:shd w:val="clear" w:color="auto" w:fill="FFFFFF"/>
            <w:vAlign w:val="bottom"/>
            <w:hideMark/>
          </w:tcPr>
          <w:p w14:paraId="5E8C2D3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AED91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CB1FD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918F2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2E151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EC4DE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76620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9B73C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B6170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9D363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34AB7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A236B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19DF7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9E17D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06786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4743F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074E80" w14:textId="77777777" w:rsidR="00000000" w:rsidRDefault="00322B34">
            <w:pPr>
              <w:rPr>
                <w:rFonts w:eastAsia="Times New Roman"/>
                <w:sz w:val="20"/>
                <w:szCs w:val="20"/>
              </w:rPr>
            </w:pPr>
            <w:r>
              <w:rPr>
                <w:rFonts w:eastAsia="Times New Roman"/>
                <w:sz w:val="20"/>
                <w:szCs w:val="20"/>
              </w:rPr>
              <w:t> </w:t>
            </w:r>
          </w:p>
        </w:tc>
      </w:tr>
      <w:tr w:rsidR="00000000" w14:paraId="48A8174D" w14:textId="77777777">
        <w:trPr>
          <w:divId w:val="3636607"/>
          <w:tblCellSpacing w:w="0" w:type="dxa"/>
        </w:trPr>
        <w:tc>
          <w:tcPr>
            <w:tcW w:w="0" w:type="auto"/>
            <w:shd w:val="clear" w:color="auto" w:fill="CCEEFF"/>
            <w:vAlign w:val="bottom"/>
            <w:hideMark/>
          </w:tcPr>
          <w:p w14:paraId="3765BBAD" w14:textId="77777777" w:rsidR="00000000" w:rsidRDefault="00322B34">
            <w:pPr>
              <w:pStyle w:val="a3"/>
              <w:spacing w:before="0" w:beforeAutospacing="0" w:after="0" w:afterAutospacing="0"/>
              <w:rPr>
                <w:sz w:val="20"/>
                <w:szCs w:val="20"/>
              </w:rPr>
            </w:pPr>
            <w:r>
              <w:rPr>
                <w:sz w:val="20"/>
                <w:szCs w:val="20"/>
              </w:rPr>
              <w:lastRenderedPageBreak/>
              <w:t>Other income/(expense)</w:t>
            </w:r>
          </w:p>
        </w:tc>
        <w:tc>
          <w:tcPr>
            <w:tcW w:w="0" w:type="auto"/>
            <w:shd w:val="clear" w:color="auto" w:fill="CCEEFF"/>
            <w:vAlign w:val="bottom"/>
            <w:hideMark/>
          </w:tcPr>
          <w:p w14:paraId="54DDB89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000D9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1545C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237FF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F042D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417A2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F8765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E10D1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C1418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FC3ED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02E98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C51DA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0F926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70EB4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FF363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D0E9D9" w14:textId="77777777" w:rsidR="00000000" w:rsidRDefault="00322B34">
            <w:pPr>
              <w:rPr>
                <w:rFonts w:eastAsia="Times New Roman"/>
                <w:sz w:val="20"/>
                <w:szCs w:val="20"/>
              </w:rPr>
            </w:pPr>
            <w:r>
              <w:rPr>
                <w:rFonts w:eastAsia="Times New Roman"/>
                <w:sz w:val="20"/>
                <w:szCs w:val="20"/>
              </w:rPr>
              <w:t> </w:t>
            </w:r>
          </w:p>
        </w:tc>
      </w:tr>
      <w:tr w:rsidR="00000000" w14:paraId="573A36E6" w14:textId="77777777">
        <w:trPr>
          <w:divId w:val="3636607"/>
          <w:tblCellSpacing w:w="0" w:type="dxa"/>
        </w:trPr>
        <w:tc>
          <w:tcPr>
            <w:tcW w:w="0" w:type="auto"/>
            <w:shd w:val="clear" w:color="auto" w:fill="FFFFFF"/>
            <w:vAlign w:val="bottom"/>
            <w:hideMark/>
          </w:tcPr>
          <w:p w14:paraId="7392CD58" w14:textId="77777777" w:rsidR="00000000" w:rsidRDefault="00322B34">
            <w:pPr>
              <w:pStyle w:val="a3"/>
              <w:spacing w:before="0" w:beforeAutospacing="0" w:after="0" w:afterAutospacing="0"/>
              <w:ind w:left="540"/>
              <w:rPr>
                <w:sz w:val="20"/>
                <w:szCs w:val="20"/>
              </w:rPr>
            </w:pPr>
            <w:r>
              <w:rPr>
                <w:sz w:val="20"/>
                <w:szCs w:val="20"/>
              </w:rPr>
              <w:t>Other income, net</w:t>
            </w:r>
          </w:p>
        </w:tc>
        <w:tc>
          <w:tcPr>
            <w:tcW w:w="50" w:type="pct"/>
            <w:shd w:val="clear" w:color="auto" w:fill="FFFFFF"/>
            <w:vAlign w:val="bottom"/>
            <w:hideMark/>
          </w:tcPr>
          <w:p w14:paraId="61DCAA2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782CF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2623D00" w14:textId="77777777" w:rsidR="00000000" w:rsidRDefault="00322B34">
            <w:pPr>
              <w:jc w:val="right"/>
              <w:rPr>
                <w:rFonts w:eastAsia="Times New Roman"/>
                <w:sz w:val="20"/>
                <w:szCs w:val="20"/>
              </w:rPr>
            </w:pPr>
            <w:r>
              <w:rPr>
                <w:rFonts w:eastAsia="Times New Roman"/>
                <w:sz w:val="20"/>
                <w:szCs w:val="20"/>
              </w:rPr>
              <w:t>49</w:t>
            </w:r>
          </w:p>
        </w:tc>
        <w:tc>
          <w:tcPr>
            <w:tcW w:w="50" w:type="pct"/>
            <w:shd w:val="clear" w:color="auto" w:fill="FFFFFF"/>
            <w:vAlign w:val="bottom"/>
            <w:hideMark/>
          </w:tcPr>
          <w:p w14:paraId="4DCAFC1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360F6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FA4886"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7BD0FA0" w14:textId="77777777" w:rsidR="00000000" w:rsidRDefault="00322B34">
            <w:pPr>
              <w:jc w:val="right"/>
              <w:rPr>
                <w:rFonts w:eastAsia="Times New Roman"/>
                <w:sz w:val="20"/>
                <w:szCs w:val="20"/>
              </w:rPr>
            </w:pPr>
            <w:r>
              <w:rPr>
                <w:rFonts w:eastAsia="Times New Roman"/>
                <w:sz w:val="20"/>
                <w:szCs w:val="20"/>
              </w:rPr>
              <w:t>1,867</w:t>
            </w:r>
          </w:p>
        </w:tc>
        <w:tc>
          <w:tcPr>
            <w:tcW w:w="50" w:type="pct"/>
            <w:shd w:val="clear" w:color="auto" w:fill="FFFFFF"/>
            <w:vAlign w:val="bottom"/>
            <w:hideMark/>
          </w:tcPr>
          <w:p w14:paraId="6B0D49E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D85E5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A8C19E"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F18AE47" w14:textId="77777777" w:rsidR="00000000" w:rsidRDefault="00322B34">
            <w:pPr>
              <w:jc w:val="right"/>
              <w:rPr>
                <w:rFonts w:eastAsia="Times New Roman"/>
                <w:sz w:val="20"/>
                <w:szCs w:val="20"/>
              </w:rPr>
            </w:pPr>
            <w:r>
              <w:rPr>
                <w:rFonts w:eastAsia="Times New Roman"/>
                <w:sz w:val="20"/>
                <w:szCs w:val="20"/>
              </w:rPr>
              <w:t>1,293</w:t>
            </w:r>
          </w:p>
        </w:tc>
        <w:tc>
          <w:tcPr>
            <w:tcW w:w="50" w:type="pct"/>
            <w:shd w:val="clear" w:color="auto" w:fill="FFFFFF"/>
            <w:vAlign w:val="bottom"/>
            <w:hideMark/>
          </w:tcPr>
          <w:p w14:paraId="50E2B88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CCF71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3113F6"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3D7AAF3" w14:textId="77777777" w:rsidR="00000000" w:rsidRDefault="00322B34">
            <w:pPr>
              <w:jc w:val="right"/>
              <w:rPr>
                <w:rFonts w:eastAsia="Times New Roman"/>
                <w:sz w:val="20"/>
                <w:szCs w:val="20"/>
              </w:rPr>
            </w:pPr>
            <w:r>
              <w:rPr>
                <w:rFonts w:eastAsia="Times New Roman"/>
                <w:sz w:val="20"/>
                <w:szCs w:val="20"/>
              </w:rPr>
              <w:t>2,986</w:t>
            </w:r>
          </w:p>
        </w:tc>
        <w:tc>
          <w:tcPr>
            <w:tcW w:w="50" w:type="pct"/>
            <w:shd w:val="clear" w:color="auto" w:fill="FFFFFF"/>
            <w:vAlign w:val="bottom"/>
            <w:hideMark/>
          </w:tcPr>
          <w:p w14:paraId="03C5D2F2" w14:textId="77777777" w:rsidR="00000000" w:rsidRDefault="00322B34">
            <w:pPr>
              <w:rPr>
                <w:rFonts w:eastAsia="Times New Roman"/>
                <w:sz w:val="20"/>
                <w:szCs w:val="20"/>
              </w:rPr>
            </w:pPr>
            <w:r>
              <w:rPr>
                <w:rFonts w:eastAsia="Times New Roman"/>
                <w:sz w:val="20"/>
                <w:szCs w:val="20"/>
              </w:rPr>
              <w:t> </w:t>
            </w:r>
          </w:p>
        </w:tc>
      </w:tr>
      <w:tr w:rsidR="00000000" w14:paraId="1697AC86" w14:textId="77777777">
        <w:trPr>
          <w:divId w:val="3636607"/>
          <w:tblCellSpacing w:w="0" w:type="dxa"/>
        </w:trPr>
        <w:tc>
          <w:tcPr>
            <w:tcW w:w="0" w:type="auto"/>
            <w:shd w:val="clear" w:color="auto" w:fill="CCEEFF"/>
            <w:vAlign w:val="bottom"/>
            <w:hideMark/>
          </w:tcPr>
          <w:p w14:paraId="6F58FD1A" w14:textId="77777777" w:rsidR="00000000" w:rsidRDefault="00322B34">
            <w:pPr>
              <w:pStyle w:val="a3"/>
              <w:spacing w:before="0" w:beforeAutospacing="0" w:after="0" w:afterAutospacing="0"/>
              <w:ind w:left="540"/>
              <w:rPr>
                <w:sz w:val="20"/>
                <w:szCs w:val="20"/>
              </w:rPr>
            </w:pPr>
            <w:r>
              <w:rPr>
                <w:sz w:val="20"/>
                <w:szCs w:val="20"/>
              </w:rPr>
              <w:t>Gain on marketable securities, net</w:t>
            </w:r>
          </w:p>
        </w:tc>
        <w:tc>
          <w:tcPr>
            <w:tcW w:w="50" w:type="pct"/>
            <w:shd w:val="clear" w:color="auto" w:fill="CCEEFF"/>
            <w:vAlign w:val="bottom"/>
            <w:hideMark/>
          </w:tcPr>
          <w:p w14:paraId="43F2CFB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16C63D"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5C0058C" w14:textId="77777777" w:rsidR="00000000" w:rsidRDefault="00322B34">
            <w:pPr>
              <w:jc w:val="right"/>
              <w:rPr>
                <w:rFonts w:eastAsia="Times New Roman"/>
                <w:sz w:val="20"/>
                <w:szCs w:val="20"/>
              </w:rPr>
            </w:pPr>
            <w:r>
              <w:rPr>
                <w:rFonts w:eastAsia="Times New Roman"/>
                <w:sz w:val="20"/>
                <w:szCs w:val="20"/>
              </w:rPr>
              <w:t>526,243</w:t>
            </w:r>
          </w:p>
        </w:tc>
        <w:tc>
          <w:tcPr>
            <w:tcW w:w="50" w:type="pct"/>
            <w:shd w:val="clear" w:color="auto" w:fill="CCEEFF"/>
            <w:vAlign w:val="bottom"/>
            <w:hideMark/>
          </w:tcPr>
          <w:p w14:paraId="12A1C19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8BE59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F3ACBF"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E36DB87" w14:textId="77777777" w:rsidR="00000000" w:rsidRDefault="00322B34">
            <w:pPr>
              <w:jc w:val="right"/>
              <w:rPr>
                <w:rFonts w:eastAsia="Times New Roman"/>
                <w:sz w:val="20"/>
                <w:szCs w:val="20"/>
              </w:rPr>
            </w:pPr>
            <w:r>
              <w:rPr>
                <w:rFonts w:eastAsia="Times New Roman"/>
                <w:sz w:val="20"/>
                <w:szCs w:val="20"/>
              </w:rPr>
              <w:t>71</w:t>
            </w:r>
          </w:p>
        </w:tc>
        <w:tc>
          <w:tcPr>
            <w:tcW w:w="50" w:type="pct"/>
            <w:shd w:val="clear" w:color="auto" w:fill="CCEEFF"/>
            <w:vAlign w:val="bottom"/>
            <w:hideMark/>
          </w:tcPr>
          <w:p w14:paraId="5990901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F508E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63E02F"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A9C497C" w14:textId="77777777" w:rsidR="00000000" w:rsidRDefault="00322B34">
            <w:pPr>
              <w:jc w:val="right"/>
              <w:rPr>
                <w:rFonts w:eastAsia="Times New Roman"/>
                <w:sz w:val="20"/>
                <w:szCs w:val="20"/>
              </w:rPr>
            </w:pPr>
            <w:r>
              <w:rPr>
                <w:rFonts w:eastAsia="Times New Roman"/>
                <w:sz w:val="20"/>
                <w:szCs w:val="20"/>
              </w:rPr>
              <w:t>521,577</w:t>
            </w:r>
          </w:p>
        </w:tc>
        <w:tc>
          <w:tcPr>
            <w:tcW w:w="50" w:type="pct"/>
            <w:shd w:val="clear" w:color="auto" w:fill="CCEEFF"/>
            <w:vAlign w:val="bottom"/>
            <w:hideMark/>
          </w:tcPr>
          <w:p w14:paraId="38BBEEC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C4A5E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1E808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0360940" w14:textId="77777777" w:rsidR="00000000" w:rsidRDefault="00322B34">
            <w:pPr>
              <w:jc w:val="right"/>
              <w:rPr>
                <w:rFonts w:eastAsia="Times New Roman"/>
                <w:sz w:val="20"/>
                <w:szCs w:val="20"/>
              </w:rPr>
            </w:pPr>
            <w:r>
              <w:rPr>
                <w:rFonts w:eastAsia="Times New Roman"/>
                <w:sz w:val="20"/>
                <w:szCs w:val="20"/>
              </w:rPr>
              <w:t>1,574</w:t>
            </w:r>
          </w:p>
        </w:tc>
        <w:tc>
          <w:tcPr>
            <w:tcW w:w="50" w:type="pct"/>
            <w:shd w:val="clear" w:color="auto" w:fill="CCEEFF"/>
            <w:vAlign w:val="bottom"/>
            <w:hideMark/>
          </w:tcPr>
          <w:p w14:paraId="040D8AEF" w14:textId="77777777" w:rsidR="00000000" w:rsidRDefault="00322B34">
            <w:pPr>
              <w:rPr>
                <w:rFonts w:eastAsia="Times New Roman"/>
                <w:sz w:val="20"/>
                <w:szCs w:val="20"/>
              </w:rPr>
            </w:pPr>
            <w:r>
              <w:rPr>
                <w:rFonts w:eastAsia="Times New Roman"/>
                <w:sz w:val="20"/>
                <w:szCs w:val="20"/>
              </w:rPr>
              <w:t> </w:t>
            </w:r>
          </w:p>
        </w:tc>
      </w:tr>
      <w:tr w:rsidR="00000000" w14:paraId="540291F5" w14:textId="77777777">
        <w:trPr>
          <w:divId w:val="3636607"/>
          <w:tblCellSpacing w:w="0" w:type="dxa"/>
        </w:trPr>
        <w:tc>
          <w:tcPr>
            <w:tcW w:w="0" w:type="auto"/>
            <w:shd w:val="clear" w:color="auto" w:fill="FFFFFF"/>
            <w:vAlign w:val="bottom"/>
            <w:hideMark/>
          </w:tcPr>
          <w:p w14:paraId="53C23EE9" w14:textId="77777777" w:rsidR="00000000" w:rsidRDefault="00322B34">
            <w:pPr>
              <w:pStyle w:val="a3"/>
              <w:spacing w:before="0" w:beforeAutospacing="0" w:after="0" w:afterAutospacing="0"/>
              <w:ind w:left="540"/>
              <w:rPr>
                <w:sz w:val="20"/>
                <w:szCs w:val="20"/>
              </w:rPr>
            </w:pPr>
            <w:r>
              <w:rPr>
                <w:sz w:val="20"/>
                <w:szCs w:val="20"/>
              </w:rPr>
              <w:t>Gain on sale of cost method investment</w:t>
            </w:r>
          </w:p>
        </w:tc>
        <w:tc>
          <w:tcPr>
            <w:tcW w:w="50" w:type="pct"/>
            <w:shd w:val="clear" w:color="auto" w:fill="FFFFFF"/>
            <w:vAlign w:val="bottom"/>
            <w:hideMark/>
          </w:tcPr>
          <w:p w14:paraId="5DF44D4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44A3F0"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451E230" w14:textId="77777777" w:rsidR="00000000" w:rsidRDefault="00322B34">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14:paraId="345F278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7C30F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6F8C82"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66E3F13"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E76B2A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B0F9C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6B0ED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0258695" w14:textId="77777777" w:rsidR="00000000" w:rsidRDefault="00322B34">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14:paraId="5AA8BD3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70FFC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11C36D"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C82D450"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217BEE1" w14:textId="77777777" w:rsidR="00000000" w:rsidRDefault="00322B34">
            <w:pPr>
              <w:rPr>
                <w:rFonts w:eastAsia="Times New Roman"/>
                <w:sz w:val="20"/>
                <w:szCs w:val="20"/>
              </w:rPr>
            </w:pPr>
            <w:r>
              <w:rPr>
                <w:rFonts w:eastAsia="Times New Roman"/>
                <w:sz w:val="20"/>
                <w:szCs w:val="20"/>
              </w:rPr>
              <w:t> </w:t>
            </w:r>
          </w:p>
        </w:tc>
      </w:tr>
      <w:tr w:rsidR="00000000" w14:paraId="1C8E9EBC" w14:textId="77777777">
        <w:trPr>
          <w:divId w:val="3636607"/>
          <w:tblCellSpacing w:w="0" w:type="dxa"/>
        </w:trPr>
        <w:tc>
          <w:tcPr>
            <w:tcW w:w="0" w:type="auto"/>
            <w:shd w:val="clear" w:color="auto" w:fill="CCEEFF"/>
            <w:vAlign w:val="bottom"/>
            <w:hideMark/>
          </w:tcPr>
          <w:p w14:paraId="01A64424" w14:textId="77777777" w:rsidR="00000000" w:rsidRDefault="00322B34">
            <w:pPr>
              <w:pStyle w:val="a3"/>
              <w:spacing w:before="0" w:beforeAutospacing="0" w:after="0" w:afterAutospacing="0"/>
              <w:ind w:left="540"/>
              <w:rPr>
                <w:sz w:val="20"/>
                <w:szCs w:val="20"/>
              </w:rPr>
            </w:pPr>
            <w:r>
              <w:rPr>
                <w:sz w:val="20"/>
                <w:szCs w:val="20"/>
              </w:rPr>
              <w:t>Interest expense</w:t>
            </w:r>
          </w:p>
        </w:tc>
        <w:tc>
          <w:tcPr>
            <w:tcW w:w="50" w:type="pct"/>
            <w:shd w:val="clear" w:color="auto" w:fill="CCEEFF"/>
            <w:vAlign w:val="bottom"/>
            <w:hideMark/>
          </w:tcPr>
          <w:p w14:paraId="6290CE4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8465248"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6CCF8D50" w14:textId="77777777" w:rsidR="00000000" w:rsidRDefault="00322B34">
            <w:pPr>
              <w:jc w:val="right"/>
              <w:rPr>
                <w:rFonts w:eastAsia="Times New Roman"/>
                <w:sz w:val="20"/>
                <w:szCs w:val="20"/>
              </w:rPr>
            </w:pPr>
            <w:r>
              <w:rPr>
                <w:rFonts w:eastAsia="Times New Roman"/>
                <w:sz w:val="20"/>
                <w:szCs w:val="20"/>
              </w:rPr>
              <w:t>(48,015</w:t>
            </w:r>
          </w:p>
        </w:tc>
        <w:tc>
          <w:tcPr>
            <w:tcW w:w="50" w:type="pct"/>
            <w:shd w:val="clear" w:color="auto" w:fill="CCEEFF"/>
            <w:tcMar>
              <w:top w:w="0" w:type="dxa"/>
              <w:left w:w="0" w:type="dxa"/>
              <w:bottom w:w="15" w:type="dxa"/>
              <w:right w:w="0" w:type="dxa"/>
            </w:tcMar>
            <w:vAlign w:val="bottom"/>
            <w:hideMark/>
          </w:tcPr>
          <w:p w14:paraId="716D2B3F"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4211364"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3F18E6A"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64F13CFE" w14:textId="77777777" w:rsidR="00000000" w:rsidRDefault="00322B34">
            <w:pPr>
              <w:jc w:val="right"/>
              <w:rPr>
                <w:rFonts w:eastAsia="Times New Roman"/>
                <w:sz w:val="20"/>
                <w:szCs w:val="20"/>
              </w:rPr>
            </w:pPr>
            <w:r>
              <w:rPr>
                <w:rFonts w:eastAsia="Times New Roman"/>
                <w:sz w:val="20"/>
                <w:szCs w:val="20"/>
              </w:rPr>
              <w:t>(44,097</w:t>
            </w:r>
          </w:p>
        </w:tc>
        <w:tc>
          <w:tcPr>
            <w:tcW w:w="50" w:type="pct"/>
            <w:shd w:val="clear" w:color="auto" w:fill="CCEEFF"/>
            <w:tcMar>
              <w:top w:w="0" w:type="dxa"/>
              <w:left w:w="0" w:type="dxa"/>
              <w:bottom w:w="15" w:type="dxa"/>
              <w:right w:w="0" w:type="dxa"/>
            </w:tcMar>
            <w:vAlign w:val="bottom"/>
            <w:hideMark/>
          </w:tcPr>
          <w:p w14:paraId="15BDB6DD"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2A1D06EA"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69F158D"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00A9433" w14:textId="77777777" w:rsidR="00000000" w:rsidRDefault="00322B34">
            <w:pPr>
              <w:jc w:val="right"/>
              <w:rPr>
                <w:rFonts w:eastAsia="Times New Roman"/>
                <w:sz w:val="20"/>
                <w:szCs w:val="20"/>
              </w:rPr>
            </w:pPr>
            <w:r>
              <w:rPr>
                <w:rFonts w:eastAsia="Times New Roman"/>
                <w:sz w:val="20"/>
                <w:szCs w:val="20"/>
              </w:rPr>
              <w:t>(94,075</w:t>
            </w:r>
          </w:p>
        </w:tc>
        <w:tc>
          <w:tcPr>
            <w:tcW w:w="50" w:type="pct"/>
            <w:shd w:val="clear" w:color="auto" w:fill="CCEEFF"/>
            <w:tcMar>
              <w:top w:w="0" w:type="dxa"/>
              <w:left w:w="0" w:type="dxa"/>
              <w:bottom w:w="15" w:type="dxa"/>
              <w:right w:w="0" w:type="dxa"/>
            </w:tcMar>
            <w:vAlign w:val="bottom"/>
            <w:hideMark/>
          </w:tcPr>
          <w:p w14:paraId="00E41111"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486F76EB"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731E29F"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FCFDD7B" w14:textId="77777777" w:rsidR="00000000" w:rsidRDefault="00322B34">
            <w:pPr>
              <w:jc w:val="right"/>
              <w:rPr>
                <w:rFonts w:eastAsia="Times New Roman"/>
                <w:sz w:val="20"/>
                <w:szCs w:val="20"/>
              </w:rPr>
            </w:pPr>
            <w:r>
              <w:rPr>
                <w:rFonts w:eastAsia="Times New Roman"/>
                <w:sz w:val="20"/>
                <w:szCs w:val="20"/>
              </w:rPr>
              <w:t>(88,492</w:t>
            </w:r>
          </w:p>
        </w:tc>
        <w:tc>
          <w:tcPr>
            <w:tcW w:w="50" w:type="pct"/>
            <w:shd w:val="clear" w:color="auto" w:fill="CCEEFF"/>
            <w:tcMar>
              <w:top w:w="0" w:type="dxa"/>
              <w:left w:w="0" w:type="dxa"/>
              <w:bottom w:w="15" w:type="dxa"/>
              <w:right w:w="0" w:type="dxa"/>
            </w:tcMar>
            <w:vAlign w:val="bottom"/>
            <w:hideMark/>
          </w:tcPr>
          <w:p w14:paraId="74708AED" w14:textId="77777777" w:rsidR="00000000" w:rsidRDefault="00322B34">
            <w:pPr>
              <w:rPr>
                <w:rFonts w:eastAsia="Times New Roman"/>
                <w:sz w:val="20"/>
                <w:szCs w:val="20"/>
              </w:rPr>
            </w:pPr>
            <w:r>
              <w:rPr>
                <w:rFonts w:eastAsia="Times New Roman"/>
                <w:sz w:val="20"/>
                <w:szCs w:val="20"/>
              </w:rPr>
              <w:t>)</w:t>
            </w:r>
          </w:p>
        </w:tc>
      </w:tr>
      <w:tr w:rsidR="00000000" w14:paraId="7A6B9E8A" w14:textId="77777777">
        <w:trPr>
          <w:divId w:val="3636607"/>
          <w:tblCellSpacing w:w="0" w:type="dxa"/>
        </w:trPr>
        <w:tc>
          <w:tcPr>
            <w:tcW w:w="0" w:type="auto"/>
            <w:shd w:val="clear" w:color="auto" w:fill="FFFFFF"/>
            <w:vAlign w:val="bottom"/>
            <w:hideMark/>
          </w:tcPr>
          <w:p w14:paraId="266C56DC" w14:textId="77777777" w:rsidR="00000000" w:rsidRDefault="00322B34">
            <w:pPr>
              <w:pStyle w:val="a3"/>
              <w:spacing w:before="0" w:beforeAutospacing="0" w:after="0" w:afterAutospacing="0"/>
              <w:ind w:left="180" w:hanging="180"/>
              <w:rPr>
                <w:sz w:val="20"/>
                <w:szCs w:val="20"/>
              </w:rPr>
            </w:pPr>
            <w:r>
              <w:rPr>
                <w:sz w:val="20"/>
                <w:szCs w:val="20"/>
              </w:rPr>
              <w:t>Income before income taxes, net, equity in income of joint ventures, net, and equity in income from other real estate investments, net</w:t>
            </w:r>
          </w:p>
        </w:tc>
        <w:tc>
          <w:tcPr>
            <w:tcW w:w="50" w:type="pct"/>
            <w:shd w:val="clear" w:color="auto" w:fill="FFFFFF"/>
            <w:vAlign w:val="bottom"/>
            <w:hideMark/>
          </w:tcPr>
          <w:p w14:paraId="254CF11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CAD26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6F6B6B2" w14:textId="77777777" w:rsidR="00000000" w:rsidRDefault="00322B34">
            <w:pPr>
              <w:jc w:val="right"/>
              <w:rPr>
                <w:rFonts w:eastAsia="Times New Roman"/>
                <w:sz w:val="20"/>
                <w:szCs w:val="20"/>
              </w:rPr>
            </w:pPr>
            <w:r>
              <w:rPr>
                <w:rFonts w:eastAsia="Times New Roman"/>
                <w:sz w:val="20"/>
                <w:szCs w:val="20"/>
              </w:rPr>
              <w:t>733,229</w:t>
            </w:r>
          </w:p>
        </w:tc>
        <w:tc>
          <w:tcPr>
            <w:tcW w:w="50" w:type="pct"/>
            <w:shd w:val="clear" w:color="auto" w:fill="FFFFFF"/>
            <w:vAlign w:val="bottom"/>
            <w:hideMark/>
          </w:tcPr>
          <w:p w14:paraId="21CBBF7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7D8BF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6FDBCD"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D50031D" w14:textId="77777777" w:rsidR="00000000" w:rsidRDefault="00322B34">
            <w:pPr>
              <w:jc w:val="right"/>
              <w:rPr>
                <w:rFonts w:eastAsia="Times New Roman"/>
                <w:sz w:val="20"/>
                <w:szCs w:val="20"/>
              </w:rPr>
            </w:pPr>
            <w:r>
              <w:rPr>
                <w:rFonts w:eastAsia="Times New Roman"/>
                <w:sz w:val="20"/>
                <w:szCs w:val="20"/>
              </w:rPr>
              <w:t>65,241</w:t>
            </w:r>
          </w:p>
        </w:tc>
        <w:tc>
          <w:tcPr>
            <w:tcW w:w="50" w:type="pct"/>
            <w:shd w:val="clear" w:color="auto" w:fill="FFFFFF"/>
            <w:vAlign w:val="bottom"/>
            <w:hideMark/>
          </w:tcPr>
          <w:p w14:paraId="61945FD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2E12C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922073"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EF3A74D" w14:textId="77777777" w:rsidR="00000000" w:rsidRDefault="00322B34">
            <w:pPr>
              <w:jc w:val="right"/>
              <w:rPr>
                <w:rFonts w:eastAsia="Times New Roman"/>
                <w:sz w:val="20"/>
                <w:szCs w:val="20"/>
              </w:rPr>
            </w:pPr>
            <w:r>
              <w:rPr>
                <w:rFonts w:eastAsia="Times New Roman"/>
                <w:sz w:val="20"/>
                <w:szCs w:val="20"/>
              </w:rPr>
              <w:t>799,055</w:t>
            </w:r>
          </w:p>
        </w:tc>
        <w:tc>
          <w:tcPr>
            <w:tcW w:w="50" w:type="pct"/>
            <w:shd w:val="clear" w:color="auto" w:fill="FFFFFF"/>
            <w:vAlign w:val="bottom"/>
            <w:hideMark/>
          </w:tcPr>
          <w:p w14:paraId="146638C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9CCAE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2040D5"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263E11B" w14:textId="77777777" w:rsidR="00000000" w:rsidRDefault="00322B34">
            <w:pPr>
              <w:jc w:val="right"/>
              <w:rPr>
                <w:rFonts w:eastAsia="Times New Roman"/>
                <w:sz w:val="20"/>
                <w:szCs w:val="20"/>
              </w:rPr>
            </w:pPr>
            <w:r>
              <w:rPr>
                <w:rFonts w:eastAsia="Times New Roman"/>
                <w:sz w:val="20"/>
                <w:szCs w:val="20"/>
              </w:rPr>
              <w:t>157,571</w:t>
            </w:r>
          </w:p>
        </w:tc>
        <w:tc>
          <w:tcPr>
            <w:tcW w:w="50" w:type="pct"/>
            <w:shd w:val="clear" w:color="auto" w:fill="FFFFFF"/>
            <w:vAlign w:val="bottom"/>
            <w:hideMark/>
          </w:tcPr>
          <w:p w14:paraId="1CBF855A" w14:textId="77777777" w:rsidR="00000000" w:rsidRDefault="00322B34">
            <w:pPr>
              <w:rPr>
                <w:rFonts w:eastAsia="Times New Roman"/>
                <w:sz w:val="20"/>
                <w:szCs w:val="20"/>
              </w:rPr>
            </w:pPr>
            <w:r>
              <w:rPr>
                <w:rFonts w:eastAsia="Times New Roman"/>
                <w:sz w:val="20"/>
                <w:szCs w:val="20"/>
              </w:rPr>
              <w:t> </w:t>
            </w:r>
          </w:p>
        </w:tc>
      </w:tr>
      <w:tr w:rsidR="00000000" w14:paraId="0DA6EA97" w14:textId="77777777">
        <w:trPr>
          <w:divId w:val="3636607"/>
          <w:tblCellSpacing w:w="0" w:type="dxa"/>
        </w:trPr>
        <w:tc>
          <w:tcPr>
            <w:tcW w:w="0" w:type="auto"/>
            <w:shd w:val="clear" w:color="auto" w:fill="CCEEFF"/>
            <w:vAlign w:val="bottom"/>
            <w:hideMark/>
          </w:tcPr>
          <w:p w14:paraId="0DAE13F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4099B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55B0A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68140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D5EE7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2A50D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6BA9B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598DA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9C378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0A9E1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60372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30C45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E95F1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F2C1E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04FFF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DBE91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88F835" w14:textId="77777777" w:rsidR="00000000" w:rsidRDefault="00322B34">
            <w:pPr>
              <w:rPr>
                <w:rFonts w:eastAsia="Times New Roman"/>
                <w:sz w:val="20"/>
                <w:szCs w:val="20"/>
              </w:rPr>
            </w:pPr>
            <w:r>
              <w:rPr>
                <w:rFonts w:eastAsia="Times New Roman"/>
                <w:sz w:val="20"/>
                <w:szCs w:val="20"/>
              </w:rPr>
              <w:t> </w:t>
            </w:r>
          </w:p>
        </w:tc>
      </w:tr>
      <w:tr w:rsidR="00000000" w14:paraId="6ECF651B" w14:textId="77777777">
        <w:trPr>
          <w:divId w:val="3636607"/>
          <w:tblCellSpacing w:w="0" w:type="dxa"/>
        </w:trPr>
        <w:tc>
          <w:tcPr>
            <w:tcW w:w="0" w:type="auto"/>
            <w:shd w:val="clear" w:color="auto" w:fill="FFFFFF"/>
            <w:vAlign w:val="bottom"/>
            <w:hideMark/>
          </w:tcPr>
          <w:p w14:paraId="57825475" w14:textId="77777777" w:rsidR="00000000" w:rsidRDefault="00322B34">
            <w:pPr>
              <w:pStyle w:val="a3"/>
              <w:spacing w:before="0" w:beforeAutospacing="0" w:after="0" w:afterAutospacing="0"/>
              <w:ind w:left="540"/>
              <w:rPr>
                <w:sz w:val="20"/>
                <w:szCs w:val="20"/>
              </w:rPr>
            </w:pPr>
            <w:r>
              <w:rPr>
                <w:sz w:val="20"/>
                <w:szCs w:val="20"/>
              </w:rPr>
              <w:t>(Provision)/benefit for income taxes, net</w:t>
            </w:r>
          </w:p>
        </w:tc>
        <w:tc>
          <w:tcPr>
            <w:tcW w:w="50" w:type="pct"/>
            <w:shd w:val="clear" w:color="auto" w:fill="FFFFFF"/>
            <w:vAlign w:val="bottom"/>
            <w:hideMark/>
          </w:tcPr>
          <w:p w14:paraId="3DEEEFC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71BF5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0C67E31" w14:textId="77777777" w:rsidR="00000000" w:rsidRDefault="00322B34">
            <w:pPr>
              <w:jc w:val="right"/>
              <w:rPr>
                <w:rFonts w:eastAsia="Times New Roman"/>
                <w:sz w:val="20"/>
                <w:szCs w:val="20"/>
              </w:rPr>
            </w:pPr>
            <w:r>
              <w:rPr>
                <w:rFonts w:eastAsia="Times New Roman"/>
                <w:sz w:val="20"/>
                <w:szCs w:val="20"/>
              </w:rPr>
              <w:t>(51</w:t>
            </w:r>
          </w:p>
        </w:tc>
        <w:tc>
          <w:tcPr>
            <w:tcW w:w="50" w:type="pct"/>
            <w:shd w:val="clear" w:color="auto" w:fill="FFFFFF"/>
            <w:vAlign w:val="bottom"/>
            <w:hideMark/>
          </w:tcPr>
          <w:p w14:paraId="49E3F4DE"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4935C50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D4C2B0"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33D9A4D" w14:textId="77777777" w:rsidR="00000000" w:rsidRDefault="00322B34">
            <w:pPr>
              <w:jc w:val="right"/>
              <w:rPr>
                <w:rFonts w:eastAsia="Times New Roman"/>
                <w:sz w:val="20"/>
                <w:szCs w:val="20"/>
              </w:rPr>
            </w:pPr>
            <w:r>
              <w:rPr>
                <w:rFonts w:eastAsia="Times New Roman"/>
                <w:sz w:val="20"/>
                <w:szCs w:val="20"/>
              </w:rPr>
              <w:t>344</w:t>
            </w:r>
          </w:p>
        </w:tc>
        <w:tc>
          <w:tcPr>
            <w:tcW w:w="50" w:type="pct"/>
            <w:shd w:val="clear" w:color="auto" w:fill="FFFFFF"/>
            <w:vAlign w:val="bottom"/>
            <w:hideMark/>
          </w:tcPr>
          <w:p w14:paraId="5D5556E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F4FC4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7FB18C"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FCB1BB3" w14:textId="77777777" w:rsidR="00000000" w:rsidRDefault="00322B34">
            <w:pPr>
              <w:jc w:val="right"/>
              <w:rPr>
                <w:rFonts w:eastAsia="Times New Roman"/>
                <w:sz w:val="20"/>
                <w:szCs w:val="20"/>
              </w:rPr>
            </w:pPr>
            <w:r>
              <w:rPr>
                <w:rFonts w:eastAsia="Times New Roman"/>
                <w:sz w:val="20"/>
                <w:szCs w:val="20"/>
              </w:rPr>
              <w:t>(94</w:t>
            </w:r>
          </w:p>
        </w:tc>
        <w:tc>
          <w:tcPr>
            <w:tcW w:w="50" w:type="pct"/>
            <w:shd w:val="clear" w:color="auto" w:fill="FFFFFF"/>
            <w:vAlign w:val="bottom"/>
            <w:hideMark/>
          </w:tcPr>
          <w:p w14:paraId="2DF2AC0C"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51BF125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2E6B9E"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1E35D18" w14:textId="77777777" w:rsidR="00000000" w:rsidRDefault="00322B34">
            <w:pPr>
              <w:jc w:val="right"/>
              <w:rPr>
                <w:rFonts w:eastAsia="Times New Roman"/>
                <w:sz w:val="20"/>
                <w:szCs w:val="20"/>
              </w:rPr>
            </w:pPr>
            <w:r>
              <w:rPr>
                <w:rFonts w:eastAsia="Times New Roman"/>
                <w:sz w:val="20"/>
                <w:szCs w:val="20"/>
              </w:rPr>
              <w:t>(286</w:t>
            </w:r>
          </w:p>
        </w:tc>
        <w:tc>
          <w:tcPr>
            <w:tcW w:w="50" w:type="pct"/>
            <w:shd w:val="clear" w:color="auto" w:fill="FFFFFF"/>
            <w:vAlign w:val="bottom"/>
            <w:hideMark/>
          </w:tcPr>
          <w:p w14:paraId="1A77539D" w14:textId="77777777" w:rsidR="00000000" w:rsidRDefault="00322B34">
            <w:pPr>
              <w:rPr>
                <w:rFonts w:eastAsia="Times New Roman"/>
                <w:sz w:val="20"/>
                <w:szCs w:val="20"/>
              </w:rPr>
            </w:pPr>
            <w:r>
              <w:rPr>
                <w:rFonts w:eastAsia="Times New Roman"/>
                <w:sz w:val="20"/>
                <w:szCs w:val="20"/>
              </w:rPr>
              <w:t>)</w:t>
            </w:r>
          </w:p>
        </w:tc>
      </w:tr>
      <w:tr w:rsidR="00000000" w14:paraId="7E8BEF71" w14:textId="77777777">
        <w:trPr>
          <w:divId w:val="3636607"/>
          <w:tblCellSpacing w:w="0" w:type="dxa"/>
        </w:trPr>
        <w:tc>
          <w:tcPr>
            <w:tcW w:w="0" w:type="auto"/>
            <w:shd w:val="clear" w:color="auto" w:fill="CCEEFF"/>
            <w:vAlign w:val="bottom"/>
            <w:hideMark/>
          </w:tcPr>
          <w:p w14:paraId="2566AA0E" w14:textId="77777777" w:rsidR="00000000" w:rsidRDefault="00322B34">
            <w:pPr>
              <w:pStyle w:val="a3"/>
              <w:spacing w:before="0" w:beforeAutospacing="0" w:after="0" w:afterAutospacing="0"/>
              <w:ind w:left="540"/>
              <w:rPr>
                <w:sz w:val="20"/>
                <w:szCs w:val="20"/>
              </w:rPr>
            </w:pPr>
            <w:r>
              <w:rPr>
                <w:sz w:val="20"/>
                <w:szCs w:val="20"/>
              </w:rPr>
              <w:t>Equity in income of joint ventures, net</w:t>
            </w:r>
          </w:p>
        </w:tc>
        <w:tc>
          <w:tcPr>
            <w:tcW w:w="50" w:type="pct"/>
            <w:shd w:val="clear" w:color="auto" w:fill="CCEEFF"/>
            <w:vAlign w:val="bottom"/>
            <w:hideMark/>
          </w:tcPr>
          <w:p w14:paraId="6E96AEA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B644A3"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C73D54A" w14:textId="77777777" w:rsidR="00000000" w:rsidRDefault="00322B34">
            <w:pPr>
              <w:jc w:val="right"/>
              <w:rPr>
                <w:rFonts w:eastAsia="Times New Roman"/>
                <w:sz w:val="20"/>
                <w:szCs w:val="20"/>
              </w:rPr>
            </w:pPr>
            <w:r>
              <w:rPr>
                <w:rFonts w:eastAsia="Times New Roman"/>
                <w:sz w:val="20"/>
                <w:szCs w:val="20"/>
              </w:rPr>
              <w:t>10,158</w:t>
            </w:r>
          </w:p>
        </w:tc>
        <w:tc>
          <w:tcPr>
            <w:tcW w:w="50" w:type="pct"/>
            <w:shd w:val="clear" w:color="auto" w:fill="CCEEFF"/>
            <w:vAlign w:val="bottom"/>
            <w:hideMark/>
          </w:tcPr>
          <w:p w14:paraId="62CA5AF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0F87F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E02CAE"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11EE527" w14:textId="77777777" w:rsidR="00000000" w:rsidRDefault="00322B34">
            <w:pPr>
              <w:jc w:val="right"/>
              <w:rPr>
                <w:rFonts w:eastAsia="Times New Roman"/>
                <w:sz w:val="20"/>
                <w:szCs w:val="20"/>
              </w:rPr>
            </w:pPr>
            <w:r>
              <w:rPr>
                <w:rFonts w:eastAsia="Times New Roman"/>
                <w:sz w:val="20"/>
                <w:szCs w:val="20"/>
              </w:rPr>
              <w:t>22,533</w:t>
            </w:r>
          </w:p>
        </w:tc>
        <w:tc>
          <w:tcPr>
            <w:tcW w:w="50" w:type="pct"/>
            <w:shd w:val="clear" w:color="auto" w:fill="CCEEFF"/>
            <w:vAlign w:val="bottom"/>
            <w:hideMark/>
          </w:tcPr>
          <w:p w14:paraId="4949F01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8D9EE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16660D"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E55E1E7" w14:textId="77777777" w:rsidR="00000000" w:rsidRDefault="00322B34">
            <w:pPr>
              <w:jc w:val="right"/>
              <w:rPr>
                <w:rFonts w:eastAsia="Times New Roman"/>
                <w:sz w:val="20"/>
                <w:szCs w:val="20"/>
              </w:rPr>
            </w:pPr>
            <w:r>
              <w:rPr>
                <w:rFonts w:eastAsia="Times New Roman"/>
                <w:sz w:val="20"/>
                <w:szCs w:val="20"/>
              </w:rPr>
              <w:t>23,806</w:t>
            </w:r>
          </w:p>
        </w:tc>
        <w:tc>
          <w:tcPr>
            <w:tcW w:w="50" w:type="pct"/>
            <w:shd w:val="clear" w:color="auto" w:fill="CCEEFF"/>
            <w:vAlign w:val="bottom"/>
            <w:hideMark/>
          </w:tcPr>
          <w:p w14:paraId="4FC84B4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FE013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81B44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2EE206C" w14:textId="77777777" w:rsidR="00000000" w:rsidRDefault="00322B34">
            <w:pPr>
              <w:jc w:val="right"/>
              <w:rPr>
                <w:rFonts w:eastAsia="Times New Roman"/>
                <w:sz w:val="20"/>
                <w:szCs w:val="20"/>
              </w:rPr>
            </w:pPr>
            <w:r>
              <w:rPr>
                <w:rFonts w:eastAsia="Times New Roman"/>
                <w:sz w:val="20"/>
                <w:szCs w:val="20"/>
              </w:rPr>
              <w:t>41,287</w:t>
            </w:r>
          </w:p>
        </w:tc>
        <w:tc>
          <w:tcPr>
            <w:tcW w:w="50" w:type="pct"/>
            <w:shd w:val="clear" w:color="auto" w:fill="CCEEFF"/>
            <w:vAlign w:val="bottom"/>
            <w:hideMark/>
          </w:tcPr>
          <w:p w14:paraId="445EA926" w14:textId="77777777" w:rsidR="00000000" w:rsidRDefault="00322B34">
            <w:pPr>
              <w:rPr>
                <w:rFonts w:eastAsia="Times New Roman"/>
                <w:sz w:val="20"/>
                <w:szCs w:val="20"/>
              </w:rPr>
            </w:pPr>
            <w:r>
              <w:rPr>
                <w:rFonts w:eastAsia="Times New Roman"/>
                <w:sz w:val="20"/>
                <w:szCs w:val="20"/>
              </w:rPr>
              <w:t> </w:t>
            </w:r>
          </w:p>
        </w:tc>
      </w:tr>
      <w:tr w:rsidR="00000000" w14:paraId="41809285" w14:textId="77777777">
        <w:trPr>
          <w:divId w:val="3636607"/>
          <w:tblCellSpacing w:w="0" w:type="dxa"/>
        </w:trPr>
        <w:tc>
          <w:tcPr>
            <w:tcW w:w="0" w:type="auto"/>
            <w:shd w:val="clear" w:color="auto" w:fill="FFFFFF"/>
            <w:vAlign w:val="bottom"/>
            <w:hideMark/>
          </w:tcPr>
          <w:p w14:paraId="596DBDAE" w14:textId="77777777" w:rsidR="00000000" w:rsidRDefault="00322B34">
            <w:pPr>
              <w:pStyle w:val="a3"/>
              <w:spacing w:before="0" w:beforeAutospacing="0" w:after="0" w:afterAutospacing="0"/>
              <w:ind w:left="540"/>
              <w:rPr>
                <w:sz w:val="20"/>
                <w:szCs w:val="20"/>
              </w:rPr>
            </w:pPr>
            <w:r>
              <w:rPr>
                <w:sz w:val="20"/>
                <w:szCs w:val="20"/>
              </w:rPr>
              <w:t>Equity in income of other real estate investments, net</w:t>
            </w:r>
          </w:p>
        </w:tc>
        <w:tc>
          <w:tcPr>
            <w:tcW w:w="50" w:type="pct"/>
            <w:shd w:val="clear" w:color="auto" w:fill="FFFFFF"/>
            <w:vAlign w:val="bottom"/>
            <w:hideMark/>
          </w:tcPr>
          <w:p w14:paraId="6212B15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299353"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0058649" w14:textId="77777777" w:rsidR="00000000" w:rsidRDefault="00322B34">
            <w:pPr>
              <w:jc w:val="right"/>
              <w:rPr>
                <w:rFonts w:eastAsia="Times New Roman"/>
                <w:sz w:val="20"/>
                <w:szCs w:val="20"/>
              </w:rPr>
            </w:pPr>
            <w:r>
              <w:rPr>
                <w:rFonts w:eastAsia="Times New Roman"/>
                <w:sz w:val="20"/>
                <w:szCs w:val="20"/>
              </w:rPr>
              <w:t>4,782</w:t>
            </w:r>
          </w:p>
        </w:tc>
        <w:tc>
          <w:tcPr>
            <w:tcW w:w="50" w:type="pct"/>
            <w:shd w:val="clear" w:color="auto" w:fill="FFFFFF"/>
            <w:vAlign w:val="bottom"/>
            <w:hideMark/>
          </w:tcPr>
          <w:p w14:paraId="3EFD5BA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B25BA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72054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A41742B" w14:textId="77777777" w:rsidR="00000000" w:rsidRDefault="00322B34">
            <w:pPr>
              <w:jc w:val="right"/>
              <w:rPr>
                <w:rFonts w:eastAsia="Times New Roman"/>
                <w:sz w:val="20"/>
                <w:szCs w:val="20"/>
              </w:rPr>
            </w:pPr>
            <w:r>
              <w:rPr>
                <w:rFonts w:eastAsia="Times New Roman"/>
                <w:sz w:val="20"/>
                <w:szCs w:val="20"/>
              </w:rPr>
              <w:t>13,269</w:t>
            </w:r>
          </w:p>
        </w:tc>
        <w:tc>
          <w:tcPr>
            <w:tcW w:w="50" w:type="pct"/>
            <w:shd w:val="clear" w:color="auto" w:fill="FFFFFF"/>
            <w:vAlign w:val="bottom"/>
            <w:hideMark/>
          </w:tcPr>
          <w:p w14:paraId="6C128DB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D41F4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C14A80"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453EA90" w14:textId="77777777" w:rsidR="00000000" w:rsidRDefault="00322B34">
            <w:pPr>
              <w:jc w:val="right"/>
              <w:rPr>
                <w:rFonts w:eastAsia="Times New Roman"/>
                <w:sz w:val="20"/>
                <w:szCs w:val="20"/>
              </w:rPr>
            </w:pPr>
            <w:r>
              <w:rPr>
                <w:rFonts w:eastAsia="Times New Roman"/>
                <w:sz w:val="20"/>
                <w:szCs w:val="20"/>
              </w:rPr>
              <w:t>15,740</w:t>
            </w:r>
          </w:p>
        </w:tc>
        <w:tc>
          <w:tcPr>
            <w:tcW w:w="50" w:type="pct"/>
            <w:shd w:val="clear" w:color="auto" w:fill="FFFFFF"/>
            <w:vAlign w:val="bottom"/>
            <w:hideMark/>
          </w:tcPr>
          <w:p w14:paraId="525A7CE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7603E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8197C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CA890B8" w14:textId="77777777" w:rsidR="00000000" w:rsidRDefault="00322B34">
            <w:pPr>
              <w:jc w:val="right"/>
              <w:rPr>
                <w:rFonts w:eastAsia="Times New Roman"/>
                <w:sz w:val="20"/>
                <w:szCs w:val="20"/>
              </w:rPr>
            </w:pPr>
            <w:r>
              <w:rPr>
                <w:rFonts w:eastAsia="Times New Roman"/>
                <w:sz w:val="20"/>
                <w:szCs w:val="20"/>
              </w:rPr>
              <w:t>19,493</w:t>
            </w:r>
          </w:p>
        </w:tc>
        <w:tc>
          <w:tcPr>
            <w:tcW w:w="50" w:type="pct"/>
            <w:shd w:val="clear" w:color="auto" w:fill="FFFFFF"/>
            <w:vAlign w:val="bottom"/>
            <w:hideMark/>
          </w:tcPr>
          <w:p w14:paraId="69C4E48B" w14:textId="77777777" w:rsidR="00000000" w:rsidRDefault="00322B34">
            <w:pPr>
              <w:rPr>
                <w:rFonts w:eastAsia="Times New Roman"/>
                <w:sz w:val="20"/>
                <w:szCs w:val="20"/>
              </w:rPr>
            </w:pPr>
            <w:r>
              <w:rPr>
                <w:rFonts w:eastAsia="Times New Roman"/>
                <w:sz w:val="20"/>
                <w:szCs w:val="20"/>
              </w:rPr>
              <w:t> </w:t>
            </w:r>
          </w:p>
        </w:tc>
      </w:tr>
      <w:tr w:rsidR="00000000" w14:paraId="57CA6B2E" w14:textId="77777777">
        <w:trPr>
          <w:divId w:val="3636607"/>
          <w:tblCellSpacing w:w="0" w:type="dxa"/>
        </w:trPr>
        <w:tc>
          <w:tcPr>
            <w:tcW w:w="0" w:type="auto"/>
            <w:shd w:val="clear" w:color="auto" w:fill="CCEEFF"/>
            <w:vAlign w:val="bottom"/>
            <w:hideMark/>
          </w:tcPr>
          <w:p w14:paraId="7C81D2F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1B87B8C8"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40C8A327"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6C27E87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520EA44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16C2144A"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2E910718"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0CC9DDA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37489FB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7823FFBA"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18167104"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2FFA766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369D1FF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44E10D31"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08C3FA4E"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61662C3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27BB4ECA" w14:textId="77777777" w:rsidR="00000000" w:rsidRDefault="00322B34">
            <w:pPr>
              <w:rPr>
                <w:rFonts w:eastAsia="Times New Roman"/>
                <w:sz w:val="20"/>
                <w:szCs w:val="20"/>
              </w:rPr>
            </w:pPr>
            <w:r>
              <w:rPr>
                <w:rFonts w:eastAsia="Times New Roman"/>
                <w:sz w:val="20"/>
                <w:szCs w:val="20"/>
              </w:rPr>
              <w:t> </w:t>
            </w:r>
          </w:p>
        </w:tc>
      </w:tr>
      <w:tr w:rsidR="00000000" w14:paraId="78DB2B99" w14:textId="77777777">
        <w:trPr>
          <w:divId w:val="3636607"/>
          <w:tblCellSpacing w:w="0" w:type="dxa"/>
        </w:trPr>
        <w:tc>
          <w:tcPr>
            <w:tcW w:w="0" w:type="auto"/>
            <w:shd w:val="clear" w:color="auto" w:fill="FFFFFF"/>
            <w:vAlign w:val="bottom"/>
            <w:hideMark/>
          </w:tcPr>
          <w:p w14:paraId="0B7EAEB6" w14:textId="77777777" w:rsidR="00000000" w:rsidRDefault="00322B34">
            <w:pPr>
              <w:pStyle w:val="a3"/>
              <w:spacing w:before="0" w:beforeAutospacing="0" w:after="0" w:afterAutospacing="0"/>
              <w:ind w:left="720"/>
              <w:rPr>
                <w:sz w:val="20"/>
                <w:szCs w:val="20"/>
              </w:rPr>
            </w:pPr>
            <w:r>
              <w:rPr>
                <w:sz w:val="20"/>
                <w:szCs w:val="20"/>
              </w:rPr>
              <w:t>Net income</w:t>
            </w:r>
          </w:p>
        </w:tc>
        <w:tc>
          <w:tcPr>
            <w:tcW w:w="50" w:type="pct"/>
            <w:tcBorders>
              <w:bottom w:val="nil"/>
            </w:tcBorders>
            <w:shd w:val="clear" w:color="auto" w:fill="FFFFFF"/>
            <w:vAlign w:val="bottom"/>
            <w:hideMark/>
          </w:tcPr>
          <w:p w14:paraId="16013E48"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48BF128B" w14:textId="77777777" w:rsidR="00000000" w:rsidRDefault="00322B34">
            <w:pPr>
              <w:rPr>
                <w:rFonts w:eastAsia="Times New Roman"/>
                <w:sz w:val="20"/>
                <w:szCs w:val="20"/>
              </w:rPr>
            </w:pPr>
            <w:r>
              <w:rPr>
                <w:rFonts w:eastAsia="Times New Roman"/>
                <w:sz w:val="20"/>
                <w:szCs w:val="20"/>
              </w:rPr>
              <w:t> </w:t>
            </w:r>
          </w:p>
        </w:tc>
        <w:tc>
          <w:tcPr>
            <w:tcW w:w="450" w:type="pct"/>
            <w:tcBorders>
              <w:bottom w:val="nil"/>
            </w:tcBorders>
            <w:shd w:val="clear" w:color="auto" w:fill="FFFFFF"/>
            <w:vAlign w:val="bottom"/>
            <w:hideMark/>
          </w:tcPr>
          <w:p w14:paraId="653735C9" w14:textId="77777777" w:rsidR="00000000" w:rsidRDefault="00322B34">
            <w:pPr>
              <w:jc w:val="right"/>
              <w:rPr>
                <w:rFonts w:eastAsia="Times New Roman"/>
                <w:sz w:val="20"/>
                <w:szCs w:val="20"/>
              </w:rPr>
            </w:pPr>
            <w:r>
              <w:rPr>
                <w:rFonts w:eastAsia="Times New Roman"/>
                <w:sz w:val="20"/>
                <w:szCs w:val="20"/>
              </w:rPr>
              <w:t>748,118</w:t>
            </w:r>
          </w:p>
        </w:tc>
        <w:tc>
          <w:tcPr>
            <w:tcW w:w="50" w:type="pct"/>
            <w:tcBorders>
              <w:bottom w:val="nil"/>
            </w:tcBorders>
            <w:shd w:val="clear" w:color="auto" w:fill="FFFFFF"/>
            <w:vAlign w:val="bottom"/>
            <w:hideMark/>
          </w:tcPr>
          <w:p w14:paraId="12175150"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2397361E"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7B03DE62" w14:textId="77777777" w:rsidR="00000000" w:rsidRDefault="00322B34">
            <w:pPr>
              <w:rPr>
                <w:rFonts w:eastAsia="Times New Roman"/>
                <w:sz w:val="20"/>
                <w:szCs w:val="20"/>
              </w:rPr>
            </w:pPr>
            <w:r>
              <w:rPr>
                <w:rFonts w:eastAsia="Times New Roman"/>
                <w:sz w:val="20"/>
                <w:szCs w:val="20"/>
              </w:rPr>
              <w:t> </w:t>
            </w:r>
          </w:p>
        </w:tc>
        <w:tc>
          <w:tcPr>
            <w:tcW w:w="450" w:type="pct"/>
            <w:tcBorders>
              <w:bottom w:val="nil"/>
            </w:tcBorders>
            <w:shd w:val="clear" w:color="auto" w:fill="FFFFFF"/>
            <w:vAlign w:val="bottom"/>
            <w:hideMark/>
          </w:tcPr>
          <w:p w14:paraId="5E774C5D" w14:textId="77777777" w:rsidR="00000000" w:rsidRDefault="00322B34">
            <w:pPr>
              <w:jc w:val="right"/>
              <w:rPr>
                <w:rFonts w:eastAsia="Times New Roman"/>
                <w:sz w:val="20"/>
                <w:szCs w:val="20"/>
              </w:rPr>
            </w:pPr>
            <w:r>
              <w:rPr>
                <w:rFonts w:eastAsia="Times New Roman"/>
                <w:sz w:val="20"/>
                <w:szCs w:val="20"/>
              </w:rPr>
              <w:t>101,387</w:t>
            </w:r>
          </w:p>
        </w:tc>
        <w:tc>
          <w:tcPr>
            <w:tcW w:w="50" w:type="pct"/>
            <w:tcBorders>
              <w:bottom w:val="nil"/>
            </w:tcBorders>
            <w:shd w:val="clear" w:color="auto" w:fill="FFFFFF"/>
            <w:vAlign w:val="bottom"/>
            <w:hideMark/>
          </w:tcPr>
          <w:p w14:paraId="21B961E1"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5FECC343"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190BC8F8" w14:textId="77777777" w:rsidR="00000000" w:rsidRDefault="00322B34">
            <w:pPr>
              <w:rPr>
                <w:rFonts w:eastAsia="Times New Roman"/>
                <w:sz w:val="20"/>
                <w:szCs w:val="20"/>
              </w:rPr>
            </w:pPr>
            <w:r>
              <w:rPr>
                <w:rFonts w:eastAsia="Times New Roman"/>
                <w:sz w:val="20"/>
                <w:szCs w:val="20"/>
              </w:rPr>
              <w:t> </w:t>
            </w:r>
          </w:p>
        </w:tc>
        <w:tc>
          <w:tcPr>
            <w:tcW w:w="450" w:type="pct"/>
            <w:tcBorders>
              <w:bottom w:val="nil"/>
            </w:tcBorders>
            <w:shd w:val="clear" w:color="auto" w:fill="FFFFFF"/>
            <w:vAlign w:val="bottom"/>
            <w:hideMark/>
          </w:tcPr>
          <w:p w14:paraId="74298D95" w14:textId="77777777" w:rsidR="00000000" w:rsidRDefault="00322B34">
            <w:pPr>
              <w:jc w:val="right"/>
              <w:rPr>
                <w:rFonts w:eastAsia="Times New Roman"/>
                <w:sz w:val="20"/>
                <w:szCs w:val="20"/>
              </w:rPr>
            </w:pPr>
            <w:r>
              <w:rPr>
                <w:rFonts w:eastAsia="Times New Roman"/>
                <w:sz w:val="20"/>
                <w:szCs w:val="20"/>
              </w:rPr>
              <w:t>838,507</w:t>
            </w:r>
          </w:p>
        </w:tc>
        <w:tc>
          <w:tcPr>
            <w:tcW w:w="50" w:type="pct"/>
            <w:tcBorders>
              <w:bottom w:val="nil"/>
            </w:tcBorders>
            <w:shd w:val="clear" w:color="auto" w:fill="FFFFFF"/>
            <w:vAlign w:val="bottom"/>
            <w:hideMark/>
          </w:tcPr>
          <w:p w14:paraId="792995DF"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4B6778E2"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5B954D18" w14:textId="77777777" w:rsidR="00000000" w:rsidRDefault="00322B34">
            <w:pPr>
              <w:rPr>
                <w:rFonts w:eastAsia="Times New Roman"/>
                <w:sz w:val="20"/>
                <w:szCs w:val="20"/>
              </w:rPr>
            </w:pPr>
            <w:r>
              <w:rPr>
                <w:rFonts w:eastAsia="Times New Roman"/>
                <w:sz w:val="20"/>
                <w:szCs w:val="20"/>
              </w:rPr>
              <w:t> </w:t>
            </w:r>
          </w:p>
        </w:tc>
        <w:tc>
          <w:tcPr>
            <w:tcW w:w="450" w:type="pct"/>
            <w:tcBorders>
              <w:bottom w:val="nil"/>
            </w:tcBorders>
            <w:shd w:val="clear" w:color="auto" w:fill="FFFFFF"/>
            <w:vAlign w:val="bottom"/>
            <w:hideMark/>
          </w:tcPr>
          <w:p w14:paraId="09BB6724" w14:textId="77777777" w:rsidR="00000000" w:rsidRDefault="00322B34">
            <w:pPr>
              <w:jc w:val="right"/>
              <w:rPr>
                <w:rFonts w:eastAsia="Times New Roman"/>
                <w:sz w:val="20"/>
                <w:szCs w:val="20"/>
              </w:rPr>
            </w:pPr>
            <w:r>
              <w:rPr>
                <w:rFonts w:eastAsia="Times New Roman"/>
                <w:sz w:val="20"/>
                <w:szCs w:val="20"/>
              </w:rPr>
              <w:t>218,065</w:t>
            </w:r>
          </w:p>
        </w:tc>
        <w:tc>
          <w:tcPr>
            <w:tcW w:w="50" w:type="pct"/>
            <w:tcBorders>
              <w:bottom w:val="nil"/>
            </w:tcBorders>
            <w:shd w:val="clear" w:color="auto" w:fill="FFFFFF"/>
            <w:vAlign w:val="bottom"/>
            <w:hideMark/>
          </w:tcPr>
          <w:p w14:paraId="75708640" w14:textId="77777777" w:rsidR="00000000" w:rsidRDefault="00322B34">
            <w:pPr>
              <w:rPr>
                <w:rFonts w:eastAsia="Times New Roman"/>
                <w:sz w:val="20"/>
                <w:szCs w:val="20"/>
              </w:rPr>
            </w:pPr>
            <w:r>
              <w:rPr>
                <w:rFonts w:eastAsia="Times New Roman"/>
                <w:sz w:val="20"/>
                <w:szCs w:val="20"/>
              </w:rPr>
              <w:t> </w:t>
            </w:r>
          </w:p>
        </w:tc>
      </w:tr>
      <w:tr w:rsidR="00000000" w14:paraId="15F21898" w14:textId="77777777">
        <w:trPr>
          <w:divId w:val="3636607"/>
          <w:tblCellSpacing w:w="0" w:type="dxa"/>
        </w:trPr>
        <w:tc>
          <w:tcPr>
            <w:tcW w:w="0" w:type="auto"/>
            <w:shd w:val="clear" w:color="auto" w:fill="CCEEFF"/>
            <w:vAlign w:val="bottom"/>
            <w:hideMark/>
          </w:tcPr>
          <w:p w14:paraId="0B24919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F1C47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0BD49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E67A6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F2459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65787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CB64B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E49BF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4170B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8DBF3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EEB88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29779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DED62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CB0D6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CF1EB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D904B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9735A6" w14:textId="77777777" w:rsidR="00000000" w:rsidRDefault="00322B34">
            <w:pPr>
              <w:rPr>
                <w:rFonts w:eastAsia="Times New Roman"/>
                <w:sz w:val="20"/>
                <w:szCs w:val="20"/>
              </w:rPr>
            </w:pPr>
            <w:r>
              <w:rPr>
                <w:rFonts w:eastAsia="Times New Roman"/>
                <w:sz w:val="20"/>
                <w:szCs w:val="20"/>
              </w:rPr>
              <w:t> </w:t>
            </w:r>
          </w:p>
        </w:tc>
      </w:tr>
      <w:tr w:rsidR="00000000" w14:paraId="7EE9E4FE" w14:textId="77777777">
        <w:trPr>
          <w:divId w:val="3636607"/>
          <w:tblCellSpacing w:w="0" w:type="dxa"/>
        </w:trPr>
        <w:tc>
          <w:tcPr>
            <w:tcW w:w="0" w:type="auto"/>
            <w:shd w:val="clear" w:color="auto" w:fill="FFFFFF"/>
            <w:vAlign w:val="bottom"/>
            <w:hideMark/>
          </w:tcPr>
          <w:p w14:paraId="03A6394B" w14:textId="77777777" w:rsidR="00000000" w:rsidRDefault="00322B34">
            <w:pPr>
              <w:pStyle w:val="a3"/>
              <w:spacing w:before="0" w:beforeAutospacing="0" w:after="0" w:afterAutospacing="0"/>
              <w:ind w:left="540"/>
              <w:rPr>
                <w:sz w:val="20"/>
                <w:szCs w:val="20"/>
              </w:rPr>
            </w:pPr>
            <w:r>
              <w:rPr>
                <w:sz w:val="20"/>
                <w:szCs w:val="20"/>
              </w:rPr>
              <w:t>Net income attributable to noncontrolling interests</w:t>
            </w:r>
          </w:p>
        </w:tc>
        <w:tc>
          <w:tcPr>
            <w:tcW w:w="50" w:type="pct"/>
            <w:shd w:val="clear" w:color="auto" w:fill="FFFFFF"/>
            <w:vAlign w:val="bottom"/>
            <w:hideMark/>
          </w:tcPr>
          <w:p w14:paraId="1AF09CF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C22B03"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2F8DAED" w14:textId="77777777" w:rsidR="00000000" w:rsidRDefault="00322B34">
            <w:pPr>
              <w:jc w:val="right"/>
              <w:rPr>
                <w:rFonts w:eastAsia="Times New Roman"/>
                <w:sz w:val="20"/>
                <w:szCs w:val="20"/>
              </w:rPr>
            </w:pPr>
            <w:r>
              <w:rPr>
                <w:rFonts w:eastAsia="Times New Roman"/>
                <w:sz w:val="20"/>
                <w:szCs w:val="20"/>
              </w:rPr>
              <w:t>(225</w:t>
            </w:r>
          </w:p>
        </w:tc>
        <w:tc>
          <w:tcPr>
            <w:tcW w:w="50" w:type="pct"/>
            <w:shd w:val="clear" w:color="auto" w:fill="FFFFFF"/>
            <w:vAlign w:val="bottom"/>
            <w:hideMark/>
          </w:tcPr>
          <w:p w14:paraId="1FF3587E"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55969B9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DAC03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C0D2D8A" w14:textId="77777777" w:rsidR="00000000" w:rsidRDefault="00322B34">
            <w:pPr>
              <w:jc w:val="right"/>
              <w:rPr>
                <w:rFonts w:eastAsia="Times New Roman"/>
                <w:sz w:val="20"/>
                <w:szCs w:val="20"/>
              </w:rPr>
            </w:pPr>
            <w:r>
              <w:rPr>
                <w:rFonts w:eastAsia="Times New Roman"/>
                <w:sz w:val="20"/>
                <w:szCs w:val="20"/>
              </w:rPr>
              <w:t>(360</w:t>
            </w:r>
          </w:p>
        </w:tc>
        <w:tc>
          <w:tcPr>
            <w:tcW w:w="50" w:type="pct"/>
            <w:shd w:val="clear" w:color="auto" w:fill="FFFFFF"/>
            <w:vAlign w:val="bottom"/>
            <w:hideMark/>
          </w:tcPr>
          <w:p w14:paraId="4098D103"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41973DA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25EAA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3A86D46" w14:textId="77777777" w:rsidR="00000000" w:rsidRDefault="00322B34">
            <w:pPr>
              <w:jc w:val="right"/>
              <w:rPr>
                <w:rFonts w:eastAsia="Times New Roman"/>
                <w:sz w:val="20"/>
                <w:szCs w:val="20"/>
              </w:rPr>
            </w:pPr>
            <w:r>
              <w:rPr>
                <w:rFonts w:eastAsia="Times New Roman"/>
                <w:sz w:val="20"/>
                <w:szCs w:val="20"/>
              </w:rPr>
              <w:t>(514</w:t>
            </w:r>
          </w:p>
        </w:tc>
        <w:tc>
          <w:tcPr>
            <w:tcW w:w="50" w:type="pct"/>
            <w:shd w:val="clear" w:color="auto" w:fill="FFFFFF"/>
            <w:vAlign w:val="bottom"/>
            <w:hideMark/>
          </w:tcPr>
          <w:p w14:paraId="4F74F763"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55436C7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A46FA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D5C9836" w14:textId="77777777" w:rsidR="00000000" w:rsidRDefault="00322B34">
            <w:pPr>
              <w:jc w:val="right"/>
              <w:rPr>
                <w:rFonts w:eastAsia="Times New Roman"/>
                <w:sz w:val="20"/>
                <w:szCs w:val="20"/>
              </w:rPr>
            </w:pPr>
            <w:r>
              <w:rPr>
                <w:rFonts w:eastAsia="Times New Roman"/>
                <w:sz w:val="20"/>
                <w:szCs w:val="20"/>
              </w:rPr>
              <w:t>(869</w:t>
            </w:r>
          </w:p>
        </w:tc>
        <w:tc>
          <w:tcPr>
            <w:tcW w:w="50" w:type="pct"/>
            <w:shd w:val="clear" w:color="auto" w:fill="FFFFFF"/>
            <w:vAlign w:val="bottom"/>
            <w:hideMark/>
          </w:tcPr>
          <w:p w14:paraId="24482616" w14:textId="77777777" w:rsidR="00000000" w:rsidRDefault="00322B34">
            <w:pPr>
              <w:rPr>
                <w:rFonts w:eastAsia="Times New Roman"/>
                <w:sz w:val="20"/>
                <w:szCs w:val="20"/>
              </w:rPr>
            </w:pPr>
            <w:r>
              <w:rPr>
                <w:rFonts w:eastAsia="Times New Roman"/>
                <w:sz w:val="20"/>
                <w:szCs w:val="20"/>
              </w:rPr>
              <w:t>)</w:t>
            </w:r>
          </w:p>
        </w:tc>
      </w:tr>
      <w:tr w:rsidR="00000000" w14:paraId="6B846CA7" w14:textId="77777777">
        <w:trPr>
          <w:divId w:val="3636607"/>
          <w:tblCellSpacing w:w="0" w:type="dxa"/>
        </w:trPr>
        <w:tc>
          <w:tcPr>
            <w:tcW w:w="0" w:type="auto"/>
            <w:shd w:val="clear" w:color="auto" w:fill="CCEEFF"/>
            <w:vAlign w:val="bottom"/>
            <w:hideMark/>
          </w:tcPr>
          <w:p w14:paraId="6E02DDA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7EFE59C2"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7EC65EAF"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1B2B5F7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69FAA78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4FFAE36D"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66F3BB90"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2F6F83E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64238FF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435754F8"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08637E32"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6BECFE4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7DE4F4B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538DE0FC"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04FCF3CD"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14:paraId="7721A13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14:paraId="6031A499" w14:textId="77777777" w:rsidR="00000000" w:rsidRDefault="00322B34">
            <w:pPr>
              <w:rPr>
                <w:rFonts w:eastAsia="Times New Roman"/>
                <w:sz w:val="20"/>
                <w:szCs w:val="20"/>
              </w:rPr>
            </w:pPr>
            <w:r>
              <w:rPr>
                <w:rFonts w:eastAsia="Times New Roman"/>
                <w:sz w:val="20"/>
                <w:szCs w:val="20"/>
              </w:rPr>
              <w:t> </w:t>
            </w:r>
          </w:p>
        </w:tc>
      </w:tr>
      <w:tr w:rsidR="00000000" w14:paraId="2501EC83" w14:textId="77777777">
        <w:trPr>
          <w:divId w:val="3636607"/>
          <w:tblCellSpacing w:w="0" w:type="dxa"/>
        </w:trPr>
        <w:tc>
          <w:tcPr>
            <w:tcW w:w="0" w:type="auto"/>
            <w:shd w:val="clear" w:color="auto" w:fill="FFFFFF"/>
            <w:vAlign w:val="bottom"/>
            <w:hideMark/>
          </w:tcPr>
          <w:p w14:paraId="52493229" w14:textId="77777777" w:rsidR="00000000" w:rsidRDefault="00322B34">
            <w:pPr>
              <w:pStyle w:val="a3"/>
              <w:spacing w:before="0" w:beforeAutospacing="0" w:after="0" w:afterAutospacing="0"/>
              <w:ind w:left="720"/>
              <w:rPr>
                <w:sz w:val="20"/>
                <w:szCs w:val="20"/>
              </w:rPr>
            </w:pPr>
            <w:r>
              <w:rPr>
                <w:sz w:val="20"/>
                <w:szCs w:val="20"/>
              </w:rPr>
              <w:t>Net income attributable to the Company</w:t>
            </w:r>
          </w:p>
        </w:tc>
        <w:tc>
          <w:tcPr>
            <w:tcW w:w="50" w:type="pct"/>
            <w:tcBorders>
              <w:bottom w:val="nil"/>
            </w:tcBorders>
            <w:shd w:val="clear" w:color="auto" w:fill="FFFFFF"/>
            <w:vAlign w:val="bottom"/>
            <w:hideMark/>
          </w:tcPr>
          <w:p w14:paraId="5D163386"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37C37359" w14:textId="77777777" w:rsidR="00000000" w:rsidRDefault="00322B34">
            <w:pPr>
              <w:rPr>
                <w:rFonts w:eastAsia="Times New Roman"/>
                <w:sz w:val="20"/>
                <w:szCs w:val="20"/>
              </w:rPr>
            </w:pPr>
            <w:r>
              <w:rPr>
                <w:rFonts w:eastAsia="Times New Roman"/>
                <w:sz w:val="20"/>
                <w:szCs w:val="20"/>
              </w:rPr>
              <w:t> </w:t>
            </w:r>
          </w:p>
        </w:tc>
        <w:tc>
          <w:tcPr>
            <w:tcW w:w="450" w:type="pct"/>
            <w:tcBorders>
              <w:bottom w:val="nil"/>
            </w:tcBorders>
            <w:shd w:val="clear" w:color="auto" w:fill="FFFFFF"/>
            <w:vAlign w:val="bottom"/>
            <w:hideMark/>
          </w:tcPr>
          <w:p w14:paraId="602CE4BD" w14:textId="77777777" w:rsidR="00000000" w:rsidRDefault="00322B34">
            <w:pPr>
              <w:jc w:val="right"/>
              <w:rPr>
                <w:rFonts w:eastAsia="Times New Roman"/>
                <w:sz w:val="20"/>
                <w:szCs w:val="20"/>
              </w:rPr>
            </w:pPr>
            <w:r>
              <w:rPr>
                <w:rFonts w:eastAsia="Times New Roman"/>
                <w:sz w:val="20"/>
                <w:szCs w:val="20"/>
              </w:rPr>
              <w:t>747,893</w:t>
            </w:r>
          </w:p>
        </w:tc>
        <w:tc>
          <w:tcPr>
            <w:tcW w:w="50" w:type="pct"/>
            <w:tcBorders>
              <w:bottom w:val="nil"/>
            </w:tcBorders>
            <w:shd w:val="clear" w:color="auto" w:fill="FFFFFF"/>
            <w:vAlign w:val="bottom"/>
            <w:hideMark/>
          </w:tcPr>
          <w:p w14:paraId="35500479"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59C85951"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76175D93" w14:textId="77777777" w:rsidR="00000000" w:rsidRDefault="00322B34">
            <w:pPr>
              <w:rPr>
                <w:rFonts w:eastAsia="Times New Roman"/>
                <w:sz w:val="20"/>
                <w:szCs w:val="20"/>
              </w:rPr>
            </w:pPr>
            <w:r>
              <w:rPr>
                <w:rFonts w:eastAsia="Times New Roman"/>
                <w:sz w:val="20"/>
                <w:szCs w:val="20"/>
              </w:rPr>
              <w:t> </w:t>
            </w:r>
          </w:p>
        </w:tc>
        <w:tc>
          <w:tcPr>
            <w:tcW w:w="450" w:type="pct"/>
            <w:tcBorders>
              <w:bottom w:val="nil"/>
            </w:tcBorders>
            <w:shd w:val="clear" w:color="auto" w:fill="FFFFFF"/>
            <w:vAlign w:val="bottom"/>
            <w:hideMark/>
          </w:tcPr>
          <w:p w14:paraId="796DD8D8" w14:textId="77777777" w:rsidR="00000000" w:rsidRDefault="00322B34">
            <w:pPr>
              <w:jc w:val="right"/>
              <w:rPr>
                <w:rFonts w:eastAsia="Times New Roman"/>
                <w:sz w:val="20"/>
                <w:szCs w:val="20"/>
              </w:rPr>
            </w:pPr>
            <w:r>
              <w:rPr>
                <w:rFonts w:eastAsia="Times New Roman"/>
                <w:sz w:val="20"/>
                <w:szCs w:val="20"/>
              </w:rPr>
              <w:t>101,027</w:t>
            </w:r>
          </w:p>
        </w:tc>
        <w:tc>
          <w:tcPr>
            <w:tcW w:w="50" w:type="pct"/>
            <w:tcBorders>
              <w:bottom w:val="nil"/>
            </w:tcBorders>
            <w:shd w:val="clear" w:color="auto" w:fill="FFFFFF"/>
            <w:vAlign w:val="bottom"/>
            <w:hideMark/>
          </w:tcPr>
          <w:p w14:paraId="0624CDD5"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4CF9257E"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0D2026B2" w14:textId="77777777" w:rsidR="00000000" w:rsidRDefault="00322B34">
            <w:pPr>
              <w:rPr>
                <w:rFonts w:eastAsia="Times New Roman"/>
                <w:sz w:val="20"/>
                <w:szCs w:val="20"/>
              </w:rPr>
            </w:pPr>
            <w:r>
              <w:rPr>
                <w:rFonts w:eastAsia="Times New Roman"/>
                <w:sz w:val="20"/>
                <w:szCs w:val="20"/>
              </w:rPr>
              <w:t> </w:t>
            </w:r>
          </w:p>
        </w:tc>
        <w:tc>
          <w:tcPr>
            <w:tcW w:w="450" w:type="pct"/>
            <w:tcBorders>
              <w:bottom w:val="nil"/>
            </w:tcBorders>
            <w:shd w:val="clear" w:color="auto" w:fill="FFFFFF"/>
            <w:vAlign w:val="bottom"/>
            <w:hideMark/>
          </w:tcPr>
          <w:p w14:paraId="25793EED" w14:textId="77777777" w:rsidR="00000000" w:rsidRDefault="00322B34">
            <w:pPr>
              <w:jc w:val="right"/>
              <w:rPr>
                <w:rFonts w:eastAsia="Times New Roman"/>
                <w:sz w:val="20"/>
                <w:szCs w:val="20"/>
              </w:rPr>
            </w:pPr>
            <w:r>
              <w:rPr>
                <w:rFonts w:eastAsia="Times New Roman"/>
                <w:sz w:val="20"/>
                <w:szCs w:val="20"/>
              </w:rPr>
              <w:t>837,993</w:t>
            </w:r>
          </w:p>
        </w:tc>
        <w:tc>
          <w:tcPr>
            <w:tcW w:w="50" w:type="pct"/>
            <w:tcBorders>
              <w:bottom w:val="nil"/>
            </w:tcBorders>
            <w:shd w:val="clear" w:color="auto" w:fill="FFFFFF"/>
            <w:vAlign w:val="bottom"/>
            <w:hideMark/>
          </w:tcPr>
          <w:p w14:paraId="376FCFC8"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578302A6"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58096FB9" w14:textId="77777777" w:rsidR="00000000" w:rsidRDefault="00322B34">
            <w:pPr>
              <w:rPr>
                <w:rFonts w:eastAsia="Times New Roman"/>
                <w:sz w:val="20"/>
                <w:szCs w:val="20"/>
              </w:rPr>
            </w:pPr>
            <w:r>
              <w:rPr>
                <w:rFonts w:eastAsia="Times New Roman"/>
                <w:sz w:val="20"/>
                <w:szCs w:val="20"/>
              </w:rPr>
              <w:t> </w:t>
            </w:r>
          </w:p>
        </w:tc>
        <w:tc>
          <w:tcPr>
            <w:tcW w:w="450" w:type="pct"/>
            <w:tcBorders>
              <w:bottom w:val="nil"/>
            </w:tcBorders>
            <w:shd w:val="clear" w:color="auto" w:fill="FFFFFF"/>
            <w:vAlign w:val="bottom"/>
            <w:hideMark/>
          </w:tcPr>
          <w:p w14:paraId="7D0FE8BD" w14:textId="77777777" w:rsidR="00000000" w:rsidRDefault="00322B34">
            <w:pPr>
              <w:jc w:val="right"/>
              <w:rPr>
                <w:rFonts w:eastAsia="Times New Roman"/>
                <w:sz w:val="20"/>
                <w:szCs w:val="20"/>
              </w:rPr>
            </w:pPr>
            <w:r>
              <w:rPr>
                <w:rFonts w:eastAsia="Times New Roman"/>
                <w:sz w:val="20"/>
                <w:szCs w:val="20"/>
              </w:rPr>
              <w:t>217,196</w:t>
            </w:r>
          </w:p>
        </w:tc>
        <w:tc>
          <w:tcPr>
            <w:tcW w:w="50" w:type="pct"/>
            <w:tcBorders>
              <w:bottom w:val="nil"/>
            </w:tcBorders>
            <w:shd w:val="clear" w:color="auto" w:fill="FFFFFF"/>
            <w:vAlign w:val="bottom"/>
            <w:hideMark/>
          </w:tcPr>
          <w:p w14:paraId="6660A760" w14:textId="77777777" w:rsidR="00000000" w:rsidRDefault="00322B34">
            <w:pPr>
              <w:rPr>
                <w:rFonts w:eastAsia="Times New Roman"/>
                <w:sz w:val="20"/>
                <w:szCs w:val="20"/>
              </w:rPr>
            </w:pPr>
            <w:r>
              <w:rPr>
                <w:rFonts w:eastAsia="Times New Roman"/>
                <w:sz w:val="20"/>
                <w:szCs w:val="20"/>
              </w:rPr>
              <w:t> </w:t>
            </w:r>
          </w:p>
        </w:tc>
      </w:tr>
      <w:tr w:rsidR="00000000" w14:paraId="50346DC7" w14:textId="77777777">
        <w:trPr>
          <w:divId w:val="3636607"/>
          <w:tblCellSpacing w:w="0" w:type="dxa"/>
        </w:trPr>
        <w:tc>
          <w:tcPr>
            <w:tcW w:w="0" w:type="auto"/>
            <w:shd w:val="clear" w:color="auto" w:fill="CCEEFF"/>
            <w:vAlign w:val="bottom"/>
            <w:hideMark/>
          </w:tcPr>
          <w:p w14:paraId="55DB20E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890F8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26C72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B2F3B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3C978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8D42D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4B4D6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E4A9C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5216D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428D3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2F8A4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D7F0A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38E97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62A67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98402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E2D33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CEC3A6" w14:textId="77777777" w:rsidR="00000000" w:rsidRDefault="00322B34">
            <w:pPr>
              <w:rPr>
                <w:rFonts w:eastAsia="Times New Roman"/>
                <w:sz w:val="20"/>
                <w:szCs w:val="20"/>
              </w:rPr>
            </w:pPr>
            <w:r>
              <w:rPr>
                <w:rFonts w:eastAsia="Times New Roman"/>
                <w:sz w:val="20"/>
                <w:szCs w:val="20"/>
              </w:rPr>
              <w:t> </w:t>
            </w:r>
          </w:p>
        </w:tc>
      </w:tr>
      <w:tr w:rsidR="00000000" w14:paraId="2207C032" w14:textId="77777777">
        <w:trPr>
          <w:divId w:val="3636607"/>
          <w:tblCellSpacing w:w="0" w:type="dxa"/>
        </w:trPr>
        <w:tc>
          <w:tcPr>
            <w:tcW w:w="0" w:type="auto"/>
            <w:shd w:val="clear" w:color="auto" w:fill="FFFFFF"/>
            <w:vAlign w:val="bottom"/>
            <w:hideMark/>
          </w:tcPr>
          <w:p w14:paraId="06644729" w14:textId="77777777" w:rsidR="00000000" w:rsidRDefault="00322B34">
            <w:pPr>
              <w:pStyle w:val="a3"/>
              <w:spacing w:before="0" w:beforeAutospacing="0" w:after="0" w:afterAutospacing="0"/>
              <w:ind w:left="540"/>
              <w:rPr>
                <w:sz w:val="20"/>
                <w:szCs w:val="20"/>
              </w:rPr>
            </w:pPr>
            <w:r>
              <w:rPr>
                <w:sz w:val="20"/>
                <w:szCs w:val="20"/>
              </w:rPr>
              <w:t>Preferred dividends</w:t>
            </w:r>
          </w:p>
        </w:tc>
        <w:tc>
          <w:tcPr>
            <w:tcW w:w="50" w:type="pct"/>
            <w:shd w:val="clear" w:color="auto" w:fill="FFFFFF"/>
            <w:tcMar>
              <w:top w:w="0" w:type="dxa"/>
              <w:left w:w="0" w:type="dxa"/>
              <w:bottom w:w="15" w:type="dxa"/>
              <w:right w:w="0" w:type="dxa"/>
            </w:tcMar>
            <w:vAlign w:val="bottom"/>
            <w:hideMark/>
          </w:tcPr>
          <w:p w14:paraId="500A9788"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164199E"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8379ABD" w14:textId="77777777" w:rsidR="00000000" w:rsidRDefault="00322B34">
            <w:pPr>
              <w:jc w:val="right"/>
              <w:rPr>
                <w:rFonts w:eastAsia="Times New Roman"/>
                <w:sz w:val="20"/>
                <w:szCs w:val="20"/>
              </w:rPr>
            </w:pPr>
            <w:r>
              <w:rPr>
                <w:rFonts w:eastAsia="Times New Roman"/>
                <w:sz w:val="20"/>
                <w:szCs w:val="20"/>
              </w:rPr>
              <w:t>(6,354</w:t>
            </w:r>
          </w:p>
        </w:tc>
        <w:tc>
          <w:tcPr>
            <w:tcW w:w="50" w:type="pct"/>
            <w:shd w:val="clear" w:color="auto" w:fill="FFFFFF"/>
            <w:tcMar>
              <w:top w:w="0" w:type="dxa"/>
              <w:left w:w="0" w:type="dxa"/>
              <w:bottom w:w="15" w:type="dxa"/>
              <w:right w:w="0" w:type="dxa"/>
            </w:tcMar>
            <w:vAlign w:val="bottom"/>
            <w:hideMark/>
          </w:tcPr>
          <w:p w14:paraId="4838246B"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2CD9FBF5"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1A3ACBD"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F26941E" w14:textId="77777777" w:rsidR="00000000" w:rsidRDefault="00322B34">
            <w:pPr>
              <w:jc w:val="right"/>
              <w:rPr>
                <w:rFonts w:eastAsia="Times New Roman"/>
                <w:sz w:val="20"/>
                <w:szCs w:val="20"/>
              </w:rPr>
            </w:pPr>
            <w:r>
              <w:rPr>
                <w:rFonts w:eastAsia="Times New Roman"/>
                <w:sz w:val="20"/>
                <w:szCs w:val="20"/>
              </w:rPr>
              <w:t>(14,534</w:t>
            </w:r>
          </w:p>
        </w:tc>
        <w:tc>
          <w:tcPr>
            <w:tcW w:w="50" w:type="pct"/>
            <w:shd w:val="clear" w:color="auto" w:fill="FFFFFF"/>
            <w:tcMar>
              <w:top w:w="0" w:type="dxa"/>
              <w:left w:w="0" w:type="dxa"/>
              <w:bottom w:w="15" w:type="dxa"/>
              <w:right w:w="0" w:type="dxa"/>
            </w:tcMar>
            <w:vAlign w:val="bottom"/>
            <w:hideMark/>
          </w:tcPr>
          <w:p w14:paraId="460D2B59"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0244D71E"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5FD4EF3"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1CA8AD6" w14:textId="77777777" w:rsidR="00000000" w:rsidRDefault="00322B34">
            <w:pPr>
              <w:jc w:val="right"/>
              <w:rPr>
                <w:rFonts w:eastAsia="Times New Roman"/>
                <w:sz w:val="20"/>
                <w:szCs w:val="20"/>
              </w:rPr>
            </w:pPr>
            <w:r>
              <w:rPr>
                <w:rFonts w:eastAsia="Times New Roman"/>
                <w:sz w:val="20"/>
                <w:szCs w:val="20"/>
              </w:rPr>
              <w:t>(12,708</w:t>
            </w:r>
          </w:p>
        </w:tc>
        <w:tc>
          <w:tcPr>
            <w:tcW w:w="50" w:type="pct"/>
            <w:shd w:val="clear" w:color="auto" w:fill="FFFFFF"/>
            <w:tcMar>
              <w:top w:w="0" w:type="dxa"/>
              <w:left w:w="0" w:type="dxa"/>
              <w:bottom w:w="15" w:type="dxa"/>
              <w:right w:w="0" w:type="dxa"/>
            </w:tcMar>
            <w:vAlign w:val="bottom"/>
            <w:hideMark/>
          </w:tcPr>
          <w:p w14:paraId="523CF3F4"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0767CB09"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3E4D842"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D493A75" w14:textId="77777777" w:rsidR="00000000" w:rsidRDefault="00322B34">
            <w:pPr>
              <w:jc w:val="right"/>
              <w:rPr>
                <w:rFonts w:eastAsia="Times New Roman"/>
                <w:sz w:val="20"/>
                <w:szCs w:val="20"/>
              </w:rPr>
            </w:pPr>
            <w:r>
              <w:rPr>
                <w:rFonts w:eastAsia="Times New Roman"/>
                <w:sz w:val="20"/>
                <w:szCs w:val="20"/>
              </w:rPr>
              <w:t>(29,068</w:t>
            </w:r>
          </w:p>
        </w:tc>
        <w:tc>
          <w:tcPr>
            <w:tcW w:w="50" w:type="pct"/>
            <w:shd w:val="clear" w:color="auto" w:fill="FFFFFF"/>
            <w:tcMar>
              <w:top w:w="0" w:type="dxa"/>
              <w:left w:w="0" w:type="dxa"/>
              <w:bottom w:w="15" w:type="dxa"/>
              <w:right w:w="0" w:type="dxa"/>
            </w:tcMar>
            <w:vAlign w:val="bottom"/>
            <w:hideMark/>
          </w:tcPr>
          <w:p w14:paraId="2D549C95" w14:textId="77777777" w:rsidR="00000000" w:rsidRDefault="00322B34">
            <w:pPr>
              <w:rPr>
                <w:rFonts w:eastAsia="Times New Roman"/>
                <w:sz w:val="20"/>
                <w:szCs w:val="20"/>
              </w:rPr>
            </w:pPr>
            <w:r>
              <w:rPr>
                <w:rFonts w:eastAsia="Times New Roman"/>
                <w:sz w:val="20"/>
                <w:szCs w:val="20"/>
              </w:rPr>
              <w:t>)</w:t>
            </w:r>
          </w:p>
        </w:tc>
      </w:tr>
      <w:tr w:rsidR="00000000" w14:paraId="222ECC50" w14:textId="77777777">
        <w:trPr>
          <w:divId w:val="3636607"/>
          <w:tblCellSpacing w:w="0" w:type="dxa"/>
        </w:trPr>
        <w:tc>
          <w:tcPr>
            <w:tcW w:w="0" w:type="auto"/>
            <w:shd w:val="clear" w:color="auto" w:fill="CCEEFF"/>
            <w:vAlign w:val="bottom"/>
            <w:hideMark/>
          </w:tcPr>
          <w:p w14:paraId="1E64FD4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547E3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7A77B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4EA33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D8F7D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A97C3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0EA33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995EE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D9EA6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0162C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3665F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F1DAF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6A1EB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28CB9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171E6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F6E27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5B934E" w14:textId="77777777" w:rsidR="00000000" w:rsidRDefault="00322B34">
            <w:pPr>
              <w:rPr>
                <w:rFonts w:eastAsia="Times New Roman"/>
                <w:sz w:val="20"/>
                <w:szCs w:val="20"/>
              </w:rPr>
            </w:pPr>
            <w:r>
              <w:rPr>
                <w:rFonts w:eastAsia="Times New Roman"/>
                <w:sz w:val="20"/>
                <w:szCs w:val="20"/>
              </w:rPr>
              <w:t> </w:t>
            </w:r>
          </w:p>
        </w:tc>
      </w:tr>
      <w:tr w:rsidR="00000000" w14:paraId="543C0D06" w14:textId="77777777">
        <w:trPr>
          <w:divId w:val="3636607"/>
          <w:tblCellSpacing w:w="0" w:type="dxa"/>
        </w:trPr>
        <w:tc>
          <w:tcPr>
            <w:tcW w:w="0" w:type="auto"/>
            <w:shd w:val="clear" w:color="auto" w:fill="FFFFFF"/>
            <w:vAlign w:val="bottom"/>
            <w:hideMark/>
          </w:tcPr>
          <w:p w14:paraId="7860DCA5" w14:textId="77777777" w:rsidR="00000000" w:rsidRDefault="00322B34">
            <w:pPr>
              <w:pStyle w:val="a3"/>
              <w:spacing w:before="0" w:beforeAutospacing="0" w:after="0" w:afterAutospacing="0"/>
              <w:ind w:left="720"/>
              <w:rPr>
                <w:sz w:val="20"/>
                <w:szCs w:val="20"/>
              </w:rPr>
            </w:pPr>
            <w:r>
              <w:rPr>
                <w:sz w:val="20"/>
                <w:szCs w:val="20"/>
              </w:rPr>
              <w:t>Net income available to the Company's common shareholders</w:t>
            </w:r>
          </w:p>
        </w:tc>
        <w:tc>
          <w:tcPr>
            <w:tcW w:w="50" w:type="pct"/>
            <w:shd w:val="clear" w:color="auto" w:fill="FFFFFF"/>
            <w:vAlign w:val="bottom"/>
            <w:hideMark/>
          </w:tcPr>
          <w:p w14:paraId="36FDA000"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AEFF5CB"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22B545C3" w14:textId="77777777" w:rsidR="00000000" w:rsidRDefault="00322B34">
            <w:pPr>
              <w:jc w:val="right"/>
              <w:rPr>
                <w:rFonts w:eastAsia="Times New Roman"/>
                <w:sz w:val="20"/>
                <w:szCs w:val="20"/>
              </w:rPr>
            </w:pPr>
            <w:r>
              <w:rPr>
                <w:rFonts w:eastAsia="Times New Roman"/>
                <w:sz w:val="20"/>
                <w:szCs w:val="20"/>
              </w:rPr>
              <w:t>741,539</w:t>
            </w:r>
          </w:p>
        </w:tc>
        <w:tc>
          <w:tcPr>
            <w:tcW w:w="50" w:type="pct"/>
            <w:shd w:val="clear" w:color="auto" w:fill="FFFFFF"/>
            <w:tcMar>
              <w:top w:w="0" w:type="dxa"/>
              <w:left w:w="0" w:type="dxa"/>
              <w:bottom w:w="45" w:type="dxa"/>
              <w:right w:w="0" w:type="dxa"/>
            </w:tcMar>
            <w:vAlign w:val="bottom"/>
            <w:hideMark/>
          </w:tcPr>
          <w:p w14:paraId="1F421B9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2929DA"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4375A4D"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4A900819" w14:textId="77777777" w:rsidR="00000000" w:rsidRDefault="00322B34">
            <w:pPr>
              <w:jc w:val="right"/>
              <w:rPr>
                <w:rFonts w:eastAsia="Times New Roman"/>
                <w:sz w:val="20"/>
                <w:szCs w:val="20"/>
              </w:rPr>
            </w:pPr>
            <w:r>
              <w:rPr>
                <w:rFonts w:eastAsia="Times New Roman"/>
                <w:sz w:val="20"/>
                <w:szCs w:val="20"/>
              </w:rPr>
              <w:t>86,493</w:t>
            </w:r>
          </w:p>
        </w:tc>
        <w:tc>
          <w:tcPr>
            <w:tcW w:w="50" w:type="pct"/>
            <w:shd w:val="clear" w:color="auto" w:fill="FFFFFF"/>
            <w:tcMar>
              <w:top w:w="0" w:type="dxa"/>
              <w:left w:w="0" w:type="dxa"/>
              <w:bottom w:w="45" w:type="dxa"/>
              <w:right w:w="0" w:type="dxa"/>
            </w:tcMar>
            <w:vAlign w:val="bottom"/>
            <w:hideMark/>
          </w:tcPr>
          <w:p w14:paraId="129395E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EA8B32"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AEAD38F"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5DC2D8FC" w14:textId="77777777" w:rsidR="00000000" w:rsidRDefault="00322B34">
            <w:pPr>
              <w:jc w:val="right"/>
              <w:rPr>
                <w:rFonts w:eastAsia="Times New Roman"/>
                <w:sz w:val="20"/>
                <w:szCs w:val="20"/>
              </w:rPr>
            </w:pPr>
            <w:r>
              <w:rPr>
                <w:rFonts w:eastAsia="Times New Roman"/>
                <w:sz w:val="20"/>
                <w:szCs w:val="20"/>
              </w:rPr>
              <w:t>825,285</w:t>
            </w:r>
          </w:p>
        </w:tc>
        <w:tc>
          <w:tcPr>
            <w:tcW w:w="50" w:type="pct"/>
            <w:shd w:val="clear" w:color="auto" w:fill="FFFFFF"/>
            <w:tcMar>
              <w:top w:w="0" w:type="dxa"/>
              <w:left w:w="0" w:type="dxa"/>
              <w:bottom w:w="45" w:type="dxa"/>
              <w:right w:w="0" w:type="dxa"/>
            </w:tcMar>
            <w:vAlign w:val="bottom"/>
            <w:hideMark/>
          </w:tcPr>
          <w:p w14:paraId="170B12B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D8CD4B"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E488A89"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3FF7B73C" w14:textId="77777777" w:rsidR="00000000" w:rsidRDefault="00322B34">
            <w:pPr>
              <w:jc w:val="right"/>
              <w:rPr>
                <w:rFonts w:eastAsia="Times New Roman"/>
                <w:sz w:val="20"/>
                <w:szCs w:val="20"/>
              </w:rPr>
            </w:pPr>
            <w:r>
              <w:rPr>
                <w:rFonts w:eastAsia="Times New Roman"/>
                <w:sz w:val="20"/>
                <w:szCs w:val="20"/>
              </w:rPr>
              <w:t>188,128</w:t>
            </w:r>
          </w:p>
        </w:tc>
        <w:tc>
          <w:tcPr>
            <w:tcW w:w="50" w:type="pct"/>
            <w:shd w:val="clear" w:color="auto" w:fill="FFFFFF"/>
            <w:tcMar>
              <w:top w:w="0" w:type="dxa"/>
              <w:left w:w="0" w:type="dxa"/>
              <w:bottom w:w="45" w:type="dxa"/>
              <w:right w:w="0" w:type="dxa"/>
            </w:tcMar>
            <w:vAlign w:val="bottom"/>
            <w:hideMark/>
          </w:tcPr>
          <w:p w14:paraId="1D3D503E" w14:textId="77777777" w:rsidR="00000000" w:rsidRDefault="00322B34">
            <w:pPr>
              <w:rPr>
                <w:rFonts w:eastAsia="Times New Roman"/>
                <w:sz w:val="20"/>
                <w:szCs w:val="20"/>
              </w:rPr>
            </w:pPr>
            <w:r>
              <w:rPr>
                <w:rFonts w:eastAsia="Times New Roman"/>
                <w:sz w:val="20"/>
                <w:szCs w:val="20"/>
              </w:rPr>
              <w:t> </w:t>
            </w:r>
          </w:p>
        </w:tc>
      </w:tr>
      <w:tr w:rsidR="00000000" w14:paraId="61EF3F47" w14:textId="77777777">
        <w:trPr>
          <w:divId w:val="3636607"/>
          <w:tblCellSpacing w:w="0" w:type="dxa"/>
        </w:trPr>
        <w:tc>
          <w:tcPr>
            <w:tcW w:w="0" w:type="auto"/>
            <w:shd w:val="clear" w:color="auto" w:fill="CCEEFF"/>
            <w:vAlign w:val="bottom"/>
            <w:hideMark/>
          </w:tcPr>
          <w:p w14:paraId="1ECC895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BE2A4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696EF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D2CCE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0B853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02A45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666B4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2E50F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E418C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973AF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BF250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FC2F9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BAC0F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88DEE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DB250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271A8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30DF32" w14:textId="77777777" w:rsidR="00000000" w:rsidRDefault="00322B34">
            <w:pPr>
              <w:rPr>
                <w:rFonts w:eastAsia="Times New Roman"/>
                <w:sz w:val="20"/>
                <w:szCs w:val="20"/>
              </w:rPr>
            </w:pPr>
            <w:r>
              <w:rPr>
                <w:rFonts w:eastAsia="Times New Roman"/>
                <w:sz w:val="20"/>
                <w:szCs w:val="20"/>
              </w:rPr>
              <w:t> </w:t>
            </w:r>
          </w:p>
        </w:tc>
      </w:tr>
      <w:tr w:rsidR="00000000" w14:paraId="26CE9159" w14:textId="77777777">
        <w:trPr>
          <w:divId w:val="3636607"/>
          <w:tblCellSpacing w:w="0" w:type="dxa"/>
        </w:trPr>
        <w:tc>
          <w:tcPr>
            <w:tcW w:w="0" w:type="auto"/>
            <w:shd w:val="clear" w:color="auto" w:fill="FFFFFF"/>
            <w:vAlign w:val="bottom"/>
            <w:hideMark/>
          </w:tcPr>
          <w:p w14:paraId="325B76E3" w14:textId="77777777" w:rsidR="00000000" w:rsidRDefault="00322B34">
            <w:pPr>
              <w:pStyle w:val="a3"/>
              <w:spacing w:before="0" w:beforeAutospacing="0" w:after="0" w:afterAutospacing="0"/>
              <w:rPr>
                <w:sz w:val="20"/>
                <w:szCs w:val="20"/>
              </w:rPr>
            </w:pPr>
            <w:r>
              <w:rPr>
                <w:sz w:val="20"/>
                <w:szCs w:val="20"/>
              </w:rPr>
              <w:t>Per common share:</w:t>
            </w:r>
          </w:p>
        </w:tc>
        <w:tc>
          <w:tcPr>
            <w:tcW w:w="0" w:type="auto"/>
            <w:shd w:val="clear" w:color="auto" w:fill="FFFFFF"/>
            <w:vAlign w:val="bottom"/>
            <w:hideMark/>
          </w:tcPr>
          <w:p w14:paraId="79ECB21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79DF9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83BB2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AEFD4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37D5F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18A65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B2659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F05A2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BF4D2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FFB9D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8963C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C631C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712AC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834C6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167D5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D2FA06" w14:textId="77777777" w:rsidR="00000000" w:rsidRDefault="00322B34">
            <w:pPr>
              <w:rPr>
                <w:rFonts w:eastAsia="Times New Roman"/>
                <w:sz w:val="20"/>
                <w:szCs w:val="20"/>
              </w:rPr>
            </w:pPr>
            <w:r>
              <w:rPr>
                <w:rFonts w:eastAsia="Times New Roman"/>
                <w:sz w:val="20"/>
                <w:szCs w:val="20"/>
              </w:rPr>
              <w:t> </w:t>
            </w:r>
          </w:p>
        </w:tc>
      </w:tr>
      <w:tr w:rsidR="00000000" w14:paraId="73B4564F" w14:textId="77777777">
        <w:trPr>
          <w:divId w:val="3636607"/>
          <w:tblCellSpacing w:w="0" w:type="dxa"/>
        </w:trPr>
        <w:tc>
          <w:tcPr>
            <w:tcW w:w="0" w:type="auto"/>
            <w:shd w:val="clear" w:color="auto" w:fill="CCEEFF"/>
            <w:vAlign w:val="bottom"/>
            <w:hideMark/>
          </w:tcPr>
          <w:p w14:paraId="5DAABCA7" w14:textId="77777777" w:rsidR="00000000" w:rsidRDefault="00322B34">
            <w:pPr>
              <w:pStyle w:val="a3"/>
              <w:spacing w:before="0" w:beforeAutospacing="0" w:after="0" w:afterAutospacing="0"/>
              <w:ind w:left="540"/>
              <w:rPr>
                <w:sz w:val="20"/>
                <w:szCs w:val="20"/>
              </w:rPr>
            </w:pPr>
            <w:r>
              <w:rPr>
                <w:sz w:val="20"/>
                <w:szCs w:val="20"/>
              </w:rPr>
              <w:t>Net income available to the Company:</w:t>
            </w:r>
          </w:p>
        </w:tc>
        <w:tc>
          <w:tcPr>
            <w:tcW w:w="0" w:type="auto"/>
            <w:shd w:val="clear" w:color="auto" w:fill="CCEEFF"/>
            <w:vAlign w:val="bottom"/>
            <w:hideMark/>
          </w:tcPr>
          <w:p w14:paraId="7A142AC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BA2BD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31F58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A5556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CAE32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7A388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D82EB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853D3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89F77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E7689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A388C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C3D93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7019E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9E520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BD259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58E0C9" w14:textId="77777777" w:rsidR="00000000" w:rsidRDefault="00322B34">
            <w:pPr>
              <w:rPr>
                <w:rFonts w:eastAsia="Times New Roman"/>
                <w:sz w:val="20"/>
                <w:szCs w:val="20"/>
              </w:rPr>
            </w:pPr>
            <w:r>
              <w:rPr>
                <w:rFonts w:eastAsia="Times New Roman"/>
                <w:sz w:val="20"/>
                <w:szCs w:val="20"/>
              </w:rPr>
              <w:t> </w:t>
            </w:r>
          </w:p>
        </w:tc>
      </w:tr>
      <w:tr w:rsidR="00000000" w14:paraId="53500BD7" w14:textId="77777777">
        <w:trPr>
          <w:divId w:val="3636607"/>
          <w:tblCellSpacing w:w="0" w:type="dxa"/>
        </w:trPr>
        <w:tc>
          <w:tcPr>
            <w:tcW w:w="0" w:type="auto"/>
            <w:shd w:val="clear" w:color="auto" w:fill="FFFFFF"/>
            <w:vAlign w:val="bottom"/>
            <w:hideMark/>
          </w:tcPr>
          <w:p w14:paraId="686005FD" w14:textId="77777777" w:rsidR="00000000" w:rsidRDefault="00322B34">
            <w:pPr>
              <w:pStyle w:val="a3"/>
              <w:spacing w:before="0" w:beforeAutospacing="0" w:after="0" w:afterAutospacing="0"/>
              <w:ind w:left="900"/>
              <w:rPr>
                <w:sz w:val="20"/>
                <w:szCs w:val="20"/>
              </w:rPr>
            </w:pPr>
            <w:r>
              <w:rPr>
                <w:sz w:val="20"/>
                <w:szCs w:val="20"/>
              </w:rPr>
              <w:t>-Basic</w:t>
            </w:r>
          </w:p>
        </w:tc>
        <w:tc>
          <w:tcPr>
            <w:tcW w:w="50" w:type="pct"/>
            <w:shd w:val="clear" w:color="auto" w:fill="FFFFFF"/>
            <w:vAlign w:val="bottom"/>
            <w:hideMark/>
          </w:tcPr>
          <w:p w14:paraId="46D2AD53"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B503101"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6E74C3C2" w14:textId="77777777" w:rsidR="00000000" w:rsidRDefault="00322B34">
            <w:pPr>
              <w:jc w:val="right"/>
              <w:rPr>
                <w:rFonts w:eastAsia="Times New Roman"/>
                <w:sz w:val="20"/>
                <w:szCs w:val="20"/>
              </w:rPr>
            </w:pPr>
            <w:r>
              <w:rPr>
                <w:rFonts w:eastAsia="Times New Roman"/>
                <w:sz w:val="20"/>
                <w:szCs w:val="20"/>
              </w:rPr>
              <w:t>1.71</w:t>
            </w:r>
          </w:p>
        </w:tc>
        <w:tc>
          <w:tcPr>
            <w:tcW w:w="50" w:type="pct"/>
            <w:shd w:val="clear" w:color="auto" w:fill="FFFFFF"/>
            <w:tcMar>
              <w:top w:w="0" w:type="dxa"/>
              <w:left w:w="0" w:type="dxa"/>
              <w:bottom w:w="45" w:type="dxa"/>
              <w:right w:w="0" w:type="dxa"/>
            </w:tcMar>
            <w:vAlign w:val="bottom"/>
            <w:hideMark/>
          </w:tcPr>
          <w:p w14:paraId="1086E5D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2CF07B"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1126412"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2995C1A9" w14:textId="77777777" w:rsidR="00000000" w:rsidRDefault="00322B34">
            <w:pPr>
              <w:jc w:val="right"/>
              <w:rPr>
                <w:rFonts w:eastAsia="Times New Roman"/>
                <w:sz w:val="20"/>
                <w:szCs w:val="20"/>
              </w:rPr>
            </w:pPr>
            <w:r>
              <w:rPr>
                <w:rFonts w:eastAsia="Times New Roman"/>
                <w:sz w:val="20"/>
                <w:szCs w:val="20"/>
              </w:rPr>
              <w:t>0.20</w:t>
            </w:r>
          </w:p>
        </w:tc>
        <w:tc>
          <w:tcPr>
            <w:tcW w:w="50" w:type="pct"/>
            <w:shd w:val="clear" w:color="auto" w:fill="FFFFFF"/>
            <w:tcMar>
              <w:top w:w="0" w:type="dxa"/>
              <w:left w:w="0" w:type="dxa"/>
              <w:bottom w:w="45" w:type="dxa"/>
              <w:right w:w="0" w:type="dxa"/>
            </w:tcMar>
            <w:vAlign w:val="bottom"/>
            <w:hideMark/>
          </w:tcPr>
          <w:p w14:paraId="71332FE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C2BEDC"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120F26F"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18017779" w14:textId="77777777" w:rsidR="00000000" w:rsidRDefault="00322B34">
            <w:pPr>
              <w:jc w:val="right"/>
              <w:rPr>
                <w:rFonts w:eastAsia="Times New Roman"/>
                <w:sz w:val="20"/>
                <w:szCs w:val="20"/>
              </w:rPr>
            </w:pPr>
            <w:r>
              <w:rPr>
                <w:rFonts w:eastAsia="Times New Roman"/>
                <w:sz w:val="20"/>
                <w:szCs w:val="20"/>
              </w:rPr>
              <w:t>1.91</w:t>
            </w:r>
          </w:p>
        </w:tc>
        <w:tc>
          <w:tcPr>
            <w:tcW w:w="50" w:type="pct"/>
            <w:shd w:val="clear" w:color="auto" w:fill="FFFFFF"/>
            <w:tcMar>
              <w:top w:w="0" w:type="dxa"/>
              <w:left w:w="0" w:type="dxa"/>
              <w:bottom w:w="45" w:type="dxa"/>
              <w:right w:w="0" w:type="dxa"/>
            </w:tcMar>
            <w:vAlign w:val="bottom"/>
            <w:hideMark/>
          </w:tcPr>
          <w:p w14:paraId="0B512D3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401256"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90C3D0A"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158E93A2" w14:textId="77777777" w:rsidR="00000000" w:rsidRDefault="00322B34">
            <w:pPr>
              <w:jc w:val="right"/>
              <w:rPr>
                <w:rFonts w:eastAsia="Times New Roman"/>
                <w:sz w:val="20"/>
                <w:szCs w:val="20"/>
              </w:rPr>
            </w:pPr>
            <w:r>
              <w:rPr>
                <w:rFonts w:eastAsia="Times New Roman"/>
                <w:sz w:val="20"/>
                <w:szCs w:val="20"/>
              </w:rPr>
              <w:t>0.45</w:t>
            </w:r>
          </w:p>
        </w:tc>
        <w:tc>
          <w:tcPr>
            <w:tcW w:w="50" w:type="pct"/>
            <w:shd w:val="clear" w:color="auto" w:fill="FFFFFF"/>
            <w:tcMar>
              <w:top w:w="0" w:type="dxa"/>
              <w:left w:w="0" w:type="dxa"/>
              <w:bottom w:w="45" w:type="dxa"/>
              <w:right w:w="0" w:type="dxa"/>
            </w:tcMar>
            <w:vAlign w:val="bottom"/>
            <w:hideMark/>
          </w:tcPr>
          <w:p w14:paraId="19C27004" w14:textId="77777777" w:rsidR="00000000" w:rsidRDefault="00322B34">
            <w:pPr>
              <w:rPr>
                <w:rFonts w:eastAsia="Times New Roman"/>
                <w:sz w:val="20"/>
                <w:szCs w:val="20"/>
              </w:rPr>
            </w:pPr>
            <w:r>
              <w:rPr>
                <w:rFonts w:eastAsia="Times New Roman"/>
                <w:sz w:val="20"/>
                <w:szCs w:val="20"/>
              </w:rPr>
              <w:t> </w:t>
            </w:r>
          </w:p>
        </w:tc>
      </w:tr>
      <w:tr w:rsidR="00000000" w14:paraId="4149AA49" w14:textId="77777777">
        <w:trPr>
          <w:divId w:val="3636607"/>
          <w:tblCellSpacing w:w="0" w:type="dxa"/>
        </w:trPr>
        <w:tc>
          <w:tcPr>
            <w:tcW w:w="0" w:type="auto"/>
            <w:shd w:val="clear" w:color="auto" w:fill="CCEEFF"/>
            <w:vAlign w:val="bottom"/>
            <w:hideMark/>
          </w:tcPr>
          <w:p w14:paraId="40E30E66" w14:textId="77777777" w:rsidR="00000000" w:rsidRDefault="00322B34">
            <w:pPr>
              <w:pStyle w:val="a3"/>
              <w:spacing w:before="0" w:beforeAutospacing="0" w:after="0" w:afterAutospacing="0"/>
              <w:ind w:left="900"/>
              <w:rPr>
                <w:sz w:val="20"/>
                <w:szCs w:val="20"/>
              </w:rPr>
            </w:pPr>
            <w:r>
              <w:rPr>
                <w:sz w:val="20"/>
                <w:szCs w:val="20"/>
              </w:rPr>
              <w:t>-Diluted</w:t>
            </w:r>
          </w:p>
        </w:tc>
        <w:tc>
          <w:tcPr>
            <w:tcW w:w="50" w:type="pct"/>
            <w:shd w:val="clear" w:color="auto" w:fill="CCEEFF"/>
            <w:vAlign w:val="bottom"/>
            <w:hideMark/>
          </w:tcPr>
          <w:p w14:paraId="61AC29FB"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4D3749A"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F2CF96E" w14:textId="77777777" w:rsidR="00000000" w:rsidRDefault="00322B34">
            <w:pPr>
              <w:jc w:val="right"/>
              <w:rPr>
                <w:rFonts w:eastAsia="Times New Roman"/>
                <w:sz w:val="20"/>
                <w:szCs w:val="20"/>
              </w:rPr>
            </w:pPr>
            <w:r>
              <w:rPr>
                <w:rFonts w:eastAsia="Times New Roman"/>
                <w:sz w:val="20"/>
                <w:szCs w:val="20"/>
              </w:rPr>
              <w:t>1.71</w:t>
            </w:r>
          </w:p>
        </w:tc>
        <w:tc>
          <w:tcPr>
            <w:tcW w:w="50" w:type="pct"/>
            <w:shd w:val="clear" w:color="auto" w:fill="CCEEFF"/>
            <w:tcMar>
              <w:top w:w="0" w:type="dxa"/>
              <w:left w:w="0" w:type="dxa"/>
              <w:bottom w:w="45" w:type="dxa"/>
              <w:right w:w="0" w:type="dxa"/>
            </w:tcMar>
            <w:vAlign w:val="bottom"/>
            <w:hideMark/>
          </w:tcPr>
          <w:p w14:paraId="5B69E7B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EB7A3A"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CBCCAA0"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01B647E0" w14:textId="77777777" w:rsidR="00000000" w:rsidRDefault="00322B34">
            <w:pPr>
              <w:jc w:val="right"/>
              <w:rPr>
                <w:rFonts w:eastAsia="Times New Roman"/>
                <w:sz w:val="20"/>
                <w:szCs w:val="20"/>
              </w:rPr>
            </w:pPr>
            <w:r>
              <w:rPr>
                <w:rFonts w:eastAsia="Times New Roman"/>
                <w:sz w:val="20"/>
                <w:szCs w:val="20"/>
              </w:rPr>
              <w:t>0.20</w:t>
            </w:r>
          </w:p>
        </w:tc>
        <w:tc>
          <w:tcPr>
            <w:tcW w:w="50" w:type="pct"/>
            <w:shd w:val="clear" w:color="auto" w:fill="CCEEFF"/>
            <w:tcMar>
              <w:top w:w="0" w:type="dxa"/>
              <w:left w:w="0" w:type="dxa"/>
              <w:bottom w:w="45" w:type="dxa"/>
              <w:right w:w="0" w:type="dxa"/>
            </w:tcMar>
            <w:vAlign w:val="bottom"/>
            <w:hideMark/>
          </w:tcPr>
          <w:p w14:paraId="48F0177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C222AE"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BB938E3"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BC847D6" w14:textId="77777777" w:rsidR="00000000" w:rsidRDefault="00322B34">
            <w:pPr>
              <w:jc w:val="right"/>
              <w:rPr>
                <w:rFonts w:eastAsia="Times New Roman"/>
                <w:sz w:val="20"/>
                <w:szCs w:val="20"/>
              </w:rPr>
            </w:pPr>
            <w:r>
              <w:rPr>
                <w:rFonts w:eastAsia="Times New Roman"/>
                <w:sz w:val="20"/>
                <w:szCs w:val="20"/>
              </w:rPr>
              <w:t>1.90</w:t>
            </w:r>
          </w:p>
        </w:tc>
        <w:tc>
          <w:tcPr>
            <w:tcW w:w="50" w:type="pct"/>
            <w:shd w:val="clear" w:color="auto" w:fill="CCEEFF"/>
            <w:tcMar>
              <w:top w:w="0" w:type="dxa"/>
              <w:left w:w="0" w:type="dxa"/>
              <w:bottom w:w="45" w:type="dxa"/>
              <w:right w:w="0" w:type="dxa"/>
            </w:tcMar>
            <w:vAlign w:val="bottom"/>
            <w:hideMark/>
          </w:tcPr>
          <w:p w14:paraId="7D78C1B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AD9089"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98E8AA5"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7C69C297" w14:textId="77777777" w:rsidR="00000000" w:rsidRDefault="00322B34">
            <w:pPr>
              <w:jc w:val="right"/>
              <w:rPr>
                <w:rFonts w:eastAsia="Times New Roman"/>
                <w:sz w:val="20"/>
                <w:szCs w:val="20"/>
              </w:rPr>
            </w:pPr>
            <w:r>
              <w:rPr>
                <w:rFonts w:eastAsia="Times New Roman"/>
                <w:sz w:val="20"/>
                <w:szCs w:val="20"/>
              </w:rPr>
              <w:t>0.44</w:t>
            </w:r>
          </w:p>
        </w:tc>
        <w:tc>
          <w:tcPr>
            <w:tcW w:w="50" w:type="pct"/>
            <w:shd w:val="clear" w:color="auto" w:fill="CCEEFF"/>
            <w:tcMar>
              <w:top w:w="0" w:type="dxa"/>
              <w:left w:w="0" w:type="dxa"/>
              <w:bottom w:w="45" w:type="dxa"/>
              <w:right w:w="0" w:type="dxa"/>
            </w:tcMar>
            <w:vAlign w:val="bottom"/>
            <w:hideMark/>
          </w:tcPr>
          <w:p w14:paraId="005B1538" w14:textId="77777777" w:rsidR="00000000" w:rsidRDefault="00322B34">
            <w:pPr>
              <w:rPr>
                <w:rFonts w:eastAsia="Times New Roman"/>
                <w:sz w:val="20"/>
                <w:szCs w:val="20"/>
              </w:rPr>
            </w:pPr>
            <w:r>
              <w:rPr>
                <w:rFonts w:eastAsia="Times New Roman"/>
                <w:sz w:val="20"/>
                <w:szCs w:val="20"/>
              </w:rPr>
              <w:t> </w:t>
            </w:r>
          </w:p>
        </w:tc>
      </w:tr>
      <w:tr w:rsidR="00000000" w14:paraId="696DFF07" w14:textId="77777777">
        <w:trPr>
          <w:divId w:val="3636607"/>
          <w:tblCellSpacing w:w="0" w:type="dxa"/>
        </w:trPr>
        <w:tc>
          <w:tcPr>
            <w:tcW w:w="0" w:type="auto"/>
            <w:shd w:val="clear" w:color="auto" w:fill="FFFFFF"/>
            <w:vAlign w:val="bottom"/>
            <w:hideMark/>
          </w:tcPr>
          <w:p w14:paraId="42167B0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7B835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6B078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0CE5B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D57A3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BF719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74A7C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568BC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3C907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7F93F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5BC63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D100C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16C9D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4A6C9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349FC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E203E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BCD616" w14:textId="77777777" w:rsidR="00000000" w:rsidRDefault="00322B34">
            <w:pPr>
              <w:rPr>
                <w:rFonts w:eastAsia="Times New Roman"/>
                <w:sz w:val="20"/>
                <w:szCs w:val="20"/>
              </w:rPr>
            </w:pPr>
            <w:r>
              <w:rPr>
                <w:rFonts w:eastAsia="Times New Roman"/>
                <w:sz w:val="20"/>
                <w:szCs w:val="20"/>
              </w:rPr>
              <w:t> </w:t>
            </w:r>
          </w:p>
        </w:tc>
      </w:tr>
      <w:tr w:rsidR="00000000" w14:paraId="0760EAE3" w14:textId="77777777">
        <w:trPr>
          <w:divId w:val="3636607"/>
          <w:tblCellSpacing w:w="0" w:type="dxa"/>
        </w:trPr>
        <w:tc>
          <w:tcPr>
            <w:tcW w:w="0" w:type="auto"/>
            <w:shd w:val="clear" w:color="auto" w:fill="CCEEFF"/>
            <w:vAlign w:val="bottom"/>
            <w:hideMark/>
          </w:tcPr>
          <w:p w14:paraId="3BDDA51B" w14:textId="77777777" w:rsidR="00000000" w:rsidRDefault="00322B34">
            <w:pPr>
              <w:pStyle w:val="a3"/>
              <w:spacing w:before="0" w:beforeAutospacing="0" w:after="0" w:afterAutospacing="0"/>
              <w:rPr>
                <w:sz w:val="20"/>
                <w:szCs w:val="20"/>
              </w:rPr>
            </w:pPr>
            <w:r>
              <w:rPr>
                <w:sz w:val="20"/>
                <w:szCs w:val="20"/>
              </w:rPr>
              <w:t>Weighted average shares:</w:t>
            </w:r>
          </w:p>
        </w:tc>
        <w:tc>
          <w:tcPr>
            <w:tcW w:w="0" w:type="auto"/>
            <w:shd w:val="clear" w:color="auto" w:fill="CCEEFF"/>
            <w:vAlign w:val="bottom"/>
            <w:hideMark/>
          </w:tcPr>
          <w:p w14:paraId="4113D66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15D05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E7658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2F2C3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C0D01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FCCBF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299DF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9EFC4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40216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4F5CB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A3C31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7F828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C01C1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03438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4348D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4E7165" w14:textId="77777777" w:rsidR="00000000" w:rsidRDefault="00322B34">
            <w:pPr>
              <w:rPr>
                <w:rFonts w:eastAsia="Times New Roman"/>
                <w:sz w:val="20"/>
                <w:szCs w:val="20"/>
              </w:rPr>
            </w:pPr>
            <w:r>
              <w:rPr>
                <w:rFonts w:eastAsia="Times New Roman"/>
                <w:sz w:val="20"/>
                <w:szCs w:val="20"/>
              </w:rPr>
              <w:t> </w:t>
            </w:r>
          </w:p>
        </w:tc>
      </w:tr>
      <w:tr w:rsidR="00000000" w14:paraId="715F68AA" w14:textId="77777777">
        <w:trPr>
          <w:divId w:val="3636607"/>
          <w:tblCellSpacing w:w="0" w:type="dxa"/>
        </w:trPr>
        <w:tc>
          <w:tcPr>
            <w:tcW w:w="0" w:type="auto"/>
            <w:shd w:val="clear" w:color="auto" w:fill="FFFFFF"/>
            <w:vAlign w:val="bottom"/>
            <w:hideMark/>
          </w:tcPr>
          <w:p w14:paraId="2C1FCCF9" w14:textId="77777777" w:rsidR="00000000" w:rsidRDefault="00322B34">
            <w:pPr>
              <w:pStyle w:val="a3"/>
              <w:spacing w:before="0" w:beforeAutospacing="0" w:after="0" w:afterAutospacing="0"/>
              <w:ind w:left="900"/>
              <w:rPr>
                <w:sz w:val="20"/>
                <w:szCs w:val="20"/>
              </w:rPr>
            </w:pPr>
            <w:r>
              <w:rPr>
                <w:sz w:val="20"/>
                <w:szCs w:val="20"/>
              </w:rPr>
              <w:t>-Basic</w:t>
            </w:r>
          </w:p>
        </w:tc>
        <w:tc>
          <w:tcPr>
            <w:tcW w:w="50" w:type="pct"/>
            <w:shd w:val="clear" w:color="auto" w:fill="FFFFFF"/>
            <w:vAlign w:val="bottom"/>
            <w:hideMark/>
          </w:tcPr>
          <w:p w14:paraId="5B07435F"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0B08853" w14:textId="77777777" w:rsidR="00000000" w:rsidRDefault="00322B3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4F6AB8CF" w14:textId="77777777" w:rsidR="00000000" w:rsidRDefault="00322B34">
            <w:pPr>
              <w:jc w:val="right"/>
              <w:rPr>
                <w:rFonts w:eastAsia="Times New Roman"/>
                <w:sz w:val="20"/>
                <w:szCs w:val="20"/>
              </w:rPr>
            </w:pPr>
            <w:r>
              <w:rPr>
                <w:rFonts w:eastAsia="Times New Roman"/>
                <w:sz w:val="20"/>
                <w:szCs w:val="20"/>
              </w:rPr>
              <w:t>429,967</w:t>
            </w:r>
          </w:p>
        </w:tc>
        <w:tc>
          <w:tcPr>
            <w:tcW w:w="50" w:type="pct"/>
            <w:shd w:val="clear" w:color="auto" w:fill="FFFFFF"/>
            <w:tcMar>
              <w:top w:w="0" w:type="dxa"/>
              <w:left w:w="0" w:type="dxa"/>
              <w:bottom w:w="45" w:type="dxa"/>
              <w:right w:w="0" w:type="dxa"/>
            </w:tcMar>
            <w:vAlign w:val="bottom"/>
            <w:hideMark/>
          </w:tcPr>
          <w:p w14:paraId="4C40C32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8C775A"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6CBA804" w14:textId="77777777" w:rsidR="00000000" w:rsidRDefault="00322B3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4DF95FB8" w14:textId="77777777" w:rsidR="00000000" w:rsidRDefault="00322B34">
            <w:pPr>
              <w:jc w:val="right"/>
              <w:rPr>
                <w:rFonts w:eastAsia="Times New Roman"/>
                <w:sz w:val="20"/>
                <w:szCs w:val="20"/>
              </w:rPr>
            </w:pPr>
            <w:r>
              <w:rPr>
                <w:rFonts w:eastAsia="Times New Roman"/>
                <w:sz w:val="20"/>
                <w:szCs w:val="20"/>
              </w:rPr>
              <w:t>419,697</w:t>
            </w:r>
          </w:p>
        </w:tc>
        <w:tc>
          <w:tcPr>
            <w:tcW w:w="50" w:type="pct"/>
            <w:shd w:val="clear" w:color="auto" w:fill="FFFFFF"/>
            <w:tcMar>
              <w:top w:w="0" w:type="dxa"/>
              <w:left w:w="0" w:type="dxa"/>
              <w:bottom w:w="45" w:type="dxa"/>
              <w:right w:w="0" w:type="dxa"/>
            </w:tcMar>
            <w:vAlign w:val="bottom"/>
            <w:hideMark/>
          </w:tcPr>
          <w:p w14:paraId="72D9ED8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7981FF"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97CF186" w14:textId="77777777" w:rsidR="00000000" w:rsidRDefault="00322B3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394A6C02" w14:textId="77777777" w:rsidR="00000000" w:rsidRDefault="00322B34">
            <w:pPr>
              <w:jc w:val="right"/>
              <w:rPr>
                <w:rFonts w:eastAsia="Times New Roman"/>
                <w:sz w:val="20"/>
                <w:szCs w:val="20"/>
              </w:rPr>
            </w:pPr>
            <w:r>
              <w:rPr>
                <w:rFonts w:eastAsia="Times New Roman"/>
                <w:sz w:val="20"/>
                <w:szCs w:val="20"/>
              </w:rPr>
              <w:t>429,851</w:t>
            </w:r>
          </w:p>
        </w:tc>
        <w:tc>
          <w:tcPr>
            <w:tcW w:w="50" w:type="pct"/>
            <w:shd w:val="clear" w:color="auto" w:fill="FFFFFF"/>
            <w:tcMar>
              <w:top w:w="0" w:type="dxa"/>
              <w:left w:w="0" w:type="dxa"/>
              <w:bottom w:w="45" w:type="dxa"/>
              <w:right w:w="0" w:type="dxa"/>
            </w:tcMar>
            <w:vAlign w:val="bottom"/>
            <w:hideMark/>
          </w:tcPr>
          <w:p w14:paraId="771E69C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CC19EE"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50BB361" w14:textId="77777777" w:rsidR="00000000" w:rsidRDefault="00322B3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2CED43A4" w14:textId="77777777" w:rsidR="00000000" w:rsidRDefault="00322B34">
            <w:pPr>
              <w:jc w:val="right"/>
              <w:rPr>
                <w:rFonts w:eastAsia="Times New Roman"/>
                <w:sz w:val="20"/>
                <w:szCs w:val="20"/>
              </w:rPr>
            </w:pPr>
            <w:r>
              <w:rPr>
                <w:rFonts w:eastAsia="Times New Roman"/>
                <w:sz w:val="20"/>
                <w:szCs w:val="20"/>
              </w:rPr>
              <w:t>419,581</w:t>
            </w:r>
          </w:p>
        </w:tc>
        <w:tc>
          <w:tcPr>
            <w:tcW w:w="50" w:type="pct"/>
            <w:shd w:val="clear" w:color="auto" w:fill="FFFFFF"/>
            <w:tcMar>
              <w:top w:w="0" w:type="dxa"/>
              <w:left w:w="0" w:type="dxa"/>
              <w:bottom w:w="45" w:type="dxa"/>
              <w:right w:w="0" w:type="dxa"/>
            </w:tcMar>
            <w:vAlign w:val="bottom"/>
            <w:hideMark/>
          </w:tcPr>
          <w:p w14:paraId="2548B549" w14:textId="77777777" w:rsidR="00000000" w:rsidRDefault="00322B34">
            <w:pPr>
              <w:rPr>
                <w:rFonts w:eastAsia="Times New Roman"/>
                <w:sz w:val="20"/>
                <w:szCs w:val="20"/>
              </w:rPr>
            </w:pPr>
            <w:r>
              <w:rPr>
                <w:rFonts w:eastAsia="Times New Roman"/>
                <w:sz w:val="20"/>
                <w:szCs w:val="20"/>
              </w:rPr>
              <w:t> </w:t>
            </w:r>
          </w:p>
        </w:tc>
      </w:tr>
      <w:tr w:rsidR="00000000" w14:paraId="0F095EF4" w14:textId="77777777">
        <w:trPr>
          <w:divId w:val="3636607"/>
          <w:tblCellSpacing w:w="0" w:type="dxa"/>
        </w:trPr>
        <w:tc>
          <w:tcPr>
            <w:tcW w:w="0" w:type="auto"/>
            <w:shd w:val="clear" w:color="auto" w:fill="CCEEFF"/>
            <w:vAlign w:val="bottom"/>
            <w:hideMark/>
          </w:tcPr>
          <w:p w14:paraId="743F35F8" w14:textId="77777777" w:rsidR="00000000" w:rsidRDefault="00322B34">
            <w:pPr>
              <w:pStyle w:val="a3"/>
              <w:spacing w:before="0" w:beforeAutospacing="0" w:after="0" w:afterAutospacing="0"/>
              <w:ind w:left="900"/>
              <w:rPr>
                <w:sz w:val="20"/>
                <w:szCs w:val="20"/>
              </w:rPr>
            </w:pPr>
            <w:r>
              <w:rPr>
                <w:sz w:val="20"/>
                <w:szCs w:val="20"/>
              </w:rPr>
              <w:t>-Diluted</w:t>
            </w:r>
          </w:p>
        </w:tc>
        <w:tc>
          <w:tcPr>
            <w:tcW w:w="50" w:type="pct"/>
            <w:shd w:val="clear" w:color="auto" w:fill="CCEEFF"/>
            <w:vAlign w:val="bottom"/>
            <w:hideMark/>
          </w:tcPr>
          <w:p w14:paraId="380660CF"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7BCA676" w14:textId="77777777" w:rsidR="00000000" w:rsidRDefault="00322B3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4B4ADEB9" w14:textId="77777777" w:rsidR="00000000" w:rsidRDefault="00322B34">
            <w:pPr>
              <w:jc w:val="right"/>
              <w:rPr>
                <w:rFonts w:eastAsia="Times New Roman"/>
                <w:sz w:val="20"/>
                <w:szCs w:val="20"/>
              </w:rPr>
            </w:pPr>
            <w:r>
              <w:rPr>
                <w:rFonts w:eastAsia="Times New Roman"/>
                <w:sz w:val="20"/>
                <w:szCs w:val="20"/>
              </w:rPr>
              <w:t>431,170</w:t>
            </w:r>
          </w:p>
        </w:tc>
        <w:tc>
          <w:tcPr>
            <w:tcW w:w="50" w:type="pct"/>
            <w:shd w:val="clear" w:color="auto" w:fill="CCEEFF"/>
            <w:tcMar>
              <w:top w:w="0" w:type="dxa"/>
              <w:left w:w="0" w:type="dxa"/>
              <w:bottom w:w="45" w:type="dxa"/>
              <w:right w:w="0" w:type="dxa"/>
            </w:tcMar>
            <w:vAlign w:val="bottom"/>
            <w:hideMark/>
          </w:tcPr>
          <w:p w14:paraId="124F419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94044B"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A755AD5" w14:textId="77777777" w:rsidR="00000000" w:rsidRDefault="00322B3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232A6FF4" w14:textId="77777777" w:rsidR="00000000" w:rsidRDefault="00322B34">
            <w:pPr>
              <w:jc w:val="right"/>
              <w:rPr>
                <w:rFonts w:eastAsia="Times New Roman"/>
                <w:sz w:val="20"/>
                <w:szCs w:val="20"/>
              </w:rPr>
            </w:pPr>
            <w:r>
              <w:rPr>
                <w:rFonts w:eastAsia="Times New Roman"/>
                <w:sz w:val="20"/>
                <w:szCs w:val="20"/>
              </w:rPr>
              <w:t>420,646</w:t>
            </w:r>
          </w:p>
        </w:tc>
        <w:tc>
          <w:tcPr>
            <w:tcW w:w="50" w:type="pct"/>
            <w:shd w:val="clear" w:color="auto" w:fill="CCEEFF"/>
            <w:tcMar>
              <w:top w:w="0" w:type="dxa"/>
              <w:left w:w="0" w:type="dxa"/>
              <w:bottom w:w="45" w:type="dxa"/>
              <w:right w:w="0" w:type="dxa"/>
            </w:tcMar>
            <w:vAlign w:val="bottom"/>
            <w:hideMark/>
          </w:tcPr>
          <w:p w14:paraId="2E159D9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4A6074"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662EC06" w14:textId="77777777" w:rsidR="00000000" w:rsidRDefault="00322B3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2C0590A0" w14:textId="77777777" w:rsidR="00000000" w:rsidRDefault="00322B34">
            <w:pPr>
              <w:jc w:val="right"/>
              <w:rPr>
                <w:rFonts w:eastAsia="Times New Roman"/>
                <w:sz w:val="20"/>
                <w:szCs w:val="20"/>
              </w:rPr>
            </w:pPr>
            <w:r>
              <w:rPr>
                <w:rFonts w:eastAsia="Times New Roman"/>
                <w:sz w:val="20"/>
                <w:szCs w:val="20"/>
              </w:rPr>
              <w:t>431,527</w:t>
            </w:r>
          </w:p>
        </w:tc>
        <w:tc>
          <w:tcPr>
            <w:tcW w:w="50" w:type="pct"/>
            <w:shd w:val="clear" w:color="auto" w:fill="CCEEFF"/>
            <w:tcMar>
              <w:top w:w="0" w:type="dxa"/>
              <w:left w:w="0" w:type="dxa"/>
              <w:bottom w:w="45" w:type="dxa"/>
              <w:right w:w="0" w:type="dxa"/>
            </w:tcMar>
            <w:vAlign w:val="bottom"/>
            <w:hideMark/>
          </w:tcPr>
          <w:p w14:paraId="6C8A19E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115DBC"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A45B775" w14:textId="77777777" w:rsidR="00000000" w:rsidRDefault="00322B3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5F9BEC41" w14:textId="77777777" w:rsidR="00000000" w:rsidRDefault="00322B34">
            <w:pPr>
              <w:jc w:val="right"/>
              <w:rPr>
                <w:rFonts w:eastAsia="Times New Roman"/>
                <w:sz w:val="20"/>
                <w:szCs w:val="20"/>
              </w:rPr>
            </w:pPr>
            <w:r>
              <w:rPr>
                <w:rFonts w:eastAsia="Times New Roman"/>
                <w:sz w:val="20"/>
                <w:szCs w:val="20"/>
              </w:rPr>
              <w:t>420,798</w:t>
            </w:r>
          </w:p>
        </w:tc>
        <w:tc>
          <w:tcPr>
            <w:tcW w:w="50" w:type="pct"/>
            <w:shd w:val="clear" w:color="auto" w:fill="CCEEFF"/>
            <w:tcMar>
              <w:top w:w="0" w:type="dxa"/>
              <w:left w:w="0" w:type="dxa"/>
              <w:bottom w:w="45" w:type="dxa"/>
              <w:right w:w="0" w:type="dxa"/>
            </w:tcMar>
            <w:vAlign w:val="bottom"/>
            <w:hideMark/>
          </w:tcPr>
          <w:p w14:paraId="7BC3510D" w14:textId="77777777" w:rsidR="00000000" w:rsidRDefault="00322B34">
            <w:pPr>
              <w:rPr>
                <w:rFonts w:eastAsia="Times New Roman"/>
                <w:sz w:val="20"/>
                <w:szCs w:val="20"/>
              </w:rPr>
            </w:pPr>
            <w:r>
              <w:rPr>
                <w:rFonts w:eastAsia="Times New Roman"/>
                <w:sz w:val="20"/>
                <w:szCs w:val="20"/>
              </w:rPr>
              <w:t> </w:t>
            </w:r>
          </w:p>
        </w:tc>
      </w:tr>
    </w:tbl>
    <w:p w14:paraId="758C7A99" w14:textId="77777777" w:rsidR="00000000" w:rsidRDefault="00322B34">
      <w:pPr>
        <w:pStyle w:val="a3"/>
        <w:spacing w:before="0" w:beforeAutospacing="0" w:after="0" w:afterAutospacing="0"/>
        <w:rPr>
          <w:sz w:val="20"/>
          <w:szCs w:val="20"/>
        </w:rPr>
      </w:pPr>
      <w:r>
        <w:rPr>
          <w:b/>
          <w:bCs/>
          <w:sz w:val="20"/>
          <w:szCs w:val="20"/>
        </w:rPr>
        <w:t> </w:t>
      </w:r>
    </w:p>
    <w:p w14:paraId="2948361F" w14:textId="77777777" w:rsidR="00000000" w:rsidRDefault="00322B34">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52510486" w14:textId="77777777" w:rsidR="00000000" w:rsidRDefault="00322B34">
      <w:pPr>
        <w:pStyle w:val="a3"/>
        <w:spacing w:before="0" w:beforeAutospacing="0" w:after="0" w:afterAutospacing="0"/>
        <w:rPr>
          <w:sz w:val="20"/>
          <w:szCs w:val="20"/>
        </w:rPr>
      </w:pPr>
      <w:r>
        <w:rPr>
          <w:sz w:val="20"/>
          <w:szCs w:val="20"/>
        </w:rPr>
        <w:t> </w:t>
      </w:r>
    </w:p>
    <w:p w14:paraId="09276A8A" w14:textId="77777777" w:rsidR="00000000" w:rsidRDefault="00322B34">
      <w:pPr>
        <w:jc w:val="center"/>
        <w:divId w:val="243883487"/>
        <w:rPr>
          <w:rFonts w:eastAsia="Times New Roman"/>
          <w:sz w:val="20"/>
          <w:szCs w:val="20"/>
        </w:rPr>
      </w:pPr>
      <w:r>
        <w:rPr>
          <w:rFonts w:eastAsia="Times New Roman"/>
          <w:sz w:val="20"/>
          <w:szCs w:val="20"/>
        </w:rPr>
        <w:t xml:space="preserve">4 </w:t>
      </w:r>
    </w:p>
    <w:p w14:paraId="482EEC26" w14:textId="77777777" w:rsidR="00000000" w:rsidRDefault="00322B34">
      <w:pPr>
        <w:divId w:val="1084883016"/>
        <w:rPr>
          <w:rFonts w:eastAsia="Times New Roman"/>
          <w:sz w:val="20"/>
          <w:szCs w:val="20"/>
        </w:rPr>
      </w:pPr>
      <w:r>
        <w:rPr>
          <w:rFonts w:eastAsia="Times New Roman"/>
          <w:sz w:val="20"/>
          <w:szCs w:val="20"/>
        </w:rPr>
        <w:pict w14:anchorId="161E8B4D">
          <v:rect id="_x0000_i1032" style="width:0;height:1.5pt" o:hralign="center" o:hrstd="t" o:hr="t" fillcolor="#a0a0a0" stroked="f"/>
        </w:pict>
      </w:r>
    </w:p>
    <w:p w14:paraId="4B265A9A" w14:textId="77777777" w:rsidR="00000000" w:rsidRDefault="00322B34">
      <w:pPr>
        <w:divId w:val="160264070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96E95E5" w14:textId="77777777" w:rsidR="00000000" w:rsidRDefault="00322B34">
      <w:pPr>
        <w:pStyle w:val="a3"/>
        <w:spacing w:before="0" w:beforeAutospacing="0" w:after="0" w:afterAutospacing="0"/>
        <w:rPr>
          <w:sz w:val="20"/>
          <w:szCs w:val="20"/>
        </w:rPr>
      </w:pPr>
      <w:r>
        <w:rPr>
          <w:sz w:val="20"/>
          <w:szCs w:val="20"/>
        </w:rPr>
        <w:t> </w:t>
      </w:r>
    </w:p>
    <w:p w14:paraId="427944C3" w14:textId="77777777" w:rsidR="00000000" w:rsidRDefault="00322B34">
      <w:pPr>
        <w:divId w:val="1186137999"/>
        <w:rPr>
          <w:rFonts w:eastAsia="Times New Roman"/>
          <w:sz w:val="20"/>
          <w:szCs w:val="20"/>
        </w:rPr>
      </w:pPr>
      <w:r>
        <w:rPr>
          <w:rFonts w:eastAsia="Times New Roman"/>
          <w:sz w:val="20"/>
          <w:szCs w:val="20"/>
        </w:rPr>
        <w:t xml:space="preserve">  </w:t>
      </w:r>
    </w:p>
    <w:p w14:paraId="414FCD1F" w14:textId="77777777" w:rsidR="00000000" w:rsidRDefault="00322B34">
      <w:pPr>
        <w:pStyle w:val="a3"/>
        <w:spacing w:before="0" w:beforeAutospacing="0" w:after="0" w:afterAutospacing="0"/>
        <w:jc w:val="center"/>
        <w:rPr>
          <w:sz w:val="20"/>
          <w:szCs w:val="20"/>
        </w:rPr>
      </w:pPr>
      <w:r>
        <w:rPr>
          <w:sz w:val="20"/>
          <w:szCs w:val="20"/>
        </w:rPr>
        <w:t>KIMCO REALTY CORPORATION AND SUBSIDIARIES</w:t>
      </w:r>
    </w:p>
    <w:p w14:paraId="2D7D07C3" w14:textId="77777777" w:rsidR="00000000" w:rsidRDefault="00322B34">
      <w:pPr>
        <w:pStyle w:val="a3"/>
        <w:spacing w:before="0" w:beforeAutospacing="0" w:after="0" w:afterAutospacing="0"/>
        <w:jc w:val="center"/>
        <w:rPr>
          <w:sz w:val="20"/>
          <w:szCs w:val="20"/>
        </w:rPr>
      </w:pPr>
      <w:r>
        <w:rPr>
          <w:sz w:val="20"/>
          <w:szCs w:val="20"/>
        </w:rPr>
        <w:t>CONDENSED CONSOLIDATED STATEMENTS OF CHANGES IN EQUITY</w:t>
      </w:r>
    </w:p>
    <w:p w14:paraId="309F9417" w14:textId="77777777" w:rsidR="00000000" w:rsidRDefault="00322B34">
      <w:pPr>
        <w:pStyle w:val="a3"/>
        <w:spacing w:before="0" w:beforeAutospacing="0" w:after="0" w:afterAutospacing="0"/>
        <w:jc w:val="center"/>
        <w:rPr>
          <w:sz w:val="20"/>
          <w:szCs w:val="20"/>
        </w:rPr>
      </w:pPr>
      <w:r>
        <w:rPr>
          <w:sz w:val="20"/>
          <w:szCs w:val="20"/>
        </w:rPr>
        <w:t>For the Three Months Ended June 30, 2020 and 2019</w:t>
      </w:r>
    </w:p>
    <w:p w14:paraId="7500FE6F" w14:textId="77777777" w:rsidR="00000000" w:rsidRDefault="00322B34">
      <w:pPr>
        <w:pStyle w:val="a3"/>
        <w:spacing w:before="0" w:beforeAutospacing="0" w:after="0" w:afterAutospacing="0"/>
        <w:jc w:val="center"/>
        <w:rPr>
          <w:sz w:val="20"/>
          <w:szCs w:val="20"/>
        </w:rPr>
      </w:pPr>
      <w:r>
        <w:rPr>
          <w:sz w:val="20"/>
          <w:szCs w:val="20"/>
        </w:rPr>
        <w:t>(Unaudited)</w:t>
      </w:r>
    </w:p>
    <w:p w14:paraId="422DDE7D" w14:textId="77777777" w:rsidR="00000000" w:rsidRDefault="00322B34">
      <w:pPr>
        <w:pStyle w:val="a3"/>
        <w:spacing w:before="0" w:beforeAutospacing="0" w:after="0" w:afterAutospacing="0"/>
        <w:jc w:val="center"/>
        <w:rPr>
          <w:sz w:val="20"/>
          <w:szCs w:val="20"/>
        </w:rPr>
      </w:pPr>
      <w:r>
        <w:rPr>
          <w:sz w:val="20"/>
          <w:szCs w:val="20"/>
        </w:rPr>
        <w:t>(in thousands)</w:t>
      </w:r>
    </w:p>
    <w:p w14:paraId="74BD261E" w14:textId="77777777" w:rsidR="00000000" w:rsidRDefault="00322B3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23"/>
        <w:gridCol w:w="40"/>
        <w:gridCol w:w="113"/>
        <w:gridCol w:w="785"/>
        <w:gridCol w:w="54"/>
        <w:gridCol w:w="40"/>
        <w:gridCol w:w="73"/>
        <w:gridCol w:w="364"/>
        <w:gridCol w:w="48"/>
        <w:gridCol w:w="47"/>
        <w:gridCol w:w="94"/>
        <w:gridCol w:w="467"/>
        <w:gridCol w:w="40"/>
        <w:gridCol w:w="40"/>
        <w:gridCol w:w="40"/>
        <w:gridCol w:w="520"/>
        <w:gridCol w:w="54"/>
        <w:gridCol w:w="40"/>
        <w:gridCol w:w="94"/>
        <w:gridCol w:w="467"/>
        <w:gridCol w:w="40"/>
        <w:gridCol w:w="40"/>
        <w:gridCol w:w="80"/>
        <w:gridCol w:w="640"/>
        <w:gridCol w:w="54"/>
        <w:gridCol w:w="40"/>
        <w:gridCol w:w="134"/>
        <w:gridCol w:w="800"/>
        <w:gridCol w:w="54"/>
        <w:gridCol w:w="40"/>
        <w:gridCol w:w="148"/>
        <w:gridCol w:w="884"/>
        <w:gridCol w:w="54"/>
        <w:gridCol w:w="40"/>
        <w:gridCol w:w="80"/>
        <w:gridCol w:w="640"/>
        <w:gridCol w:w="54"/>
      </w:tblGrid>
      <w:tr w:rsidR="00000000" w14:paraId="64E70513" w14:textId="77777777">
        <w:trPr>
          <w:divId w:val="45447007"/>
          <w:tblCellSpacing w:w="0" w:type="dxa"/>
        </w:trPr>
        <w:tc>
          <w:tcPr>
            <w:tcW w:w="1150" w:type="pct"/>
            <w:vAlign w:val="bottom"/>
            <w:hideMark/>
          </w:tcPr>
          <w:p w14:paraId="176C3C65"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2E55ACF5"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27D90AAC" w14:textId="77777777" w:rsidR="00000000" w:rsidRDefault="00322B34">
            <w:pPr>
              <w:pStyle w:val="a3"/>
              <w:spacing w:before="0" w:beforeAutospacing="0" w:after="0" w:afterAutospacing="0"/>
              <w:jc w:val="center"/>
              <w:rPr>
                <w:sz w:val="16"/>
                <w:szCs w:val="16"/>
              </w:rPr>
            </w:pPr>
            <w:r>
              <w:rPr>
                <w:b/>
                <w:bCs/>
                <w:sz w:val="16"/>
                <w:szCs w:val="16"/>
              </w:rPr>
              <w:t xml:space="preserve">Cumulative </w:t>
            </w:r>
          </w:p>
        </w:tc>
        <w:tc>
          <w:tcPr>
            <w:tcW w:w="50" w:type="pct"/>
            <w:vAlign w:val="bottom"/>
            <w:hideMark/>
          </w:tcPr>
          <w:p w14:paraId="4C7B2FE4"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2CE91BA4"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05D625F1" w14:textId="77777777" w:rsidR="00000000" w:rsidRDefault="00322B34">
            <w:pPr>
              <w:rPr>
                <w:rFonts w:eastAsia="Times New Roman"/>
                <w:sz w:val="16"/>
                <w:szCs w:val="16"/>
              </w:rPr>
            </w:pPr>
            <w:r>
              <w:rPr>
                <w:rFonts w:eastAsia="Times New Roman"/>
                <w:b/>
                <w:bCs/>
                <w:sz w:val="16"/>
                <w:szCs w:val="16"/>
              </w:rPr>
              <w:t> </w:t>
            </w:r>
          </w:p>
        </w:tc>
        <w:tc>
          <w:tcPr>
            <w:tcW w:w="250" w:type="pct"/>
            <w:vAlign w:val="bottom"/>
            <w:hideMark/>
          </w:tcPr>
          <w:p w14:paraId="037A4D58"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05F5E4B1" w14:textId="77777777" w:rsidR="00000000" w:rsidRDefault="00322B34">
            <w:pPr>
              <w:rPr>
                <w:rFonts w:eastAsia="Times New Roman"/>
                <w:sz w:val="16"/>
                <w:szCs w:val="16"/>
              </w:rPr>
            </w:pPr>
            <w:r>
              <w:rPr>
                <w:rFonts w:eastAsia="Times New Roman"/>
                <w:b/>
                <w:bCs/>
                <w:sz w:val="16"/>
                <w:szCs w:val="16"/>
              </w:rPr>
              <w:t> </w:t>
            </w:r>
          </w:p>
        </w:tc>
        <w:tc>
          <w:tcPr>
            <w:tcW w:w="50" w:type="pct"/>
            <w:vAlign w:val="bottom"/>
            <w:hideMark/>
          </w:tcPr>
          <w:p w14:paraId="455304DC"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1CEE4C5B" w14:textId="77777777" w:rsidR="00000000" w:rsidRDefault="00322B34">
            <w:pPr>
              <w:rPr>
                <w:rFonts w:eastAsia="Times New Roman"/>
                <w:sz w:val="16"/>
                <w:szCs w:val="16"/>
              </w:rPr>
            </w:pPr>
            <w:r>
              <w:rPr>
                <w:rFonts w:eastAsia="Times New Roman"/>
                <w:b/>
                <w:bCs/>
                <w:sz w:val="16"/>
                <w:szCs w:val="16"/>
              </w:rPr>
              <w:t> </w:t>
            </w:r>
          </w:p>
        </w:tc>
        <w:tc>
          <w:tcPr>
            <w:tcW w:w="250" w:type="pct"/>
            <w:vAlign w:val="bottom"/>
            <w:hideMark/>
          </w:tcPr>
          <w:p w14:paraId="7CF41021"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3A1BB05C" w14:textId="77777777" w:rsidR="00000000" w:rsidRDefault="00322B34">
            <w:pPr>
              <w:rPr>
                <w:rFonts w:eastAsia="Times New Roman"/>
                <w:sz w:val="16"/>
                <w:szCs w:val="16"/>
              </w:rPr>
            </w:pPr>
            <w:r>
              <w:rPr>
                <w:rFonts w:eastAsia="Times New Roman"/>
                <w:b/>
                <w:bCs/>
                <w:sz w:val="16"/>
                <w:szCs w:val="16"/>
              </w:rPr>
              <w:t> </w:t>
            </w:r>
          </w:p>
        </w:tc>
        <w:tc>
          <w:tcPr>
            <w:tcW w:w="50" w:type="pct"/>
            <w:vAlign w:val="bottom"/>
            <w:hideMark/>
          </w:tcPr>
          <w:p w14:paraId="53498254"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4619A03D" w14:textId="77777777" w:rsidR="00000000" w:rsidRDefault="00322B34">
            <w:pPr>
              <w:rPr>
                <w:rFonts w:eastAsia="Times New Roman"/>
                <w:sz w:val="16"/>
                <w:szCs w:val="16"/>
              </w:rPr>
            </w:pPr>
            <w:r>
              <w:rPr>
                <w:rFonts w:eastAsia="Times New Roman"/>
                <w:b/>
                <w:bCs/>
                <w:sz w:val="16"/>
                <w:szCs w:val="16"/>
              </w:rPr>
              <w:t> </w:t>
            </w:r>
          </w:p>
        </w:tc>
        <w:tc>
          <w:tcPr>
            <w:tcW w:w="250" w:type="pct"/>
            <w:vAlign w:val="bottom"/>
            <w:hideMark/>
          </w:tcPr>
          <w:p w14:paraId="60252830"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0C83A616" w14:textId="77777777" w:rsidR="00000000" w:rsidRDefault="00322B34">
            <w:pPr>
              <w:rPr>
                <w:rFonts w:eastAsia="Times New Roman"/>
                <w:sz w:val="16"/>
                <w:szCs w:val="16"/>
              </w:rPr>
            </w:pPr>
            <w:r>
              <w:rPr>
                <w:rFonts w:eastAsia="Times New Roman"/>
                <w:b/>
                <w:bCs/>
                <w:sz w:val="16"/>
                <w:szCs w:val="16"/>
              </w:rPr>
              <w:t> </w:t>
            </w:r>
          </w:p>
        </w:tc>
        <w:tc>
          <w:tcPr>
            <w:tcW w:w="50" w:type="pct"/>
            <w:vAlign w:val="bottom"/>
            <w:hideMark/>
          </w:tcPr>
          <w:p w14:paraId="31875C01"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30E16D2D" w14:textId="77777777" w:rsidR="00000000" w:rsidRDefault="00322B34">
            <w:pPr>
              <w:rPr>
                <w:rFonts w:eastAsia="Times New Roman"/>
                <w:sz w:val="16"/>
                <w:szCs w:val="16"/>
              </w:rPr>
            </w:pPr>
            <w:r>
              <w:rPr>
                <w:rFonts w:eastAsia="Times New Roman"/>
                <w:b/>
                <w:bCs/>
                <w:sz w:val="16"/>
                <w:szCs w:val="16"/>
              </w:rPr>
              <w:t> </w:t>
            </w:r>
          </w:p>
        </w:tc>
        <w:tc>
          <w:tcPr>
            <w:tcW w:w="250" w:type="pct"/>
            <w:vAlign w:val="bottom"/>
            <w:hideMark/>
          </w:tcPr>
          <w:p w14:paraId="532636E1"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7C144647" w14:textId="77777777" w:rsidR="00000000" w:rsidRDefault="00322B34">
            <w:pPr>
              <w:rPr>
                <w:rFonts w:eastAsia="Times New Roman"/>
                <w:sz w:val="16"/>
                <w:szCs w:val="16"/>
              </w:rPr>
            </w:pPr>
            <w:r>
              <w:rPr>
                <w:rFonts w:eastAsia="Times New Roman"/>
                <w:b/>
                <w:bCs/>
                <w:sz w:val="16"/>
                <w:szCs w:val="16"/>
              </w:rPr>
              <w:t> </w:t>
            </w:r>
          </w:p>
        </w:tc>
        <w:tc>
          <w:tcPr>
            <w:tcW w:w="50" w:type="pct"/>
            <w:vAlign w:val="bottom"/>
            <w:hideMark/>
          </w:tcPr>
          <w:p w14:paraId="30D90B41"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11918107" w14:textId="77777777" w:rsidR="00000000" w:rsidRDefault="00322B34">
            <w:pPr>
              <w:rPr>
                <w:rFonts w:eastAsia="Times New Roman"/>
                <w:sz w:val="16"/>
                <w:szCs w:val="16"/>
              </w:rPr>
            </w:pPr>
            <w:r>
              <w:rPr>
                <w:rFonts w:eastAsia="Times New Roman"/>
                <w:b/>
                <w:bCs/>
                <w:sz w:val="16"/>
                <w:szCs w:val="16"/>
              </w:rPr>
              <w:t> </w:t>
            </w:r>
          </w:p>
        </w:tc>
        <w:tc>
          <w:tcPr>
            <w:tcW w:w="300" w:type="pct"/>
            <w:vAlign w:val="bottom"/>
            <w:hideMark/>
          </w:tcPr>
          <w:p w14:paraId="160F96CD"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6F190538" w14:textId="77777777" w:rsidR="00000000" w:rsidRDefault="00322B34">
            <w:pPr>
              <w:rPr>
                <w:rFonts w:eastAsia="Times New Roman"/>
                <w:sz w:val="16"/>
                <w:szCs w:val="16"/>
              </w:rPr>
            </w:pPr>
            <w:r>
              <w:rPr>
                <w:rFonts w:eastAsia="Times New Roman"/>
                <w:b/>
                <w:bCs/>
                <w:sz w:val="16"/>
                <w:szCs w:val="16"/>
              </w:rPr>
              <w:t> </w:t>
            </w:r>
          </w:p>
        </w:tc>
        <w:tc>
          <w:tcPr>
            <w:tcW w:w="50" w:type="pct"/>
            <w:vAlign w:val="bottom"/>
            <w:hideMark/>
          </w:tcPr>
          <w:p w14:paraId="2DEA31E0"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0C883406" w14:textId="77777777" w:rsidR="00000000" w:rsidRDefault="00322B34">
            <w:pPr>
              <w:pStyle w:val="a3"/>
              <w:spacing w:before="0" w:beforeAutospacing="0" w:after="0" w:afterAutospacing="0"/>
              <w:jc w:val="center"/>
              <w:rPr>
                <w:sz w:val="16"/>
                <w:szCs w:val="16"/>
              </w:rPr>
            </w:pPr>
            <w:r>
              <w:rPr>
                <w:b/>
                <w:bCs/>
                <w:sz w:val="16"/>
                <w:szCs w:val="16"/>
              </w:rPr>
              <w:t>Total</w:t>
            </w:r>
          </w:p>
        </w:tc>
        <w:tc>
          <w:tcPr>
            <w:tcW w:w="50" w:type="pct"/>
            <w:vAlign w:val="bottom"/>
            <w:hideMark/>
          </w:tcPr>
          <w:p w14:paraId="60406EE5"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22EB212F"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3164C152" w14:textId="77777777" w:rsidR="00000000" w:rsidRDefault="00322B34">
            <w:pPr>
              <w:rPr>
                <w:rFonts w:eastAsia="Times New Roman"/>
                <w:sz w:val="16"/>
                <w:szCs w:val="16"/>
              </w:rPr>
            </w:pPr>
            <w:r>
              <w:rPr>
                <w:rFonts w:eastAsia="Times New Roman"/>
                <w:b/>
                <w:bCs/>
                <w:sz w:val="16"/>
                <w:szCs w:val="16"/>
              </w:rPr>
              <w:t> </w:t>
            </w:r>
          </w:p>
        </w:tc>
        <w:tc>
          <w:tcPr>
            <w:tcW w:w="300" w:type="pct"/>
            <w:vAlign w:val="bottom"/>
            <w:hideMark/>
          </w:tcPr>
          <w:p w14:paraId="015937F1"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56C3C129" w14:textId="77777777" w:rsidR="00000000" w:rsidRDefault="00322B34">
            <w:pPr>
              <w:rPr>
                <w:rFonts w:eastAsia="Times New Roman"/>
                <w:sz w:val="16"/>
                <w:szCs w:val="16"/>
              </w:rPr>
            </w:pPr>
            <w:r>
              <w:rPr>
                <w:rFonts w:eastAsia="Times New Roman"/>
                <w:b/>
                <w:bCs/>
                <w:sz w:val="16"/>
                <w:szCs w:val="16"/>
              </w:rPr>
              <w:t> </w:t>
            </w:r>
          </w:p>
        </w:tc>
        <w:tc>
          <w:tcPr>
            <w:tcW w:w="50" w:type="pct"/>
            <w:vAlign w:val="bottom"/>
            <w:hideMark/>
          </w:tcPr>
          <w:p w14:paraId="2ED62CF8"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6987FAB0" w14:textId="77777777" w:rsidR="00000000" w:rsidRDefault="00322B34">
            <w:pPr>
              <w:rPr>
                <w:rFonts w:eastAsia="Times New Roman"/>
                <w:sz w:val="16"/>
                <w:szCs w:val="16"/>
              </w:rPr>
            </w:pPr>
            <w:r>
              <w:rPr>
                <w:rFonts w:eastAsia="Times New Roman"/>
                <w:b/>
                <w:bCs/>
                <w:sz w:val="16"/>
                <w:szCs w:val="16"/>
              </w:rPr>
              <w:t> </w:t>
            </w:r>
          </w:p>
        </w:tc>
        <w:tc>
          <w:tcPr>
            <w:tcW w:w="250" w:type="pct"/>
            <w:vAlign w:val="bottom"/>
            <w:hideMark/>
          </w:tcPr>
          <w:p w14:paraId="20A90E8D"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109FFE2F" w14:textId="77777777" w:rsidR="00000000" w:rsidRDefault="00322B34">
            <w:pPr>
              <w:rPr>
                <w:rFonts w:eastAsia="Times New Roman"/>
                <w:sz w:val="16"/>
                <w:szCs w:val="16"/>
              </w:rPr>
            </w:pPr>
            <w:r>
              <w:rPr>
                <w:rFonts w:eastAsia="Times New Roman"/>
                <w:b/>
                <w:bCs/>
                <w:sz w:val="16"/>
                <w:szCs w:val="16"/>
              </w:rPr>
              <w:t> </w:t>
            </w:r>
          </w:p>
        </w:tc>
      </w:tr>
      <w:tr w:rsidR="00000000" w14:paraId="32AC7767" w14:textId="77777777">
        <w:trPr>
          <w:divId w:val="45447007"/>
          <w:tblCellSpacing w:w="0" w:type="dxa"/>
        </w:trPr>
        <w:tc>
          <w:tcPr>
            <w:tcW w:w="1150" w:type="pct"/>
            <w:vAlign w:val="bottom"/>
            <w:hideMark/>
          </w:tcPr>
          <w:p w14:paraId="0DBA85FE"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47B31DD1"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3D8BABC6" w14:textId="77777777" w:rsidR="00000000" w:rsidRDefault="00322B34">
            <w:pPr>
              <w:pStyle w:val="a3"/>
              <w:spacing w:before="0" w:beforeAutospacing="0" w:after="0" w:afterAutospacing="0"/>
              <w:jc w:val="center"/>
              <w:rPr>
                <w:sz w:val="16"/>
                <w:szCs w:val="16"/>
              </w:rPr>
            </w:pPr>
            <w:r>
              <w:rPr>
                <w:b/>
                <w:bCs/>
                <w:sz w:val="16"/>
                <w:szCs w:val="16"/>
              </w:rPr>
              <w:t>Distributions in</w:t>
            </w:r>
          </w:p>
        </w:tc>
        <w:tc>
          <w:tcPr>
            <w:tcW w:w="50" w:type="pct"/>
            <w:vAlign w:val="bottom"/>
            <w:hideMark/>
          </w:tcPr>
          <w:p w14:paraId="3249A465"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4E348BE2" w14:textId="77777777" w:rsidR="00000000" w:rsidRDefault="00322B34">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14:paraId="50E74B18" w14:textId="77777777" w:rsidR="00000000" w:rsidRDefault="00322B34">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tcMar>
              <w:top w:w="0" w:type="dxa"/>
              <w:left w:w="0" w:type="dxa"/>
              <w:bottom w:w="15" w:type="dxa"/>
              <w:right w:w="0" w:type="dxa"/>
            </w:tcMar>
            <w:vAlign w:val="bottom"/>
            <w:hideMark/>
          </w:tcPr>
          <w:p w14:paraId="5438CA6F"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21BAE1B0" w14:textId="77777777" w:rsidR="00000000" w:rsidRDefault="00322B34">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14:paraId="1970DCDB" w14:textId="77777777" w:rsidR="00000000" w:rsidRDefault="00322B34">
            <w:pPr>
              <w:pStyle w:val="a3"/>
              <w:spacing w:before="0" w:beforeAutospacing="0" w:after="0" w:afterAutospacing="0"/>
              <w:jc w:val="center"/>
              <w:rPr>
                <w:sz w:val="16"/>
                <w:szCs w:val="16"/>
              </w:rPr>
            </w:pPr>
            <w:r>
              <w:rPr>
                <w:b/>
                <w:bCs/>
                <w:sz w:val="16"/>
                <w:szCs w:val="16"/>
              </w:rPr>
              <w:t>Common Stock</w:t>
            </w:r>
          </w:p>
        </w:tc>
        <w:tc>
          <w:tcPr>
            <w:tcW w:w="50" w:type="pct"/>
            <w:tcMar>
              <w:top w:w="0" w:type="dxa"/>
              <w:left w:w="0" w:type="dxa"/>
              <w:bottom w:w="15" w:type="dxa"/>
              <w:right w:w="0" w:type="dxa"/>
            </w:tcMar>
            <w:vAlign w:val="bottom"/>
            <w:hideMark/>
          </w:tcPr>
          <w:p w14:paraId="19D56EB7"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2C051BF4"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5B0E1F54" w14:textId="77777777" w:rsidR="00000000" w:rsidRDefault="00322B34">
            <w:pPr>
              <w:pStyle w:val="a3"/>
              <w:spacing w:before="0" w:beforeAutospacing="0" w:after="0" w:afterAutospacing="0"/>
              <w:jc w:val="center"/>
              <w:rPr>
                <w:sz w:val="16"/>
                <w:szCs w:val="16"/>
              </w:rPr>
            </w:pPr>
            <w:r>
              <w:rPr>
                <w:b/>
                <w:bCs/>
                <w:sz w:val="16"/>
                <w:szCs w:val="16"/>
              </w:rPr>
              <w:t>Paid-in</w:t>
            </w:r>
          </w:p>
        </w:tc>
        <w:tc>
          <w:tcPr>
            <w:tcW w:w="50" w:type="pct"/>
            <w:vAlign w:val="bottom"/>
            <w:hideMark/>
          </w:tcPr>
          <w:p w14:paraId="47D4C27D"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4836219B"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5FB41C3C" w14:textId="77777777" w:rsidR="00000000" w:rsidRDefault="00322B34">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14:paraId="1BAC1D57"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34EE4987"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34879F5A" w14:textId="77777777" w:rsidR="00000000" w:rsidRDefault="00322B34">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14:paraId="51F91B55"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5C9A6B56"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2B14ABD1" w14:textId="77777777" w:rsidR="00000000" w:rsidRDefault="00322B34">
            <w:pPr>
              <w:pStyle w:val="a3"/>
              <w:spacing w:before="0" w:beforeAutospacing="0" w:after="0" w:afterAutospacing="0"/>
              <w:jc w:val="center"/>
              <w:rPr>
                <w:sz w:val="16"/>
                <w:szCs w:val="16"/>
              </w:rPr>
            </w:pPr>
            <w:r>
              <w:rPr>
                <w:b/>
                <w:bCs/>
                <w:sz w:val="16"/>
                <w:szCs w:val="16"/>
              </w:rPr>
              <w:t>Total</w:t>
            </w:r>
          </w:p>
        </w:tc>
        <w:tc>
          <w:tcPr>
            <w:tcW w:w="50" w:type="pct"/>
            <w:vAlign w:val="bottom"/>
            <w:hideMark/>
          </w:tcPr>
          <w:p w14:paraId="53104824" w14:textId="77777777" w:rsidR="00000000" w:rsidRDefault="00322B34">
            <w:pPr>
              <w:rPr>
                <w:rFonts w:eastAsia="Times New Roman"/>
                <w:sz w:val="16"/>
                <w:szCs w:val="16"/>
              </w:rPr>
            </w:pPr>
            <w:r>
              <w:rPr>
                <w:rFonts w:eastAsia="Times New Roman"/>
                <w:sz w:val="16"/>
                <w:szCs w:val="16"/>
              </w:rPr>
              <w:t> </w:t>
            </w:r>
          </w:p>
        </w:tc>
      </w:tr>
      <w:tr w:rsidR="00000000" w14:paraId="06AC94D0" w14:textId="77777777">
        <w:trPr>
          <w:divId w:val="45447007"/>
          <w:tblCellSpacing w:w="0" w:type="dxa"/>
        </w:trPr>
        <w:tc>
          <w:tcPr>
            <w:tcW w:w="1150" w:type="pct"/>
            <w:vAlign w:val="bottom"/>
            <w:hideMark/>
          </w:tcPr>
          <w:p w14:paraId="1D6D7A98" w14:textId="77777777" w:rsidR="00000000" w:rsidRDefault="00322B34">
            <w:pPr>
              <w:rPr>
                <w:rFonts w:eastAsia="Times New Roman"/>
                <w:sz w:val="16"/>
                <w:szCs w:val="16"/>
              </w:rPr>
            </w:pPr>
            <w:r>
              <w:rPr>
                <w:rFonts w:eastAsia="Times New Roman"/>
                <w:sz w:val="16"/>
                <w:szCs w:val="16"/>
              </w:rPr>
              <w:t> </w:t>
            </w:r>
          </w:p>
        </w:tc>
        <w:tc>
          <w:tcPr>
            <w:tcW w:w="50" w:type="pct"/>
            <w:tcMar>
              <w:top w:w="0" w:type="dxa"/>
              <w:left w:w="0" w:type="dxa"/>
              <w:bottom w:w="15" w:type="dxa"/>
              <w:right w:w="0" w:type="dxa"/>
            </w:tcMar>
            <w:vAlign w:val="bottom"/>
            <w:hideMark/>
          </w:tcPr>
          <w:p w14:paraId="0C04DA56"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3138C2CD" w14:textId="77777777" w:rsidR="00000000" w:rsidRDefault="00322B34">
            <w:pPr>
              <w:pStyle w:val="a3"/>
              <w:spacing w:before="0" w:beforeAutospacing="0" w:after="0" w:afterAutospacing="0"/>
              <w:jc w:val="center"/>
              <w:rPr>
                <w:sz w:val="16"/>
                <w:szCs w:val="16"/>
              </w:rPr>
            </w:pPr>
            <w:r>
              <w:rPr>
                <w:b/>
                <w:bCs/>
                <w:sz w:val="16"/>
                <w:szCs w:val="16"/>
              </w:rPr>
              <w:t>Excess of Net Income</w:t>
            </w:r>
          </w:p>
        </w:tc>
        <w:tc>
          <w:tcPr>
            <w:tcW w:w="50" w:type="pct"/>
            <w:tcBorders>
              <w:bottom w:val="single" w:sz="6" w:space="0" w:color="000000"/>
            </w:tcBorders>
            <w:vAlign w:val="bottom"/>
            <w:hideMark/>
          </w:tcPr>
          <w:p w14:paraId="6995F6BB"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39274FFB"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3434272D" w14:textId="77777777" w:rsidR="00000000" w:rsidRDefault="00322B34">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4FCFBEC4"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6FD641BD"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09A4D604" w14:textId="77777777" w:rsidR="00000000" w:rsidRDefault="00322B34">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13B30FBA"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576F15DB"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5BA650BE" w14:textId="77777777" w:rsidR="00000000" w:rsidRDefault="00322B34">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16746F3A"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0BDBD49F"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0B78955B" w14:textId="77777777" w:rsidR="00000000" w:rsidRDefault="00322B34">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2C068360"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10EAC003"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18D4E72B" w14:textId="77777777" w:rsidR="00000000" w:rsidRDefault="00322B34">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14:paraId="3AB51950"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5098F0D9"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165C860F" w14:textId="77777777" w:rsidR="00000000" w:rsidRDefault="00322B34">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14:paraId="768F9D07"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7E87FC7E"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41EE5DCB" w14:textId="77777777" w:rsidR="00000000" w:rsidRDefault="00322B34">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14:paraId="7090FD80"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0559FFA7"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68B16FB9" w14:textId="77777777" w:rsidR="00000000" w:rsidRDefault="00322B34">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14:paraId="7A18060A" w14:textId="77777777" w:rsidR="00000000" w:rsidRDefault="00322B34">
            <w:pPr>
              <w:rPr>
                <w:rFonts w:eastAsia="Times New Roman"/>
                <w:sz w:val="16"/>
                <w:szCs w:val="16"/>
              </w:rPr>
            </w:pPr>
            <w:r>
              <w:rPr>
                <w:rFonts w:eastAsia="Times New Roman"/>
                <w:sz w:val="16"/>
                <w:szCs w:val="16"/>
              </w:rPr>
              <w:t> </w:t>
            </w:r>
          </w:p>
        </w:tc>
      </w:tr>
      <w:tr w:rsidR="00322B34" w14:paraId="7BBD3F62" w14:textId="77777777">
        <w:trPr>
          <w:divId w:val="45447007"/>
          <w:tblCellSpacing w:w="0" w:type="dxa"/>
        </w:trPr>
        <w:tc>
          <w:tcPr>
            <w:tcW w:w="1150" w:type="pct"/>
            <w:shd w:val="clear" w:color="auto" w:fill="CCEEFF"/>
            <w:vAlign w:val="bottom"/>
            <w:hideMark/>
          </w:tcPr>
          <w:p w14:paraId="25D5A7B0" w14:textId="77777777" w:rsidR="00000000" w:rsidRDefault="00322B34">
            <w:pPr>
              <w:pStyle w:val="a3"/>
              <w:spacing w:before="0" w:beforeAutospacing="0" w:after="0" w:afterAutospacing="0"/>
              <w:rPr>
                <w:sz w:val="16"/>
                <w:szCs w:val="16"/>
              </w:rPr>
            </w:pPr>
            <w:r>
              <w:rPr>
                <w:sz w:val="16"/>
                <w:szCs w:val="16"/>
              </w:rPr>
              <w:t>Balance at April 1, 2019</w:t>
            </w:r>
          </w:p>
        </w:tc>
        <w:tc>
          <w:tcPr>
            <w:tcW w:w="50" w:type="pct"/>
            <w:shd w:val="clear" w:color="auto" w:fill="CCEEFF"/>
            <w:vAlign w:val="bottom"/>
            <w:hideMark/>
          </w:tcPr>
          <w:p w14:paraId="108EC04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7396F2" w14:textId="77777777" w:rsidR="00000000" w:rsidRDefault="00322B34">
            <w:pPr>
              <w:rPr>
                <w:rFonts w:eastAsia="Times New Roman"/>
                <w:sz w:val="16"/>
                <w:szCs w:val="16"/>
              </w:rPr>
            </w:pPr>
            <w:r>
              <w:rPr>
                <w:rFonts w:eastAsia="Times New Roman"/>
                <w:sz w:val="16"/>
                <w:szCs w:val="16"/>
              </w:rPr>
              <w:t>$</w:t>
            </w:r>
          </w:p>
        </w:tc>
        <w:tc>
          <w:tcPr>
            <w:tcW w:w="350" w:type="pct"/>
            <w:shd w:val="clear" w:color="auto" w:fill="CCEEFF"/>
            <w:vAlign w:val="bottom"/>
            <w:hideMark/>
          </w:tcPr>
          <w:p w14:paraId="2072A75F" w14:textId="77777777" w:rsidR="00000000" w:rsidRDefault="00322B34">
            <w:pPr>
              <w:jc w:val="right"/>
              <w:rPr>
                <w:rFonts w:eastAsia="Times New Roman"/>
                <w:sz w:val="16"/>
                <w:szCs w:val="16"/>
              </w:rPr>
            </w:pPr>
            <w:r>
              <w:rPr>
                <w:rFonts w:eastAsia="Times New Roman"/>
                <w:sz w:val="16"/>
                <w:szCs w:val="16"/>
              </w:rPr>
              <w:t>(804,241</w:t>
            </w:r>
          </w:p>
        </w:tc>
        <w:tc>
          <w:tcPr>
            <w:tcW w:w="50" w:type="pct"/>
            <w:shd w:val="clear" w:color="auto" w:fill="CCEEFF"/>
            <w:vAlign w:val="bottom"/>
            <w:hideMark/>
          </w:tcPr>
          <w:p w14:paraId="698B98BD"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2B6F717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D609DCC"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E928476" w14:textId="77777777" w:rsidR="00000000" w:rsidRDefault="00322B34">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14:paraId="45F0655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6C25C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F20A19" w14:textId="77777777" w:rsidR="00000000" w:rsidRDefault="00322B34">
            <w:pPr>
              <w:rPr>
                <w:rFonts w:eastAsia="Times New Roman"/>
                <w:sz w:val="16"/>
                <w:szCs w:val="16"/>
              </w:rPr>
            </w:pPr>
            <w:r>
              <w:rPr>
                <w:rFonts w:eastAsia="Times New Roman"/>
                <w:sz w:val="16"/>
                <w:szCs w:val="16"/>
              </w:rPr>
              <w:t>$</w:t>
            </w:r>
          </w:p>
        </w:tc>
        <w:tc>
          <w:tcPr>
            <w:tcW w:w="250" w:type="pct"/>
            <w:shd w:val="clear" w:color="auto" w:fill="CCEEFF"/>
            <w:vAlign w:val="bottom"/>
            <w:hideMark/>
          </w:tcPr>
          <w:p w14:paraId="557A53DF" w14:textId="77777777" w:rsidR="00000000" w:rsidRDefault="00322B34">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14:paraId="50F0765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3F8C9C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A6115BA"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98B833F" w14:textId="77777777" w:rsidR="00000000" w:rsidRDefault="00322B34">
            <w:pPr>
              <w:jc w:val="right"/>
              <w:rPr>
                <w:rFonts w:eastAsia="Times New Roman"/>
                <w:sz w:val="16"/>
                <w:szCs w:val="16"/>
              </w:rPr>
            </w:pPr>
            <w:r>
              <w:rPr>
                <w:rFonts w:eastAsia="Times New Roman"/>
                <w:sz w:val="16"/>
                <w:szCs w:val="16"/>
              </w:rPr>
              <w:t>422,037</w:t>
            </w:r>
          </w:p>
        </w:tc>
        <w:tc>
          <w:tcPr>
            <w:tcW w:w="50" w:type="pct"/>
            <w:shd w:val="clear" w:color="auto" w:fill="CCEEFF"/>
            <w:vAlign w:val="bottom"/>
            <w:hideMark/>
          </w:tcPr>
          <w:p w14:paraId="6836D95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B3C7CB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89C628" w14:textId="77777777" w:rsidR="00000000" w:rsidRDefault="00322B34">
            <w:pPr>
              <w:rPr>
                <w:rFonts w:eastAsia="Times New Roman"/>
                <w:sz w:val="16"/>
                <w:szCs w:val="16"/>
              </w:rPr>
            </w:pPr>
            <w:r>
              <w:rPr>
                <w:rFonts w:eastAsia="Times New Roman"/>
                <w:sz w:val="16"/>
                <w:szCs w:val="16"/>
              </w:rPr>
              <w:t>$</w:t>
            </w:r>
          </w:p>
        </w:tc>
        <w:tc>
          <w:tcPr>
            <w:tcW w:w="250" w:type="pct"/>
            <w:shd w:val="clear" w:color="auto" w:fill="CCEEFF"/>
            <w:vAlign w:val="bottom"/>
            <w:hideMark/>
          </w:tcPr>
          <w:p w14:paraId="1283DD87" w14:textId="77777777" w:rsidR="00000000" w:rsidRDefault="00322B34">
            <w:pPr>
              <w:jc w:val="right"/>
              <w:rPr>
                <w:rFonts w:eastAsia="Times New Roman"/>
                <w:sz w:val="16"/>
                <w:szCs w:val="16"/>
              </w:rPr>
            </w:pPr>
            <w:r>
              <w:rPr>
                <w:rFonts w:eastAsia="Times New Roman"/>
                <w:sz w:val="16"/>
                <w:szCs w:val="16"/>
              </w:rPr>
              <w:t>4,220</w:t>
            </w:r>
          </w:p>
        </w:tc>
        <w:tc>
          <w:tcPr>
            <w:tcW w:w="50" w:type="pct"/>
            <w:shd w:val="clear" w:color="auto" w:fill="CCEEFF"/>
            <w:vAlign w:val="bottom"/>
            <w:hideMark/>
          </w:tcPr>
          <w:p w14:paraId="67D6343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F9E40A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524221D" w14:textId="77777777" w:rsidR="00000000" w:rsidRDefault="00322B34">
            <w:pPr>
              <w:rPr>
                <w:rFonts w:eastAsia="Times New Roman"/>
                <w:sz w:val="16"/>
                <w:szCs w:val="16"/>
              </w:rPr>
            </w:pPr>
            <w:r>
              <w:rPr>
                <w:rFonts w:eastAsia="Times New Roman"/>
                <w:sz w:val="16"/>
                <w:szCs w:val="16"/>
              </w:rPr>
              <w:t>$</w:t>
            </w:r>
          </w:p>
        </w:tc>
        <w:tc>
          <w:tcPr>
            <w:tcW w:w="300" w:type="pct"/>
            <w:shd w:val="clear" w:color="auto" w:fill="CCEEFF"/>
            <w:vAlign w:val="bottom"/>
            <w:hideMark/>
          </w:tcPr>
          <w:p w14:paraId="263D7047" w14:textId="77777777" w:rsidR="00000000" w:rsidRDefault="00322B34">
            <w:pPr>
              <w:jc w:val="right"/>
              <w:rPr>
                <w:rFonts w:eastAsia="Times New Roman"/>
                <w:sz w:val="16"/>
                <w:szCs w:val="16"/>
              </w:rPr>
            </w:pPr>
            <w:r>
              <w:rPr>
                <w:rFonts w:eastAsia="Times New Roman"/>
                <w:sz w:val="16"/>
                <w:szCs w:val="16"/>
              </w:rPr>
              <w:t>6,119,855</w:t>
            </w:r>
          </w:p>
        </w:tc>
        <w:tc>
          <w:tcPr>
            <w:tcW w:w="50" w:type="pct"/>
            <w:shd w:val="clear" w:color="auto" w:fill="CCEEFF"/>
            <w:vAlign w:val="bottom"/>
            <w:hideMark/>
          </w:tcPr>
          <w:p w14:paraId="1E09210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F45874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627D71" w14:textId="77777777" w:rsidR="00000000" w:rsidRDefault="00322B34">
            <w:pPr>
              <w:rPr>
                <w:rFonts w:eastAsia="Times New Roman"/>
                <w:sz w:val="16"/>
                <w:szCs w:val="16"/>
              </w:rPr>
            </w:pPr>
            <w:r>
              <w:rPr>
                <w:rFonts w:eastAsia="Times New Roman"/>
                <w:sz w:val="16"/>
                <w:szCs w:val="16"/>
              </w:rPr>
              <w:t>$</w:t>
            </w:r>
          </w:p>
        </w:tc>
        <w:tc>
          <w:tcPr>
            <w:tcW w:w="300" w:type="pct"/>
            <w:shd w:val="clear" w:color="auto" w:fill="CCEEFF"/>
            <w:vAlign w:val="bottom"/>
            <w:hideMark/>
          </w:tcPr>
          <w:p w14:paraId="22730DB4" w14:textId="77777777" w:rsidR="00000000" w:rsidRDefault="00322B34">
            <w:pPr>
              <w:jc w:val="right"/>
              <w:rPr>
                <w:rFonts w:eastAsia="Times New Roman"/>
                <w:sz w:val="16"/>
                <w:szCs w:val="16"/>
              </w:rPr>
            </w:pPr>
            <w:r>
              <w:rPr>
                <w:rFonts w:eastAsia="Times New Roman"/>
                <w:sz w:val="16"/>
                <w:szCs w:val="16"/>
              </w:rPr>
              <w:t>5,319,877</w:t>
            </w:r>
          </w:p>
        </w:tc>
        <w:tc>
          <w:tcPr>
            <w:tcW w:w="50" w:type="pct"/>
            <w:shd w:val="clear" w:color="auto" w:fill="CCEEFF"/>
            <w:vAlign w:val="bottom"/>
            <w:hideMark/>
          </w:tcPr>
          <w:p w14:paraId="32E167F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5E43B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58031F" w14:textId="77777777" w:rsidR="00000000" w:rsidRDefault="00322B34">
            <w:pPr>
              <w:rPr>
                <w:rFonts w:eastAsia="Times New Roman"/>
                <w:sz w:val="16"/>
                <w:szCs w:val="16"/>
              </w:rPr>
            </w:pPr>
            <w:r>
              <w:rPr>
                <w:rFonts w:eastAsia="Times New Roman"/>
                <w:sz w:val="16"/>
                <w:szCs w:val="16"/>
              </w:rPr>
              <w:t>$</w:t>
            </w:r>
          </w:p>
        </w:tc>
        <w:tc>
          <w:tcPr>
            <w:tcW w:w="300" w:type="pct"/>
            <w:shd w:val="clear" w:color="auto" w:fill="CCEEFF"/>
            <w:vAlign w:val="bottom"/>
            <w:hideMark/>
          </w:tcPr>
          <w:p w14:paraId="267C6E9E" w14:textId="77777777" w:rsidR="00000000" w:rsidRDefault="00322B34">
            <w:pPr>
              <w:jc w:val="right"/>
              <w:rPr>
                <w:rFonts w:eastAsia="Times New Roman"/>
                <w:sz w:val="16"/>
                <w:szCs w:val="16"/>
              </w:rPr>
            </w:pPr>
            <w:r>
              <w:rPr>
                <w:rFonts w:eastAsia="Times New Roman"/>
                <w:sz w:val="16"/>
                <w:szCs w:val="16"/>
              </w:rPr>
              <w:t>76,981</w:t>
            </w:r>
          </w:p>
        </w:tc>
        <w:tc>
          <w:tcPr>
            <w:tcW w:w="50" w:type="pct"/>
            <w:shd w:val="clear" w:color="auto" w:fill="CCEEFF"/>
            <w:vAlign w:val="bottom"/>
            <w:hideMark/>
          </w:tcPr>
          <w:p w14:paraId="0EAC594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E99CE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1355F41" w14:textId="77777777" w:rsidR="00000000" w:rsidRDefault="00322B34">
            <w:pPr>
              <w:rPr>
                <w:rFonts w:eastAsia="Times New Roman"/>
                <w:sz w:val="16"/>
                <w:szCs w:val="16"/>
              </w:rPr>
            </w:pPr>
            <w:r>
              <w:rPr>
                <w:rFonts w:eastAsia="Times New Roman"/>
                <w:sz w:val="16"/>
                <w:szCs w:val="16"/>
              </w:rPr>
              <w:t>$</w:t>
            </w:r>
          </w:p>
        </w:tc>
        <w:tc>
          <w:tcPr>
            <w:tcW w:w="250" w:type="pct"/>
            <w:shd w:val="clear" w:color="auto" w:fill="CCEEFF"/>
            <w:vAlign w:val="bottom"/>
            <w:hideMark/>
          </w:tcPr>
          <w:p w14:paraId="4793F477" w14:textId="77777777" w:rsidR="00000000" w:rsidRDefault="00322B34">
            <w:pPr>
              <w:jc w:val="right"/>
              <w:rPr>
                <w:rFonts w:eastAsia="Times New Roman"/>
                <w:sz w:val="16"/>
                <w:szCs w:val="16"/>
              </w:rPr>
            </w:pPr>
            <w:r>
              <w:rPr>
                <w:rFonts w:eastAsia="Times New Roman"/>
                <w:sz w:val="16"/>
                <w:szCs w:val="16"/>
              </w:rPr>
              <w:t>5,396,858</w:t>
            </w:r>
          </w:p>
        </w:tc>
        <w:tc>
          <w:tcPr>
            <w:tcW w:w="50" w:type="pct"/>
            <w:shd w:val="clear" w:color="auto" w:fill="CCEEFF"/>
            <w:vAlign w:val="bottom"/>
            <w:hideMark/>
          </w:tcPr>
          <w:p w14:paraId="12164762" w14:textId="77777777" w:rsidR="00000000" w:rsidRDefault="00322B34">
            <w:pPr>
              <w:rPr>
                <w:rFonts w:eastAsia="Times New Roman"/>
                <w:sz w:val="16"/>
                <w:szCs w:val="16"/>
              </w:rPr>
            </w:pPr>
            <w:r>
              <w:rPr>
                <w:rFonts w:eastAsia="Times New Roman"/>
                <w:sz w:val="16"/>
                <w:szCs w:val="16"/>
              </w:rPr>
              <w:t> </w:t>
            </w:r>
          </w:p>
        </w:tc>
      </w:tr>
      <w:tr w:rsidR="00322B34" w14:paraId="13B9548A" w14:textId="77777777">
        <w:trPr>
          <w:divId w:val="45447007"/>
          <w:tblCellSpacing w:w="0" w:type="dxa"/>
        </w:trPr>
        <w:tc>
          <w:tcPr>
            <w:tcW w:w="1150" w:type="pct"/>
            <w:shd w:val="clear" w:color="auto" w:fill="FFFFFF"/>
            <w:vAlign w:val="bottom"/>
            <w:hideMark/>
          </w:tcPr>
          <w:p w14:paraId="26358911" w14:textId="77777777" w:rsidR="00000000" w:rsidRDefault="00322B34">
            <w:pPr>
              <w:rPr>
                <w:rFonts w:eastAsia="Times New Roman"/>
                <w:sz w:val="16"/>
                <w:szCs w:val="16"/>
              </w:rPr>
            </w:pPr>
            <w:r>
              <w:rPr>
                <w:rFonts w:eastAsia="Times New Roman"/>
                <w:sz w:val="16"/>
                <w:szCs w:val="16"/>
              </w:rPr>
              <w:t>Net income</w:t>
            </w:r>
          </w:p>
        </w:tc>
        <w:tc>
          <w:tcPr>
            <w:tcW w:w="50" w:type="pct"/>
            <w:shd w:val="clear" w:color="auto" w:fill="FFFFFF"/>
            <w:vAlign w:val="bottom"/>
            <w:hideMark/>
          </w:tcPr>
          <w:p w14:paraId="6ED80B6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13A00B3"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FFFFFF"/>
            <w:vAlign w:val="bottom"/>
            <w:hideMark/>
          </w:tcPr>
          <w:p w14:paraId="5939B927" w14:textId="77777777" w:rsidR="00000000" w:rsidRDefault="00322B34">
            <w:pPr>
              <w:jc w:val="right"/>
              <w:rPr>
                <w:rFonts w:eastAsia="Times New Roman"/>
                <w:sz w:val="16"/>
                <w:szCs w:val="16"/>
              </w:rPr>
            </w:pPr>
            <w:r>
              <w:rPr>
                <w:rFonts w:eastAsia="Times New Roman"/>
                <w:sz w:val="16"/>
                <w:szCs w:val="16"/>
              </w:rPr>
              <w:t>101,027</w:t>
            </w:r>
          </w:p>
        </w:tc>
        <w:tc>
          <w:tcPr>
            <w:tcW w:w="50" w:type="pct"/>
            <w:shd w:val="clear" w:color="auto" w:fill="FFFFFF"/>
            <w:vAlign w:val="bottom"/>
            <w:hideMark/>
          </w:tcPr>
          <w:p w14:paraId="1680FD3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D7DE31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7ED71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A0E0ABC"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17BE9A6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637100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96FB55E"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D8D872E"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987B3B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6077D8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678766"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6C2285A"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0192C57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6AD0AC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782DA11"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1F4B3E4"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3A5F30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068BB5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E7DF1B"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666FB3B"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7C0D9E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745A1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B12934"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5868B9A" w14:textId="77777777" w:rsidR="00000000" w:rsidRDefault="00322B34">
            <w:pPr>
              <w:jc w:val="right"/>
              <w:rPr>
                <w:rFonts w:eastAsia="Times New Roman"/>
                <w:sz w:val="16"/>
                <w:szCs w:val="16"/>
              </w:rPr>
            </w:pPr>
            <w:r>
              <w:rPr>
                <w:rFonts w:eastAsia="Times New Roman"/>
                <w:sz w:val="16"/>
                <w:szCs w:val="16"/>
              </w:rPr>
              <w:t>101,027</w:t>
            </w:r>
          </w:p>
        </w:tc>
        <w:tc>
          <w:tcPr>
            <w:tcW w:w="50" w:type="pct"/>
            <w:shd w:val="clear" w:color="auto" w:fill="FFFFFF"/>
            <w:vAlign w:val="bottom"/>
            <w:hideMark/>
          </w:tcPr>
          <w:p w14:paraId="75A6795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E8B16F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8FCD97A"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72FC554" w14:textId="77777777" w:rsidR="00000000" w:rsidRDefault="00322B34">
            <w:pPr>
              <w:jc w:val="right"/>
              <w:rPr>
                <w:rFonts w:eastAsia="Times New Roman"/>
                <w:sz w:val="16"/>
                <w:szCs w:val="16"/>
              </w:rPr>
            </w:pPr>
            <w:r>
              <w:rPr>
                <w:rFonts w:eastAsia="Times New Roman"/>
                <w:sz w:val="16"/>
                <w:szCs w:val="16"/>
              </w:rPr>
              <w:t>360</w:t>
            </w:r>
          </w:p>
        </w:tc>
        <w:tc>
          <w:tcPr>
            <w:tcW w:w="50" w:type="pct"/>
            <w:shd w:val="clear" w:color="auto" w:fill="FFFFFF"/>
            <w:vAlign w:val="bottom"/>
            <w:hideMark/>
          </w:tcPr>
          <w:p w14:paraId="2EB2279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3A4CFC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4C3C08F"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4BF21CA" w14:textId="77777777" w:rsidR="00000000" w:rsidRDefault="00322B34">
            <w:pPr>
              <w:jc w:val="right"/>
              <w:rPr>
                <w:rFonts w:eastAsia="Times New Roman"/>
                <w:sz w:val="16"/>
                <w:szCs w:val="16"/>
              </w:rPr>
            </w:pPr>
            <w:r>
              <w:rPr>
                <w:rFonts w:eastAsia="Times New Roman"/>
                <w:sz w:val="16"/>
                <w:szCs w:val="16"/>
              </w:rPr>
              <w:t>101,387</w:t>
            </w:r>
          </w:p>
        </w:tc>
        <w:tc>
          <w:tcPr>
            <w:tcW w:w="50" w:type="pct"/>
            <w:shd w:val="clear" w:color="auto" w:fill="FFFFFF"/>
            <w:vAlign w:val="bottom"/>
            <w:hideMark/>
          </w:tcPr>
          <w:p w14:paraId="7380152D" w14:textId="77777777" w:rsidR="00000000" w:rsidRDefault="00322B34">
            <w:pPr>
              <w:rPr>
                <w:rFonts w:eastAsia="Times New Roman"/>
                <w:sz w:val="16"/>
                <w:szCs w:val="16"/>
              </w:rPr>
            </w:pPr>
            <w:r>
              <w:rPr>
                <w:rFonts w:eastAsia="Times New Roman"/>
                <w:sz w:val="16"/>
                <w:szCs w:val="16"/>
              </w:rPr>
              <w:t> </w:t>
            </w:r>
          </w:p>
        </w:tc>
      </w:tr>
      <w:tr w:rsidR="00322B34" w14:paraId="4DD518B6" w14:textId="77777777">
        <w:trPr>
          <w:divId w:val="45447007"/>
          <w:tblCellSpacing w:w="0" w:type="dxa"/>
        </w:trPr>
        <w:tc>
          <w:tcPr>
            <w:tcW w:w="1150" w:type="pct"/>
            <w:shd w:val="clear" w:color="auto" w:fill="CCEEFF"/>
            <w:vAlign w:val="bottom"/>
            <w:hideMark/>
          </w:tcPr>
          <w:p w14:paraId="47ECE8E8" w14:textId="77777777" w:rsidR="00000000" w:rsidRDefault="00322B34">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CCEEFF"/>
            <w:vAlign w:val="bottom"/>
            <w:hideMark/>
          </w:tcPr>
          <w:p w14:paraId="66AFDDA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D7338D"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CCEEFF"/>
            <w:vAlign w:val="bottom"/>
            <w:hideMark/>
          </w:tcPr>
          <w:p w14:paraId="71E16091"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E428B4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E6966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241B38"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A352994"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648904E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78D1E2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CAA60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84FDE5E"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B1279D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D80D3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7F92A1"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629054E"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6EBD3A8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C7A576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C780407"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33F52E4"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F5BC03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E980C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1FD3B51"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AD945C0"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C55C0D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D43D8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949C8E0"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EAC0906"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8E3083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8BFFCE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56F81A"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B78B56B" w14:textId="77777777" w:rsidR="00000000" w:rsidRDefault="00322B34">
            <w:pPr>
              <w:jc w:val="right"/>
              <w:rPr>
                <w:rFonts w:eastAsia="Times New Roman"/>
                <w:sz w:val="16"/>
                <w:szCs w:val="16"/>
              </w:rPr>
            </w:pPr>
            <w:r>
              <w:rPr>
                <w:rFonts w:eastAsia="Times New Roman"/>
                <w:sz w:val="16"/>
                <w:szCs w:val="16"/>
              </w:rPr>
              <w:t>(93</w:t>
            </w:r>
          </w:p>
        </w:tc>
        <w:tc>
          <w:tcPr>
            <w:tcW w:w="50" w:type="pct"/>
            <w:shd w:val="clear" w:color="auto" w:fill="CCEEFF"/>
            <w:vAlign w:val="bottom"/>
            <w:hideMark/>
          </w:tcPr>
          <w:p w14:paraId="50D497A5"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06CA839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227DC61"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E3E2D82" w14:textId="77777777" w:rsidR="00000000" w:rsidRDefault="00322B34">
            <w:pPr>
              <w:jc w:val="right"/>
              <w:rPr>
                <w:rFonts w:eastAsia="Times New Roman"/>
                <w:sz w:val="16"/>
                <w:szCs w:val="16"/>
              </w:rPr>
            </w:pPr>
            <w:r>
              <w:rPr>
                <w:rFonts w:eastAsia="Times New Roman"/>
                <w:sz w:val="16"/>
                <w:szCs w:val="16"/>
              </w:rPr>
              <w:t>(93</w:t>
            </w:r>
          </w:p>
        </w:tc>
        <w:tc>
          <w:tcPr>
            <w:tcW w:w="50" w:type="pct"/>
            <w:shd w:val="clear" w:color="auto" w:fill="CCEEFF"/>
            <w:vAlign w:val="bottom"/>
            <w:hideMark/>
          </w:tcPr>
          <w:p w14:paraId="6264BDE0" w14:textId="77777777" w:rsidR="00000000" w:rsidRDefault="00322B34">
            <w:pPr>
              <w:rPr>
                <w:rFonts w:eastAsia="Times New Roman"/>
                <w:sz w:val="16"/>
                <w:szCs w:val="16"/>
              </w:rPr>
            </w:pPr>
            <w:r>
              <w:rPr>
                <w:rFonts w:eastAsia="Times New Roman"/>
                <w:sz w:val="16"/>
                <w:szCs w:val="16"/>
              </w:rPr>
              <w:t>)</w:t>
            </w:r>
          </w:p>
        </w:tc>
      </w:tr>
      <w:tr w:rsidR="00322B34" w14:paraId="6A19D5FB" w14:textId="77777777">
        <w:trPr>
          <w:divId w:val="45447007"/>
          <w:tblCellSpacing w:w="0" w:type="dxa"/>
        </w:trPr>
        <w:tc>
          <w:tcPr>
            <w:tcW w:w="1150" w:type="pct"/>
            <w:shd w:val="clear" w:color="auto" w:fill="FFFFFF"/>
            <w:vAlign w:val="bottom"/>
            <w:hideMark/>
          </w:tcPr>
          <w:p w14:paraId="0321CBE6" w14:textId="77777777" w:rsidR="00000000" w:rsidRDefault="00322B34">
            <w:pPr>
              <w:pStyle w:val="a3"/>
              <w:spacing w:before="0" w:beforeAutospacing="0" w:after="0" w:afterAutospacing="0"/>
              <w:ind w:left="180" w:hanging="180"/>
              <w:rPr>
                <w:sz w:val="16"/>
                <w:szCs w:val="16"/>
              </w:rPr>
            </w:pPr>
            <w:r>
              <w:rPr>
                <w:sz w:val="16"/>
                <w:szCs w:val="16"/>
              </w:rPr>
              <w:t xml:space="preserve">Dividends declared to </w:t>
            </w:r>
            <w:r>
              <w:rPr>
                <w:sz w:val="16"/>
                <w:szCs w:val="16"/>
              </w:rPr>
              <w:lastRenderedPageBreak/>
              <w:t>common and preferred shares</w:t>
            </w:r>
          </w:p>
        </w:tc>
        <w:tc>
          <w:tcPr>
            <w:tcW w:w="50" w:type="pct"/>
            <w:shd w:val="clear" w:color="auto" w:fill="FFFFFF"/>
            <w:vAlign w:val="bottom"/>
            <w:hideMark/>
          </w:tcPr>
          <w:p w14:paraId="4297D87F" w14:textId="77777777" w:rsidR="00000000" w:rsidRDefault="00322B34">
            <w:pPr>
              <w:rPr>
                <w:rFonts w:eastAsia="Times New Roman"/>
                <w:sz w:val="16"/>
                <w:szCs w:val="16"/>
              </w:rPr>
            </w:pPr>
            <w:r>
              <w:rPr>
                <w:rFonts w:eastAsia="Times New Roman"/>
                <w:sz w:val="16"/>
                <w:szCs w:val="16"/>
              </w:rPr>
              <w:lastRenderedPageBreak/>
              <w:t> </w:t>
            </w:r>
          </w:p>
        </w:tc>
        <w:tc>
          <w:tcPr>
            <w:tcW w:w="50" w:type="pct"/>
            <w:shd w:val="clear" w:color="auto" w:fill="FFFFFF"/>
            <w:vAlign w:val="bottom"/>
            <w:hideMark/>
          </w:tcPr>
          <w:p w14:paraId="565964D7"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FFFFFF"/>
            <w:vAlign w:val="bottom"/>
            <w:hideMark/>
          </w:tcPr>
          <w:p w14:paraId="3E7E81BE" w14:textId="77777777" w:rsidR="00000000" w:rsidRDefault="00322B34">
            <w:pPr>
              <w:jc w:val="right"/>
              <w:rPr>
                <w:rFonts w:eastAsia="Times New Roman"/>
                <w:sz w:val="16"/>
                <w:szCs w:val="16"/>
              </w:rPr>
            </w:pPr>
            <w:r>
              <w:rPr>
                <w:rFonts w:eastAsia="Times New Roman"/>
                <w:sz w:val="16"/>
                <w:szCs w:val="16"/>
              </w:rPr>
              <w:t>(132,720</w:t>
            </w:r>
          </w:p>
        </w:tc>
        <w:tc>
          <w:tcPr>
            <w:tcW w:w="50" w:type="pct"/>
            <w:shd w:val="clear" w:color="auto" w:fill="FFFFFF"/>
            <w:vAlign w:val="bottom"/>
            <w:hideMark/>
          </w:tcPr>
          <w:p w14:paraId="1644369C" w14:textId="77777777" w:rsidR="00000000" w:rsidRDefault="00322B34">
            <w:pPr>
              <w:rPr>
                <w:rFonts w:eastAsia="Times New Roman"/>
                <w:sz w:val="16"/>
                <w:szCs w:val="16"/>
              </w:rPr>
            </w:pPr>
            <w:r>
              <w:rPr>
                <w:rFonts w:eastAsia="Times New Roman"/>
                <w:sz w:val="16"/>
                <w:szCs w:val="16"/>
              </w:rPr>
              <w:t>)</w:t>
            </w:r>
          </w:p>
        </w:tc>
        <w:tc>
          <w:tcPr>
            <w:tcW w:w="50" w:type="pct"/>
            <w:shd w:val="clear" w:color="auto" w:fill="FFFFFF"/>
            <w:vAlign w:val="bottom"/>
            <w:hideMark/>
          </w:tcPr>
          <w:p w14:paraId="51EFB75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58848D"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2E2052B"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33ED047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D1D5E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B08BD83"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95B3150"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A7FCB6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3AA829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F60845D"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4C2D5C0"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018F0B2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7ABC04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FCD10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7EB6E9A"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DFEF63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93887F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8C46BA9"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263324C"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28D69C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61F947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48E7FC7"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9C8CF22" w14:textId="77777777" w:rsidR="00000000" w:rsidRDefault="00322B34">
            <w:pPr>
              <w:jc w:val="right"/>
              <w:rPr>
                <w:rFonts w:eastAsia="Times New Roman"/>
                <w:sz w:val="16"/>
                <w:szCs w:val="16"/>
              </w:rPr>
            </w:pPr>
            <w:r>
              <w:rPr>
                <w:rFonts w:eastAsia="Times New Roman"/>
                <w:sz w:val="16"/>
                <w:szCs w:val="16"/>
              </w:rPr>
              <w:t>(</w:t>
            </w:r>
            <w:r>
              <w:rPr>
                <w:rFonts w:eastAsia="Times New Roman"/>
                <w:sz w:val="16"/>
                <w:szCs w:val="16"/>
              </w:rPr>
              <w:t>132,720</w:t>
            </w:r>
          </w:p>
        </w:tc>
        <w:tc>
          <w:tcPr>
            <w:tcW w:w="50" w:type="pct"/>
            <w:shd w:val="clear" w:color="auto" w:fill="FFFFFF"/>
            <w:vAlign w:val="bottom"/>
            <w:hideMark/>
          </w:tcPr>
          <w:p w14:paraId="17BF1D07" w14:textId="77777777" w:rsidR="00000000" w:rsidRDefault="00322B34">
            <w:pPr>
              <w:rPr>
                <w:rFonts w:eastAsia="Times New Roman"/>
                <w:sz w:val="16"/>
                <w:szCs w:val="16"/>
              </w:rPr>
            </w:pPr>
            <w:r>
              <w:rPr>
                <w:rFonts w:eastAsia="Times New Roman"/>
                <w:sz w:val="16"/>
                <w:szCs w:val="16"/>
              </w:rPr>
              <w:t>)</w:t>
            </w:r>
          </w:p>
        </w:tc>
        <w:tc>
          <w:tcPr>
            <w:tcW w:w="50" w:type="pct"/>
            <w:shd w:val="clear" w:color="auto" w:fill="FFFFFF"/>
            <w:vAlign w:val="bottom"/>
            <w:hideMark/>
          </w:tcPr>
          <w:p w14:paraId="19C9489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9F1D743"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DDC1775"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F7CAF7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D64E29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54A94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4EE98AE" w14:textId="77777777" w:rsidR="00000000" w:rsidRDefault="00322B34">
            <w:pPr>
              <w:jc w:val="right"/>
              <w:rPr>
                <w:rFonts w:eastAsia="Times New Roman"/>
                <w:sz w:val="16"/>
                <w:szCs w:val="16"/>
              </w:rPr>
            </w:pPr>
            <w:r>
              <w:rPr>
                <w:rFonts w:eastAsia="Times New Roman"/>
                <w:sz w:val="16"/>
                <w:szCs w:val="16"/>
              </w:rPr>
              <w:t>(132,720</w:t>
            </w:r>
          </w:p>
        </w:tc>
        <w:tc>
          <w:tcPr>
            <w:tcW w:w="50" w:type="pct"/>
            <w:shd w:val="clear" w:color="auto" w:fill="FFFFFF"/>
            <w:vAlign w:val="bottom"/>
            <w:hideMark/>
          </w:tcPr>
          <w:p w14:paraId="1064122C" w14:textId="77777777" w:rsidR="00000000" w:rsidRDefault="00322B34">
            <w:pPr>
              <w:rPr>
                <w:rFonts w:eastAsia="Times New Roman"/>
                <w:sz w:val="16"/>
                <w:szCs w:val="16"/>
              </w:rPr>
            </w:pPr>
            <w:r>
              <w:rPr>
                <w:rFonts w:eastAsia="Times New Roman"/>
                <w:sz w:val="16"/>
                <w:szCs w:val="16"/>
              </w:rPr>
              <w:t>)</w:t>
            </w:r>
          </w:p>
        </w:tc>
      </w:tr>
      <w:tr w:rsidR="00322B34" w14:paraId="5F4538A7" w14:textId="77777777">
        <w:trPr>
          <w:divId w:val="45447007"/>
          <w:tblCellSpacing w:w="0" w:type="dxa"/>
        </w:trPr>
        <w:tc>
          <w:tcPr>
            <w:tcW w:w="1150" w:type="pct"/>
            <w:shd w:val="clear" w:color="auto" w:fill="CCEEFF"/>
            <w:vAlign w:val="bottom"/>
            <w:hideMark/>
          </w:tcPr>
          <w:p w14:paraId="7C3300A1" w14:textId="77777777" w:rsidR="00000000" w:rsidRDefault="00322B34">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14:paraId="4BAC29C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6CAC853"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CCEEFF"/>
            <w:vAlign w:val="bottom"/>
            <w:hideMark/>
          </w:tcPr>
          <w:p w14:paraId="4C73F19E"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7090F9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A801D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55BD48C"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EF5DC39"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590E369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152494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CD208A1"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0A1C82D"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9894F5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B4E8F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5AF07B"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1C8457F"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0B1EF66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DE06C8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B0EC22"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F5FB3CF"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581F5C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5BE842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8E069C3"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4465460"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91FCE8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41E65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2F1371"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C099C7C"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7C510F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29D93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67EA689"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3C7BF45" w14:textId="77777777" w:rsidR="00000000" w:rsidRDefault="00322B34">
            <w:pPr>
              <w:jc w:val="right"/>
              <w:rPr>
                <w:rFonts w:eastAsia="Times New Roman"/>
                <w:sz w:val="16"/>
                <w:szCs w:val="16"/>
              </w:rPr>
            </w:pPr>
            <w:r>
              <w:rPr>
                <w:rFonts w:eastAsia="Times New Roman"/>
                <w:sz w:val="16"/>
                <w:szCs w:val="16"/>
              </w:rPr>
              <w:t>(474</w:t>
            </w:r>
          </w:p>
        </w:tc>
        <w:tc>
          <w:tcPr>
            <w:tcW w:w="50" w:type="pct"/>
            <w:shd w:val="clear" w:color="auto" w:fill="CCEEFF"/>
            <w:vAlign w:val="bottom"/>
            <w:hideMark/>
          </w:tcPr>
          <w:p w14:paraId="41018A51"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73240D8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9270406"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8D24540" w14:textId="77777777" w:rsidR="00000000" w:rsidRDefault="00322B34">
            <w:pPr>
              <w:jc w:val="right"/>
              <w:rPr>
                <w:rFonts w:eastAsia="Times New Roman"/>
                <w:sz w:val="16"/>
                <w:szCs w:val="16"/>
              </w:rPr>
            </w:pPr>
            <w:r>
              <w:rPr>
                <w:rFonts w:eastAsia="Times New Roman"/>
                <w:sz w:val="16"/>
                <w:szCs w:val="16"/>
              </w:rPr>
              <w:t>(474</w:t>
            </w:r>
          </w:p>
        </w:tc>
        <w:tc>
          <w:tcPr>
            <w:tcW w:w="50" w:type="pct"/>
            <w:shd w:val="clear" w:color="auto" w:fill="CCEEFF"/>
            <w:vAlign w:val="bottom"/>
            <w:hideMark/>
          </w:tcPr>
          <w:p w14:paraId="35B797BF" w14:textId="77777777" w:rsidR="00000000" w:rsidRDefault="00322B34">
            <w:pPr>
              <w:rPr>
                <w:rFonts w:eastAsia="Times New Roman"/>
                <w:sz w:val="16"/>
                <w:szCs w:val="16"/>
              </w:rPr>
            </w:pPr>
            <w:r>
              <w:rPr>
                <w:rFonts w:eastAsia="Times New Roman"/>
                <w:sz w:val="16"/>
                <w:szCs w:val="16"/>
              </w:rPr>
              <w:t>)</w:t>
            </w:r>
          </w:p>
        </w:tc>
      </w:tr>
      <w:tr w:rsidR="00322B34" w14:paraId="0E75B62D" w14:textId="77777777">
        <w:trPr>
          <w:divId w:val="45447007"/>
          <w:tblCellSpacing w:w="0" w:type="dxa"/>
        </w:trPr>
        <w:tc>
          <w:tcPr>
            <w:tcW w:w="1150" w:type="pct"/>
            <w:shd w:val="clear" w:color="auto" w:fill="FFFFFF"/>
            <w:vAlign w:val="bottom"/>
            <w:hideMark/>
          </w:tcPr>
          <w:p w14:paraId="7D9B3655" w14:textId="77777777" w:rsidR="00000000" w:rsidRDefault="00322B34">
            <w:pPr>
              <w:pStyle w:val="a3"/>
              <w:spacing w:before="0" w:beforeAutospacing="0" w:after="0" w:afterAutospacing="0"/>
              <w:rPr>
                <w:sz w:val="16"/>
                <w:szCs w:val="16"/>
              </w:rPr>
            </w:pPr>
            <w:r>
              <w:rPr>
                <w:sz w:val="16"/>
                <w:szCs w:val="16"/>
              </w:rPr>
              <w:t>Issuance of common stock</w:t>
            </w:r>
          </w:p>
        </w:tc>
        <w:tc>
          <w:tcPr>
            <w:tcW w:w="50" w:type="pct"/>
            <w:shd w:val="clear" w:color="auto" w:fill="FFFFFF"/>
            <w:vAlign w:val="bottom"/>
            <w:hideMark/>
          </w:tcPr>
          <w:p w14:paraId="468048A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6FE631"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FFFFFF"/>
            <w:vAlign w:val="bottom"/>
            <w:hideMark/>
          </w:tcPr>
          <w:p w14:paraId="59DEB021"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F17C30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DA1794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6B63FD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8BB9A34"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017B63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B59F4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AACAEC7"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DB9E80E"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00819C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1D2E0E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20BF648"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FF4109B" w14:textId="77777777" w:rsidR="00000000" w:rsidRDefault="00322B34">
            <w:pPr>
              <w:jc w:val="right"/>
              <w:rPr>
                <w:rFonts w:eastAsia="Times New Roman"/>
                <w:sz w:val="16"/>
                <w:szCs w:val="16"/>
              </w:rPr>
            </w:pPr>
            <w:r>
              <w:rPr>
                <w:rFonts w:eastAsia="Times New Roman"/>
                <w:sz w:val="16"/>
                <w:szCs w:val="16"/>
              </w:rPr>
              <w:t>3</w:t>
            </w:r>
          </w:p>
        </w:tc>
        <w:tc>
          <w:tcPr>
            <w:tcW w:w="50" w:type="pct"/>
            <w:shd w:val="clear" w:color="auto" w:fill="FFFFFF"/>
            <w:vAlign w:val="bottom"/>
            <w:hideMark/>
          </w:tcPr>
          <w:p w14:paraId="612DEC3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9CCC98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05B68E8"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DD4363E"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131B79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5C5C7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15427CF"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487FD3B"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00A696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A7B156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EF1AB46"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8446A81"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3B6BB0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32693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FB431D"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E4A8B1A"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CC7169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B9CCB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EF01F23"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CE76F8F"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5AFA5BB" w14:textId="77777777" w:rsidR="00000000" w:rsidRDefault="00322B34">
            <w:pPr>
              <w:rPr>
                <w:rFonts w:eastAsia="Times New Roman"/>
                <w:sz w:val="16"/>
                <w:szCs w:val="16"/>
              </w:rPr>
            </w:pPr>
            <w:r>
              <w:rPr>
                <w:rFonts w:eastAsia="Times New Roman"/>
                <w:sz w:val="16"/>
                <w:szCs w:val="16"/>
              </w:rPr>
              <w:t> </w:t>
            </w:r>
          </w:p>
        </w:tc>
      </w:tr>
      <w:tr w:rsidR="00322B34" w14:paraId="200E662C" w14:textId="77777777">
        <w:trPr>
          <w:divId w:val="45447007"/>
          <w:tblCellSpacing w:w="0" w:type="dxa"/>
        </w:trPr>
        <w:tc>
          <w:tcPr>
            <w:tcW w:w="1150" w:type="pct"/>
            <w:shd w:val="clear" w:color="auto" w:fill="CCEEFF"/>
            <w:vAlign w:val="bottom"/>
            <w:hideMark/>
          </w:tcPr>
          <w:p w14:paraId="54DA9B83" w14:textId="77777777" w:rsidR="00000000" w:rsidRDefault="00322B34">
            <w:pPr>
              <w:pStyle w:val="a3"/>
              <w:spacing w:before="0" w:beforeAutospacing="0" w:after="0" w:afterAutospacing="0"/>
              <w:rPr>
                <w:sz w:val="16"/>
                <w:szCs w:val="16"/>
              </w:rPr>
            </w:pPr>
            <w:r>
              <w:rPr>
                <w:sz w:val="16"/>
                <w:szCs w:val="16"/>
              </w:rPr>
              <w:t>Surrender of restricted common stock</w:t>
            </w:r>
          </w:p>
        </w:tc>
        <w:tc>
          <w:tcPr>
            <w:tcW w:w="50" w:type="pct"/>
            <w:shd w:val="clear" w:color="auto" w:fill="CCEEFF"/>
            <w:vAlign w:val="bottom"/>
            <w:hideMark/>
          </w:tcPr>
          <w:p w14:paraId="618CCF2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1F3C77C"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CCEEFF"/>
            <w:vAlign w:val="bottom"/>
            <w:hideMark/>
          </w:tcPr>
          <w:p w14:paraId="3038C25B"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C84DC8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00CD4B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4A9BF2"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44D76B8"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AD0489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7D70D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5FCE57"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C7BA356"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E36223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DCC4BB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815EE1"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B21CEF4" w14:textId="77777777" w:rsidR="00000000" w:rsidRDefault="00322B34">
            <w:pPr>
              <w:jc w:val="right"/>
              <w:rPr>
                <w:rFonts w:eastAsia="Times New Roman"/>
                <w:sz w:val="16"/>
                <w:szCs w:val="16"/>
              </w:rPr>
            </w:pPr>
            <w:r>
              <w:rPr>
                <w:rFonts w:eastAsia="Times New Roman"/>
                <w:sz w:val="16"/>
                <w:szCs w:val="16"/>
              </w:rPr>
              <w:t>(36</w:t>
            </w:r>
          </w:p>
        </w:tc>
        <w:tc>
          <w:tcPr>
            <w:tcW w:w="50" w:type="pct"/>
            <w:shd w:val="clear" w:color="auto" w:fill="CCEEFF"/>
            <w:vAlign w:val="bottom"/>
            <w:hideMark/>
          </w:tcPr>
          <w:p w14:paraId="0B0D5217"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1913021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44F080"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4CB096F"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C35C43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B614A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5422E72"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6FC899B" w14:textId="77777777" w:rsidR="00000000" w:rsidRDefault="00322B34">
            <w:pPr>
              <w:jc w:val="right"/>
              <w:rPr>
                <w:rFonts w:eastAsia="Times New Roman"/>
                <w:sz w:val="16"/>
                <w:szCs w:val="16"/>
              </w:rPr>
            </w:pPr>
            <w:r>
              <w:rPr>
                <w:rFonts w:eastAsia="Times New Roman"/>
                <w:sz w:val="16"/>
                <w:szCs w:val="16"/>
              </w:rPr>
              <w:t>(437</w:t>
            </w:r>
          </w:p>
        </w:tc>
        <w:tc>
          <w:tcPr>
            <w:tcW w:w="50" w:type="pct"/>
            <w:shd w:val="clear" w:color="auto" w:fill="CCEEFF"/>
            <w:vAlign w:val="bottom"/>
            <w:hideMark/>
          </w:tcPr>
          <w:p w14:paraId="4137D002"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1533A84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CAA30C"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DDDF09A" w14:textId="77777777" w:rsidR="00000000" w:rsidRDefault="00322B34">
            <w:pPr>
              <w:jc w:val="right"/>
              <w:rPr>
                <w:rFonts w:eastAsia="Times New Roman"/>
                <w:sz w:val="16"/>
                <w:szCs w:val="16"/>
              </w:rPr>
            </w:pPr>
            <w:r>
              <w:rPr>
                <w:rFonts w:eastAsia="Times New Roman"/>
                <w:sz w:val="16"/>
                <w:szCs w:val="16"/>
              </w:rPr>
              <w:t>(437</w:t>
            </w:r>
          </w:p>
        </w:tc>
        <w:tc>
          <w:tcPr>
            <w:tcW w:w="50" w:type="pct"/>
            <w:shd w:val="clear" w:color="auto" w:fill="CCEEFF"/>
            <w:vAlign w:val="bottom"/>
            <w:hideMark/>
          </w:tcPr>
          <w:p w14:paraId="76643DDA"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7EA5C26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203DD7"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7F13925"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C2A2AB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8B4918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3EED76"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3289B69" w14:textId="77777777" w:rsidR="00000000" w:rsidRDefault="00322B34">
            <w:pPr>
              <w:jc w:val="right"/>
              <w:rPr>
                <w:rFonts w:eastAsia="Times New Roman"/>
                <w:sz w:val="16"/>
                <w:szCs w:val="16"/>
              </w:rPr>
            </w:pPr>
            <w:r>
              <w:rPr>
                <w:rFonts w:eastAsia="Times New Roman"/>
                <w:sz w:val="16"/>
                <w:szCs w:val="16"/>
              </w:rPr>
              <w:t>(437</w:t>
            </w:r>
          </w:p>
        </w:tc>
        <w:tc>
          <w:tcPr>
            <w:tcW w:w="50" w:type="pct"/>
            <w:shd w:val="clear" w:color="auto" w:fill="CCEEFF"/>
            <w:vAlign w:val="bottom"/>
            <w:hideMark/>
          </w:tcPr>
          <w:p w14:paraId="57DEF94A" w14:textId="77777777" w:rsidR="00000000" w:rsidRDefault="00322B34">
            <w:pPr>
              <w:rPr>
                <w:rFonts w:eastAsia="Times New Roman"/>
                <w:sz w:val="16"/>
                <w:szCs w:val="16"/>
              </w:rPr>
            </w:pPr>
            <w:r>
              <w:rPr>
                <w:rFonts w:eastAsia="Times New Roman"/>
                <w:sz w:val="16"/>
                <w:szCs w:val="16"/>
              </w:rPr>
              <w:t>)</w:t>
            </w:r>
          </w:p>
        </w:tc>
      </w:tr>
      <w:tr w:rsidR="00322B34" w14:paraId="0E3F68C9" w14:textId="77777777">
        <w:trPr>
          <w:divId w:val="45447007"/>
          <w:tblCellSpacing w:w="0" w:type="dxa"/>
        </w:trPr>
        <w:tc>
          <w:tcPr>
            <w:tcW w:w="1150" w:type="pct"/>
            <w:shd w:val="clear" w:color="auto" w:fill="FFFFFF"/>
            <w:vAlign w:val="bottom"/>
            <w:hideMark/>
          </w:tcPr>
          <w:p w14:paraId="63727B1A" w14:textId="77777777" w:rsidR="00000000" w:rsidRDefault="00322B34">
            <w:pPr>
              <w:pStyle w:val="a3"/>
              <w:spacing w:before="0" w:beforeAutospacing="0" w:after="0" w:afterAutospacing="0"/>
              <w:rPr>
                <w:sz w:val="16"/>
                <w:szCs w:val="16"/>
              </w:rPr>
            </w:pPr>
            <w:r>
              <w:rPr>
                <w:sz w:val="16"/>
                <w:szCs w:val="16"/>
              </w:rPr>
              <w:t>Exercise of common stock options</w:t>
            </w:r>
          </w:p>
        </w:tc>
        <w:tc>
          <w:tcPr>
            <w:tcW w:w="50" w:type="pct"/>
            <w:shd w:val="clear" w:color="auto" w:fill="FFFFFF"/>
            <w:vAlign w:val="bottom"/>
            <w:hideMark/>
          </w:tcPr>
          <w:p w14:paraId="39E97B7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D32A16E"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FFFFFF"/>
            <w:vAlign w:val="bottom"/>
            <w:hideMark/>
          </w:tcPr>
          <w:p w14:paraId="2A67D5F3"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C878EB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7AC83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C60AA32"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36E186F"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1AC0CC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07204F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134F15C"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71C5CC5"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61FBF4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AF97B6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000073E"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C22B3DC" w14:textId="77777777" w:rsidR="00000000" w:rsidRDefault="00322B34">
            <w:pPr>
              <w:jc w:val="right"/>
              <w:rPr>
                <w:rFonts w:eastAsia="Times New Roman"/>
                <w:sz w:val="16"/>
                <w:szCs w:val="16"/>
              </w:rPr>
            </w:pPr>
            <w:r>
              <w:rPr>
                <w:rFonts w:eastAsia="Times New Roman"/>
                <w:sz w:val="16"/>
                <w:szCs w:val="16"/>
              </w:rPr>
              <w:t>90</w:t>
            </w:r>
          </w:p>
        </w:tc>
        <w:tc>
          <w:tcPr>
            <w:tcW w:w="50" w:type="pct"/>
            <w:shd w:val="clear" w:color="auto" w:fill="FFFFFF"/>
            <w:vAlign w:val="bottom"/>
            <w:hideMark/>
          </w:tcPr>
          <w:p w14:paraId="4A5ACCB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86BB75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7651C9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D065EC3" w14:textId="77777777" w:rsidR="00000000" w:rsidRDefault="00322B34">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14:paraId="786E489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9E2A18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65C1442"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581FBBF" w14:textId="77777777" w:rsidR="00000000" w:rsidRDefault="00322B34">
            <w:pPr>
              <w:jc w:val="right"/>
              <w:rPr>
                <w:rFonts w:eastAsia="Times New Roman"/>
                <w:sz w:val="16"/>
                <w:szCs w:val="16"/>
              </w:rPr>
            </w:pPr>
            <w:r>
              <w:rPr>
                <w:rFonts w:eastAsia="Times New Roman"/>
                <w:sz w:val="16"/>
                <w:szCs w:val="16"/>
              </w:rPr>
              <w:t>1,129</w:t>
            </w:r>
          </w:p>
        </w:tc>
        <w:tc>
          <w:tcPr>
            <w:tcW w:w="50" w:type="pct"/>
            <w:shd w:val="clear" w:color="auto" w:fill="FFFFFF"/>
            <w:vAlign w:val="bottom"/>
            <w:hideMark/>
          </w:tcPr>
          <w:p w14:paraId="76A3AB1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FE6C5D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3402C42"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FEEBC83" w14:textId="77777777" w:rsidR="00000000" w:rsidRDefault="00322B34">
            <w:pPr>
              <w:jc w:val="right"/>
              <w:rPr>
                <w:rFonts w:eastAsia="Times New Roman"/>
                <w:sz w:val="16"/>
                <w:szCs w:val="16"/>
              </w:rPr>
            </w:pPr>
            <w:r>
              <w:rPr>
                <w:rFonts w:eastAsia="Times New Roman"/>
                <w:sz w:val="16"/>
                <w:szCs w:val="16"/>
              </w:rPr>
              <w:t>1,130</w:t>
            </w:r>
          </w:p>
        </w:tc>
        <w:tc>
          <w:tcPr>
            <w:tcW w:w="50" w:type="pct"/>
            <w:shd w:val="clear" w:color="auto" w:fill="FFFFFF"/>
            <w:vAlign w:val="bottom"/>
            <w:hideMark/>
          </w:tcPr>
          <w:p w14:paraId="64C2D3F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149A30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1006BFC"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83B629D"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942E02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59D033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3913BC8"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5AF4997" w14:textId="77777777" w:rsidR="00000000" w:rsidRDefault="00322B34">
            <w:pPr>
              <w:jc w:val="right"/>
              <w:rPr>
                <w:rFonts w:eastAsia="Times New Roman"/>
                <w:sz w:val="16"/>
                <w:szCs w:val="16"/>
              </w:rPr>
            </w:pPr>
            <w:r>
              <w:rPr>
                <w:rFonts w:eastAsia="Times New Roman"/>
                <w:sz w:val="16"/>
                <w:szCs w:val="16"/>
              </w:rPr>
              <w:t>1,130</w:t>
            </w:r>
          </w:p>
        </w:tc>
        <w:tc>
          <w:tcPr>
            <w:tcW w:w="50" w:type="pct"/>
            <w:shd w:val="clear" w:color="auto" w:fill="FFFFFF"/>
            <w:vAlign w:val="bottom"/>
            <w:hideMark/>
          </w:tcPr>
          <w:p w14:paraId="30A6E8D8" w14:textId="77777777" w:rsidR="00000000" w:rsidRDefault="00322B34">
            <w:pPr>
              <w:rPr>
                <w:rFonts w:eastAsia="Times New Roman"/>
                <w:sz w:val="16"/>
                <w:szCs w:val="16"/>
              </w:rPr>
            </w:pPr>
            <w:r>
              <w:rPr>
                <w:rFonts w:eastAsia="Times New Roman"/>
                <w:sz w:val="16"/>
                <w:szCs w:val="16"/>
              </w:rPr>
              <w:t> </w:t>
            </w:r>
          </w:p>
        </w:tc>
      </w:tr>
      <w:tr w:rsidR="00322B34" w14:paraId="484D7FCC" w14:textId="77777777">
        <w:trPr>
          <w:divId w:val="45447007"/>
          <w:tblCellSpacing w:w="0" w:type="dxa"/>
        </w:trPr>
        <w:tc>
          <w:tcPr>
            <w:tcW w:w="1150" w:type="pct"/>
            <w:shd w:val="clear" w:color="auto" w:fill="CCEEFF"/>
            <w:vAlign w:val="bottom"/>
            <w:hideMark/>
          </w:tcPr>
          <w:p w14:paraId="31A390FB" w14:textId="77777777" w:rsidR="00000000" w:rsidRDefault="00322B34">
            <w:pPr>
              <w:pStyle w:val="a3"/>
              <w:spacing w:before="0" w:beforeAutospacing="0" w:after="0" w:afterAutospacing="0"/>
              <w:rPr>
                <w:sz w:val="16"/>
                <w:szCs w:val="16"/>
              </w:rPr>
            </w:pPr>
            <w:r>
              <w:rPr>
                <w:sz w:val="16"/>
                <w:szCs w:val="16"/>
              </w:rPr>
              <w:t>Amortization of equity awards</w:t>
            </w:r>
          </w:p>
        </w:tc>
        <w:tc>
          <w:tcPr>
            <w:tcW w:w="50" w:type="pct"/>
            <w:shd w:val="clear" w:color="auto" w:fill="CCEEFF"/>
            <w:vAlign w:val="bottom"/>
            <w:hideMark/>
          </w:tcPr>
          <w:p w14:paraId="6AFDBC3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2B157A"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CCEEFF"/>
            <w:vAlign w:val="bottom"/>
            <w:hideMark/>
          </w:tcPr>
          <w:p w14:paraId="46E3AE7B"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7A9714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A6AE33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9C9B70"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003F054"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42279BC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903CA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C7267FE"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C0C5902"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0BF847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4A4BF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350D7B6"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F70358F"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6EC3A3F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276F01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7E63BDD"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6935106"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C980E7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6F1F4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0ED38E"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DD6F1C9" w14:textId="77777777" w:rsidR="00000000" w:rsidRDefault="00322B34">
            <w:pPr>
              <w:jc w:val="right"/>
              <w:rPr>
                <w:rFonts w:eastAsia="Times New Roman"/>
                <w:sz w:val="16"/>
                <w:szCs w:val="16"/>
              </w:rPr>
            </w:pPr>
            <w:r>
              <w:rPr>
                <w:rFonts w:eastAsia="Times New Roman"/>
                <w:sz w:val="16"/>
                <w:szCs w:val="16"/>
              </w:rPr>
              <w:t>4,536</w:t>
            </w:r>
          </w:p>
        </w:tc>
        <w:tc>
          <w:tcPr>
            <w:tcW w:w="50" w:type="pct"/>
            <w:shd w:val="clear" w:color="auto" w:fill="CCEEFF"/>
            <w:vAlign w:val="bottom"/>
            <w:hideMark/>
          </w:tcPr>
          <w:p w14:paraId="7A0687F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9A96F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09EA7B3"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1943E51" w14:textId="77777777" w:rsidR="00000000" w:rsidRDefault="00322B34">
            <w:pPr>
              <w:jc w:val="right"/>
              <w:rPr>
                <w:rFonts w:eastAsia="Times New Roman"/>
                <w:sz w:val="16"/>
                <w:szCs w:val="16"/>
              </w:rPr>
            </w:pPr>
            <w:r>
              <w:rPr>
                <w:rFonts w:eastAsia="Times New Roman"/>
                <w:sz w:val="16"/>
                <w:szCs w:val="16"/>
              </w:rPr>
              <w:t>4,536</w:t>
            </w:r>
          </w:p>
        </w:tc>
        <w:tc>
          <w:tcPr>
            <w:tcW w:w="50" w:type="pct"/>
            <w:shd w:val="clear" w:color="auto" w:fill="CCEEFF"/>
            <w:vAlign w:val="bottom"/>
            <w:hideMark/>
          </w:tcPr>
          <w:p w14:paraId="3F277D6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903637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20B8DCB"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04B7C1D"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AE5366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666084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3578DD6"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0E93DFB" w14:textId="77777777" w:rsidR="00000000" w:rsidRDefault="00322B34">
            <w:pPr>
              <w:jc w:val="right"/>
              <w:rPr>
                <w:rFonts w:eastAsia="Times New Roman"/>
                <w:sz w:val="16"/>
                <w:szCs w:val="16"/>
              </w:rPr>
            </w:pPr>
            <w:r>
              <w:rPr>
                <w:rFonts w:eastAsia="Times New Roman"/>
                <w:sz w:val="16"/>
                <w:szCs w:val="16"/>
              </w:rPr>
              <w:t>4,536</w:t>
            </w:r>
          </w:p>
        </w:tc>
        <w:tc>
          <w:tcPr>
            <w:tcW w:w="50" w:type="pct"/>
            <w:shd w:val="clear" w:color="auto" w:fill="CCEEFF"/>
            <w:vAlign w:val="bottom"/>
            <w:hideMark/>
          </w:tcPr>
          <w:p w14:paraId="6EFBADF5" w14:textId="77777777" w:rsidR="00000000" w:rsidRDefault="00322B34">
            <w:pPr>
              <w:rPr>
                <w:rFonts w:eastAsia="Times New Roman"/>
                <w:sz w:val="16"/>
                <w:szCs w:val="16"/>
              </w:rPr>
            </w:pPr>
            <w:r>
              <w:rPr>
                <w:rFonts w:eastAsia="Times New Roman"/>
                <w:sz w:val="16"/>
                <w:szCs w:val="16"/>
              </w:rPr>
              <w:t> </w:t>
            </w:r>
          </w:p>
        </w:tc>
      </w:tr>
      <w:tr w:rsidR="00322B34" w14:paraId="50C9E0E1" w14:textId="77777777">
        <w:trPr>
          <w:divId w:val="45447007"/>
          <w:tblCellSpacing w:w="0" w:type="dxa"/>
        </w:trPr>
        <w:tc>
          <w:tcPr>
            <w:tcW w:w="1150" w:type="pct"/>
            <w:shd w:val="clear" w:color="auto" w:fill="FFFFFF"/>
            <w:vAlign w:val="bottom"/>
            <w:hideMark/>
          </w:tcPr>
          <w:p w14:paraId="602C8F3F" w14:textId="77777777" w:rsidR="00000000" w:rsidRDefault="00322B34">
            <w:pPr>
              <w:pStyle w:val="a3"/>
              <w:spacing w:before="0" w:beforeAutospacing="0" w:after="0" w:afterAutospacing="0"/>
              <w:ind w:left="180" w:hanging="180"/>
              <w:rPr>
                <w:sz w:val="16"/>
                <w:szCs w:val="16"/>
              </w:rPr>
            </w:pPr>
            <w:r>
              <w:rPr>
                <w:sz w:val="16"/>
                <w:szCs w:val="16"/>
              </w:rPr>
              <w:t>Acquisition of noncontrolling interests</w:t>
            </w:r>
          </w:p>
        </w:tc>
        <w:tc>
          <w:tcPr>
            <w:tcW w:w="50" w:type="pct"/>
            <w:shd w:val="clear" w:color="auto" w:fill="FFFFFF"/>
            <w:tcMar>
              <w:top w:w="0" w:type="dxa"/>
              <w:left w:w="0" w:type="dxa"/>
              <w:bottom w:w="15" w:type="dxa"/>
              <w:right w:w="0" w:type="dxa"/>
            </w:tcMar>
            <w:vAlign w:val="bottom"/>
            <w:hideMark/>
          </w:tcPr>
          <w:p w14:paraId="2880516F"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5DC0D83A" w14:textId="77777777" w:rsidR="00000000" w:rsidRDefault="00322B34">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FFFFFF"/>
            <w:vAlign w:val="bottom"/>
            <w:hideMark/>
          </w:tcPr>
          <w:p w14:paraId="4A341F28" w14:textId="77777777" w:rsidR="00000000" w:rsidRDefault="00322B3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4C9C258F"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1D59CB99"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18E46E99"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0E739809" w14:textId="77777777" w:rsidR="00000000" w:rsidRDefault="00322B34">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14:paraId="039C4A72"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1DE09B3B"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4CAFF987"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16049ABE" w14:textId="77777777" w:rsidR="00000000" w:rsidRDefault="00322B3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49B137AD"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2EB1BAB8"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7354FAA2"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1E20183B" w14:textId="77777777" w:rsidR="00000000" w:rsidRDefault="00322B34">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14:paraId="504E612E"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69F30211"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2AA336A5"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52742411" w14:textId="77777777" w:rsidR="00000000" w:rsidRDefault="00322B3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4C988EFF"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13B298EB"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45A11F66"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513E7674" w14:textId="77777777" w:rsidR="00000000" w:rsidRDefault="00322B34">
            <w:pPr>
              <w:jc w:val="right"/>
              <w:rPr>
                <w:rFonts w:eastAsia="Times New Roman"/>
                <w:sz w:val="16"/>
                <w:szCs w:val="16"/>
              </w:rPr>
            </w:pPr>
            <w:r>
              <w:rPr>
                <w:rFonts w:eastAsia="Times New Roman"/>
                <w:sz w:val="16"/>
                <w:szCs w:val="16"/>
              </w:rPr>
              <w:t>489</w:t>
            </w:r>
          </w:p>
        </w:tc>
        <w:tc>
          <w:tcPr>
            <w:tcW w:w="50" w:type="pct"/>
            <w:tcBorders>
              <w:bottom w:val="single" w:sz="6" w:space="0" w:color="000000"/>
            </w:tcBorders>
            <w:shd w:val="clear" w:color="auto" w:fill="FFFFFF"/>
            <w:vAlign w:val="bottom"/>
            <w:hideMark/>
          </w:tcPr>
          <w:p w14:paraId="64531748"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62B10882"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3CA05DE2"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6F3E8E33" w14:textId="77777777" w:rsidR="00000000" w:rsidRDefault="00322B34">
            <w:pPr>
              <w:jc w:val="right"/>
              <w:rPr>
                <w:rFonts w:eastAsia="Times New Roman"/>
                <w:sz w:val="16"/>
                <w:szCs w:val="16"/>
              </w:rPr>
            </w:pPr>
            <w:r>
              <w:rPr>
                <w:rFonts w:eastAsia="Times New Roman"/>
                <w:sz w:val="16"/>
                <w:szCs w:val="16"/>
              </w:rPr>
              <w:t>489</w:t>
            </w:r>
          </w:p>
        </w:tc>
        <w:tc>
          <w:tcPr>
            <w:tcW w:w="50" w:type="pct"/>
            <w:tcBorders>
              <w:bottom w:val="single" w:sz="6" w:space="0" w:color="000000"/>
            </w:tcBorders>
            <w:shd w:val="clear" w:color="auto" w:fill="FFFFFF"/>
            <w:vAlign w:val="bottom"/>
            <w:hideMark/>
          </w:tcPr>
          <w:p w14:paraId="4DE23855"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7A97EDD1"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318B5C12"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4A57DCCE" w14:textId="77777777" w:rsidR="00000000" w:rsidRDefault="00322B34">
            <w:pPr>
              <w:jc w:val="right"/>
              <w:rPr>
                <w:rFonts w:eastAsia="Times New Roman"/>
                <w:sz w:val="16"/>
                <w:szCs w:val="16"/>
              </w:rPr>
            </w:pPr>
            <w:r>
              <w:rPr>
                <w:rFonts w:eastAsia="Times New Roman"/>
                <w:sz w:val="16"/>
                <w:szCs w:val="16"/>
              </w:rPr>
              <w:t>(3,215</w:t>
            </w:r>
          </w:p>
        </w:tc>
        <w:tc>
          <w:tcPr>
            <w:tcW w:w="50" w:type="pct"/>
            <w:tcBorders>
              <w:bottom w:val="single" w:sz="6" w:space="0" w:color="000000"/>
            </w:tcBorders>
            <w:shd w:val="clear" w:color="auto" w:fill="FFFFFF"/>
            <w:vAlign w:val="bottom"/>
            <w:hideMark/>
          </w:tcPr>
          <w:p w14:paraId="27BEA281" w14:textId="77777777" w:rsidR="00000000" w:rsidRDefault="00322B34">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576CF645"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0A3092E1"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047F851A" w14:textId="77777777" w:rsidR="00000000" w:rsidRDefault="00322B34">
            <w:pPr>
              <w:jc w:val="right"/>
              <w:rPr>
                <w:rFonts w:eastAsia="Times New Roman"/>
                <w:sz w:val="16"/>
                <w:szCs w:val="16"/>
              </w:rPr>
            </w:pPr>
            <w:r>
              <w:rPr>
                <w:rFonts w:eastAsia="Times New Roman"/>
                <w:sz w:val="16"/>
                <w:szCs w:val="16"/>
              </w:rPr>
              <w:t>(2,726</w:t>
            </w:r>
          </w:p>
        </w:tc>
        <w:tc>
          <w:tcPr>
            <w:tcW w:w="50" w:type="pct"/>
            <w:shd w:val="clear" w:color="auto" w:fill="FFFFFF"/>
            <w:tcMar>
              <w:top w:w="0" w:type="dxa"/>
              <w:left w:w="0" w:type="dxa"/>
              <w:bottom w:w="15" w:type="dxa"/>
              <w:right w:w="0" w:type="dxa"/>
            </w:tcMar>
            <w:vAlign w:val="bottom"/>
            <w:hideMark/>
          </w:tcPr>
          <w:p w14:paraId="2B21F53D" w14:textId="77777777" w:rsidR="00000000" w:rsidRDefault="00322B34">
            <w:pPr>
              <w:rPr>
                <w:rFonts w:eastAsia="Times New Roman"/>
                <w:sz w:val="16"/>
                <w:szCs w:val="16"/>
              </w:rPr>
            </w:pPr>
            <w:r>
              <w:rPr>
                <w:rFonts w:eastAsia="Times New Roman"/>
                <w:sz w:val="16"/>
                <w:szCs w:val="16"/>
              </w:rPr>
              <w:t>)</w:t>
            </w:r>
          </w:p>
        </w:tc>
      </w:tr>
      <w:tr w:rsidR="00322B34" w14:paraId="25F9C2AF" w14:textId="77777777">
        <w:trPr>
          <w:divId w:val="45447007"/>
          <w:tblCellSpacing w:w="0" w:type="dxa"/>
        </w:trPr>
        <w:tc>
          <w:tcPr>
            <w:tcW w:w="1150" w:type="pct"/>
            <w:shd w:val="clear" w:color="auto" w:fill="CCEEFF"/>
            <w:vAlign w:val="bottom"/>
            <w:hideMark/>
          </w:tcPr>
          <w:p w14:paraId="6BC4E8A9" w14:textId="77777777" w:rsidR="00000000" w:rsidRDefault="00322B34">
            <w:pPr>
              <w:pStyle w:val="a3"/>
              <w:spacing w:before="0" w:beforeAutospacing="0" w:after="0" w:afterAutospacing="0"/>
              <w:rPr>
                <w:sz w:val="16"/>
                <w:szCs w:val="16"/>
              </w:rPr>
            </w:pPr>
            <w:r>
              <w:rPr>
                <w:sz w:val="16"/>
                <w:szCs w:val="16"/>
              </w:rPr>
              <w:t>Balance at June 30, 2019</w:t>
            </w:r>
          </w:p>
        </w:tc>
        <w:tc>
          <w:tcPr>
            <w:tcW w:w="50" w:type="pct"/>
            <w:shd w:val="clear" w:color="auto" w:fill="CCEEFF"/>
            <w:tcMar>
              <w:top w:w="0" w:type="dxa"/>
              <w:left w:w="0" w:type="dxa"/>
              <w:bottom w:w="45" w:type="dxa"/>
              <w:right w:w="0" w:type="dxa"/>
            </w:tcMar>
            <w:vAlign w:val="bottom"/>
            <w:hideMark/>
          </w:tcPr>
          <w:p w14:paraId="7C1E7BD3"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3881452A" w14:textId="77777777" w:rsidR="00000000" w:rsidRDefault="00322B34">
            <w:pPr>
              <w:rPr>
                <w:rFonts w:eastAsia="Times New Roman"/>
                <w:sz w:val="16"/>
                <w:szCs w:val="16"/>
              </w:rPr>
            </w:pPr>
            <w:r>
              <w:rPr>
                <w:rFonts w:eastAsia="Times New Roman"/>
                <w:sz w:val="16"/>
                <w:szCs w:val="16"/>
              </w:rPr>
              <w:t>$</w:t>
            </w:r>
          </w:p>
        </w:tc>
        <w:tc>
          <w:tcPr>
            <w:tcW w:w="350" w:type="pct"/>
            <w:tcBorders>
              <w:bottom w:val="double" w:sz="6" w:space="0" w:color="000000"/>
            </w:tcBorders>
            <w:shd w:val="clear" w:color="auto" w:fill="CCEEFF"/>
            <w:vAlign w:val="bottom"/>
            <w:hideMark/>
          </w:tcPr>
          <w:p w14:paraId="52472B4E" w14:textId="77777777" w:rsidR="00000000" w:rsidRDefault="00322B34">
            <w:pPr>
              <w:jc w:val="right"/>
              <w:rPr>
                <w:rFonts w:eastAsia="Times New Roman"/>
                <w:sz w:val="16"/>
                <w:szCs w:val="16"/>
              </w:rPr>
            </w:pPr>
            <w:r>
              <w:rPr>
                <w:rFonts w:eastAsia="Times New Roman"/>
                <w:sz w:val="16"/>
                <w:szCs w:val="16"/>
              </w:rPr>
              <w:t>(835,934</w:t>
            </w:r>
          </w:p>
        </w:tc>
        <w:tc>
          <w:tcPr>
            <w:tcW w:w="50" w:type="pct"/>
            <w:tcBorders>
              <w:bottom w:val="double" w:sz="6" w:space="0" w:color="000000"/>
            </w:tcBorders>
            <w:shd w:val="clear" w:color="auto" w:fill="CCEEFF"/>
            <w:vAlign w:val="bottom"/>
            <w:hideMark/>
          </w:tcPr>
          <w:p w14:paraId="0F554161" w14:textId="77777777" w:rsidR="00000000" w:rsidRDefault="00322B34">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CCEEFF"/>
            <w:vAlign w:val="bottom"/>
            <w:hideMark/>
          </w:tcPr>
          <w:p w14:paraId="54B9EB3F"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7B82B4E3" w14:textId="77777777" w:rsidR="00000000" w:rsidRDefault="00322B3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CCEEFF"/>
            <w:vAlign w:val="bottom"/>
            <w:hideMark/>
          </w:tcPr>
          <w:p w14:paraId="606262F9" w14:textId="77777777" w:rsidR="00000000" w:rsidRDefault="00322B34">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CCEEFF"/>
            <w:vAlign w:val="bottom"/>
            <w:hideMark/>
          </w:tcPr>
          <w:p w14:paraId="397BC3B3"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5C0F6A50"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566E796B" w14:textId="77777777" w:rsidR="00000000" w:rsidRDefault="00322B3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14:paraId="6734EF76" w14:textId="77777777" w:rsidR="00000000" w:rsidRDefault="00322B34">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CCEEFF"/>
            <w:vAlign w:val="bottom"/>
            <w:hideMark/>
          </w:tcPr>
          <w:p w14:paraId="74D369CA"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6D8E681C"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0B3CF296" w14:textId="77777777" w:rsidR="00000000" w:rsidRDefault="00322B3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CCEEFF"/>
            <w:vAlign w:val="bottom"/>
            <w:hideMark/>
          </w:tcPr>
          <w:p w14:paraId="3C331412" w14:textId="77777777" w:rsidR="00000000" w:rsidRDefault="00322B34">
            <w:pPr>
              <w:jc w:val="right"/>
              <w:rPr>
                <w:rFonts w:eastAsia="Times New Roman"/>
                <w:sz w:val="16"/>
                <w:szCs w:val="16"/>
              </w:rPr>
            </w:pPr>
            <w:r>
              <w:rPr>
                <w:rFonts w:eastAsia="Times New Roman"/>
                <w:sz w:val="16"/>
                <w:szCs w:val="16"/>
              </w:rPr>
              <w:t>422,094</w:t>
            </w:r>
          </w:p>
        </w:tc>
        <w:tc>
          <w:tcPr>
            <w:tcW w:w="50" w:type="pct"/>
            <w:tcBorders>
              <w:bottom w:val="double" w:sz="6" w:space="0" w:color="000000"/>
            </w:tcBorders>
            <w:shd w:val="clear" w:color="auto" w:fill="CCEEFF"/>
            <w:vAlign w:val="bottom"/>
            <w:hideMark/>
          </w:tcPr>
          <w:p w14:paraId="0E95DD7E"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265EF448"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23CE28E7" w14:textId="77777777" w:rsidR="00000000" w:rsidRDefault="00322B3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14:paraId="3703E8FB" w14:textId="77777777" w:rsidR="00000000" w:rsidRDefault="00322B34">
            <w:pPr>
              <w:jc w:val="right"/>
              <w:rPr>
                <w:rFonts w:eastAsia="Times New Roman"/>
                <w:sz w:val="16"/>
                <w:szCs w:val="16"/>
              </w:rPr>
            </w:pPr>
            <w:r>
              <w:rPr>
                <w:rFonts w:eastAsia="Times New Roman"/>
                <w:sz w:val="16"/>
                <w:szCs w:val="16"/>
              </w:rPr>
              <w:t>4,221</w:t>
            </w:r>
          </w:p>
        </w:tc>
        <w:tc>
          <w:tcPr>
            <w:tcW w:w="50" w:type="pct"/>
            <w:tcBorders>
              <w:bottom w:val="double" w:sz="6" w:space="0" w:color="000000"/>
            </w:tcBorders>
            <w:shd w:val="clear" w:color="auto" w:fill="CCEEFF"/>
            <w:vAlign w:val="bottom"/>
            <w:hideMark/>
          </w:tcPr>
          <w:p w14:paraId="2C0DAE77"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23EAD76F"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03578CC1"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14:paraId="50BF69E8" w14:textId="77777777" w:rsidR="00000000" w:rsidRDefault="00322B34">
            <w:pPr>
              <w:jc w:val="right"/>
              <w:rPr>
                <w:rFonts w:eastAsia="Times New Roman"/>
                <w:sz w:val="16"/>
                <w:szCs w:val="16"/>
              </w:rPr>
            </w:pPr>
            <w:r>
              <w:rPr>
                <w:rFonts w:eastAsia="Times New Roman"/>
                <w:sz w:val="16"/>
                <w:szCs w:val="16"/>
              </w:rPr>
              <w:t>6,125,572</w:t>
            </w:r>
          </w:p>
        </w:tc>
        <w:tc>
          <w:tcPr>
            <w:tcW w:w="50" w:type="pct"/>
            <w:tcBorders>
              <w:bottom w:val="double" w:sz="6" w:space="0" w:color="000000"/>
            </w:tcBorders>
            <w:shd w:val="clear" w:color="auto" w:fill="CCEEFF"/>
            <w:vAlign w:val="bottom"/>
            <w:hideMark/>
          </w:tcPr>
          <w:p w14:paraId="5A4EC00C"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1A2A733D"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6993ADB2"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14:paraId="617B6AE4" w14:textId="77777777" w:rsidR="00000000" w:rsidRDefault="00322B34">
            <w:pPr>
              <w:jc w:val="right"/>
              <w:rPr>
                <w:rFonts w:eastAsia="Times New Roman"/>
                <w:sz w:val="16"/>
                <w:szCs w:val="16"/>
              </w:rPr>
            </w:pPr>
            <w:r>
              <w:rPr>
                <w:rFonts w:eastAsia="Times New Roman"/>
                <w:sz w:val="16"/>
                <w:szCs w:val="16"/>
              </w:rPr>
              <w:t>5,293,902</w:t>
            </w:r>
          </w:p>
        </w:tc>
        <w:tc>
          <w:tcPr>
            <w:tcW w:w="50" w:type="pct"/>
            <w:tcBorders>
              <w:bottom w:val="double" w:sz="6" w:space="0" w:color="000000"/>
            </w:tcBorders>
            <w:shd w:val="clear" w:color="auto" w:fill="CCEEFF"/>
            <w:vAlign w:val="bottom"/>
            <w:hideMark/>
          </w:tcPr>
          <w:p w14:paraId="56C095E0"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3542A58A"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58D57FF0"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14:paraId="119A0E1B" w14:textId="77777777" w:rsidR="00000000" w:rsidRDefault="00322B34">
            <w:pPr>
              <w:jc w:val="right"/>
              <w:rPr>
                <w:rFonts w:eastAsia="Times New Roman"/>
                <w:sz w:val="16"/>
                <w:szCs w:val="16"/>
              </w:rPr>
            </w:pPr>
            <w:r>
              <w:rPr>
                <w:rFonts w:eastAsia="Times New Roman"/>
                <w:sz w:val="16"/>
                <w:szCs w:val="16"/>
              </w:rPr>
              <w:t>73,559</w:t>
            </w:r>
          </w:p>
        </w:tc>
        <w:tc>
          <w:tcPr>
            <w:tcW w:w="50" w:type="pct"/>
            <w:tcBorders>
              <w:bottom w:val="double" w:sz="6" w:space="0" w:color="000000"/>
            </w:tcBorders>
            <w:shd w:val="clear" w:color="auto" w:fill="CCEEFF"/>
            <w:vAlign w:val="bottom"/>
            <w:hideMark/>
          </w:tcPr>
          <w:p w14:paraId="5E1BD535"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6CCF4351"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66567E4C" w14:textId="77777777" w:rsidR="00000000" w:rsidRDefault="00322B3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14:paraId="1F381DD3" w14:textId="77777777" w:rsidR="00000000" w:rsidRDefault="00322B34">
            <w:pPr>
              <w:jc w:val="right"/>
              <w:rPr>
                <w:rFonts w:eastAsia="Times New Roman"/>
                <w:sz w:val="16"/>
                <w:szCs w:val="16"/>
              </w:rPr>
            </w:pPr>
            <w:r>
              <w:rPr>
                <w:rFonts w:eastAsia="Times New Roman"/>
                <w:sz w:val="16"/>
                <w:szCs w:val="16"/>
              </w:rPr>
              <w:t>5,367,461</w:t>
            </w:r>
          </w:p>
        </w:tc>
        <w:tc>
          <w:tcPr>
            <w:tcW w:w="50" w:type="pct"/>
            <w:shd w:val="clear" w:color="auto" w:fill="CCEEFF"/>
            <w:tcMar>
              <w:top w:w="0" w:type="dxa"/>
              <w:left w:w="0" w:type="dxa"/>
              <w:bottom w:w="45" w:type="dxa"/>
              <w:right w:w="0" w:type="dxa"/>
            </w:tcMar>
            <w:vAlign w:val="bottom"/>
            <w:hideMark/>
          </w:tcPr>
          <w:p w14:paraId="46DCF6ED" w14:textId="77777777" w:rsidR="00000000" w:rsidRDefault="00322B34">
            <w:pPr>
              <w:rPr>
                <w:rFonts w:eastAsia="Times New Roman"/>
                <w:sz w:val="16"/>
                <w:szCs w:val="16"/>
              </w:rPr>
            </w:pPr>
            <w:r>
              <w:rPr>
                <w:rFonts w:eastAsia="Times New Roman"/>
                <w:sz w:val="16"/>
                <w:szCs w:val="16"/>
              </w:rPr>
              <w:t> </w:t>
            </w:r>
          </w:p>
        </w:tc>
      </w:tr>
      <w:tr w:rsidR="00322B34" w14:paraId="5448439F" w14:textId="77777777">
        <w:trPr>
          <w:divId w:val="45447007"/>
          <w:tblCellSpacing w:w="0" w:type="dxa"/>
        </w:trPr>
        <w:tc>
          <w:tcPr>
            <w:tcW w:w="1150" w:type="pct"/>
            <w:shd w:val="clear" w:color="auto" w:fill="FFFFFF"/>
            <w:vAlign w:val="center"/>
            <w:hideMark/>
          </w:tcPr>
          <w:p w14:paraId="79AE6C3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337A867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7E85999C"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FFFFFF"/>
            <w:vAlign w:val="center"/>
            <w:hideMark/>
          </w:tcPr>
          <w:p w14:paraId="6662E4B7" w14:textId="77777777" w:rsidR="00000000" w:rsidRDefault="00322B34">
            <w:pPr>
              <w:jc w:val="right"/>
              <w:rPr>
                <w:rFonts w:eastAsia="Times New Roman"/>
                <w:sz w:val="16"/>
                <w:szCs w:val="16"/>
              </w:rPr>
            </w:pPr>
            <w:r>
              <w:rPr>
                <w:rFonts w:eastAsia="Times New Roman"/>
                <w:sz w:val="16"/>
                <w:szCs w:val="16"/>
              </w:rPr>
              <w:t> </w:t>
            </w:r>
          </w:p>
        </w:tc>
        <w:tc>
          <w:tcPr>
            <w:tcW w:w="50" w:type="pct"/>
            <w:shd w:val="clear" w:color="auto" w:fill="FFFFFF"/>
            <w:vAlign w:val="center"/>
            <w:hideMark/>
          </w:tcPr>
          <w:p w14:paraId="7AED21C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7637008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371C1E79"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center"/>
            <w:hideMark/>
          </w:tcPr>
          <w:p w14:paraId="4CC9E34B" w14:textId="77777777" w:rsidR="00000000" w:rsidRDefault="00322B34">
            <w:pPr>
              <w:jc w:val="right"/>
              <w:rPr>
                <w:rFonts w:eastAsia="Times New Roman"/>
                <w:sz w:val="16"/>
                <w:szCs w:val="16"/>
              </w:rPr>
            </w:pPr>
            <w:r>
              <w:rPr>
                <w:rFonts w:eastAsia="Times New Roman"/>
                <w:sz w:val="16"/>
                <w:szCs w:val="16"/>
              </w:rPr>
              <w:t> </w:t>
            </w:r>
          </w:p>
        </w:tc>
        <w:tc>
          <w:tcPr>
            <w:tcW w:w="50" w:type="pct"/>
            <w:shd w:val="clear" w:color="auto" w:fill="FFFFFF"/>
            <w:vAlign w:val="center"/>
            <w:hideMark/>
          </w:tcPr>
          <w:p w14:paraId="78219E3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3CBEB7D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7BA048B6"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center"/>
            <w:hideMark/>
          </w:tcPr>
          <w:p w14:paraId="4F126D7F" w14:textId="77777777" w:rsidR="00000000" w:rsidRDefault="00322B34">
            <w:pPr>
              <w:jc w:val="right"/>
              <w:rPr>
                <w:rFonts w:eastAsia="Times New Roman"/>
                <w:sz w:val="16"/>
                <w:szCs w:val="16"/>
              </w:rPr>
            </w:pPr>
            <w:r>
              <w:rPr>
                <w:rFonts w:eastAsia="Times New Roman"/>
                <w:sz w:val="16"/>
                <w:szCs w:val="16"/>
              </w:rPr>
              <w:t> </w:t>
            </w:r>
          </w:p>
        </w:tc>
        <w:tc>
          <w:tcPr>
            <w:tcW w:w="50" w:type="pct"/>
            <w:shd w:val="clear" w:color="auto" w:fill="FFFFFF"/>
            <w:vAlign w:val="center"/>
            <w:hideMark/>
          </w:tcPr>
          <w:p w14:paraId="10FF72E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32E7287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690800F8"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center"/>
            <w:hideMark/>
          </w:tcPr>
          <w:p w14:paraId="731A1C95" w14:textId="77777777" w:rsidR="00000000" w:rsidRDefault="00322B34">
            <w:pPr>
              <w:jc w:val="right"/>
              <w:rPr>
                <w:rFonts w:eastAsia="Times New Roman"/>
                <w:sz w:val="16"/>
                <w:szCs w:val="16"/>
              </w:rPr>
            </w:pPr>
            <w:r>
              <w:rPr>
                <w:rFonts w:eastAsia="Times New Roman"/>
                <w:sz w:val="16"/>
                <w:szCs w:val="16"/>
              </w:rPr>
              <w:t> </w:t>
            </w:r>
          </w:p>
        </w:tc>
        <w:tc>
          <w:tcPr>
            <w:tcW w:w="50" w:type="pct"/>
            <w:shd w:val="clear" w:color="auto" w:fill="FFFFFF"/>
            <w:vAlign w:val="center"/>
            <w:hideMark/>
          </w:tcPr>
          <w:p w14:paraId="4BC76EF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3CF82CA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17D4F9DA"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center"/>
            <w:hideMark/>
          </w:tcPr>
          <w:p w14:paraId="6081E01C" w14:textId="77777777" w:rsidR="00000000" w:rsidRDefault="00322B34">
            <w:pPr>
              <w:jc w:val="right"/>
              <w:rPr>
                <w:rFonts w:eastAsia="Times New Roman"/>
                <w:sz w:val="16"/>
                <w:szCs w:val="16"/>
              </w:rPr>
            </w:pPr>
            <w:r>
              <w:rPr>
                <w:rFonts w:eastAsia="Times New Roman"/>
                <w:sz w:val="16"/>
                <w:szCs w:val="16"/>
              </w:rPr>
              <w:t> </w:t>
            </w:r>
          </w:p>
        </w:tc>
        <w:tc>
          <w:tcPr>
            <w:tcW w:w="50" w:type="pct"/>
            <w:shd w:val="clear" w:color="auto" w:fill="FFFFFF"/>
            <w:vAlign w:val="center"/>
            <w:hideMark/>
          </w:tcPr>
          <w:p w14:paraId="717F69A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400664C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5054BFB1"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center"/>
            <w:hideMark/>
          </w:tcPr>
          <w:p w14:paraId="5E4AD93E" w14:textId="77777777" w:rsidR="00000000" w:rsidRDefault="00322B34">
            <w:pPr>
              <w:jc w:val="right"/>
              <w:rPr>
                <w:rFonts w:eastAsia="Times New Roman"/>
                <w:sz w:val="16"/>
                <w:szCs w:val="16"/>
              </w:rPr>
            </w:pPr>
            <w:r>
              <w:rPr>
                <w:rFonts w:eastAsia="Times New Roman"/>
                <w:sz w:val="16"/>
                <w:szCs w:val="16"/>
              </w:rPr>
              <w:t> </w:t>
            </w:r>
          </w:p>
        </w:tc>
        <w:tc>
          <w:tcPr>
            <w:tcW w:w="50" w:type="pct"/>
            <w:shd w:val="clear" w:color="auto" w:fill="FFFFFF"/>
            <w:vAlign w:val="center"/>
            <w:hideMark/>
          </w:tcPr>
          <w:p w14:paraId="787D079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6F995DE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69B3971E"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center"/>
            <w:hideMark/>
          </w:tcPr>
          <w:p w14:paraId="29B94905" w14:textId="77777777" w:rsidR="00000000" w:rsidRDefault="00322B34">
            <w:pPr>
              <w:jc w:val="right"/>
              <w:rPr>
                <w:rFonts w:eastAsia="Times New Roman"/>
                <w:sz w:val="16"/>
                <w:szCs w:val="16"/>
              </w:rPr>
            </w:pPr>
            <w:r>
              <w:rPr>
                <w:rFonts w:eastAsia="Times New Roman"/>
                <w:sz w:val="16"/>
                <w:szCs w:val="16"/>
              </w:rPr>
              <w:t> </w:t>
            </w:r>
          </w:p>
        </w:tc>
        <w:tc>
          <w:tcPr>
            <w:tcW w:w="50" w:type="pct"/>
            <w:shd w:val="clear" w:color="auto" w:fill="FFFFFF"/>
            <w:vAlign w:val="center"/>
            <w:hideMark/>
          </w:tcPr>
          <w:p w14:paraId="4433069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74912E3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00A6DFE2"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center"/>
            <w:hideMark/>
          </w:tcPr>
          <w:p w14:paraId="1CE783CC" w14:textId="77777777" w:rsidR="00000000" w:rsidRDefault="00322B34">
            <w:pPr>
              <w:jc w:val="right"/>
              <w:rPr>
                <w:rFonts w:eastAsia="Times New Roman"/>
                <w:sz w:val="16"/>
                <w:szCs w:val="16"/>
              </w:rPr>
            </w:pPr>
            <w:r>
              <w:rPr>
                <w:rFonts w:eastAsia="Times New Roman"/>
                <w:sz w:val="16"/>
                <w:szCs w:val="16"/>
              </w:rPr>
              <w:t> </w:t>
            </w:r>
          </w:p>
        </w:tc>
        <w:tc>
          <w:tcPr>
            <w:tcW w:w="50" w:type="pct"/>
            <w:shd w:val="clear" w:color="auto" w:fill="FFFFFF"/>
            <w:vAlign w:val="center"/>
            <w:hideMark/>
          </w:tcPr>
          <w:p w14:paraId="78B7E06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4128DD1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center"/>
            <w:hideMark/>
          </w:tcPr>
          <w:p w14:paraId="57B5D15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center"/>
            <w:hideMark/>
          </w:tcPr>
          <w:p w14:paraId="752C82E4" w14:textId="77777777" w:rsidR="00000000" w:rsidRDefault="00322B34">
            <w:pPr>
              <w:jc w:val="right"/>
              <w:rPr>
                <w:rFonts w:eastAsia="Times New Roman"/>
                <w:sz w:val="16"/>
                <w:szCs w:val="16"/>
              </w:rPr>
            </w:pPr>
            <w:r>
              <w:rPr>
                <w:rFonts w:eastAsia="Times New Roman"/>
                <w:sz w:val="16"/>
                <w:szCs w:val="16"/>
              </w:rPr>
              <w:t> </w:t>
            </w:r>
          </w:p>
        </w:tc>
        <w:tc>
          <w:tcPr>
            <w:tcW w:w="50" w:type="pct"/>
            <w:shd w:val="clear" w:color="auto" w:fill="FFFFFF"/>
            <w:vAlign w:val="center"/>
            <w:hideMark/>
          </w:tcPr>
          <w:p w14:paraId="47A65CF0" w14:textId="77777777" w:rsidR="00000000" w:rsidRDefault="00322B34">
            <w:pPr>
              <w:rPr>
                <w:rFonts w:eastAsia="Times New Roman"/>
                <w:sz w:val="16"/>
                <w:szCs w:val="16"/>
              </w:rPr>
            </w:pPr>
            <w:r>
              <w:rPr>
                <w:rFonts w:eastAsia="Times New Roman"/>
                <w:sz w:val="16"/>
                <w:szCs w:val="16"/>
              </w:rPr>
              <w:t> </w:t>
            </w:r>
          </w:p>
        </w:tc>
      </w:tr>
      <w:tr w:rsidR="00322B34" w14:paraId="5ABDE9F7" w14:textId="77777777">
        <w:trPr>
          <w:divId w:val="45447007"/>
          <w:tblCellSpacing w:w="0" w:type="dxa"/>
        </w:trPr>
        <w:tc>
          <w:tcPr>
            <w:tcW w:w="1150" w:type="pct"/>
            <w:shd w:val="clear" w:color="auto" w:fill="CCEEFF"/>
            <w:vAlign w:val="bottom"/>
            <w:hideMark/>
          </w:tcPr>
          <w:p w14:paraId="7356FBD5" w14:textId="77777777" w:rsidR="00000000" w:rsidRDefault="00322B34">
            <w:pPr>
              <w:pStyle w:val="a3"/>
              <w:spacing w:before="0" w:beforeAutospacing="0" w:after="0" w:afterAutospacing="0"/>
              <w:rPr>
                <w:sz w:val="16"/>
                <w:szCs w:val="16"/>
              </w:rPr>
            </w:pPr>
            <w:r>
              <w:rPr>
                <w:sz w:val="16"/>
                <w:szCs w:val="16"/>
              </w:rPr>
              <w:t>Balance at April 1, 2020</w:t>
            </w:r>
          </w:p>
        </w:tc>
        <w:tc>
          <w:tcPr>
            <w:tcW w:w="50" w:type="pct"/>
            <w:shd w:val="clear" w:color="auto" w:fill="CCEEFF"/>
            <w:vAlign w:val="bottom"/>
            <w:hideMark/>
          </w:tcPr>
          <w:p w14:paraId="6B0808B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4476A8" w14:textId="77777777" w:rsidR="00000000" w:rsidRDefault="00322B34">
            <w:pPr>
              <w:rPr>
                <w:rFonts w:eastAsia="Times New Roman"/>
                <w:sz w:val="16"/>
                <w:szCs w:val="16"/>
              </w:rPr>
            </w:pPr>
            <w:r>
              <w:rPr>
                <w:rFonts w:eastAsia="Times New Roman"/>
                <w:sz w:val="16"/>
                <w:szCs w:val="16"/>
              </w:rPr>
              <w:t>$</w:t>
            </w:r>
          </w:p>
        </w:tc>
        <w:tc>
          <w:tcPr>
            <w:tcW w:w="350" w:type="pct"/>
            <w:shd w:val="clear" w:color="auto" w:fill="CCEEFF"/>
            <w:vAlign w:val="bottom"/>
            <w:hideMark/>
          </w:tcPr>
          <w:p w14:paraId="1388DAD5" w14:textId="77777777" w:rsidR="00000000" w:rsidRDefault="00322B34">
            <w:pPr>
              <w:jc w:val="right"/>
              <w:rPr>
                <w:rFonts w:eastAsia="Times New Roman"/>
                <w:sz w:val="16"/>
                <w:szCs w:val="16"/>
              </w:rPr>
            </w:pPr>
            <w:r>
              <w:rPr>
                <w:rFonts w:eastAsia="Times New Roman"/>
                <w:sz w:val="16"/>
                <w:szCs w:val="16"/>
              </w:rPr>
              <w:t>(942,031</w:t>
            </w:r>
          </w:p>
        </w:tc>
        <w:tc>
          <w:tcPr>
            <w:tcW w:w="50" w:type="pct"/>
            <w:shd w:val="clear" w:color="auto" w:fill="CCEEFF"/>
            <w:vAlign w:val="bottom"/>
            <w:hideMark/>
          </w:tcPr>
          <w:p w14:paraId="043FE204"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21CE759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82F0CA"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25C2650" w14:textId="77777777" w:rsidR="00000000" w:rsidRDefault="00322B34">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14:paraId="443695F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24FD5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174102" w14:textId="77777777" w:rsidR="00000000" w:rsidRDefault="00322B34">
            <w:pPr>
              <w:rPr>
                <w:rFonts w:eastAsia="Times New Roman"/>
                <w:sz w:val="16"/>
                <w:szCs w:val="16"/>
              </w:rPr>
            </w:pPr>
            <w:r>
              <w:rPr>
                <w:rFonts w:eastAsia="Times New Roman"/>
                <w:sz w:val="16"/>
                <w:szCs w:val="16"/>
              </w:rPr>
              <w:t>$</w:t>
            </w:r>
          </w:p>
        </w:tc>
        <w:tc>
          <w:tcPr>
            <w:tcW w:w="250" w:type="pct"/>
            <w:shd w:val="clear" w:color="auto" w:fill="CCEEFF"/>
            <w:vAlign w:val="bottom"/>
            <w:hideMark/>
          </w:tcPr>
          <w:p w14:paraId="0A2593EA" w14:textId="77777777" w:rsidR="00000000" w:rsidRDefault="00322B34">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14:paraId="5EA8359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61D144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49F1479"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5E14064" w14:textId="77777777" w:rsidR="00000000" w:rsidRDefault="00322B34">
            <w:pPr>
              <w:jc w:val="right"/>
              <w:rPr>
                <w:rFonts w:eastAsia="Times New Roman"/>
                <w:sz w:val="16"/>
                <w:szCs w:val="16"/>
              </w:rPr>
            </w:pPr>
            <w:r>
              <w:rPr>
                <w:rFonts w:eastAsia="Times New Roman"/>
                <w:sz w:val="16"/>
                <w:szCs w:val="16"/>
              </w:rPr>
              <w:t>432,525</w:t>
            </w:r>
          </w:p>
        </w:tc>
        <w:tc>
          <w:tcPr>
            <w:tcW w:w="50" w:type="pct"/>
            <w:shd w:val="clear" w:color="auto" w:fill="CCEEFF"/>
            <w:vAlign w:val="bottom"/>
            <w:hideMark/>
          </w:tcPr>
          <w:p w14:paraId="5D7045B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7308F5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CF71BF2" w14:textId="77777777" w:rsidR="00000000" w:rsidRDefault="00322B34">
            <w:pPr>
              <w:rPr>
                <w:rFonts w:eastAsia="Times New Roman"/>
                <w:sz w:val="16"/>
                <w:szCs w:val="16"/>
              </w:rPr>
            </w:pPr>
            <w:r>
              <w:rPr>
                <w:rFonts w:eastAsia="Times New Roman"/>
                <w:sz w:val="16"/>
                <w:szCs w:val="16"/>
              </w:rPr>
              <w:t>$</w:t>
            </w:r>
          </w:p>
        </w:tc>
        <w:tc>
          <w:tcPr>
            <w:tcW w:w="250" w:type="pct"/>
            <w:shd w:val="clear" w:color="auto" w:fill="CCEEFF"/>
            <w:vAlign w:val="bottom"/>
            <w:hideMark/>
          </w:tcPr>
          <w:p w14:paraId="0EF806FB" w14:textId="77777777" w:rsidR="00000000" w:rsidRDefault="00322B34">
            <w:pPr>
              <w:jc w:val="right"/>
              <w:rPr>
                <w:rFonts w:eastAsia="Times New Roman"/>
                <w:sz w:val="16"/>
                <w:szCs w:val="16"/>
              </w:rPr>
            </w:pPr>
            <w:r>
              <w:rPr>
                <w:rFonts w:eastAsia="Times New Roman"/>
                <w:sz w:val="16"/>
                <w:szCs w:val="16"/>
              </w:rPr>
              <w:t>4,325</w:t>
            </w:r>
          </w:p>
        </w:tc>
        <w:tc>
          <w:tcPr>
            <w:tcW w:w="50" w:type="pct"/>
            <w:shd w:val="clear" w:color="auto" w:fill="CCEEFF"/>
            <w:vAlign w:val="bottom"/>
            <w:hideMark/>
          </w:tcPr>
          <w:p w14:paraId="5C308C8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D8BB32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644A58" w14:textId="77777777" w:rsidR="00000000" w:rsidRDefault="00322B34">
            <w:pPr>
              <w:rPr>
                <w:rFonts w:eastAsia="Times New Roman"/>
                <w:sz w:val="16"/>
                <w:szCs w:val="16"/>
              </w:rPr>
            </w:pPr>
            <w:r>
              <w:rPr>
                <w:rFonts w:eastAsia="Times New Roman"/>
                <w:sz w:val="16"/>
                <w:szCs w:val="16"/>
              </w:rPr>
              <w:t>$</w:t>
            </w:r>
          </w:p>
        </w:tc>
        <w:tc>
          <w:tcPr>
            <w:tcW w:w="300" w:type="pct"/>
            <w:shd w:val="clear" w:color="auto" w:fill="CCEEFF"/>
            <w:vAlign w:val="bottom"/>
            <w:hideMark/>
          </w:tcPr>
          <w:p w14:paraId="3984B26A" w14:textId="77777777" w:rsidR="00000000" w:rsidRDefault="00322B34">
            <w:pPr>
              <w:jc w:val="right"/>
              <w:rPr>
                <w:rFonts w:eastAsia="Times New Roman"/>
                <w:sz w:val="16"/>
                <w:szCs w:val="16"/>
              </w:rPr>
            </w:pPr>
            <w:r>
              <w:rPr>
                <w:rFonts w:eastAsia="Times New Roman"/>
                <w:sz w:val="16"/>
                <w:szCs w:val="16"/>
              </w:rPr>
              <w:t>5,747,277</w:t>
            </w:r>
          </w:p>
        </w:tc>
        <w:tc>
          <w:tcPr>
            <w:tcW w:w="50" w:type="pct"/>
            <w:shd w:val="clear" w:color="auto" w:fill="CCEEFF"/>
            <w:vAlign w:val="bottom"/>
            <w:hideMark/>
          </w:tcPr>
          <w:p w14:paraId="32BD58F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509AD2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F449352" w14:textId="77777777" w:rsidR="00000000" w:rsidRDefault="00322B34">
            <w:pPr>
              <w:rPr>
                <w:rFonts w:eastAsia="Times New Roman"/>
                <w:sz w:val="16"/>
                <w:szCs w:val="16"/>
              </w:rPr>
            </w:pPr>
            <w:r>
              <w:rPr>
                <w:rFonts w:eastAsia="Times New Roman"/>
                <w:sz w:val="16"/>
                <w:szCs w:val="16"/>
              </w:rPr>
              <w:t>$</w:t>
            </w:r>
          </w:p>
        </w:tc>
        <w:tc>
          <w:tcPr>
            <w:tcW w:w="300" w:type="pct"/>
            <w:shd w:val="clear" w:color="auto" w:fill="CCEEFF"/>
            <w:vAlign w:val="bottom"/>
            <w:hideMark/>
          </w:tcPr>
          <w:p w14:paraId="04D4AF0C" w14:textId="77777777" w:rsidR="00000000" w:rsidRDefault="00322B34">
            <w:pPr>
              <w:jc w:val="right"/>
              <w:rPr>
                <w:rFonts w:eastAsia="Times New Roman"/>
                <w:sz w:val="16"/>
                <w:szCs w:val="16"/>
              </w:rPr>
            </w:pPr>
            <w:r>
              <w:rPr>
                <w:rFonts w:eastAsia="Times New Roman"/>
                <w:sz w:val="16"/>
                <w:szCs w:val="16"/>
              </w:rPr>
              <w:t>4,809,591</w:t>
            </w:r>
          </w:p>
        </w:tc>
        <w:tc>
          <w:tcPr>
            <w:tcW w:w="50" w:type="pct"/>
            <w:shd w:val="clear" w:color="auto" w:fill="CCEEFF"/>
            <w:vAlign w:val="bottom"/>
            <w:hideMark/>
          </w:tcPr>
          <w:p w14:paraId="6E4C156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7DD290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7B652D" w14:textId="77777777" w:rsidR="00000000" w:rsidRDefault="00322B34">
            <w:pPr>
              <w:rPr>
                <w:rFonts w:eastAsia="Times New Roman"/>
                <w:sz w:val="16"/>
                <w:szCs w:val="16"/>
              </w:rPr>
            </w:pPr>
            <w:r>
              <w:rPr>
                <w:rFonts w:eastAsia="Times New Roman"/>
                <w:sz w:val="16"/>
                <w:szCs w:val="16"/>
              </w:rPr>
              <w:t>$</w:t>
            </w:r>
          </w:p>
        </w:tc>
        <w:tc>
          <w:tcPr>
            <w:tcW w:w="300" w:type="pct"/>
            <w:shd w:val="clear" w:color="auto" w:fill="CCEEFF"/>
            <w:vAlign w:val="bottom"/>
            <w:hideMark/>
          </w:tcPr>
          <w:p w14:paraId="6AE570BF" w14:textId="77777777" w:rsidR="00000000" w:rsidRDefault="00322B34">
            <w:pPr>
              <w:jc w:val="right"/>
              <w:rPr>
                <w:rFonts w:eastAsia="Times New Roman"/>
                <w:sz w:val="16"/>
                <w:szCs w:val="16"/>
              </w:rPr>
            </w:pPr>
            <w:r>
              <w:rPr>
                <w:rFonts w:eastAsia="Times New Roman"/>
                <w:sz w:val="16"/>
                <w:szCs w:val="16"/>
              </w:rPr>
              <w:t>62,878</w:t>
            </w:r>
          </w:p>
        </w:tc>
        <w:tc>
          <w:tcPr>
            <w:tcW w:w="50" w:type="pct"/>
            <w:shd w:val="clear" w:color="auto" w:fill="CCEEFF"/>
            <w:vAlign w:val="bottom"/>
            <w:hideMark/>
          </w:tcPr>
          <w:p w14:paraId="7F2343E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F0B9C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C13DE6F" w14:textId="77777777" w:rsidR="00000000" w:rsidRDefault="00322B34">
            <w:pPr>
              <w:rPr>
                <w:rFonts w:eastAsia="Times New Roman"/>
                <w:sz w:val="16"/>
                <w:szCs w:val="16"/>
              </w:rPr>
            </w:pPr>
            <w:r>
              <w:rPr>
                <w:rFonts w:eastAsia="Times New Roman"/>
                <w:sz w:val="16"/>
                <w:szCs w:val="16"/>
              </w:rPr>
              <w:t>$</w:t>
            </w:r>
          </w:p>
        </w:tc>
        <w:tc>
          <w:tcPr>
            <w:tcW w:w="250" w:type="pct"/>
            <w:shd w:val="clear" w:color="auto" w:fill="CCEEFF"/>
            <w:vAlign w:val="bottom"/>
            <w:hideMark/>
          </w:tcPr>
          <w:p w14:paraId="01492BAF" w14:textId="77777777" w:rsidR="00000000" w:rsidRDefault="00322B34">
            <w:pPr>
              <w:jc w:val="right"/>
              <w:rPr>
                <w:rFonts w:eastAsia="Times New Roman"/>
                <w:sz w:val="16"/>
                <w:szCs w:val="16"/>
              </w:rPr>
            </w:pPr>
            <w:r>
              <w:rPr>
                <w:rFonts w:eastAsia="Times New Roman"/>
                <w:sz w:val="16"/>
                <w:szCs w:val="16"/>
              </w:rPr>
              <w:t>4,872,469</w:t>
            </w:r>
          </w:p>
        </w:tc>
        <w:tc>
          <w:tcPr>
            <w:tcW w:w="50" w:type="pct"/>
            <w:shd w:val="clear" w:color="auto" w:fill="CCEEFF"/>
            <w:vAlign w:val="bottom"/>
            <w:hideMark/>
          </w:tcPr>
          <w:p w14:paraId="6F1D8681" w14:textId="77777777" w:rsidR="00000000" w:rsidRDefault="00322B34">
            <w:pPr>
              <w:rPr>
                <w:rFonts w:eastAsia="Times New Roman"/>
                <w:sz w:val="16"/>
                <w:szCs w:val="16"/>
              </w:rPr>
            </w:pPr>
            <w:r>
              <w:rPr>
                <w:rFonts w:eastAsia="Times New Roman"/>
                <w:sz w:val="16"/>
                <w:szCs w:val="16"/>
              </w:rPr>
              <w:t> </w:t>
            </w:r>
          </w:p>
        </w:tc>
      </w:tr>
      <w:tr w:rsidR="00322B34" w14:paraId="7AA7AEC2" w14:textId="77777777">
        <w:trPr>
          <w:divId w:val="45447007"/>
          <w:tblCellSpacing w:w="0" w:type="dxa"/>
        </w:trPr>
        <w:tc>
          <w:tcPr>
            <w:tcW w:w="1150" w:type="pct"/>
            <w:shd w:val="clear" w:color="auto" w:fill="FFFFFF"/>
            <w:vAlign w:val="bottom"/>
            <w:hideMark/>
          </w:tcPr>
          <w:p w14:paraId="42C58BB6" w14:textId="77777777" w:rsidR="00000000" w:rsidRDefault="00322B34">
            <w:pPr>
              <w:pStyle w:val="a3"/>
              <w:spacing w:before="0" w:beforeAutospacing="0" w:after="0" w:afterAutospacing="0"/>
              <w:ind w:left="180" w:hanging="180"/>
              <w:rPr>
                <w:sz w:val="16"/>
                <w:szCs w:val="16"/>
              </w:rPr>
            </w:pPr>
            <w:r>
              <w:rPr>
                <w:sz w:val="16"/>
                <w:szCs w:val="16"/>
              </w:rPr>
              <w:t>Contributions from noncontrolling interests</w:t>
            </w:r>
          </w:p>
        </w:tc>
        <w:tc>
          <w:tcPr>
            <w:tcW w:w="50" w:type="pct"/>
            <w:shd w:val="clear" w:color="auto" w:fill="FFFFFF"/>
            <w:vAlign w:val="bottom"/>
            <w:hideMark/>
          </w:tcPr>
          <w:p w14:paraId="2F8D9CE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6CA522A"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FFFFFF"/>
            <w:vAlign w:val="bottom"/>
            <w:hideMark/>
          </w:tcPr>
          <w:p w14:paraId="7ABF1130"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F0348E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10F0D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0F3DB39"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62DC3E5"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44C0E5C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73C1AD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7DE5890"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7F85777"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D40513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7779E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D8D4A9E"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0748137"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508DF17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07493C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35632AD"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CE2FA93"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AB3D08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5410A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0EC9CD"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D60AB18"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090879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AE9DD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E965B2"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0EF206C"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0BBC95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F28F7D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1B89AAA"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212685D" w14:textId="77777777" w:rsidR="00000000" w:rsidRDefault="00322B34">
            <w:pPr>
              <w:jc w:val="right"/>
              <w:rPr>
                <w:rFonts w:eastAsia="Times New Roman"/>
                <w:sz w:val="16"/>
                <w:szCs w:val="16"/>
              </w:rPr>
            </w:pPr>
            <w:r>
              <w:rPr>
                <w:rFonts w:eastAsia="Times New Roman"/>
                <w:sz w:val="16"/>
                <w:szCs w:val="16"/>
              </w:rPr>
              <w:t>109</w:t>
            </w:r>
          </w:p>
        </w:tc>
        <w:tc>
          <w:tcPr>
            <w:tcW w:w="50" w:type="pct"/>
            <w:shd w:val="clear" w:color="auto" w:fill="FFFFFF"/>
            <w:vAlign w:val="bottom"/>
            <w:hideMark/>
          </w:tcPr>
          <w:p w14:paraId="273A945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D58F42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9AE791"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9B25B06" w14:textId="77777777" w:rsidR="00000000" w:rsidRDefault="00322B34">
            <w:pPr>
              <w:jc w:val="right"/>
              <w:rPr>
                <w:rFonts w:eastAsia="Times New Roman"/>
                <w:sz w:val="16"/>
                <w:szCs w:val="16"/>
              </w:rPr>
            </w:pPr>
            <w:r>
              <w:rPr>
                <w:rFonts w:eastAsia="Times New Roman"/>
                <w:sz w:val="16"/>
                <w:szCs w:val="16"/>
              </w:rPr>
              <w:t>109</w:t>
            </w:r>
          </w:p>
        </w:tc>
        <w:tc>
          <w:tcPr>
            <w:tcW w:w="50" w:type="pct"/>
            <w:shd w:val="clear" w:color="auto" w:fill="FFFFFF"/>
            <w:vAlign w:val="bottom"/>
            <w:hideMark/>
          </w:tcPr>
          <w:p w14:paraId="2A5ADB9C" w14:textId="77777777" w:rsidR="00000000" w:rsidRDefault="00322B34">
            <w:pPr>
              <w:rPr>
                <w:rFonts w:eastAsia="Times New Roman"/>
                <w:sz w:val="16"/>
                <w:szCs w:val="16"/>
              </w:rPr>
            </w:pPr>
            <w:r>
              <w:rPr>
                <w:rFonts w:eastAsia="Times New Roman"/>
                <w:sz w:val="16"/>
                <w:szCs w:val="16"/>
              </w:rPr>
              <w:t> </w:t>
            </w:r>
          </w:p>
        </w:tc>
      </w:tr>
      <w:tr w:rsidR="00322B34" w14:paraId="1EADBCAE" w14:textId="77777777">
        <w:trPr>
          <w:divId w:val="45447007"/>
          <w:tblCellSpacing w:w="0" w:type="dxa"/>
        </w:trPr>
        <w:tc>
          <w:tcPr>
            <w:tcW w:w="1150" w:type="pct"/>
            <w:shd w:val="clear" w:color="auto" w:fill="CCEEFF"/>
            <w:vAlign w:val="bottom"/>
            <w:hideMark/>
          </w:tcPr>
          <w:p w14:paraId="0DE8466F" w14:textId="77777777" w:rsidR="00000000" w:rsidRDefault="00322B34">
            <w:pPr>
              <w:rPr>
                <w:rFonts w:eastAsia="Times New Roman"/>
                <w:sz w:val="16"/>
                <w:szCs w:val="16"/>
              </w:rPr>
            </w:pPr>
            <w:r>
              <w:rPr>
                <w:rFonts w:eastAsia="Times New Roman"/>
                <w:sz w:val="16"/>
                <w:szCs w:val="16"/>
              </w:rPr>
              <w:t>Net income</w:t>
            </w:r>
          </w:p>
        </w:tc>
        <w:tc>
          <w:tcPr>
            <w:tcW w:w="50" w:type="pct"/>
            <w:shd w:val="clear" w:color="auto" w:fill="CCEEFF"/>
            <w:vAlign w:val="bottom"/>
            <w:hideMark/>
          </w:tcPr>
          <w:p w14:paraId="22E2D0D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728AA4"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CCEEFF"/>
            <w:vAlign w:val="bottom"/>
            <w:hideMark/>
          </w:tcPr>
          <w:p w14:paraId="2F3D9ACF" w14:textId="77777777" w:rsidR="00000000" w:rsidRDefault="00322B34">
            <w:pPr>
              <w:jc w:val="right"/>
              <w:rPr>
                <w:rFonts w:eastAsia="Times New Roman"/>
                <w:sz w:val="16"/>
                <w:szCs w:val="16"/>
              </w:rPr>
            </w:pPr>
            <w:r>
              <w:rPr>
                <w:rFonts w:eastAsia="Times New Roman"/>
                <w:sz w:val="16"/>
                <w:szCs w:val="16"/>
              </w:rPr>
              <w:t>747,893</w:t>
            </w:r>
          </w:p>
        </w:tc>
        <w:tc>
          <w:tcPr>
            <w:tcW w:w="50" w:type="pct"/>
            <w:shd w:val="clear" w:color="auto" w:fill="CCEEFF"/>
            <w:vAlign w:val="bottom"/>
            <w:hideMark/>
          </w:tcPr>
          <w:p w14:paraId="6968B9F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1B2E62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733A966"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3F6A26C"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77C1C02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EF59DD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B51CBF"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21C847C"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B134C4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61573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75ADD1F"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3E1E4DF"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3C162D8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DD914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1A0BBC"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640E9B6"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352D0B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1E086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340313"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866AC38"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5E9C2A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DD402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F22C7E"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AA1DD4D" w14:textId="77777777" w:rsidR="00000000" w:rsidRDefault="00322B34">
            <w:pPr>
              <w:jc w:val="right"/>
              <w:rPr>
                <w:rFonts w:eastAsia="Times New Roman"/>
                <w:sz w:val="16"/>
                <w:szCs w:val="16"/>
              </w:rPr>
            </w:pPr>
            <w:r>
              <w:rPr>
                <w:rFonts w:eastAsia="Times New Roman"/>
                <w:sz w:val="16"/>
                <w:szCs w:val="16"/>
              </w:rPr>
              <w:t>747,893</w:t>
            </w:r>
          </w:p>
        </w:tc>
        <w:tc>
          <w:tcPr>
            <w:tcW w:w="50" w:type="pct"/>
            <w:shd w:val="clear" w:color="auto" w:fill="CCEEFF"/>
            <w:vAlign w:val="bottom"/>
            <w:hideMark/>
          </w:tcPr>
          <w:p w14:paraId="0EB3B2C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EDF6EE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ADE370"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5FB2BE3" w14:textId="77777777" w:rsidR="00000000" w:rsidRDefault="00322B34">
            <w:pPr>
              <w:jc w:val="right"/>
              <w:rPr>
                <w:rFonts w:eastAsia="Times New Roman"/>
                <w:sz w:val="16"/>
                <w:szCs w:val="16"/>
              </w:rPr>
            </w:pPr>
            <w:r>
              <w:rPr>
                <w:rFonts w:eastAsia="Times New Roman"/>
                <w:sz w:val="16"/>
                <w:szCs w:val="16"/>
              </w:rPr>
              <w:t>225</w:t>
            </w:r>
          </w:p>
        </w:tc>
        <w:tc>
          <w:tcPr>
            <w:tcW w:w="50" w:type="pct"/>
            <w:shd w:val="clear" w:color="auto" w:fill="CCEEFF"/>
            <w:vAlign w:val="bottom"/>
            <w:hideMark/>
          </w:tcPr>
          <w:p w14:paraId="7FCF620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F09A1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53F511"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DED540F" w14:textId="77777777" w:rsidR="00000000" w:rsidRDefault="00322B34">
            <w:pPr>
              <w:jc w:val="right"/>
              <w:rPr>
                <w:rFonts w:eastAsia="Times New Roman"/>
                <w:sz w:val="16"/>
                <w:szCs w:val="16"/>
              </w:rPr>
            </w:pPr>
            <w:r>
              <w:rPr>
                <w:rFonts w:eastAsia="Times New Roman"/>
                <w:sz w:val="16"/>
                <w:szCs w:val="16"/>
              </w:rPr>
              <w:t>748,118</w:t>
            </w:r>
          </w:p>
        </w:tc>
        <w:tc>
          <w:tcPr>
            <w:tcW w:w="50" w:type="pct"/>
            <w:shd w:val="clear" w:color="auto" w:fill="CCEEFF"/>
            <w:vAlign w:val="bottom"/>
            <w:hideMark/>
          </w:tcPr>
          <w:p w14:paraId="04BE96D9" w14:textId="77777777" w:rsidR="00000000" w:rsidRDefault="00322B34">
            <w:pPr>
              <w:rPr>
                <w:rFonts w:eastAsia="Times New Roman"/>
                <w:sz w:val="16"/>
                <w:szCs w:val="16"/>
              </w:rPr>
            </w:pPr>
            <w:r>
              <w:rPr>
                <w:rFonts w:eastAsia="Times New Roman"/>
                <w:sz w:val="16"/>
                <w:szCs w:val="16"/>
              </w:rPr>
              <w:t> </w:t>
            </w:r>
          </w:p>
        </w:tc>
      </w:tr>
      <w:tr w:rsidR="00322B34" w14:paraId="50352023" w14:textId="77777777">
        <w:trPr>
          <w:divId w:val="45447007"/>
          <w:tblCellSpacing w:w="0" w:type="dxa"/>
        </w:trPr>
        <w:tc>
          <w:tcPr>
            <w:tcW w:w="1150" w:type="pct"/>
            <w:shd w:val="clear" w:color="auto" w:fill="FFFFFF"/>
            <w:vAlign w:val="bottom"/>
            <w:hideMark/>
          </w:tcPr>
          <w:p w14:paraId="0A2C1B62" w14:textId="77777777" w:rsidR="00000000" w:rsidRDefault="00322B34">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FFFFFF"/>
            <w:vAlign w:val="bottom"/>
            <w:hideMark/>
          </w:tcPr>
          <w:p w14:paraId="59232C9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5732461"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FFFFFF"/>
            <w:vAlign w:val="bottom"/>
            <w:hideMark/>
          </w:tcPr>
          <w:p w14:paraId="1D477090"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8B5F73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7D8D31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426ED5A"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46C60EC"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5CCF25A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E49BC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3859BD"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ED76F98"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9E0DC1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267DE8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5CFE2A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3367702"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6B8061D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73748D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EF1DC6F"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FA26BFB"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5157E5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9C705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08EEEA2"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66590B1"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16CE05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E673B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BF32493"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9CF1277"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8042AD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2EC11C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5730EC8"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A0AE26D" w14:textId="77777777" w:rsidR="00000000" w:rsidRDefault="00322B34">
            <w:pPr>
              <w:jc w:val="right"/>
              <w:rPr>
                <w:rFonts w:eastAsia="Times New Roman"/>
                <w:sz w:val="16"/>
                <w:szCs w:val="16"/>
              </w:rPr>
            </w:pPr>
            <w:r>
              <w:rPr>
                <w:rFonts w:eastAsia="Times New Roman"/>
                <w:sz w:val="16"/>
                <w:szCs w:val="16"/>
              </w:rPr>
              <w:t>(343</w:t>
            </w:r>
          </w:p>
        </w:tc>
        <w:tc>
          <w:tcPr>
            <w:tcW w:w="50" w:type="pct"/>
            <w:shd w:val="clear" w:color="auto" w:fill="FFFFFF"/>
            <w:vAlign w:val="bottom"/>
            <w:hideMark/>
          </w:tcPr>
          <w:p w14:paraId="1E9D4C49" w14:textId="77777777" w:rsidR="00000000" w:rsidRDefault="00322B34">
            <w:pPr>
              <w:rPr>
                <w:rFonts w:eastAsia="Times New Roman"/>
                <w:sz w:val="16"/>
                <w:szCs w:val="16"/>
              </w:rPr>
            </w:pPr>
            <w:r>
              <w:rPr>
                <w:rFonts w:eastAsia="Times New Roman"/>
                <w:sz w:val="16"/>
                <w:szCs w:val="16"/>
              </w:rPr>
              <w:t>)</w:t>
            </w:r>
          </w:p>
        </w:tc>
        <w:tc>
          <w:tcPr>
            <w:tcW w:w="50" w:type="pct"/>
            <w:shd w:val="clear" w:color="auto" w:fill="FFFFFF"/>
            <w:vAlign w:val="bottom"/>
            <w:hideMark/>
          </w:tcPr>
          <w:p w14:paraId="13845A7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78E9DA8"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543127F" w14:textId="77777777" w:rsidR="00000000" w:rsidRDefault="00322B34">
            <w:pPr>
              <w:jc w:val="right"/>
              <w:rPr>
                <w:rFonts w:eastAsia="Times New Roman"/>
                <w:sz w:val="16"/>
                <w:szCs w:val="16"/>
              </w:rPr>
            </w:pPr>
            <w:r>
              <w:rPr>
                <w:rFonts w:eastAsia="Times New Roman"/>
                <w:sz w:val="16"/>
                <w:szCs w:val="16"/>
              </w:rPr>
              <w:t>(343</w:t>
            </w:r>
          </w:p>
        </w:tc>
        <w:tc>
          <w:tcPr>
            <w:tcW w:w="50" w:type="pct"/>
            <w:shd w:val="clear" w:color="auto" w:fill="FFFFFF"/>
            <w:vAlign w:val="bottom"/>
            <w:hideMark/>
          </w:tcPr>
          <w:p w14:paraId="49294B28" w14:textId="77777777" w:rsidR="00000000" w:rsidRDefault="00322B34">
            <w:pPr>
              <w:rPr>
                <w:rFonts w:eastAsia="Times New Roman"/>
                <w:sz w:val="16"/>
                <w:szCs w:val="16"/>
              </w:rPr>
            </w:pPr>
            <w:r>
              <w:rPr>
                <w:rFonts w:eastAsia="Times New Roman"/>
                <w:sz w:val="16"/>
                <w:szCs w:val="16"/>
              </w:rPr>
              <w:t>)</w:t>
            </w:r>
          </w:p>
        </w:tc>
      </w:tr>
      <w:tr w:rsidR="00322B34" w14:paraId="31AB7E06" w14:textId="77777777">
        <w:trPr>
          <w:divId w:val="45447007"/>
          <w:tblCellSpacing w:w="0" w:type="dxa"/>
        </w:trPr>
        <w:tc>
          <w:tcPr>
            <w:tcW w:w="1150" w:type="pct"/>
            <w:shd w:val="clear" w:color="auto" w:fill="CCEEFF"/>
            <w:vAlign w:val="bottom"/>
            <w:hideMark/>
          </w:tcPr>
          <w:p w14:paraId="211EBA0E" w14:textId="77777777" w:rsidR="00000000" w:rsidRDefault="00322B34">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CCEEFF"/>
            <w:vAlign w:val="bottom"/>
            <w:hideMark/>
          </w:tcPr>
          <w:p w14:paraId="32D46EA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A6902F"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CCEEFF"/>
            <w:vAlign w:val="bottom"/>
            <w:hideMark/>
          </w:tcPr>
          <w:p w14:paraId="02F60A6F" w14:textId="77777777" w:rsidR="00000000" w:rsidRDefault="00322B34">
            <w:pPr>
              <w:jc w:val="right"/>
              <w:rPr>
                <w:rFonts w:eastAsia="Times New Roman"/>
                <w:sz w:val="16"/>
                <w:szCs w:val="16"/>
              </w:rPr>
            </w:pPr>
            <w:r>
              <w:rPr>
                <w:rFonts w:eastAsia="Times New Roman"/>
                <w:sz w:val="16"/>
                <w:szCs w:val="16"/>
              </w:rPr>
              <w:t>(6,354</w:t>
            </w:r>
          </w:p>
        </w:tc>
        <w:tc>
          <w:tcPr>
            <w:tcW w:w="50" w:type="pct"/>
            <w:shd w:val="clear" w:color="auto" w:fill="CCEEFF"/>
            <w:vAlign w:val="bottom"/>
            <w:hideMark/>
          </w:tcPr>
          <w:p w14:paraId="33FAF002"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3CD6529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52B883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2151DD0"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2F25961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FCE9E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4A6C13A"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C4F9446"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3F8493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71D087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FDA7606"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AEEB83F"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231F0A4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8DAF56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054A90"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D0A1734"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7291C2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2900A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30B826D"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B97756E"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C80AAB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23143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CA551F"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0305E61" w14:textId="77777777" w:rsidR="00000000" w:rsidRDefault="00322B34">
            <w:pPr>
              <w:jc w:val="right"/>
              <w:rPr>
                <w:rFonts w:eastAsia="Times New Roman"/>
                <w:sz w:val="16"/>
                <w:szCs w:val="16"/>
              </w:rPr>
            </w:pPr>
            <w:r>
              <w:rPr>
                <w:rFonts w:eastAsia="Times New Roman"/>
                <w:sz w:val="16"/>
                <w:szCs w:val="16"/>
              </w:rPr>
              <w:t>(6,354</w:t>
            </w:r>
          </w:p>
        </w:tc>
        <w:tc>
          <w:tcPr>
            <w:tcW w:w="50" w:type="pct"/>
            <w:shd w:val="clear" w:color="auto" w:fill="CCEEFF"/>
            <w:vAlign w:val="bottom"/>
            <w:hideMark/>
          </w:tcPr>
          <w:p w14:paraId="7AA17A17"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1FD5AFC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C63798"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64FA02E"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7C0D60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DEE7A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1693B0B"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D0B053C" w14:textId="77777777" w:rsidR="00000000" w:rsidRDefault="00322B34">
            <w:pPr>
              <w:jc w:val="right"/>
              <w:rPr>
                <w:rFonts w:eastAsia="Times New Roman"/>
                <w:sz w:val="16"/>
                <w:szCs w:val="16"/>
              </w:rPr>
            </w:pPr>
            <w:r>
              <w:rPr>
                <w:rFonts w:eastAsia="Times New Roman"/>
                <w:sz w:val="16"/>
                <w:szCs w:val="16"/>
              </w:rPr>
              <w:t>(6,354</w:t>
            </w:r>
          </w:p>
        </w:tc>
        <w:tc>
          <w:tcPr>
            <w:tcW w:w="50" w:type="pct"/>
            <w:shd w:val="clear" w:color="auto" w:fill="CCEEFF"/>
            <w:vAlign w:val="bottom"/>
            <w:hideMark/>
          </w:tcPr>
          <w:p w14:paraId="5AD4D2E5" w14:textId="77777777" w:rsidR="00000000" w:rsidRDefault="00322B34">
            <w:pPr>
              <w:rPr>
                <w:rFonts w:eastAsia="Times New Roman"/>
                <w:sz w:val="16"/>
                <w:szCs w:val="16"/>
              </w:rPr>
            </w:pPr>
            <w:r>
              <w:rPr>
                <w:rFonts w:eastAsia="Times New Roman"/>
                <w:sz w:val="16"/>
                <w:szCs w:val="16"/>
              </w:rPr>
              <w:t>)</w:t>
            </w:r>
          </w:p>
        </w:tc>
      </w:tr>
      <w:tr w:rsidR="00322B34" w14:paraId="12EA1A4E" w14:textId="77777777">
        <w:trPr>
          <w:divId w:val="45447007"/>
          <w:tblCellSpacing w:w="0" w:type="dxa"/>
        </w:trPr>
        <w:tc>
          <w:tcPr>
            <w:tcW w:w="1150" w:type="pct"/>
            <w:shd w:val="clear" w:color="auto" w:fill="FFFFFF"/>
            <w:vAlign w:val="bottom"/>
            <w:hideMark/>
          </w:tcPr>
          <w:p w14:paraId="1B0E7610" w14:textId="77777777" w:rsidR="00000000" w:rsidRDefault="00322B34">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FFFFFF"/>
            <w:vAlign w:val="bottom"/>
            <w:hideMark/>
          </w:tcPr>
          <w:p w14:paraId="14D3FB0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525D17"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FFFFFF"/>
            <w:vAlign w:val="bottom"/>
            <w:hideMark/>
          </w:tcPr>
          <w:p w14:paraId="29CA0683"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6688A2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38A089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1774DD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8F1D631"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20B312A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0DE9BD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0DF39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D46587E"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EBDD0E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044D4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715F722"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0B6B8BB"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1CD9AEA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60D486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9E8EAD"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BD449BB"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A1D5E5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B89CB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C6147BC"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B09F208"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796E4C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D2EE1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1050615"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8C714AB"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870B11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645EE4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3D32BFB"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74AFE46" w14:textId="77777777" w:rsidR="00000000" w:rsidRDefault="00322B34">
            <w:pPr>
              <w:jc w:val="right"/>
              <w:rPr>
                <w:rFonts w:eastAsia="Times New Roman"/>
                <w:sz w:val="16"/>
                <w:szCs w:val="16"/>
              </w:rPr>
            </w:pPr>
            <w:r>
              <w:rPr>
                <w:rFonts w:eastAsia="Times New Roman"/>
                <w:sz w:val="16"/>
                <w:szCs w:val="16"/>
              </w:rPr>
              <w:t>(344</w:t>
            </w:r>
          </w:p>
        </w:tc>
        <w:tc>
          <w:tcPr>
            <w:tcW w:w="50" w:type="pct"/>
            <w:shd w:val="clear" w:color="auto" w:fill="FFFFFF"/>
            <w:vAlign w:val="bottom"/>
            <w:hideMark/>
          </w:tcPr>
          <w:p w14:paraId="03097EDA" w14:textId="77777777" w:rsidR="00000000" w:rsidRDefault="00322B34">
            <w:pPr>
              <w:rPr>
                <w:rFonts w:eastAsia="Times New Roman"/>
                <w:sz w:val="16"/>
                <w:szCs w:val="16"/>
              </w:rPr>
            </w:pPr>
            <w:r>
              <w:rPr>
                <w:rFonts w:eastAsia="Times New Roman"/>
                <w:sz w:val="16"/>
                <w:szCs w:val="16"/>
              </w:rPr>
              <w:t>)</w:t>
            </w:r>
          </w:p>
        </w:tc>
        <w:tc>
          <w:tcPr>
            <w:tcW w:w="50" w:type="pct"/>
            <w:shd w:val="clear" w:color="auto" w:fill="FFFFFF"/>
            <w:vAlign w:val="bottom"/>
            <w:hideMark/>
          </w:tcPr>
          <w:p w14:paraId="1E54263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D4C0972"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9131AA2" w14:textId="77777777" w:rsidR="00000000" w:rsidRDefault="00322B34">
            <w:pPr>
              <w:jc w:val="right"/>
              <w:rPr>
                <w:rFonts w:eastAsia="Times New Roman"/>
                <w:sz w:val="16"/>
                <w:szCs w:val="16"/>
              </w:rPr>
            </w:pPr>
            <w:r>
              <w:rPr>
                <w:rFonts w:eastAsia="Times New Roman"/>
                <w:sz w:val="16"/>
                <w:szCs w:val="16"/>
              </w:rPr>
              <w:t>(</w:t>
            </w:r>
            <w:r>
              <w:rPr>
                <w:rFonts w:eastAsia="Times New Roman"/>
                <w:sz w:val="16"/>
                <w:szCs w:val="16"/>
              </w:rPr>
              <w:t>344</w:t>
            </w:r>
          </w:p>
        </w:tc>
        <w:tc>
          <w:tcPr>
            <w:tcW w:w="50" w:type="pct"/>
            <w:shd w:val="clear" w:color="auto" w:fill="FFFFFF"/>
            <w:vAlign w:val="bottom"/>
            <w:hideMark/>
          </w:tcPr>
          <w:p w14:paraId="3CF15F84" w14:textId="77777777" w:rsidR="00000000" w:rsidRDefault="00322B34">
            <w:pPr>
              <w:rPr>
                <w:rFonts w:eastAsia="Times New Roman"/>
                <w:sz w:val="16"/>
                <w:szCs w:val="16"/>
              </w:rPr>
            </w:pPr>
            <w:r>
              <w:rPr>
                <w:rFonts w:eastAsia="Times New Roman"/>
                <w:sz w:val="16"/>
                <w:szCs w:val="16"/>
              </w:rPr>
              <w:t>)</w:t>
            </w:r>
          </w:p>
        </w:tc>
      </w:tr>
      <w:tr w:rsidR="00322B34" w14:paraId="08589081" w14:textId="77777777">
        <w:trPr>
          <w:divId w:val="45447007"/>
          <w:tblCellSpacing w:w="0" w:type="dxa"/>
        </w:trPr>
        <w:tc>
          <w:tcPr>
            <w:tcW w:w="1150" w:type="pct"/>
            <w:shd w:val="clear" w:color="auto" w:fill="CCEEFF"/>
            <w:vAlign w:val="bottom"/>
            <w:hideMark/>
          </w:tcPr>
          <w:p w14:paraId="39FFE386" w14:textId="77777777" w:rsidR="00000000" w:rsidRDefault="00322B34">
            <w:pPr>
              <w:pStyle w:val="a3"/>
              <w:spacing w:before="0" w:beforeAutospacing="0" w:after="0" w:afterAutospacing="0"/>
              <w:rPr>
                <w:sz w:val="16"/>
                <w:szCs w:val="16"/>
              </w:rPr>
            </w:pPr>
            <w:r>
              <w:rPr>
                <w:sz w:val="16"/>
                <w:szCs w:val="16"/>
              </w:rPr>
              <w:t>Surrender of restricted common stock</w:t>
            </w:r>
          </w:p>
        </w:tc>
        <w:tc>
          <w:tcPr>
            <w:tcW w:w="50" w:type="pct"/>
            <w:shd w:val="clear" w:color="auto" w:fill="CCEEFF"/>
            <w:vAlign w:val="bottom"/>
            <w:hideMark/>
          </w:tcPr>
          <w:p w14:paraId="28C8669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13AF2E"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CCEEFF"/>
            <w:vAlign w:val="bottom"/>
            <w:hideMark/>
          </w:tcPr>
          <w:p w14:paraId="2D343DC5"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832820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4B37A7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6D45D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F1C8465"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410013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0C666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7C0CD0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A85DF42"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CD2A16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8779C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357EDDC"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F4CE297" w14:textId="77777777" w:rsidR="00000000" w:rsidRDefault="00322B34">
            <w:pPr>
              <w:jc w:val="right"/>
              <w:rPr>
                <w:rFonts w:eastAsia="Times New Roman"/>
                <w:sz w:val="16"/>
                <w:szCs w:val="16"/>
              </w:rPr>
            </w:pPr>
            <w:r>
              <w:rPr>
                <w:rFonts w:eastAsia="Times New Roman"/>
                <w:sz w:val="16"/>
                <w:szCs w:val="16"/>
              </w:rPr>
              <w:t>(21</w:t>
            </w:r>
          </w:p>
        </w:tc>
        <w:tc>
          <w:tcPr>
            <w:tcW w:w="50" w:type="pct"/>
            <w:shd w:val="clear" w:color="auto" w:fill="CCEEFF"/>
            <w:vAlign w:val="bottom"/>
            <w:hideMark/>
          </w:tcPr>
          <w:p w14:paraId="739DBA9B"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050CC0F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553E340"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E420371"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58ABCD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7ABC0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D8C1610"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2371C28" w14:textId="77777777" w:rsidR="00000000" w:rsidRDefault="00322B34">
            <w:pPr>
              <w:jc w:val="right"/>
              <w:rPr>
                <w:rFonts w:eastAsia="Times New Roman"/>
                <w:sz w:val="16"/>
                <w:szCs w:val="16"/>
              </w:rPr>
            </w:pPr>
            <w:r>
              <w:rPr>
                <w:rFonts w:eastAsia="Times New Roman"/>
                <w:sz w:val="16"/>
                <w:szCs w:val="16"/>
              </w:rPr>
              <w:t>(166</w:t>
            </w:r>
          </w:p>
        </w:tc>
        <w:tc>
          <w:tcPr>
            <w:tcW w:w="50" w:type="pct"/>
            <w:shd w:val="clear" w:color="auto" w:fill="CCEEFF"/>
            <w:vAlign w:val="bottom"/>
            <w:hideMark/>
          </w:tcPr>
          <w:p w14:paraId="47401B26"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015E5AF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BD3BD19"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50A30FE" w14:textId="77777777" w:rsidR="00000000" w:rsidRDefault="00322B34">
            <w:pPr>
              <w:jc w:val="right"/>
              <w:rPr>
                <w:rFonts w:eastAsia="Times New Roman"/>
                <w:sz w:val="16"/>
                <w:szCs w:val="16"/>
              </w:rPr>
            </w:pPr>
            <w:r>
              <w:rPr>
                <w:rFonts w:eastAsia="Times New Roman"/>
                <w:sz w:val="16"/>
                <w:szCs w:val="16"/>
              </w:rPr>
              <w:t>(166</w:t>
            </w:r>
          </w:p>
        </w:tc>
        <w:tc>
          <w:tcPr>
            <w:tcW w:w="50" w:type="pct"/>
            <w:shd w:val="clear" w:color="auto" w:fill="CCEEFF"/>
            <w:vAlign w:val="bottom"/>
            <w:hideMark/>
          </w:tcPr>
          <w:p w14:paraId="13063523"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70314C0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3E959A"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1FE0A24"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9D7CEB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21E87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E02108"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35FF6CA" w14:textId="77777777" w:rsidR="00000000" w:rsidRDefault="00322B34">
            <w:pPr>
              <w:jc w:val="right"/>
              <w:rPr>
                <w:rFonts w:eastAsia="Times New Roman"/>
                <w:sz w:val="16"/>
                <w:szCs w:val="16"/>
              </w:rPr>
            </w:pPr>
            <w:r>
              <w:rPr>
                <w:rFonts w:eastAsia="Times New Roman"/>
                <w:sz w:val="16"/>
                <w:szCs w:val="16"/>
              </w:rPr>
              <w:t>(166</w:t>
            </w:r>
          </w:p>
        </w:tc>
        <w:tc>
          <w:tcPr>
            <w:tcW w:w="50" w:type="pct"/>
            <w:shd w:val="clear" w:color="auto" w:fill="CCEEFF"/>
            <w:vAlign w:val="bottom"/>
            <w:hideMark/>
          </w:tcPr>
          <w:p w14:paraId="338B76C7" w14:textId="77777777" w:rsidR="00000000" w:rsidRDefault="00322B34">
            <w:pPr>
              <w:rPr>
                <w:rFonts w:eastAsia="Times New Roman"/>
                <w:sz w:val="16"/>
                <w:szCs w:val="16"/>
              </w:rPr>
            </w:pPr>
            <w:r>
              <w:rPr>
                <w:rFonts w:eastAsia="Times New Roman"/>
                <w:sz w:val="16"/>
                <w:szCs w:val="16"/>
              </w:rPr>
              <w:t>)</w:t>
            </w:r>
          </w:p>
        </w:tc>
      </w:tr>
      <w:tr w:rsidR="00322B34" w14:paraId="31BC4CDD" w14:textId="77777777">
        <w:trPr>
          <w:divId w:val="45447007"/>
          <w:tblCellSpacing w:w="0" w:type="dxa"/>
        </w:trPr>
        <w:tc>
          <w:tcPr>
            <w:tcW w:w="1150" w:type="pct"/>
            <w:shd w:val="clear" w:color="auto" w:fill="FFFFFF"/>
            <w:vAlign w:val="bottom"/>
            <w:hideMark/>
          </w:tcPr>
          <w:p w14:paraId="48AC6108" w14:textId="77777777" w:rsidR="00000000" w:rsidRDefault="00322B34">
            <w:pPr>
              <w:pStyle w:val="a3"/>
              <w:spacing w:before="0" w:beforeAutospacing="0" w:after="0" w:afterAutospacing="0"/>
              <w:rPr>
                <w:sz w:val="16"/>
                <w:szCs w:val="16"/>
              </w:rPr>
            </w:pPr>
            <w:r>
              <w:rPr>
                <w:sz w:val="16"/>
                <w:szCs w:val="16"/>
              </w:rPr>
              <w:t>Amortization of equity awards</w:t>
            </w:r>
          </w:p>
        </w:tc>
        <w:tc>
          <w:tcPr>
            <w:tcW w:w="50" w:type="pct"/>
            <w:shd w:val="clear" w:color="auto" w:fill="FFFFFF"/>
            <w:vAlign w:val="bottom"/>
            <w:hideMark/>
          </w:tcPr>
          <w:p w14:paraId="1813444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2F1F80" w14:textId="77777777" w:rsidR="00000000" w:rsidRDefault="00322B34">
            <w:pPr>
              <w:rPr>
                <w:rFonts w:eastAsia="Times New Roman"/>
                <w:sz w:val="16"/>
                <w:szCs w:val="16"/>
              </w:rPr>
            </w:pPr>
            <w:r>
              <w:rPr>
                <w:rFonts w:eastAsia="Times New Roman"/>
                <w:sz w:val="16"/>
                <w:szCs w:val="16"/>
              </w:rPr>
              <w:t> </w:t>
            </w:r>
          </w:p>
        </w:tc>
        <w:tc>
          <w:tcPr>
            <w:tcW w:w="350" w:type="pct"/>
            <w:shd w:val="clear" w:color="auto" w:fill="FFFFFF"/>
            <w:vAlign w:val="bottom"/>
            <w:hideMark/>
          </w:tcPr>
          <w:p w14:paraId="48D844D2"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BD5058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41F2B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086AA9"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CF0A0A0"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564EDBB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A4EC64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B1A703C"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05075BB"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9C148C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1286F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D15953"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65C8E95"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37D6C44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534524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3442A29"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9121041"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50671A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342A43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EA32473"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3BA58BF" w14:textId="77777777" w:rsidR="00000000" w:rsidRDefault="00322B34">
            <w:pPr>
              <w:jc w:val="right"/>
              <w:rPr>
                <w:rFonts w:eastAsia="Times New Roman"/>
                <w:sz w:val="16"/>
                <w:szCs w:val="16"/>
              </w:rPr>
            </w:pPr>
            <w:r>
              <w:rPr>
                <w:rFonts w:eastAsia="Times New Roman"/>
                <w:sz w:val="16"/>
                <w:szCs w:val="16"/>
              </w:rPr>
              <w:t>5,395</w:t>
            </w:r>
          </w:p>
        </w:tc>
        <w:tc>
          <w:tcPr>
            <w:tcW w:w="50" w:type="pct"/>
            <w:shd w:val="clear" w:color="auto" w:fill="FFFFFF"/>
            <w:vAlign w:val="bottom"/>
            <w:hideMark/>
          </w:tcPr>
          <w:p w14:paraId="2EEB72B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9D0D2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90E8B3A"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E0005C9" w14:textId="77777777" w:rsidR="00000000" w:rsidRDefault="00322B34">
            <w:pPr>
              <w:jc w:val="right"/>
              <w:rPr>
                <w:rFonts w:eastAsia="Times New Roman"/>
                <w:sz w:val="16"/>
                <w:szCs w:val="16"/>
              </w:rPr>
            </w:pPr>
            <w:r>
              <w:rPr>
                <w:rFonts w:eastAsia="Times New Roman"/>
                <w:sz w:val="16"/>
                <w:szCs w:val="16"/>
              </w:rPr>
              <w:t>5,395</w:t>
            </w:r>
          </w:p>
        </w:tc>
        <w:tc>
          <w:tcPr>
            <w:tcW w:w="50" w:type="pct"/>
            <w:shd w:val="clear" w:color="auto" w:fill="FFFFFF"/>
            <w:vAlign w:val="bottom"/>
            <w:hideMark/>
          </w:tcPr>
          <w:p w14:paraId="61EAE86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BE399E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59419DF"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DB14985"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55E2E0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919DED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08800A8"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C8DF93C" w14:textId="77777777" w:rsidR="00000000" w:rsidRDefault="00322B34">
            <w:pPr>
              <w:jc w:val="right"/>
              <w:rPr>
                <w:rFonts w:eastAsia="Times New Roman"/>
                <w:sz w:val="16"/>
                <w:szCs w:val="16"/>
              </w:rPr>
            </w:pPr>
            <w:r>
              <w:rPr>
                <w:rFonts w:eastAsia="Times New Roman"/>
                <w:sz w:val="16"/>
                <w:szCs w:val="16"/>
              </w:rPr>
              <w:t>5,395</w:t>
            </w:r>
          </w:p>
        </w:tc>
        <w:tc>
          <w:tcPr>
            <w:tcW w:w="50" w:type="pct"/>
            <w:shd w:val="clear" w:color="auto" w:fill="FFFFFF"/>
            <w:vAlign w:val="bottom"/>
            <w:hideMark/>
          </w:tcPr>
          <w:p w14:paraId="0D9F4239" w14:textId="77777777" w:rsidR="00000000" w:rsidRDefault="00322B34">
            <w:pPr>
              <w:rPr>
                <w:rFonts w:eastAsia="Times New Roman"/>
                <w:sz w:val="16"/>
                <w:szCs w:val="16"/>
              </w:rPr>
            </w:pPr>
            <w:r>
              <w:rPr>
                <w:rFonts w:eastAsia="Times New Roman"/>
                <w:sz w:val="16"/>
                <w:szCs w:val="16"/>
              </w:rPr>
              <w:t> </w:t>
            </w:r>
          </w:p>
        </w:tc>
      </w:tr>
      <w:tr w:rsidR="00322B34" w14:paraId="4657F697" w14:textId="77777777">
        <w:trPr>
          <w:divId w:val="45447007"/>
          <w:tblCellSpacing w:w="0" w:type="dxa"/>
        </w:trPr>
        <w:tc>
          <w:tcPr>
            <w:tcW w:w="1150" w:type="pct"/>
            <w:shd w:val="clear" w:color="auto" w:fill="CCEEFF"/>
            <w:vAlign w:val="bottom"/>
            <w:hideMark/>
          </w:tcPr>
          <w:p w14:paraId="1FDD910E" w14:textId="77777777" w:rsidR="00000000" w:rsidRDefault="00322B34">
            <w:pPr>
              <w:pStyle w:val="a3"/>
              <w:spacing w:before="0" w:beforeAutospacing="0" w:after="0" w:afterAutospacing="0"/>
              <w:ind w:left="180" w:hanging="180"/>
              <w:rPr>
                <w:sz w:val="16"/>
                <w:szCs w:val="16"/>
              </w:rPr>
            </w:pPr>
            <w:r>
              <w:rPr>
                <w:sz w:val="16"/>
                <w:szCs w:val="16"/>
              </w:rPr>
              <w:t>Acquisition of noncontrolling interests</w:t>
            </w:r>
          </w:p>
        </w:tc>
        <w:tc>
          <w:tcPr>
            <w:tcW w:w="50" w:type="pct"/>
            <w:shd w:val="clear" w:color="auto" w:fill="CCEEFF"/>
            <w:tcMar>
              <w:top w:w="0" w:type="dxa"/>
              <w:left w:w="0" w:type="dxa"/>
              <w:bottom w:w="15" w:type="dxa"/>
              <w:right w:w="0" w:type="dxa"/>
            </w:tcMar>
            <w:vAlign w:val="bottom"/>
            <w:hideMark/>
          </w:tcPr>
          <w:p w14:paraId="1212869A"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BC2847B" w14:textId="77777777" w:rsidR="00000000" w:rsidRDefault="00322B34">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CCEEFF"/>
            <w:vAlign w:val="bottom"/>
            <w:hideMark/>
          </w:tcPr>
          <w:p w14:paraId="206147EA" w14:textId="77777777" w:rsidR="00000000" w:rsidRDefault="00322B3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4F109EC5"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BA7BF56"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D6422ED"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059CD264" w14:textId="77777777" w:rsidR="00000000" w:rsidRDefault="00322B34">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14:paraId="6C3FF634"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CD52BB7"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8FAEB04"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5D16C2B5" w14:textId="77777777" w:rsidR="00000000" w:rsidRDefault="00322B3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4D3873D1"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09BFFF82"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5B9C4E4"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62C32E2D" w14:textId="77777777" w:rsidR="00000000" w:rsidRDefault="00322B34">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14:paraId="74CF5BE5"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2056171"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37812A1"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206F7784" w14:textId="77777777" w:rsidR="00000000" w:rsidRDefault="00322B3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6F48D24D"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7B8BB86"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4FEDEB7"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20B306EC" w14:textId="77777777" w:rsidR="00000000" w:rsidRDefault="00322B34">
            <w:pPr>
              <w:jc w:val="right"/>
              <w:rPr>
                <w:rFonts w:eastAsia="Times New Roman"/>
                <w:sz w:val="16"/>
                <w:szCs w:val="16"/>
              </w:rPr>
            </w:pPr>
            <w:r>
              <w:rPr>
                <w:rFonts w:eastAsia="Times New Roman"/>
                <w:sz w:val="16"/>
                <w:szCs w:val="16"/>
              </w:rPr>
              <w:t>152</w:t>
            </w:r>
          </w:p>
        </w:tc>
        <w:tc>
          <w:tcPr>
            <w:tcW w:w="50" w:type="pct"/>
            <w:tcBorders>
              <w:bottom w:val="single" w:sz="6" w:space="0" w:color="000000"/>
            </w:tcBorders>
            <w:shd w:val="clear" w:color="auto" w:fill="CCEEFF"/>
            <w:vAlign w:val="bottom"/>
            <w:hideMark/>
          </w:tcPr>
          <w:p w14:paraId="0F1D498E"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19B7A70"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4B5212E"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63C6E3B6" w14:textId="77777777" w:rsidR="00000000" w:rsidRDefault="00322B34">
            <w:pPr>
              <w:jc w:val="right"/>
              <w:rPr>
                <w:rFonts w:eastAsia="Times New Roman"/>
                <w:sz w:val="16"/>
                <w:szCs w:val="16"/>
              </w:rPr>
            </w:pPr>
            <w:r>
              <w:rPr>
                <w:rFonts w:eastAsia="Times New Roman"/>
                <w:sz w:val="16"/>
                <w:szCs w:val="16"/>
              </w:rPr>
              <w:t>152</w:t>
            </w:r>
          </w:p>
        </w:tc>
        <w:tc>
          <w:tcPr>
            <w:tcW w:w="50" w:type="pct"/>
            <w:tcBorders>
              <w:bottom w:val="single" w:sz="6" w:space="0" w:color="000000"/>
            </w:tcBorders>
            <w:shd w:val="clear" w:color="auto" w:fill="CCEEFF"/>
            <w:vAlign w:val="bottom"/>
            <w:hideMark/>
          </w:tcPr>
          <w:p w14:paraId="601A9CA6"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7F87CD8"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2DA63EE"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14:paraId="5F3865DE" w14:textId="77777777" w:rsidR="00000000" w:rsidRDefault="00322B34">
            <w:pPr>
              <w:jc w:val="right"/>
              <w:rPr>
                <w:rFonts w:eastAsia="Times New Roman"/>
                <w:sz w:val="16"/>
                <w:szCs w:val="16"/>
              </w:rPr>
            </w:pPr>
            <w:r>
              <w:rPr>
                <w:rFonts w:eastAsia="Times New Roman"/>
                <w:sz w:val="16"/>
                <w:szCs w:val="16"/>
              </w:rPr>
              <w:t>(662</w:t>
            </w:r>
          </w:p>
        </w:tc>
        <w:tc>
          <w:tcPr>
            <w:tcW w:w="50" w:type="pct"/>
            <w:tcBorders>
              <w:bottom w:val="single" w:sz="6" w:space="0" w:color="000000"/>
            </w:tcBorders>
            <w:shd w:val="clear" w:color="auto" w:fill="CCEEFF"/>
            <w:vAlign w:val="bottom"/>
            <w:hideMark/>
          </w:tcPr>
          <w:p w14:paraId="11A8EFA3" w14:textId="77777777" w:rsidR="00000000" w:rsidRDefault="00322B34">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18FDE89B"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FD1321C"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777C5806" w14:textId="77777777" w:rsidR="00000000" w:rsidRDefault="00322B34">
            <w:pPr>
              <w:jc w:val="right"/>
              <w:rPr>
                <w:rFonts w:eastAsia="Times New Roman"/>
                <w:sz w:val="16"/>
                <w:szCs w:val="16"/>
              </w:rPr>
            </w:pPr>
            <w:r>
              <w:rPr>
                <w:rFonts w:eastAsia="Times New Roman"/>
                <w:sz w:val="16"/>
                <w:szCs w:val="16"/>
              </w:rPr>
              <w:t>(510</w:t>
            </w:r>
          </w:p>
        </w:tc>
        <w:tc>
          <w:tcPr>
            <w:tcW w:w="50" w:type="pct"/>
            <w:shd w:val="clear" w:color="auto" w:fill="CCEEFF"/>
            <w:tcMar>
              <w:top w:w="0" w:type="dxa"/>
              <w:left w:w="0" w:type="dxa"/>
              <w:bottom w:w="15" w:type="dxa"/>
              <w:right w:w="0" w:type="dxa"/>
            </w:tcMar>
            <w:vAlign w:val="bottom"/>
            <w:hideMark/>
          </w:tcPr>
          <w:p w14:paraId="7849E80B" w14:textId="77777777" w:rsidR="00000000" w:rsidRDefault="00322B34">
            <w:pPr>
              <w:rPr>
                <w:rFonts w:eastAsia="Times New Roman"/>
                <w:sz w:val="16"/>
                <w:szCs w:val="16"/>
              </w:rPr>
            </w:pPr>
            <w:r>
              <w:rPr>
                <w:rFonts w:eastAsia="Times New Roman"/>
                <w:sz w:val="16"/>
                <w:szCs w:val="16"/>
              </w:rPr>
              <w:t>)</w:t>
            </w:r>
          </w:p>
        </w:tc>
      </w:tr>
      <w:tr w:rsidR="00322B34" w14:paraId="7DF17AA9" w14:textId="77777777">
        <w:trPr>
          <w:divId w:val="45447007"/>
          <w:tblCellSpacing w:w="0" w:type="dxa"/>
        </w:trPr>
        <w:tc>
          <w:tcPr>
            <w:tcW w:w="1150" w:type="pct"/>
            <w:shd w:val="clear" w:color="auto" w:fill="FFFFFF"/>
            <w:vAlign w:val="bottom"/>
            <w:hideMark/>
          </w:tcPr>
          <w:p w14:paraId="379BDDCA" w14:textId="77777777" w:rsidR="00000000" w:rsidRDefault="00322B34">
            <w:pPr>
              <w:pStyle w:val="a3"/>
              <w:spacing w:before="0" w:beforeAutospacing="0" w:after="0" w:afterAutospacing="0"/>
              <w:rPr>
                <w:sz w:val="16"/>
                <w:szCs w:val="16"/>
              </w:rPr>
            </w:pPr>
            <w:r>
              <w:rPr>
                <w:sz w:val="16"/>
                <w:szCs w:val="16"/>
              </w:rPr>
              <w:t>Balance at June 30, 2020</w:t>
            </w:r>
          </w:p>
        </w:tc>
        <w:tc>
          <w:tcPr>
            <w:tcW w:w="50" w:type="pct"/>
            <w:shd w:val="clear" w:color="auto" w:fill="FFFFFF"/>
            <w:tcMar>
              <w:top w:w="0" w:type="dxa"/>
              <w:left w:w="0" w:type="dxa"/>
              <w:bottom w:w="45" w:type="dxa"/>
              <w:right w:w="0" w:type="dxa"/>
            </w:tcMar>
            <w:vAlign w:val="bottom"/>
            <w:hideMark/>
          </w:tcPr>
          <w:p w14:paraId="71986D8A"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FAF3B31" w14:textId="77777777" w:rsidR="00000000" w:rsidRDefault="00322B34">
            <w:pPr>
              <w:rPr>
                <w:rFonts w:eastAsia="Times New Roman"/>
                <w:sz w:val="16"/>
                <w:szCs w:val="16"/>
              </w:rPr>
            </w:pPr>
            <w:r>
              <w:rPr>
                <w:rFonts w:eastAsia="Times New Roman"/>
                <w:sz w:val="16"/>
                <w:szCs w:val="16"/>
              </w:rPr>
              <w:t>$</w:t>
            </w:r>
          </w:p>
        </w:tc>
        <w:tc>
          <w:tcPr>
            <w:tcW w:w="350" w:type="pct"/>
            <w:tcBorders>
              <w:bottom w:val="double" w:sz="6" w:space="0" w:color="000000"/>
            </w:tcBorders>
            <w:shd w:val="clear" w:color="auto" w:fill="FFFFFF"/>
            <w:vAlign w:val="bottom"/>
            <w:hideMark/>
          </w:tcPr>
          <w:p w14:paraId="007ED4F2" w14:textId="77777777" w:rsidR="00000000" w:rsidRDefault="00322B34">
            <w:pPr>
              <w:jc w:val="right"/>
              <w:rPr>
                <w:rFonts w:eastAsia="Times New Roman"/>
                <w:sz w:val="16"/>
                <w:szCs w:val="16"/>
              </w:rPr>
            </w:pPr>
            <w:r>
              <w:rPr>
                <w:rFonts w:eastAsia="Times New Roman"/>
                <w:sz w:val="16"/>
                <w:szCs w:val="16"/>
              </w:rPr>
              <w:t>(200,492</w:t>
            </w:r>
          </w:p>
        </w:tc>
        <w:tc>
          <w:tcPr>
            <w:tcW w:w="50" w:type="pct"/>
            <w:tcBorders>
              <w:bottom w:val="double" w:sz="6" w:space="0" w:color="000000"/>
            </w:tcBorders>
            <w:shd w:val="clear" w:color="auto" w:fill="FFFFFF"/>
            <w:vAlign w:val="bottom"/>
            <w:hideMark/>
          </w:tcPr>
          <w:p w14:paraId="1CBBEB0F" w14:textId="77777777" w:rsidR="00000000" w:rsidRDefault="00322B34">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14:paraId="70355931"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9ABA1BA" w14:textId="77777777" w:rsidR="00000000" w:rsidRDefault="00322B3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14:paraId="5868349C" w14:textId="77777777" w:rsidR="00000000" w:rsidRDefault="00322B34">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14:paraId="30B72EEC"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E8FDCF0"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01BCEC8" w14:textId="77777777" w:rsidR="00000000" w:rsidRDefault="00322B3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75D8C890" w14:textId="77777777" w:rsidR="00000000" w:rsidRDefault="00322B34">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14:paraId="18932A89"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0D384BD"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D981EA1" w14:textId="77777777" w:rsidR="00000000" w:rsidRDefault="00322B3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14:paraId="3FDBC368" w14:textId="77777777" w:rsidR="00000000" w:rsidRDefault="00322B34">
            <w:pPr>
              <w:jc w:val="right"/>
              <w:rPr>
                <w:rFonts w:eastAsia="Times New Roman"/>
                <w:sz w:val="16"/>
                <w:szCs w:val="16"/>
              </w:rPr>
            </w:pPr>
            <w:r>
              <w:rPr>
                <w:rFonts w:eastAsia="Times New Roman"/>
                <w:sz w:val="16"/>
                <w:szCs w:val="16"/>
              </w:rPr>
              <w:t>432,504</w:t>
            </w:r>
          </w:p>
        </w:tc>
        <w:tc>
          <w:tcPr>
            <w:tcW w:w="50" w:type="pct"/>
            <w:tcBorders>
              <w:bottom w:val="double" w:sz="6" w:space="0" w:color="000000"/>
            </w:tcBorders>
            <w:shd w:val="clear" w:color="auto" w:fill="FFFFFF"/>
            <w:vAlign w:val="bottom"/>
            <w:hideMark/>
          </w:tcPr>
          <w:p w14:paraId="6CE43A1B"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A960909"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8E54F0C" w14:textId="77777777" w:rsidR="00000000" w:rsidRDefault="00322B3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501662B7" w14:textId="77777777" w:rsidR="00000000" w:rsidRDefault="00322B34">
            <w:pPr>
              <w:jc w:val="right"/>
              <w:rPr>
                <w:rFonts w:eastAsia="Times New Roman"/>
                <w:sz w:val="16"/>
                <w:szCs w:val="16"/>
              </w:rPr>
            </w:pPr>
            <w:r>
              <w:rPr>
                <w:rFonts w:eastAsia="Times New Roman"/>
                <w:sz w:val="16"/>
                <w:szCs w:val="16"/>
              </w:rPr>
              <w:t>4,325</w:t>
            </w:r>
          </w:p>
        </w:tc>
        <w:tc>
          <w:tcPr>
            <w:tcW w:w="50" w:type="pct"/>
            <w:tcBorders>
              <w:bottom w:val="double" w:sz="6" w:space="0" w:color="000000"/>
            </w:tcBorders>
            <w:shd w:val="clear" w:color="auto" w:fill="FFFFFF"/>
            <w:vAlign w:val="bottom"/>
            <w:hideMark/>
          </w:tcPr>
          <w:p w14:paraId="05D5DAC7"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836C507"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8319B58"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52217E45" w14:textId="77777777" w:rsidR="00000000" w:rsidRDefault="00322B34">
            <w:pPr>
              <w:jc w:val="right"/>
              <w:rPr>
                <w:rFonts w:eastAsia="Times New Roman"/>
                <w:sz w:val="16"/>
                <w:szCs w:val="16"/>
              </w:rPr>
            </w:pPr>
            <w:r>
              <w:rPr>
                <w:rFonts w:eastAsia="Times New Roman"/>
                <w:sz w:val="16"/>
                <w:szCs w:val="16"/>
              </w:rPr>
              <w:t>5,752,658</w:t>
            </w:r>
          </w:p>
        </w:tc>
        <w:tc>
          <w:tcPr>
            <w:tcW w:w="50" w:type="pct"/>
            <w:tcBorders>
              <w:bottom w:val="double" w:sz="6" w:space="0" w:color="000000"/>
            </w:tcBorders>
            <w:shd w:val="clear" w:color="auto" w:fill="FFFFFF"/>
            <w:vAlign w:val="bottom"/>
            <w:hideMark/>
          </w:tcPr>
          <w:p w14:paraId="69F60E35"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F8BEBBC"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5DF5506"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73CDBD30" w14:textId="77777777" w:rsidR="00000000" w:rsidRDefault="00322B34">
            <w:pPr>
              <w:jc w:val="right"/>
              <w:rPr>
                <w:rFonts w:eastAsia="Times New Roman"/>
                <w:sz w:val="16"/>
                <w:szCs w:val="16"/>
              </w:rPr>
            </w:pPr>
            <w:r>
              <w:rPr>
                <w:rFonts w:eastAsia="Times New Roman"/>
                <w:sz w:val="16"/>
                <w:szCs w:val="16"/>
              </w:rPr>
              <w:t>5,556,511</w:t>
            </w:r>
          </w:p>
        </w:tc>
        <w:tc>
          <w:tcPr>
            <w:tcW w:w="50" w:type="pct"/>
            <w:tcBorders>
              <w:bottom w:val="double" w:sz="6" w:space="0" w:color="000000"/>
            </w:tcBorders>
            <w:shd w:val="clear" w:color="auto" w:fill="FFFFFF"/>
            <w:vAlign w:val="bottom"/>
            <w:hideMark/>
          </w:tcPr>
          <w:p w14:paraId="36DFDDDD"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54F31D7"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A37D4AF"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14:paraId="1AE6ED4E" w14:textId="77777777" w:rsidR="00000000" w:rsidRDefault="00322B34">
            <w:pPr>
              <w:jc w:val="right"/>
              <w:rPr>
                <w:rFonts w:eastAsia="Times New Roman"/>
                <w:sz w:val="16"/>
                <w:szCs w:val="16"/>
              </w:rPr>
            </w:pPr>
            <w:r>
              <w:rPr>
                <w:rFonts w:eastAsia="Times New Roman"/>
                <w:sz w:val="16"/>
                <w:szCs w:val="16"/>
              </w:rPr>
              <w:t>61,863</w:t>
            </w:r>
          </w:p>
        </w:tc>
        <w:tc>
          <w:tcPr>
            <w:tcW w:w="50" w:type="pct"/>
            <w:tcBorders>
              <w:bottom w:val="double" w:sz="6" w:space="0" w:color="000000"/>
            </w:tcBorders>
            <w:shd w:val="clear" w:color="auto" w:fill="FFFFFF"/>
            <w:vAlign w:val="bottom"/>
            <w:hideMark/>
          </w:tcPr>
          <w:p w14:paraId="282A97DD"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510BA8D"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DD16EB7" w14:textId="77777777" w:rsidR="00000000" w:rsidRDefault="00322B3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169144DD" w14:textId="77777777" w:rsidR="00000000" w:rsidRDefault="00322B34">
            <w:pPr>
              <w:jc w:val="right"/>
              <w:rPr>
                <w:rFonts w:eastAsia="Times New Roman"/>
                <w:sz w:val="16"/>
                <w:szCs w:val="16"/>
              </w:rPr>
            </w:pPr>
            <w:r>
              <w:rPr>
                <w:rFonts w:eastAsia="Times New Roman"/>
                <w:sz w:val="16"/>
                <w:szCs w:val="16"/>
              </w:rPr>
              <w:t>5,618,374</w:t>
            </w:r>
          </w:p>
        </w:tc>
        <w:tc>
          <w:tcPr>
            <w:tcW w:w="50" w:type="pct"/>
            <w:shd w:val="clear" w:color="auto" w:fill="FFFFFF"/>
            <w:tcMar>
              <w:top w:w="0" w:type="dxa"/>
              <w:left w:w="0" w:type="dxa"/>
              <w:bottom w:w="45" w:type="dxa"/>
              <w:right w:w="0" w:type="dxa"/>
            </w:tcMar>
            <w:vAlign w:val="bottom"/>
            <w:hideMark/>
          </w:tcPr>
          <w:p w14:paraId="5E0B98CB" w14:textId="77777777" w:rsidR="00000000" w:rsidRDefault="00322B34">
            <w:pPr>
              <w:rPr>
                <w:rFonts w:eastAsia="Times New Roman"/>
                <w:sz w:val="16"/>
                <w:szCs w:val="16"/>
              </w:rPr>
            </w:pPr>
            <w:r>
              <w:rPr>
                <w:rFonts w:eastAsia="Times New Roman"/>
                <w:sz w:val="16"/>
                <w:szCs w:val="16"/>
              </w:rPr>
              <w:t> </w:t>
            </w:r>
          </w:p>
        </w:tc>
      </w:tr>
    </w:tbl>
    <w:p w14:paraId="33FB9A35" w14:textId="77777777" w:rsidR="00000000" w:rsidRDefault="00322B34">
      <w:pPr>
        <w:pStyle w:val="a3"/>
        <w:spacing w:before="0" w:beforeAutospacing="0" w:after="0" w:afterAutospacing="0"/>
        <w:rPr>
          <w:sz w:val="20"/>
          <w:szCs w:val="20"/>
        </w:rPr>
      </w:pPr>
      <w:r>
        <w:rPr>
          <w:sz w:val="20"/>
          <w:szCs w:val="20"/>
        </w:rPr>
        <w:t> </w:t>
      </w:r>
    </w:p>
    <w:p w14:paraId="5657C3FC" w14:textId="77777777" w:rsidR="00000000" w:rsidRDefault="00322B34">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0006877F" w14:textId="77777777" w:rsidR="00000000" w:rsidRDefault="00322B34">
      <w:pPr>
        <w:pStyle w:val="a3"/>
        <w:spacing w:before="0" w:beforeAutospacing="0" w:after="0" w:afterAutospacing="0"/>
        <w:jc w:val="center"/>
        <w:rPr>
          <w:sz w:val="20"/>
          <w:szCs w:val="20"/>
        </w:rPr>
      </w:pPr>
      <w:r>
        <w:rPr>
          <w:sz w:val="20"/>
          <w:szCs w:val="20"/>
        </w:rPr>
        <w:t> </w:t>
      </w:r>
    </w:p>
    <w:p w14:paraId="1588CAA9" w14:textId="77777777" w:rsidR="00000000" w:rsidRDefault="00322B34">
      <w:pPr>
        <w:jc w:val="center"/>
        <w:divId w:val="422382000"/>
        <w:rPr>
          <w:rFonts w:eastAsia="Times New Roman"/>
          <w:sz w:val="20"/>
          <w:szCs w:val="20"/>
        </w:rPr>
      </w:pPr>
      <w:r>
        <w:rPr>
          <w:rFonts w:eastAsia="Times New Roman"/>
          <w:sz w:val="20"/>
          <w:szCs w:val="20"/>
        </w:rPr>
        <w:t xml:space="preserve">5 </w:t>
      </w:r>
    </w:p>
    <w:p w14:paraId="3BD37FBA" w14:textId="77777777" w:rsidR="00000000" w:rsidRDefault="00322B34">
      <w:pPr>
        <w:divId w:val="1094745554"/>
        <w:rPr>
          <w:rFonts w:eastAsia="Times New Roman"/>
          <w:sz w:val="20"/>
          <w:szCs w:val="20"/>
        </w:rPr>
      </w:pPr>
      <w:r>
        <w:rPr>
          <w:rFonts w:eastAsia="Times New Roman"/>
          <w:sz w:val="20"/>
          <w:szCs w:val="20"/>
        </w:rPr>
        <w:pict w14:anchorId="2CD2CCB6">
          <v:rect id="_x0000_i1033" style="width:0;height:1.5pt" o:hralign="center" o:hrstd="t" o:hr="t" fillcolor="#a0a0a0" stroked="f"/>
        </w:pict>
      </w:r>
    </w:p>
    <w:p w14:paraId="3BD7CAE5" w14:textId="77777777" w:rsidR="00000000" w:rsidRDefault="00322B34">
      <w:pPr>
        <w:divId w:val="98658977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08F9007" w14:textId="77777777" w:rsidR="00000000" w:rsidRDefault="00322B34">
      <w:pPr>
        <w:pStyle w:val="a3"/>
        <w:spacing w:before="0" w:beforeAutospacing="0" w:after="0" w:afterAutospacing="0"/>
        <w:rPr>
          <w:sz w:val="20"/>
          <w:szCs w:val="20"/>
        </w:rPr>
      </w:pPr>
      <w:r>
        <w:rPr>
          <w:sz w:val="20"/>
          <w:szCs w:val="20"/>
        </w:rPr>
        <w:t> </w:t>
      </w:r>
    </w:p>
    <w:p w14:paraId="7E953867" w14:textId="77777777" w:rsidR="00000000" w:rsidRDefault="00322B34">
      <w:pPr>
        <w:pStyle w:val="a3"/>
        <w:spacing w:before="0" w:beforeAutospacing="0" w:after="0" w:afterAutospacing="0"/>
        <w:jc w:val="center"/>
        <w:rPr>
          <w:sz w:val="20"/>
          <w:szCs w:val="20"/>
        </w:rPr>
      </w:pPr>
      <w:r>
        <w:rPr>
          <w:sz w:val="20"/>
          <w:szCs w:val="20"/>
        </w:rPr>
        <w:t>KIMCO REALTY CORPORATION AND SUBSIDIARIES</w:t>
      </w:r>
    </w:p>
    <w:p w14:paraId="3DA1BBC8" w14:textId="77777777" w:rsidR="00000000" w:rsidRDefault="00322B34">
      <w:pPr>
        <w:pStyle w:val="a3"/>
        <w:spacing w:before="0" w:beforeAutospacing="0" w:after="0" w:afterAutospacing="0"/>
        <w:jc w:val="center"/>
        <w:rPr>
          <w:sz w:val="20"/>
          <w:szCs w:val="20"/>
        </w:rPr>
      </w:pPr>
      <w:r>
        <w:rPr>
          <w:sz w:val="20"/>
          <w:szCs w:val="20"/>
        </w:rPr>
        <w:t>CONDENSED CONSOLIDATED STATEMENTS OF CHANGES IN EQUITY</w:t>
      </w:r>
    </w:p>
    <w:p w14:paraId="00ADC4F2" w14:textId="77777777" w:rsidR="00000000" w:rsidRDefault="00322B34">
      <w:pPr>
        <w:pStyle w:val="a3"/>
        <w:spacing w:before="0" w:beforeAutospacing="0" w:after="0" w:afterAutospacing="0"/>
        <w:jc w:val="center"/>
        <w:rPr>
          <w:sz w:val="20"/>
          <w:szCs w:val="20"/>
        </w:rPr>
      </w:pPr>
      <w:r>
        <w:rPr>
          <w:sz w:val="20"/>
          <w:szCs w:val="20"/>
        </w:rPr>
        <w:t>For the Six Months Ended June 30, 2020 and 2019</w:t>
      </w:r>
    </w:p>
    <w:p w14:paraId="256930DD" w14:textId="77777777" w:rsidR="00000000" w:rsidRDefault="00322B34">
      <w:pPr>
        <w:pStyle w:val="a3"/>
        <w:spacing w:before="0" w:beforeAutospacing="0" w:after="0" w:afterAutospacing="0"/>
        <w:jc w:val="center"/>
        <w:rPr>
          <w:sz w:val="20"/>
          <w:szCs w:val="20"/>
        </w:rPr>
      </w:pPr>
      <w:r>
        <w:rPr>
          <w:sz w:val="20"/>
          <w:szCs w:val="20"/>
        </w:rPr>
        <w:t>(Unaudited)</w:t>
      </w:r>
    </w:p>
    <w:p w14:paraId="4F84438F" w14:textId="77777777" w:rsidR="00000000" w:rsidRDefault="00322B34">
      <w:pPr>
        <w:pStyle w:val="a3"/>
        <w:spacing w:before="0" w:beforeAutospacing="0" w:after="0" w:afterAutospacing="0"/>
        <w:jc w:val="center"/>
        <w:rPr>
          <w:sz w:val="20"/>
          <w:szCs w:val="20"/>
        </w:rPr>
      </w:pPr>
      <w:r>
        <w:rPr>
          <w:sz w:val="20"/>
          <w:szCs w:val="20"/>
        </w:rPr>
        <w:t>(in thousands)</w:t>
      </w:r>
    </w:p>
    <w:p w14:paraId="2020AFE9" w14:textId="77777777" w:rsidR="00000000" w:rsidRDefault="00322B3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23"/>
        <w:gridCol w:w="40"/>
        <w:gridCol w:w="129"/>
        <w:gridCol w:w="769"/>
        <w:gridCol w:w="54"/>
        <w:gridCol w:w="40"/>
        <w:gridCol w:w="73"/>
        <w:gridCol w:w="364"/>
        <w:gridCol w:w="48"/>
        <w:gridCol w:w="47"/>
        <w:gridCol w:w="94"/>
        <w:gridCol w:w="467"/>
        <w:gridCol w:w="40"/>
        <w:gridCol w:w="40"/>
        <w:gridCol w:w="40"/>
        <w:gridCol w:w="520"/>
        <w:gridCol w:w="54"/>
        <w:gridCol w:w="40"/>
        <w:gridCol w:w="94"/>
        <w:gridCol w:w="467"/>
        <w:gridCol w:w="54"/>
        <w:gridCol w:w="40"/>
        <w:gridCol w:w="80"/>
        <w:gridCol w:w="640"/>
        <w:gridCol w:w="54"/>
        <w:gridCol w:w="40"/>
        <w:gridCol w:w="134"/>
        <w:gridCol w:w="800"/>
        <w:gridCol w:w="54"/>
        <w:gridCol w:w="40"/>
        <w:gridCol w:w="148"/>
        <w:gridCol w:w="884"/>
        <w:gridCol w:w="54"/>
        <w:gridCol w:w="40"/>
        <w:gridCol w:w="80"/>
        <w:gridCol w:w="640"/>
        <w:gridCol w:w="54"/>
      </w:tblGrid>
      <w:tr w:rsidR="00000000" w14:paraId="354AA72B" w14:textId="77777777">
        <w:trPr>
          <w:divId w:val="376854770"/>
          <w:tblCellSpacing w:w="0" w:type="dxa"/>
        </w:trPr>
        <w:tc>
          <w:tcPr>
            <w:tcW w:w="1200" w:type="pct"/>
            <w:vAlign w:val="bottom"/>
            <w:hideMark/>
          </w:tcPr>
          <w:p w14:paraId="21094F78"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7D3A6F8E"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45D686EF" w14:textId="77777777" w:rsidR="00000000" w:rsidRDefault="00322B34">
            <w:pPr>
              <w:pStyle w:val="a3"/>
              <w:spacing w:before="0" w:beforeAutospacing="0" w:after="0" w:afterAutospacing="0"/>
              <w:jc w:val="center"/>
              <w:rPr>
                <w:sz w:val="16"/>
                <w:szCs w:val="16"/>
              </w:rPr>
            </w:pPr>
            <w:r>
              <w:rPr>
                <w:b/>
                <w:bCs/>
                <w:sz w:val="16"/>
                <w:szCs w:val="16"/>
              </w:rPr>
              <w:t xml:space="preserve">Cumulative </w:t>
            </w:r>
          </w:p>
        </w:tc>
        <w:tc>
          <w:tcPr>
            <w:tcW w:w="50" w:type="pct"/>
            <w:vAlign w:val="bottom"/>
            <w:hideMark/>
          </w:tcPr>
          <w:p w14:paraId="52034B7A"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63735A30"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5B57DF98" w14:textId="77777777" w:rsidR="00000000" w:rsidRDefault="00322B34">
            <w:pPr>
              <w:rPr>
                <w:rFonts w:eastAsia="Times New Roman"/>
                <w:sz w:val="16"/>
                <w:szCs w:val="16"/>
              </w:rPr>
            </w:pPr>
            <w:r>
              <w:rPr>
                <w:rFonts w:eastAsia="Times New Roman"/>
                <w:b/>
                <w:bCs/>
                <w:sz w:val="16"/>
                <w:szCs w:val="16"/>
              </w:rPr>
              <w:t> </w:t>
            </w:r>
          </w:p>
        </w:tc>
        <w:tc>
          <w:tcPr>
            <w:tcW w:w="250" w:type="pct"/>
            <w:vAlign w:val="bottom"/>
            <w:hideMark/>
          </w:tcPr>
          <w:p w14:paraId="5529A33C"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3968068B" w14:textId="77777777" w:rsidR="00000000" w:rsidRDefault="00322B34">
            <w:pPr>
              <w:rPr>
                <w:rFonts w:eastAsia="Times New Roman"/>
                <w:sz w:val="16"/>
                <w:szCs w:val="16"/>
              </w:rPr>
            </w:pPr>
            <w:r>
              <w:rPr>
                <w:rFonts w:eastAsia="Times New Roman"/>
                <w:b/>
                <w:bCs/>
                <w:sz w:val="16"/>
                <w:szCs w:val="16"/>
              </w:rPr>
              <w:t> </w:t>
            </w:r>
          </w:p>
        </w:tc>
        <w:tc>
          <w:tcPr>
            <w:tcW w:w="50" w:type="pct"/>
            <w:vAlign w:val="bottom"/>
            <w:hideMark/>
          </w:tcPr>
          <w:p w14:paraId="66CFE2DA"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503EB5A9" w14:textId="77777777" w:rsidR="00000000" w:rsidRDefault="00322B34">
            <w:pPr>
              <w:rPr>
                <w:rFonts w:eastAsia="Times New Roman"/>
                <w:sz w:val="16"/>
                <w:szCs w:val="16"/>
              </w:rPr>
            </w:pPr>
            <w:r>
              <w:rPr>
                <w:rFonts w:eastAsia="Times New Roman"/>
                <w:b/>
                <w:bCs/>
                <w:sz w:val="16"/>
                <w:szCs w:val="16"/>
              </w:rPr>
              <w:t> </w:t>
            </w:r>
          </w:p>
        </w:tc>
        <w:tc>
          <w:tcPr>
            <w:tcW w:w="250" w:type="pct"/>
            <w:vAlign w:val="bottom"/>
            <w:hideMark/>
          </w:tcPr>
          <w:p w14:paraId="10CC06E3"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7E30FAEB" w14:textId="77777777" w:rsidR="00000000" w:rsidRDefault="00322B34">
            <w:pPr>
              <w:rPr>
                <w:rFonts w:eastAsia="Times New Roman"/>
                <w:sz w:val="16"/>
                <w:szCs w:val="16"/>
              </w:rPr>
            </w:pPr>
            <w:r>
              <w:rPr>
                <w:rFonts w:eastAsia="Times New Roman"/>
                <w:b/>
                <w:bCs/>
                <w:sz w:val="16"/>
                <w:szCs w:val="16"/>
              </w:rPr>
              <w:t> </w:t>
            </w:r>
          </w:p>
        </w:tc>
        <w:tc>
          <w:tcPr>
            <w:tcW w:w="50" w:type="pct"/>
            <w:vAlign w:val="bottom"/>
            <w:hideMark/>
          </w:tcPr>
          <w:p w14:paraId="3816FC03"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64CED5A1" w14:textId="77777777" w:rsidR="00000000" w:rsidRDefault="00322B34">
            <w:pPr>
              <w:rPr>
                <w:rFonts w:eastAsia="Times New Roman"/>
                <w:sz w:val="16"/>
                <w:szCs w:val="16"/>
              </w:rPr>
            </w:pPr>
            <w:r>
              <w:rPr>
                <w:rFonts w:eastAsia="Times New Roman"/>
                <w:b/>
                <w:bCs/>
                <w:sz w:val="16"/>
                <w:szCs w:val="16"/>
              </w:rPr>
              <w:t> </w:t>
            </w:r>
          </w:p>
        </w:tc>
        <w:tc>
          <w:tcPr>
            <w:tcW w:w="250" w:type="pct"/>
            <w:vAlign w:val="bottom"/>
            <w:hideMark/>
          </w:tcPr>
          <w:p w14:paraId="6DE679D2"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3DDC628D" w14:textId="77777777" w:rsidR="00000000" w:rsidRDefault="00322B34">
            <w:pPr>
              <w:rPr>
                <w:rFonts w:eastAsia="Times New Roman"/>
                <w:sz w:val="16"/>
                <w:szCs w:val="16"/>
              </w:rPr>
            </w:pPr>
            <w:r>
              <w:rPr>
                <w:rFonts w:eastAsia="Times New Roman"/>
                <w:b/>
                <w:bCs/>
                <w:sz w:val="16"/>
                <w:szCs w:val="16"/>
              </w:rPr>
              <w:t> </w:t>
            </w:r>
          </w:p>
        </w:tc>
        <w:tc>
          <w:tcPr>
            <w:tcW w:w="50" w:type="pct"/>
            <w:vAlign w:val="bottom"/>
            <w:hideMark/>
          </w:tcPr>
          <w:p w14:paraId="4ABD9F67"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679906A3" w14:textId="77777777" w:rsidR="00000000" w:rsidRDefault="00322B34">
            <w:pPr>
              <w:rPr>
                <w:rFonts w:eastAsia="Times New Roman"/>
                <w:sz w:val="16"/>
                <w:szCs w:val="16"/>
              </w:rPr>
            </w:pPr>
            <w:r>
              <w:rPr>
                <w:rFonts w:eastAsia="Times New Roman"/>
                <w:b/>
                <w:bCs/>
                <w:sz w:val="16"/>
                <w:szCs w:val="16"/>
              </w:rPr>
              <w:t> </w:t>
            </w:r>
          </w:p>
        </w:tc>
        <w:tc>
          <w:tcPr>
            <w:tcW w:w="250" w:type="pct"/>
            <w:vAlign w:val="bottom"/>
            <w:hideMark/>
          </w:tcPr>
          <w:p w14:paraId="74A07B58"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4BA8E0E5" w14:textId="77777777" w:rsidR="00000000" w:rsidRDefault="00322B34">
            <w:pPr>
              <w:rPr>
                <w:rFonts w:eastAsia="Times New Roman"/>
                <w:sz w:val="16"/>
                <w:szCs w:val="16"/>
              </w:rPr>
            </w:pPr>
            <w:r>
              <w:rPr>
                <w:rFonts w:eastAsia="Times New Roman"/>
                <w:b/>
                <w:bCs/>
                <w:sz w:val="16"/>
                <w:szCs w:val="16"/>
              </w:rPr>
              <w:t> </w:t>
            </w:r>
          </w:p>
        </w:tc>
        <w:tc>
          <w:tcPr>
            <w:tcW w:w="50" w:type="pct"/>
            <w:vAlign w:val="bottom"/>
            <w:hideMark/>
          </w:tcPr>
          <w:p w14:paraId="28C889D5"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305C85A6" w14:textId="77777777" w:rsidR="00000000" w:rsidRDefault="00322B34">
            <w:pPr>
              <w:rPr>
                <w:rFonts w:eastAsia="Times New Roman"/>
                <w:sz w:val="16"/>
                <w:szCs w:val="16"/>
              </w:rPr>
            </w:pPr>
            <w:r>
              <w:rPr>
                <w:rFonts w:eastAsia="Times New Roman"/>
                <w:b/>
                <w:bCs/>
                <w:sz w:val="16"/>
                <w:szCs w:val="16"/>
              </w:rPr>
              <w:t> </w:t>
            </w:r>
          </w:p>
        </w:tc>
        <w:tc>
          <w:tcPr>
            <w:tcW w:w="300" w:type="pct"/>
            <w:vAlign w:val="bottom"/>
            <w:hideMark/>
          </w:tcPr>
          <w:p w14:paraId="687FFFE7"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11892F84" w14:textId="77777777" w:rsidR="00000000" w:rsidRDefault="00322B34">
            <w:pPr>
              <w:rPr>
                <w:rFonts w:eastAsia="Times New Roman"/>
                <w:sz w:val="16"/>
                <w:szCs w:val="16"/>
              </w:rPr>
            </w:pPr>
            <w:r>
              <w:rPr>
                <w:rFonts w:eastAsia="Times New Roman"/>
                <w:b/>
                <w:bCs/>
                <w:sz w:val="16"/>
                <w:szCs w:val="16"/>
              </w:rPr>
              <w:t> </w:t>
            </w:r>
          </w:p>
        </w:tc>
        <w:tc>
          <w:tcPr>
            <w:tcW w:w="50" w:type="pct"/>
            <w:vAlign w:val="bottom"/>
            <w:hideMark/>
          </w:tcPr>
          <w:p w14:paraId="56F09253"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662A5CE8" w14:textId="77777777" w:rsidR="00000000" w:rsidRDefault="00322B34">
            <w:pPr>
              <w:pStyle w:val="a3"/>
              <w:spacing w:before="0" w:beforeAutospacing="0" w:after="0" w:afterAutospacing="0"/>
              <w:jc w:val="center"/>
              <w:rPr>
                <w:sz w:val="16"/>
                <w:szCs w:val="16"/>
              </w:rPr>
            </w:pPr>
            <w:r>
              <w:rPr>
                <w:b/>
                <w:bCs/>
                <w:sz w:val="16"/>
                <w:szCs w:val="16"/>
              </w:rPr>
              <w:t>Total</w:t>
            </w:r>
          </w:p>
        </w:tc>
        <w:tc>
          <w:tcPr>
            <w:tcW w:w="50" w:type="pct"/>
            <w:vAlign w:val="bottom"/>
            <w:hideMark/>
          </w:tcPr>
          <w:p w14:paraId="023B198F"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30503E4B"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117297B2" w14:textId="77777777" w:rsidR="00000000" w:rsidRDefault="00322B34">
            <w:pPr>
              <w:rPr>
                <w:rFonts w:eastAsia="Times New Roman"/>
                <w:sz w:val="16"/>
                <w:szCs w:val="16"/>
              </w:rPr>
            </w:pPr>
            <w:r>
              <w:rPr>
                <w:rFonts w:eastAsia="Times New Roman"/>
                <w:b/>
                <w:bCs/>
                <w:sz w:val="16"/>
                <w:szCs w:val="16"/>
              </w:rPr>
              <w:t> </w:t>
            </w:r>
          </w:p>
        </w:tc>
        <w:tc>
          <w:tcPr>
            <w:tcW w:w="300" w:type="pct"/>
            <w:vAlign w:val="bottom"/>
            <w:hideMark/>
          </w:tcPr>
          <w:p w14:paraId="743246FA"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47D9D151" w14:textId="77777777" w:rsidR="00000000" w:rsidRDefault="00322B34">
            <w:pPr>
              <w:rPr>
                <w:rFonts w:eastAsia="Times New Roman"/>
                <w:sz w:val="16"/>
                <w:szCs w:val="16"/>
              </w:rPr>
            </w:pPr>
            <w:r>
              <w:rPr>
                <w:rFonts w:eastAsia="Times New Roman"/>
                <w:b/>
                <w:bCs/>
                <w:sz w:val="16"/>
                <w:szCs w:val="16"/>
              </w:rPr>
              <w:t> </w:t>
            </w:r>
          </w:p>
        </w:tc>
        <w:tc>
          <w:tcPr>
            <w:tcW w:w="50" w:type="pct"/>
            <w:vAlign w:val="bottom"/>
            <w:hideMark/>
          </w:tcPr>
          <w:p w14:paraId="0A3FEADE"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51220357" w14:textId="77777777" w:rsidR="00000000" w:rsidRDefault="00322B34">
            <w:pPr>
              <w:rPr>
                <w:rFonts w:eastAsia="Times New Roman"/>
                <w:sz w:val="16"/>
                <w:szCs w:val="16"/>
              </w:rPr>
            </w:pPr>
            <w:r>
              <w:rPr>
                <w:rFonts w:eastAsia="Times New Roman"/>
                <w:b/>
                <w:bCs/>
                <w:sz w:val="16"/>
                <w:szCs w:val="16"/>
              </w:rPr>
              <w:t> </w:t>
            </w:r>
          </w:p>
        </w:tc>
        <w:tc>
          <w:tcPr>
            <w:tcW w:w="250" w:type="pct"/>
            <w:vAlign w:val="bottom"/>
            <w:hideMark/>
          </w:tcPr>
          <w:p w14:paraId="20E6FF64" w14:textId="77777777" w:rsidR="00000000" w:rsidRDefault="00322B34">
            <w:pPr>
              <w:jc w:val="center"/>
              <w:rPr>
                <w:rFonts w:eastAsia="Times New Roman"/>
                <w:sz w:val="16"/>
                <w:szCs w:val="16"/>
              </w:rPr>
            </w:pPr>
            <w:r>
              <w:rPr>
                <w:rFonts w:eastAsia="Times New Roman"/>
                <w:b/>
                <w:bCs/>
                <w:sz w:val="16"/>
                <w:szCs w:val="16"/>
              </w:rPr>
              <w:t> </w:t>
            </w:r>
          </w:p>
        </w:tc>
        <w:tc>
          <w:tcPr>
            <w:tcW w:w="50" w:type="pct"/>
            <w:vAlign w:val="bottom"/>
            <w:hideMark/>
          </w:tcPr>
          <w:p w14:paraId="58E0708D" w14:textId="77777777" w:rsidR="00000000" w:rsidRDefault="00322B34">
            <w:pPr>
              <w:rPr>
                <w:rFonts w:eastAsia="Times New Roman"/>
                <w:sz w:val="16"/>
                <w:szCs w:val="16"/>
              </w:rPr>
            </w:pPr>
            <w:r>
              <w:rPr>
                <w:rFonts w:eastAsia="Times New Roman"/>
                <w:b/>
                <w:bCs/>
                <w:sz w:val="16"/>
                <w:szCs w:val="16"/>
              </w:rPr>
              <w:t> </w:t>
            </w:r>
          </w:p>
        </w:tc>
      </w:tr>
      <w:tr w:rsidR="00000000" w14:paraId="313296FD" w14:textId="77777777">
        <w:trPr>
          <w:divId w:val="376854770"/>
          <w:tblCellSpacing w:w="0" w:type="dxa"/>
        </w:trPr>
        <w:tc>
          <w:tcPr>
            <w:tcW w:w="1200" w:type="pct"/>
            <w:vAlign w:val="bottom"/>
            <w:hideMark/>
          </w:tcPr>
          <w:p w14:paraId="0BFBDD36"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58622A1F"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48F6C85E" w14:textId="77777777" w:rsidR="00000000" w:rsidRDefault="00322B34">
            <w:pPr>
              <w:pStyle w:val="a3"/>
              <w:spacing w:before="0" w:beforeAutospacing="0" w:after="0" w:afterAutospacing="0"/>
              <w:jc w:val="center"/>
              <w:rPr>
                <w:sz w:val="16"/>
                <w:szCs w:val="16"/>
              </w:rPr>
            </w:pPr>
            <w:r>
              <w:rPr>
                <w:b/>
                <w:bCs/>
                <w:sz w:val="16"/>
                <w:szCs w:val="16"/>
              </w:rPr>
              <w:t>Distributions in</w:t>
            </w:r>
          </w:p>
        </w:tc>
        <w:tc>
          <w:tcPr>
            <w:tcW w:w="50" w:type="pct"/>
            <w:vAlign w:val="bottom"/>
            <w:hideMark/>
          </w:tcPr>
          <w:p w14:paraId="3E71A793"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29367BAF" w14:textId="77777777" w:rsidR="00000000" w:rsidRDefault="00322B34">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14:paraId="2A33B4C7" w14:textId="77777777" w:rsidR="00000000" w:rsidRDefault="00322B34">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tcMar>
              <w:top w:w="0" w:type="dxa"/>
              <w:left w:w="0" w:type="dxa"/>
              <w:bottom w:w="15" w:type="dxa"/>
              <w:right w:w="0" w:type="dxa"/>
            </w:tcMar>
            <w:vAlign w:val="bottom"/>
            <w:hideMark/>
          </w:tcPr>
          <w:p w14:paraId="1CAB05B8"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68072BFF" w14:textId="77777777" w:rsidR="00000000" w:rsidRDefault="00322B34">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14:paraId="762FD2C4" w14:textId="77777777" w:rsidR="00000000" w:rsidRDefault="00322B34">
            <w:pPr>
              <w:pStyle w:val="a3"/>
              <w:spacing w:before="0" w:beforeAutospacing="0" w:after="0" w:afterAutospacing="0"/>
              <w:jc w:val="center"/>
              <w:rPr>
                <w:sz w:val="16"/>
                <w:szCs w:val="16"/>
              </w:rPr>
            </w:pPr>
            <w:r>
              <w:rPr>
                <w:b/>
                <w:bCs/>
                <w:sz w:val="16"/>
                <w:szCs w:val="16"/>
              </w:rPr>
              <w:t>Common Stock</w:t>
            </w:r>
          </w:p>
        </w:tc>
        <w:tc>
          <w:tcPr>
            <w:tcW w:w="50" w:type="pct"/>
            <w:tcMar>
              <w:top w:w="0" w:type="dxa"/>
              <w:left w:w="0" w:type="dxa"/>
              <w:bottom w:w="15" w:type="dxa"/>
              <w:right w:w="0" w:type="dxa"/>
            </w:tcMar>
            <w:vAlign w:val="bottom"/>
            <w:hideMark/>
          </w:tcPr>
          <w:p w14:paraId="23B59015"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0765383E"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512B685B" w14:textId="77777777" w:rsidR="00000000" w:rsidRDefault="00322B34">
            <w:pPr>
              <w:pStyle w:val="a3"/>
              <w:spacing w:before="0" w:beforeAutospacing="0" w:after="0" w:afterAutospacing="0"/>
              <w:jc w:val="center"/>
              <w:rPr>
                <w:sz w:val="16"/>
                <w:szCs w:val="16"/>
              </w:rPr>
            </w:pPr>
            <w:r>
              <w:rPr>
                <w:b/>
                <w:bCs/>
                <w:sz w:val="16"/>
                <w:szCs w:val="16"/>
              </w:rPr>
              <w:t>Paid-in</w:t>
            </w:r>
          </w:p>
        </w:tc>
        <w:tc>
          <w:tcPr>
            <w:tcW w:w="50" w:type="pct"/>
            <w:vAlign w:val="bottom"/>
            <w:hideMark/>
          </w:tcPr>
          <w:p w14:paraId="094F4FFE"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42BC6A16"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513EAB47" w14:textId="77777777" w:rsidR="00000000" w:rsidRDefault="00322B34">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14:paraId="6C3DA219"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13809B16"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47CA542A" w14:textId="77777777" w:rsidR="00000000" w:rsidRDefault="00322B34">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14:paraId="380B9970" w14:textId="77777777" w:rsidR="00000000" w:rsidRDefault="00322B34">
            <w:pPr>
              <w:rPr>
                <w:rFonts w:eastAsia="Times New Roman"/>
                <w:sz w:val="16"/>
                <w:szCs w:val="16"/>
              </w:rPr>
            </w:pPr>
            <w:r>
              <w:rPr>
                <w:rFonts w:eastAsia="Times New Roman"/>
                <w:sz w:val="16"/>
                <w:szCs w:val="16"/>
              </w:rPr>
              <w:t> </w:t>
            </w:r>
          </w:p>
        </w:tc>
        <w:tc>
          <w:tcPr>
            <w:tcW w:w="50" w:type="pct"/>
            <w:vAlign w:val="bottom"/>
            <w:hideMark/>
          </w:tcPr>
          <w:p w14:paraId="300A30C9" w14:textId="77777777" w:rsidR="00000000" w:rsidRDefault="00322B34">
            <w:pPr>
              <w:rPr>
                <w:rFonts w:eastAsia="Times New Roman"/>
                <w:sz w:val="16"/>
                <w:szCs w:val="16"/>
              </w:rPr>
            </w:pPr>
            <w:r>
              <w:rPr>
                <w:rFonts w:eastAsia="Times New Roman"/>
                <w:sz w:val="16"/>
                <w:szCs w:val="16"/>
              </w:rPr>
              <w:t> </w:t>
            </w:r>
          </w:p>
        </w:tc>
        <w:tc>
          <w:tcPr>
            <w:tcW w:w="50" w:type="pct"/>
            <w:gridSpan w:val="2"/>
            <w:vAlign w:val="bottom"/>
            <w:hideMark/>
          </w:tcPr>
          <w:p w14:paraId="11FE535B" w14:textId="77777777" w:rsidR="00000000" w:rsidRDefault="00322B34">
            <w:pPr>
              <w:pStyle w:val="a3"/>
              <w:spacing w:before="0" w:beforeAutospacing="0" w:after="0" w:afterAutospacing="0"/>
              <w:jc w:val="center"/>
              <w:rPr>
                <w:sz w:val="16"/>
                <w:szCs w:val="16"/>
              </w:rPr>
            </w:pPr>
            <w:r>
              <w:rPr>
                <w:b/>
                <w:bCs/>
                <w:sz w:val="16"/>
                <w:szCs w:val="16"/>
              </w:rPr>
              <w:t>Total</w:t>
            </w:r>
          </w:p>
        </w:tc>
        <w:tc>
          <w:tcPr>
            <w:tcW w:w="50" w:type="pct"/>
            <w:vAlign w:val="bottom"/>
            <w:hideMark/>
          </w:tcPr>
          <w:p w14:paraId="64D096B5" w14:textId="77777777" w:rsidR="00000000" w:rsidRDefault="00322B34">
            <w:pPr>
              <w:rPr>
                <w:rFonts w:eastAsia="Times New Roman"/>
                <w:sz w:val="16"/>
                <w:szCs w:val="16"/>
              </w:rPr>
            </w:pPr>
            <w:r>
              <w:rPr>
                <w:rFonts w:eastAsia="Times New Roman"/>
                <w:sz w:val="16"/>
                <w:szCs w:val="16"/>
              </w:rPr>
              <w:t> </w:t>
            </w:r>
          </w:p>
        </w:tc>
      </w:tr>
      <w:tr w:rsidR="00000000" w14:paraId="5A8A0431" w14:textId="77777777">
        <w:trPr>
          <w:divId w:val="376854770"/>
          <w:tblCellSpacing w:w="0" w:type="dxa"/>
        </w:trPr>
        <w:tc>
          <w:tcPr>
            <w:tcW w:w="1200" w:type="pct"/>
            <w:vAlign w:val="bottom"/>
            <w:hideMark/>
          </w:tcPr>
          <w:p w14:paraId="7CD73DB3" w14:textId="77777777" w:rsidR="00000000" w:rsidRDefault="00322B34">
            <w:pPr>
              <w:rPr>
                <w:rFonts w:eastAsia="Times New Roman"/>
                <w:sz w:val="16"/>
                <w:szCs w:val="16"/>
              </w:rPr>
            </w:pPr>
            <w:r>
              <w:rPr>
                <w:rFonts w:eastAsia="Times New Roman"/>
                <w:sz w:val="16"/>
                <w:szCs w:val="16"/>
              </w:rPr>
              <w:t> </w:t>
            </w:r>
          </w:p>
        </w:tc>
        <w:tc>
          <w:tcPr>
            <w:tcW w:w="50" w:type="pct"/>
            <w:tcMar>
              <w:top w:w="0" w:type="dxa"/>
              <w:left w:w="0" w:type="dxa"/>
              <w:bottom w:w="15" w:type="dxa"/>
              <w:right w:w="0" w:type="dxa"/>
            </w:tcMar>
            <w:vAlign w:val="bottom"/>
            <w:hideMark/>
          </w:tcPr>
          <w:p w14:paraId="6866FB67"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51C79687" w14:textId="77777777" w:rsidR="00000000" w:rsidRDefault="00322B34">
            <w:pPr>
              <w:pStyle w:val="a3"/>
              <w:spacing w:before="0" w:beforeAutospacing="0" w:after="0" w:afterAutospacing="0"/>
              <w:jc w:val="center"/>
              <w:rPr>
                <w:sz w:val="16"/>
                <w:szCs w:val="16"/>
              </w:rPr>
            </w:pPr>
            <w:r>
              <w:rPr>
                <w:b/>
                <w:bCs/>
                <w:sz w:val="16"/>
                <w:szCs w:val="16"/>
              </w:rPr>
              <w:t>Excess of Net Income</w:t>
            </w:r>
          </w:p>
        </w:tc>
        <w:tc>
          <w:tcPr>
            <w:tcW w:w="50" w:type="pct"/>
            <w:tcBorders>
              <w:bottom w:val="single" w:sz="6" w:space="0" w:color="000000"/>
            </w:tcBorders>
            <w:vAlign w:val="bottom"/>
            <w:hideMark/>
          </w:tcPr>
          <w:p w14:paraId="70E69966"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5997CE85"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FDAB6E2" w14:textId="77777777" w:rsidR="00000000" w:rsidRDefault="00322B34">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74A6CB86"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3DDAC233"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0C58F55F" w14:textId="77777777" w:rsidR="00000000" w:rsidRDefault="00322B34">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4BCA04FE"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202E690E"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F80FD54" w14:textId="77777777" w:rsidR="00000000" w:rsidRDefault="00322B34">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02833EAF"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000877C6"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5FE7A33F" w14:textId="77777777" w:rsidR="00000000" w:rsidRDefault="00322B34">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546EA130"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332AA0A1"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05611370" w14:textId="77777777" w:rsidR="00000000" w:rsidRDefault="00322B34">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14:paraId="78336615"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66E02EE2"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41738CA9" w14:textId="77777777" w:rsidR="00000000" w:rsidRDefault="00322B34">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14:paraId="08E81334"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4A356345"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7D2E1C70" w14:textId="77777777" w:rsidR="00000000" w:rsidRDefault="00322B34">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14:paraId="6D05F4BD"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188AE0D6" w14:textId="77777777" w:rsidR="00000000" w:rsidRDefault="00322B34">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2E0340E" w14:textId="77777777" w:rsidR="00000000" w:rsidRDefault="00322B34">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14:paraId="0E39CD6A" w14:textId="77777777" w:rsidR="00000000" w:rsidRDefault="00322B34">
            <w:pPr>
              <w:rPr>
                <w:rFonts w:eastAsia="Times New Roman"/>
                <w:sz w:val="16"/>
                <w:szCs w:val="16"/>
              </w:rPr>
            </w:pPr>
            <w:r>
              <w:rPr>
                <w:rFonts w:eastAsia="Times New Roman"/>
                <w:sz w:val="16"/>
                <w:szCs w:val="16"/>
              </w:rPr>
              <w:t> </w:t>
            </w:r>
          </w:p>
        </w:tc>
      </w:tr>
      <w:tr w:rsidR="00322B34" w14:paraId="00CE1618" w14:textId="77777777">
        <w:trPr>
          <w:divId w:val="376854770"/>
          <w:tblCellSpacing w:w="0" w:type="dxa"/>
        </w:trPr>
        <w:tc>
          <w:tcPr>
            <w:tcW w:w="1200" w:type="pct"/>
            <w:shd w:val="clear" w:color="auto" w:fill="CCEEFF"/>
            <w:vAlign w:val="bottom"/>
            <w:hideMark/>
          </w:tcPr>
          <w:p w14:paraId="7BCFBDD7" w14:textId="77777777" w:rsidR="00000000" w:rsidRDefault="00322B34">
            <w:pPr>
              <w:pStyle w:val="a3"/>
              <w:spacing w:before="0" w:beforeAutospacing="0" w:after="0" w:afterAutospacing="0"/>
              <w:rPr>
                <w:sz w:val="16"/>
                <w:szCs w:val="16"/>
              </w:rPr>
            </w:pPr>
            <w:r>
              <w:rPr>
                <w:sz w:val="16"/>
                <w:szCs w:val="16"/>
              </w:rPr>
              <w:t>Balance at January 1, 2019</w:t>
            </w:r>
          </w:p>
        </w:tc>
        <w:tc>
          <w:tcPr>
            <w:tcW w:w="50" w:type="pct"/>
            <w:shd w:val="clear" w:color="auto" w:fill="CCEEFF"/>
            <w:vAlign w:val="bottom"/>
            <w:hideMark/>
          </w:tcPr>
          <w:p w14:paraId="6BB2CC7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55B4966" w14:textId="77777777" w:rsidR="00000000" w:rsidRDefault="00322B34">
            <w:pPr>
              <w:rPr>
                <w:rFonts w:eastAsia="Times New Roman"/>
                <w:sz w:val="16"/>
                <w:szCs w:val="16"/>
              </w:rPr>
            </w:pPr>
            <w:r>
              <w:rPr>
                <w:rFonts w:eastAsia="Times New Roman"/>
                <w:sz w:val="16"/>
                <w:szCs w:val="16"/>
              </w:rPr>
              <w:t>$</w:t>
            </w:r>
          </w:p>
        </w:tc>
        <w:tc>
          <w:tcPr>
            <w:tcW w:w="300" w:type="pct"/>
            <w:shd w:val="clear" w:color="auto" w:fill="CCEEFF"/>
            <w:vAlign w:val="bottom"/>
            <w:hideMark/>
          </w:tcPr>
          <w:p w14:paraId="5A1BA93E" w14:textId="77777777" w:rsidR="00000000" w:rsidRDefault="00322B34">
            <w:pPr>
              <w:jc w:val="right"/>
              <w:rPr>
                <w:rFonts w:eastAsia="Times New Roman"/>
                <w:sz w:val="16"/>
                <w:szCs w:val="16"/>
              </w:rPr>
            </w:pPr>
            <w:r>
              <w:rPr>
                <w:rFonts w:eastAsia="Times New Roman"/>
                <w:sz w:val="16"/>
                <w:szCs w:val="16"/>
              </w:rPr>
              <w:t>(787,707</w:t>
            </w:r>
          </w:p>
        </w:tc>
        <w:tc>
          <w:tcPr>
            <w:tcW w:w="50" w:type="pct"/>
            <w:shd w:val="clear" w:color="auto" w:fill="CCEEFF"/>
            <w:vAlign w:val="bottom"/>
            <w:hideMark/>
          </w:tcPr>
          <w:p w14:paraId="72388B88"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7E4DE2B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FF0ECD"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FE7883E" w14:textId="77777777" w:rsidR="00000000" w:rsidRDefault="00322B34">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14:paraId="60628E1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F1BA7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78BEE61" w14:textId="77777777" w:rsidR="00000000" w:rsidRDefault="00322B34">
            <w:pPr>
              <w:rPr>
                <w:rFonts w:eastAsia="Times New Roman"/>
                <w:sz w:val="16"/>
                <w:szCs w:val="16"/>
              </w:rPr>
            </w:pPr>
            <w:r>
              <w:rPr>
                <w:rFonts w:eastAsia="Times New Roman"/>
                <w:sz w:val="16"/>
                <w:szCs w:val="16"/>
              </w:rPr>
              <w:t>$</w:t>
            </w:r>
          </w:p>
        </w:tc>
        <w:tc>
          <w:tcPr>
            <w:tcW w:w="250" w:type="pct"/>
            <w:shd w:val="clear" w:color="auto" w:fill="CCEEFF"/>
            <w:vAlign w:val="bottom"/>
            <w:hideMark/>
          </w:tcPr>
          <w:p w14:paraId="0E44D615" w14:textId="77777777" w:rsidR="00000000" w:rsidRDefault="00322B34">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14:paraId="01D5AB1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1235F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AC90E2"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D3F0457" w14:textId="77777777" w:rsidR="00000000" w:rsidRDefault="00322B34">
            <w:pPr>
              <w:jc w:val="right"/>
              <w:rPr>
                <w:rFonts w:eastAsia="Times New Roman"/>
                <w:sz w:val="16"/>
                <w:szCs w:val="16"/>
              </w:rPr>
            </w:pPr>
            <w:r>
              <w:rPr>
                <w:rFonts w:eastAsia="Times New Roman"/>
                <w:sz w:val="16"/>
                <w:szCs w:val="16"/>
              </w:rPr>
              <w:t>421,389</w:t>
            </w:r>
          </w:p>
        </w:tc>
        <w:tc>
          <w:tcPr>
            <w:tcW w:w="50" w:type="pct"/>
            <w:shd w:val="clear" w:color="auto" w:fill="CCEEFF"/>
            <w:vAlign w:val="bottom"/>
            <w:hideMark/>
          </w:tcPr>
          <w:p w14:paraId="7596806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9C9DB7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F66164" w14:textId="77777777" w:rsidR="00000000" w:rsidRDefault="00322B34">
            <w:pPr>
              <w:rPr>
                <w:rFonts w:eastAsia="Times New Roman"/>
                <w:sz w:val="16"/>
                <w:szCs w:val="16"/>
              </w:rPr>
            </w:pPr>
            <w:r>
              <w:rPr>
                <w:rFonts w:eastAsia="Times New Roman"/>
                <w:sz w:val="16"/>
                <w:szCs w:val="16"/>
              </w:rPr>
              <w:t>$</w:t>
            </w:r>
          </w:p>
        </w:tc>
        <w:tc>
          <w:tcPr>
            <w:tcW w:w="250" w:type="pct"/>
            <w:shd w:val="clear" w:color="auto" w:fill="CCEEFF"/>
            <w:vAlign w:val="bottom"/>
            <w:hideMark/>
          </w:tcPr>
          <w:p w14:paraId="6A031364" w14:textId="77777777" w:rsidR="00000000" w:rsidRDefault="00322B34">
            <w:pPr>
              <w:jc w:val="right"/>
              <w:rPr>
                <w:rFonts w:eastAsia="Times New Roman"/>
                <w:sz w:val="16"/>
                <w:szCs w:val="16"/>
              </w:rPr>
            </w:pPr>
            <w:r>
              <w:rPr>
                <w:rFonts w:eastAsia="Times New Roman"/>
                <w:sz w:val="16"/>
                <w:szCs w:val="16"/>
              </w:rPr>
              <w:t>4,214</w:t>
            </w:r>
          </w:p>
        </w:tc>
        <w:tc>
          <w:tcPr>
            <w:tcW w:w="50" w:type="pct"/>
            <w:shd w:val="clear" w:color="auto" w:fill="CCEEFF"/>
            <w:vAlign w:val="bottom"/>
            <w:hideMark/>
          </w:tcPr>
          <w:p w14:paraId="130BC9E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64D964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98C240D" w14:textId="77777777" w:rsidR="00000000" w:rsidRDefault="00322B34">
            <w:pPr>
              <w:rPr>
                <w:rFonts w:eastAsia="Times New Roman"/>
                <w:sz w:val="16"/>
                <w:szCs w:val="16"/>
              </w:rPr>
            </w:pPr>
            <w:r>
              <w:rPr>
                <w:rFonts w:eastAsia="Times New Roman"/>
                <w:sz w:val="16"/>
                <w:szCs w:val="16"/>
              </w:rPr>
              <w:t>$</w:t>
            </w:r>
          </w:p>
        </w:tc>
        <w:tc>
          <w:tcPr>
            <w:tcW w:w="300" w:type="pct"/>
            <w:shd w:val="clear" w:color="auto" w:fill="CCEEFF"/>
            <w:vAlign w:val="bottom"/>
            <w:hideMark/>
          </w:tcPr>
          <w:p w14:paraId="004FC7EA" w14:textId="77777777" w:rsidR="00000000" w:rsidRDefault="00322B34">
            <w:pPr>
              <w:jc w:val="right"/>
              <w:rPr>
                <w:rFonts w:eastAsia="Times New Roman"/>
                <w:sz w:val="16"/>
                <w:szCs w:val="16"/>
              </w:rPr>
            </w:pPr>
            <w:r>
              <w:rPr>
                <w:rFonts w:eastAsia="Times New Roman"/>
                <w:sz w:val="16"/>
                <w:szCs w:val="16"/>
              </w:rPr>
              <w:t>6,117,254</w:t>
            </w:r>
          </w:p>
        </w:tc>
        <w:tc>
          <w:tcPr>
            <w:tcW w:w="50" w:type="pct"/>
            <w:shd w:val="clear" w:color="auto" w:fill="CCEEFF"/>
            <w:vAlign w:val="bottom"/>
            <w:hideMark/>
          </w:tcPr>
          <w:p w14:paraId="0FB5108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04817E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8CA1A12" w14:textId="77777777" w:rsidR="00000000" w:rsidRDefault="00322B34">
            <w:pPr>
              <w:rPr>
                <w:rFonts w:eastAsia="Times New Roman"/>
                <w:sz w:val="16"/>
                <w:szCs w:val="16"/>
              </w:rPr>
            </w:pPr>
            <w:r>
              <w:rPr>
                <w:rFonts w:eastAsia="Times New Roman"/>
                <w:sz w:val="16"/>
                <w:szCs w:val="16"/>
              </w:rPr>
              <w:t>$</w:t>
            </w:r>
          </w:p>
        </w:tc>
        <w:tc>
          <w:tcPr>
            <w:tcW w:w="300" w:type="pct"/>
            <w:shd w:val="clear" w:color="auto" w:fill="CCEEFF"/>
            <w:vAlign w:val="bottom"/>
            <w:hideMark/>
          </w:tcPr>
          <w:p w14:paraId="5C56FB14" w14:textId="77777777" w:rsidR="00000000" w:rsidRDefault="00322B34">
            <w:pPr>
              <w:jc w:val="right"/>
              <w:rPr>
                <w:rFonts w:eastAsia="Times New Roman"/>
                <w:sz w:val="16"/>
                <w:szCs w:val="16"/>
              </w:rPr>
            </w:pPr>
            <w:r>
              <w:rPr>
                <w:rFonts w:eastAsia="Times New Roman"/>
                <w:sz w:val="16"/>
                <w:szCs w:val="16"/>
              </w:rPr>
              <w:t>5,333,804</w:t>
            </w:r>
          </w:p>
        </w:tc>
        <w:tc>
          <w:tcPr>
            <w:tcW w:w="50" w:type="pct"/>
            <w:shd w:val="clear" w:color="auto" w:fill="CCEEFF"/>
            <w:vAlign w:val="bottom"/>
            <w:hideMark/>
          </w:tcPr>
          <w:p w14:paraId="0FEB269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B34B0D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713293" w14:textId="77777777" w:rsidR="00000000" w:rsidRDefault="00322B34">
            <w:pPr>
              <w:rPr>
                <w:rFonts w:eastAsia="Times New Roman"/>
                <w:sz w:val="16"/>
                <w:szCs w:val="16"/>
              </w:rPr>
            </w:pPr>
            <w:r>
              <w:rPr>
                <w:rFonts w:eastAsia="Times New Roman"/>
                <w:sz w:val="16"/>
                <w:szCs w:val="16"/>
              </w:rPr>
              <w:t>$</w:t>
            </w:r>
          </w:p>
        </w:tc>
        <w:tc>
          <w:tcPr>
            <w:tcW w:w="300" w:type="pct"/>
            <w:shd w:val="clear" w:color="auto" w:fill="CCEEFF"/>
            <w:vAlign w:val="bottom"/>
            <w:hideMark/>
          </w:tcPr>
          <w:p w14:paraId="74ADFEA7" w14:textId="77777777" w:rsidR="00000000" w:rsidRDefault="00322B34">
            <w:pPr>
              <w:jc w:val="right"/>
              <w:rPr>
                <w:rFonts w:eastAsia="Times New Roman"/>
                <w:sz w:val="16"/>
                <w:szCs w:val="16"/>
              </w:rPr>
            </w:pPr>
            <w:r>
              <w:rPr>
                <w:rFonts w:eastAsia="Times New Roman"/>
                <w:sz w:val="16"/>
                <w:szCs w:val="16"/>
              </w:rPr>
              <w:t>77,249</w:t>
            </w:r>
          </w:p>
        </w:tc>
        <w:tc>
          <w:tcPr>
            <w:tcW w:w="50" w:type="pct"/>
            <w:shd w:val="clear" w:color="auto" w:fill="CCEEFF"/>
            <w:vAlign w:val="bottom"/>
            <w:hideMark/>
          </w:tcPr>
          <w:p w14:paraId="520F30E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D4A91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867017E" w14:textId="77777777" w:rsidR="00000000" w:rsidRDefault="00322B34">
            <w:pPr>
              <w:rPr>
                <w:rFonts w:eastAsia="Times New Roman"/>
                <w:sz w:val="16"/>
                <w:szCs w:val="16"/>
              </w:rPr>
            </w:pPr>
            <w:r>
              <w:rPr>
                <w:rFonts w:eastAsia="Times New Roman"/>
                <w:sz w:val="16"/>
                <w:szCs w:val="16"/>
              </w:rPr>
              <w:t>$</w:t>
            </w:r>
          </w:p>
        </w:tc>
        <w:tc>
          <w:tcPr>
            <w:tcW w:w="250" w:type="pct"/>
            <w:shd w:val="clear" w:color="auto" w:fill="CCEEFF"/>
            <w:vAlign w:val="bottom"/>
            <w:hideMark/>
          </w:tcPr>
          <w:p w14:paraId="42B0EC1B" w14:textId="77777777" w:rsidR="00000000" w:rsidRDefault="00322B34">
            <w:pPr>
              <w:jc w:val="right"/>
              <w:rPr>
                <w:rFonts w:eastAsia="Times New Roman"/>
                <w:sz w:val="16"/>
                <w:szCs w:val="16"/>
              </w:rPr>
            </w:pPr>
            <w:r>
              <w:rPr>
                <w:rFonts w:eastAsia="Times New Roman"/>
                <w:sz w:val="16"/>
                <w:szCs w:val="16"/>
              </w:rPr>
              <w:t>5,411,053</w:t>
            </w:r>
          </w:p>
        </w:tc>
        <w:tc>
          <w:tcPr>
            <w:tcW w:w="50" w:type="pct"/>
            <w:shd w:val="clear" w:color="auto" w:fill="CCEEFF"/>
            <w:vAlign w:val="bottom"/>
            <w:hideMark/>
          </w:tcPr>
          <w:p w14:paraId="185E9D88" w14:textId="77777777" w:rsidR="00000000" w:rsidRDefault="00322B34">
            <w:pPr>
              <w:rPr>
                <w:rFonts w:eastAsia="Times New Roman"/>
                <w:sz w:val="16"/>
                <w:szCs w:val="16"/>
              </w:rPr>
            </w:pPr>
            <w:r>
              <w:rPr>
                <w:rFonts w:eastAsia="Times New Roman"/>
                <w:sz w:val="16"/>
                <w:szCs w:val="16"/>
              </w:rPr>
              <w:t> </w:t>
            </w:r>
          </w:p>
        </w:tc>
      </w:tr>
      <w:tr w:rsidR="00322B34" w14:paraId="32A8DA7B" w14:textId="77777777">
        <w:trPr>
          <w:divId w:val="376854770"/>
          <w:tblCellSpacing w:w="0" w:type="dxa"/>
        </w:trPr>
        <w:tc>
          <w:tcPr>
            <w:tcW w:w="1200" w:type="pct"/>
            <w:shd w:val="clear" w:color="auto" w:fill="FFFFFF"/>
            <w:vAlign w:val="bottom"/>
            <w:hideMark/>
          </w:tcPr>
          <w:p w14:paraId="7D324638" w14:textId="77777777" w:rsidR="00000000" w:rsidRDefault="00322B34">
            <w:pPr>
              <w:pStyle w:val="a3"/>
              <w:spacing w:before="0" w:beforeAutospacing="0" w:after="0" w:afterAutospacing="0"/>
              <w:rPr>
                <w:sz w:val="16"/>
                <w:szCs w:val="16"/>
              </w:rPr>
            </w:pPr>
            <w:r>
              <w:rPr>
                <w:sz w:val="16"/>
                <w:szCs w:val="16"/>
              </w:rPr>
              <w:t>Net income</w:t>
            </w:r>
          </w:p>
        </w:tc>
        <w:tc>
          <w:tcPr>
            <w:tcW w:w="50" w:type="pct"/>
            <w:shd w:val="clear" w:color="auto" w:fill="FFFFFF"/>
            <w:vAlign w:val="bottom"/>
            <w:hideMark/>
          </w:tcPr>
          <w:p w14:paraId="0CBCD8B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3D1D78A"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446AFC8" w14:textId="77777777" w:rsidR="00000000" w:rsidRDefault="00322B34">
            <w:pPr>
              <w:jc w:val="right"/>
              <w:rPr>
                <w:rFonts w:eastAsia="Times New Roman"/>
                <w:sz w:val="16"/>
                <w:szCs w:val="16"/>
              </w:rPr>
            </w:pPr>
            <w:r>
              <w:rPr>
                <w:rFonts w:eastAsia="Times New Roman"/>
                <w:sz w:val="16"/>
                <w:szCs w:val="16"/>
              </w:rPr>
              <w:t>217,196</w:t>
            </w:r>
          </w:p>
        </w:tc>
        <w:tc>
          <w:tcPr>
            <w:tcW w:w="50" w:type="pct"/>
            <w:shd w:val="clear" w:color="auto" w:fill="FFFFFF"/>
            <w:vAlign w:val="bottom"/>
            <w:hideMark/>
          </w:tcPr>
          <w:p w14:paraId="06D2860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56C12A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E158523"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AA16716"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6CFC628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95C9CF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0FEE4AE"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D97DA74"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5A4558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C72F20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0BB5D97"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F02577B"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67E2B33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F0150C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084539B"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F884A6F"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A9C582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AEF4D4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9746698"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190D247"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BDFA76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E265B2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0831395"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F9336C3" w14:textId="77777777" w:rsidR="00000000" w:rsidRDefault="00322B34">
            <w:pPr>
              <w:jc w:val="right"/>
              <w:rPr>
                <w:rFonts w:eastAsia="Times New Roman"/>
                <w:sz w:val="16"/>
                <w:szCs w:val="16"/>
              </w:rPr>
            </w:pPr>
            <w:r>
              <w:rPr>
                <w:rFonts w:eastAsia="Times New Roman"/>
                <w:sz w:val="16"/>
                <w:szCs w:val="16"/>
              </w:rPr>
              <w:t>217,196</w:t>
            </w:r>
          </w:p>
        </w:tc>
        <w:tc>
          <w:tcPr>
            <w:tcW w:w="50" w:type="pct"/>
            <w:shd w:val="clear" w:color="auto" w:fill="FFFFFF"/>
            <w:vAlign w:val="bottom"/>
            <w:hideMark/>
          </w:tcPr>
          <w:p w14:paraId="6DA8A57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9DFA84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447AFE5"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D33A0A9" w14:textId="77777777" w:rsidR="00000000" w:rsidRDefault="00322B34">
            <w:pPr>
              <w:jc w:val="right"/>
              <w:rPr>
                <w:rFonts w:eastAsia="Times New Roman"/>
                <w:sz w:val="16"/>
                <w:szCs w:val="16"/>
              </w:rPr>
            </w:pPr>
            <w:r>
              <w:rPr>
                <w:rFonts w:eastAsia="Times New Roman"/>
                <w:sz w:val="16"/>
                <w:szCs w:val="16"/>
              </w:rPr>
              <w:t>869</w:t>
            </w:r>
          </w:p>
        </w:tc>
        <w:tc>
          <w:tcPr>
            <w:tcW w:w="50" w:type="pct"/>
            <w:shd w:val="clear" w:color="auto" w:fill="FFFFFF"/>
            <w:vAlign w:val="bottom"/>
            <w:hideMark/>
          </w:tcPr>
          <w:p w14:paraId="60A73D4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E6840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8636246"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7BDE296" w14:textId="77777777" w:rsidR="00000000" w:rsidRDefault="00322B34">
            <w:pPr>
              <w:jc w:val="right"/>
              <w:rPr>
                <w:rFonts w:eastAsia="Times New Roman"/>
                <w:sz w:val="16"/>
                <w:szCs w:val="16"/>
              </w:rPr>
            </w:pPr>
            <w:r>
              <w:rPr>
                <w:rFonts w:eastAsia="Times New Roman"/>
                <w:sz w:val="16"/>
                <w:szCs w:val="16"/>
              </w:rPr>
              <w:t>218,065</w:t>
            </w:r>
          </w:p>
        </w:tc>
        <w:tc>
          <w:tcPr>
            <w:tcW w:w="50" w:type="pct"/>
            <w:shd w:val="clear" w:color="auto" w:fill="FFFFFF"/>
            <w:vAlign w:val="bottom"/>
            <w:hideMark/>
          </w:tcPr>
          <w:p w14:paraId="3AAA4F16" w14:textId="77777777" w:rsidR="00000000" w:rsidRDefault="00322B34">
            <w:pPr>
              <w:rPr>
                <w:rFonts w:eastAsia="Times New Roman"/>
                <w:sz w:val="16"/>
                <w:szCs w:val="16"/>
              </w:rPr>
            </w:pPr>
            <w:r>
              <w:rPr>
                <w:rFonts w:eastAsia="Times New Roman"/>
                <w:sz w:val="16"/>
                <w:szCs w:val="16"/>
              </w:rPr>
              <w:t> </w:t>
            </w:r>
          </w:p>
        </w:tc>
      </w:tr>
      <w:tr w:rsidR="00322B34" w14:paraId="1D355629" w14:textId="77777777">
        <w:trPr>
          <w:divId w:val="376854770"/>
          <w:tblCellSpacing w:w="0" w:type="dxa"/>
        </w:trPr>
        <w:tc>
          <w:tcPr>
            <w:tcW w:w="1200" w:type="pct"/>
            <w:shd w:val="clear" w:color="auto" w:fill="CCEEFF"/>
            <w:vAlign w:val="bottom"/>
            <w:hideMark/>
          </w:tcPr>
          <w:p w14:paraId="12D27235" w14:textId="77777777" w:rsidR="00000000" w:rsidRDefault="00322B34">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CCEEFF"/>
            <w:vAlign w:val="bottom"/>
            <w:hideMark/>
          </w:tcPr>
          <w:p w14:paraId="2E7426B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FDC439"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A5D89B5"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178DE2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EEC87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8C8E4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63A79CF"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0C5FA90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E45F8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31FD7B"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8D65B68"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27D8B3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55255B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2AED858"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8AE8EC5"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6BA7FD7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6B4DA7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2EAFE0"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11DDC46"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198303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67F779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1BB71F"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94CDCE1"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4C27B8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40AE2E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0B0B77B"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67B9630"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E3DAB9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ECBF3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71328C"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0ACDEDB" w14:textId="77777777" w:rsidR="00000000" w:rsidRDefault="00322B34">
            <w:pPr>
              <w:jc w:val="right"/>
              <w:rPr>
                <w:rFonts w:eastAsia="Times New Roman"/>
                <w:sz w:val="16"/>
                <w:szCs w:val="16"/>
              </w:rPr>
            </w:pPr>
            <w:r>
              <w:rPr>
                <w:rFonts w:eastAsia="Times New Roman"/>
                <w:sz w:val="16"/>
                <w:szCs w:val="16"/>
              </w:rPr>
              <w:t>(185</w:t>
            </w:r>
          </w:p>
        </w:tc>
        <w:tc>
          <w:tcPr>
            <w:tcW w:w="50" w:type="pct"/>
            <w:shd w:val="clear" w:color="auto" w:fill="CCEEFF"/>
            <w:vAlign w:val="bottom"/>
            <w:hideMark/>
          </w:tcPr>
          <w:p w14:paraId="72EE41A9"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3959E2E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861E6EC"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EE4B802" w14:textId="77777777" w:rsidR="00000000" w:rsidRDefault="00322B34">
            <w:pPr>
              <w:jc w:val="right"/>
              <w:rPr>
                <w:rFonts w:eastAsia="Times New Roman"/>
                <w:sz w:val="16"/>
                <w:szCs w:val="16"/>
              </w:rPr>
            </w:pPr>
            <w:r>
              <w:rPr>
                <w:rFonts w:eastAsia="Times New Roman"/>
                <w:sz w:val="16"/>
                <w:szCs w:val="16"/>
              </w:rPr>
              <w:t>(185</w:t>
            </w:r>
          </w:p>
        </w:tc>
        <w:tc>
          <w:tcPr>
            <w:tcW w:w="50" w:type="pct"/>
            <w:shd w:val="clear" w:color="auto" w:fill="CCEEFF"/>
            <w:vAlign w:val="bottom"/>
            <w:hideMark/>
          </w:tcPr>
          <w:p w14:paraId="5774217B" w14:textId="77777777" w:rsidR="00000000" w:rsidRDefault="00322B34">
            <w:pPr>
              <w:rPr>
                <w:rFonts w:eastAsia="Times New Roman"/>
                <w:sz w:val="16"/>
                <w:szCs w:val="16"/>
              </w:rPr>
            </w:pPr>
            <w:r>
              <w:rPr>
                <w:rFonts w:eastAsia="Times New Roman"/>
                <w:sz w:val="16"/>
                <w:szCs w:val="16"/>
              </w:rPr>
              <w:t>)</w:t>
            </w:r>
          </w:p>
        </w:tc>
      </w:tr>
      <w:tr w:rsidR="00322B34" w14:paraId="055D9F92" w14:textId="77777777">
        <w:trPr>
          <w:divId w:val="376854770"/>
          <w:tblCellSpacing w:w="0" w:type="dxa"/>
        </w:trPr>
        <w:tc>
          <w:tcPr>
            <w:tcW w:w="1200" w:type="pct"/>
            <w:shd w:val="clear" w:color="auto" w:fill="FFFFFF"/>
            <w:vAlign w:val="bottom"/>
            <w:hideMark/>
          </w:tcPr>
          <w:p w14:paraId="22371AA5" w14:textId="77777777" w:rsidR="00000000" w:rsidRDefault="00322B34">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FFFFFF"/>
            <w:vAlign w:val="bottom"/>
            <w:hideMark/>
          </w:tcPr>
          <w:p w14:paraId="3705E4D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827D43A"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B05BF04" w14:textId="77777777" w:rsidR="00000000" w:rsidRDefault="00322B34">
            <w:pPr>
              <w:jc w:val="right"/>
              <w:rPr>
                <w:rFonts w:eastAsia="Times New Roman"/>
                <w:sz w:val="16"/>
                <w:szCs w:val="16"/>
              </w:rPr>
            </w:pPr>
            <w:r>
              <w:rPr>
                <w:rFonts w:eastAsia="Times New Roman"/>
                <w:sz w:val="16"/>
                <w:szCs w:val="16"/>
              </w:rPr>
              <w:t>(265,423</w:t>
            </w:r>
          </w:p>
        </w:tc>
        <w:tc>
          <w:tcPr>
            <w:tcW w:w="50" w:type="pct"/>
            <w:shd w:val="clear" w:color="auto" w:fill="FFFFFF"/>
            <w:vAlign w:val="bottom"/>
            <w:hideMark/>
          </w:tcPr>
          <w:p w14:paraId="167DBF5E" w14:textId="77777777" w:rsidR="00000000" w:rsidRDefault="00322B34">
            <w:pPr>
              <w:rPr>
                <w:rFonts w:eastAsia="Times New Roman"/>
                <w:sz w:val="16"/>
                <w:szCs w:val="16"/>
              </w:rPr>
            </w:pPr>
            <w:r>
              <w:rPr>
                <w:rFonts w:eastAsia="Times New Roman"/>
                <w:sz w:val="16"/>
                <w:szCs w:val="16"/>
              </w:rPr>
              <w:t>)</w:t>
            </w:r>
          </w:p>
        </w:tc>
        <w:tc>
          <w:tcPr>
            <w:tcW w:w="50" w:type="pct"/>
            <w:shd w:val="clear" w:color="auto" w:fill="FFFFFF"/>
            <w:vAlign w:val="bottom"/>
            <w:hideMark/>
          </w:tcPr>
          <w:p w14:paraId="7123347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EA19A37"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8A62518"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28E9DFF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41BCD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7F5F067"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1145BAA"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50D3DB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80618E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CF5754B"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FA19B01"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75C4709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2155F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EB7BE1"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5FC6BCF"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FC0D4D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3B12FF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F8AE37C"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0E45FF71"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E653B0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C96AFD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BE3E62D"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10232ED" w14:textId="77777777" w:rsidR="00000000" w:rsidRDefault="00322B34">
            <w:pPr>
              <w:jc w:val="right"/>
              <w:rPr>
                <w:rFonts w:eastAsia="Times New Roman"/>
                <w:sz w:val="16"/>
                <w:szCs w:val="16"/>
              </w:rPr>
            </w:pPr>
            <w:r>
              <w:rPr>
                <w:rFonts w:eastAsia="Times New Roman"/>
                <w:sz w:val="16"/>
                <w:szCs w:val="16"/>
              </w:rPr>
              <w:t>(265,423</w:t>
            </w:r>
          </w:p>
        </w:tc>
        <w:tc>
          <w:tcPr>
            <w:tcW w:w="50" w:type="pct"/>
            <w:shd w:val="clear" w:color="auto" w:fill="FFFFFF"/>
            <w:vAlign w:val="bottom"/>
            <w:hideMark/>
          </w:tcPr>
          <w:p w14:paraId="3C687B20" w14:textId="77777777" w:rsidR="00000000" w:rsidRDefault="00322B34">
            <w:pPr>
              <w:rPr>
                <w:rFonts w:eastAsia="Times New Roman"/>
                <w:sz w:val="16"/>
                <w:szCs w:val="16"/>
              </w:rPr>
            </w:pPr>
            <w:r>
              <w:rPr>
                <w:rFonts w:eastAsia="Times New Roman"/>
                <w:sz w:val="16"/>
                <w:szCs w:val="16"/>
              </w:rPr>
              <w:t>)</w:t>
            </w:r>
          </w:p>
        </w:tc>
        <w:tc>
          <w:tcPr>
            <w:tcW w:w="50" w:type="pct"/>
            <w:shd w:val="clear" w:color="auto" w:fill="FFFFFF"/>
            <w:vAlign w:val="bottom"/>
            <w:hideMark/>
          </w:tcPr>
          <w:p w14:paraId="0F4849F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4ABD02"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541D09D"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8ECFD8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6C75D3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94EF446"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4FDE23E" w14:textId="77777777" w:rsidR="00000000" w:rsidRDefault="00322B34">
            <w:pPr>
              <w:jc w:val="right"/>
              <w:rPr>
                <w:rFonts w:eastAsia="Times New Roman"/>
                <w:sz w:val="16"/>
                <w:szCs w:val="16"/>
              </w:rPr>
            </w:pPr>
            <w:r>
              <w:rPr>
                <w:rFonts w:eastAsia="Times New Roman"/>
                <w:sz w:val="16"/>
                <w:szCs w:val="16"/>
              </w:rPr>
              <w:t>(265,423</w:t>
            </w:r>
          </w:p>
        </w:tc>
        <w:tc>
          <w:tcPr>
            <w:tcW w:w="50" w:type="pct"/>
            <w:shd w:val="clear" w:color="auto" w:fill="FFFFFF"/>
            <w:vAlign w:val="bottom"/>
            <w:hideMark/>
          </w:tcPr>
          <w:p w14:paraId="2ADD42EF" w14:textId="77777777" w:rsidR="00000000" w:rsidRDefault="00322B34">
            <w:pPr>
              <w:rPr>
                <w:rFonts w:eastAsia="Times New Roman"/>
                <w:sz w:val="16"/>
                <w:szCs w:val="16"/>
              </w:rPr>
            </w:pPr>
            <w:r>
              <w:rPr>
                <w:rFonts w:eastAsia="Times New Roman"/>
                <w:sz w:val="16"/>
                <w:szCs w:val="16"/>
              </w:rPr>
              <w:t>)</w:t>
            </w:r>
          </w:p>
        </w:tc>
      </w:tr>
      <w:tr w:rsidR="00322B34" w14:paraId="4EDD8EBB" w14:textId="77777777">
        <w:trPr>
          <w:divId w:val="376854770"/>
          <w:tblCellSpacing w:w="0" w:type="dxa"/>
        </w:trPr>
        <w:tc>
          <w:tcPr>
            <w:tcW w:w="1200" w:type="pct"/>
            <w:shd w:val="clear" w:color="auto" w:fill="CCEEFF"/>
            <w:vAlign w:val="bottom"/>
            <w:hideMark/>
          </w:tcPr>
          <w:p w14:paraId="73BF6839" w14:textId="77777777" w:rsidR="00000000" w:rsidRDefault="00322B34">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14:paraId="110E37C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97EF534"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4691CE44"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2A2E2A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DDD828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5E60DF3"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5B1FBFD"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481D1B8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FB53B2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AACA0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114D18B"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6B7B66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DCB53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215401"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FA06D5A"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588FE38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17D13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C2D0EC"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3D5DDAD"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EA61DE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5D6CC0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C5E6549"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C609091"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F96C57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623632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6A02DC8"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A091E3C"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AD9AFB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C363FF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3FD931"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47C0212" w14:textId="77777777" w:rsidR="00000000" w:rsidRDefault="00322B34">
            <w:pPr>
              <w:jc w:val="right"/>
              <w:rPr>
                <w:rFonts w:eastAsia="Times New Roman"/>
                <w:sz w:val="16"/>
                <w:szCs w:val="16"/>
              </w:rPr>
            </w:pPr>
            <w:r>
              <w:rPr>
                <w:rFonts w:eastAsia="Times New Roman"/>
                <w:sz w:val="16"/>
                <w:szCs w:val="16"/>
              </w:rPr>
              <w:t>(</w:t>
            </w:r>
            <w:r>
              <w:rPr>
                <w:rFonts w:eastAsia="Times New Roman"/>
                <w:sz w:val="16"/>
                <w:szCs w:val="16"/>
              </w:rPr>
              <w:t>1,159</w:t>
            </w:r>
          </w:p>
        </w:tc>
        <w:tc>
          <w:tcPr>
            <w:tcW w:w="50" w:type="pct"/>
            <w:shd w:val="clear" w:color="auto" w:fill="CCEEFF"/>
            <w:vAlign w:val="bottom"/>
            <w:hideMark/>
          </w:tcPr>
          <w:p w14:paraId="14683B24"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7DB19C4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1C66070"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26E6527" w14:textId="77777777" w:rsidR="00000000" w:rsidRDefault="00322B34">
            <w:pPr>
              <w:jc w:val="right"/>
              <w:rPr>
                <w:rFonts w:eastAsia="Times New Roman"/>
                <w:sz w:val="16"/>
                <w:szCs w:val="16"/>
              </w:rPr>
            </w:pPr>
            <w:r>
              <w:rPr>
                <w:rFonts w:eastAsia="Times New Roman"/>
                <w:sz w:val="16"/>
                <w:szCs w:val="16"/>
              </w:rPr>
              <w:t>(1,159</w:t>
            </w:r>
          </w:p>
        </w:tc>
        <w:tc>
          <w:tcPr>
            <w:tcW w:w="50" w:type="pct"/>
            <w:shd w:val="clear" w:color="auto" w:fill="CCEEFF"/>
            <w:vAlign w:val="bottom"/>
            <w:hideMark/>
          </w:tcPr>
          <w:p w14:paraId="702B7968" w14:textId="77777777" w:rsidR="00000000" w:rsidRDefault="00322B34">
            <w:pPr>
              <w:rPr>
                <w:rFonts w:eastAsia="Times New Roman"/>
                <w:sz w:val="16"/>
                <w:szCs w:val="16"/>
              </w:rPr>
            </w:pPr>
            <w:r>
              <w:rPr>
                <w:rFonts w:eastAsia="Times New Roman"/>
                <w:sz w:val="16"/>
                <w:szCs w:val="16"/>
              </w:rPr>
              <w:t>)</w:t>
            </w:r>
          </w:p>
        </w:tc>
      </w:tr>
      <w:tr w:rsidR="00322B34" w14:paraId="6D31F4F9" w14:textId="77777777">
        <w:trPr>
          <w:divId w:val="376854770"/>
          <w:tblCellSpacing w:w="0" w:type="dxa"/>
        </w:trPr>
        <w:tc>
          <w:tcPr>
            <w:tcW w:w="1200" w:type="pct"/>
            <w:shd w:val="clear" w:color="auto" w:fill="FFFFFF"/>
            <w:vAlign w:val="bottom"/>
            <w:hideMark/>
          </w:tcPr>
          <w:p w14:paraId="24B970D4" w14:textId="77777777" w:rsidR="00000000" w:rsidRDefault="00322B34">
            <w:pPr>
              <w:pStyle w:val="a3"/>
              <w:spacing w:before="0" w:beforeAutospacing="0" w:after="0" w:afterAutospacing="0"/>
              <w:rPr>
                <w:sz w:val="16"/>
                <w:szCs w:val="16"/>
              </w:rPr>
            </w:pPr>
            <w:r>
              <w:rPr>
                <w:sz w:val="16"/>
                <w:szCs w:val="16"/>
              </w:rPr>
              <w:t>Issuance of common stock</w:t>
            </w:r>
          </w:p>
        </w:tc>
        <w:tc>
          <w:tcPr>
            <w:tcW w:w="50" w:type="pct"/>
            <w:shd w:val="clear" w:color="auto" w:fill="FFFFFF"/>
            <w:vAlign w:val="bottom"/>
            <w:hideMark/>
          </w:tcPr>
          <w:p w14:paraId="792A472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5F7E68D"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2548B28"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06B78D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088F8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176EE5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AA206E0"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4EE8A9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E481DD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AECB7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FBFFA14"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2E9C26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D3F44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A4E7812"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F611A31" w14:textId="77777777" w:rsidR="00000000" w:rsidRDefault="00322B34">
            <w:pPr>
              <w:jc w:val="right"/>
              <w:rPr>
                <w:rFonts w:eastAsia="Times New Roman"/>
                <w:sz w:val="16"/>
                <w:szCs w:val="16"/>
              </w:rPr>
            </w:pPr>
            <w:r>
              <w:rPr>
                <w:rFonts w:eastAsia="Times New Roman"/>
                <w:sz w:val="16"/>
                <w:szCs w:val="16"/>
              </w:rPr>
              <w:t>786</w:t>
            </w:r>
          </w:p>
        </w:tc>
        <w:tc>
          <w:tcPr>
            <w:tcW w:w="50" w:type="pct"/>
            <w:shd w:val="clear" w:color="auto" w:fill="FFFFFF"/>
            <w:vAlign w:val="bottom"/>
            <w:hideMark/>
          </w:tcPr>
          <w:p w14:paraId="6B36807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EC78E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EE71DFF"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3767E94" w14:textId="77777777" w:rsidR="00000000" w:rsidRDefault="00322B34">
            <w:pPr>
              <w:jc w:val="right"/>
              <w:rPr>
                <w:rFonts w:eastAsia="Times New Roman"/>
                <w:sz w:val="16"/>
                <w:szCs w:val="16"/>
              </w:rPr>
            </w:pPr>
            <w:r>
              <w:rPr>
                <w:rFonts w:eastAsia="Times New Roman"/>
                <w:sz w:val="16"/>
                <w:szCs w:val="16"/>
              </w:rPr>
              <w:t>8</w:t>
            </w:r>
          </w:p>
        </w:tc>
        <w:tc>
          <w:tcPr>
            <w:tcW w:w="50" w:type="pct"/>
            <w:shd w:val="clear" w:color="auto" w:fill="FFFFFF"/>
            <w:vAlign w:val="bottom"/>
            <w:hideMark/>
          </w:tcPr>
          <w:p w14:paraId="13E2BD6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C89A0E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6EF1231"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C99ABE7" w14:textId="77777777" w:rsidR="00000000" w:rsidRDefault="00322B34">
            <w:pPr>
              <w:jc w:val="right"/>
              <w:rPr>
                <w:rFonts w:eastAsia="Times New Roman"/>
                <w:sz w:val="16"/>
                <w:szCs w:val="16"/>
              </w:rPr>
            </w:pPr>
            <w:r>
              <w:rPr>
                <w:rFonts w:eastAsia="Times New Roman"/>
                <w:sz w:val="16"/>
                <w:szCs w:val="16"/>
              </w:rPr>
              <w:t>(8</w:t>
            </w:r>
          </w:p>
        </w:tc>
        <w:tc>
          <w:tcPr>
            <w:tcW w:w="50" w:type="pct"/>
            <w:shd w:val="clear" w:color="auto" w:fill="FFFFFF"/>
            <w:vAlign w:val="bottom"/>
            <w:hideMark/>
          </w:tcPr>
          <w:p w14:paraId="0E64AF69" w14:textId="77777777" w:rsidR="00000000" w:rsidRDefault="00322B34">
            <w:pPr>
              <w:rPr>
                <w:rFonts w:eastAsia="Times New Roman"/>
                <w:sz w:val="16"/>
                <w:szCs w:val="16"/>
              </w:rPr>
            </w:pPr>
            <w:r>
              <w:rPr>
                <w:rFonts w:eastAsia="Times New Roman"/>
                <w:sz w:val="16"/>
                <w:szCs w:val="16"/>
              </w:rPr>
              <w:t>)</w:t>
            </w:r>
          </w:p>
        </w:tc>
        <w:tc>
          <w:tcPr>
            <w:tcW w:w="50" w:type="pct"/>
            <w:shd w:val="clear" w:color="auto" w:fill="FFFFFF"/>
            <w:vAlign w:val="bottom"/>
            <w:hideMark/>
          </w:tcPr>
          <w:p w14:paraId="47AA179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583B38"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AE4D019"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710397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479FAD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6985401"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CDBA504"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15697E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0EE9D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12CA96D"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96CA4C6"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7FA022B" w14:textId="77777777" w:rsidR="00000000" w:rsidRDefault="00322B34">
            <w:pPr>
              <w:rPr>
                <w:rFonts w:eastAsia="Times New Roman"/>
                <w:sz w:val="16"/>
                <w:szCs w:val="16"/>
              </w:rPr>
            </w:pPr>
            <w:r>
              <w:rPr>
                <w:rFonts w:eastAsia="Times New Roman"/>
                <w:sz w:val="16"/>
                <w:szCs w:val="16"/>
              </w:rPr>
              <w:t> </w:t>
            </w:r>
          </w:p>
        </w:tc>
      </w:tr>
      <w:tr w:rsidR="00322B34" w14:paraId="656735AF" w14:textId="77777777">
        <w:trPr>
          <w:divId w:val="376854770"/>
          <w:tblCellSpacing w:w="0" w:type="dxa"/>
        </w:trPr>
        <w:tc>
          <w:tcPr>
            <w:tcW w:w="1200" w:type="pct"/>
            <w:shd w:val="clear" w:color="auto" w:fill="CCEEFF"/>
            <w:vAlign w:val="bottom"/>
            <w:hideMark/>
          </w:tcPr>
          <w:p w14:paraId="308FEDFE" w14:textId="77777777" w:rsidR="00000000" w:rsidRDefault="00322B34">
            <w:pPr>
              <w:pStyle w:val="a3"/>
              <w:spacing w:before="0" w:beforeAutospacing="0" w:after="0" w:afterAutospacing="0"/>
              <w:rPr>
                <w:sz w:val="16"/>
                <w:szCs w:val="16"/>
              </w:rPr>
            </w:pPr>
            <w:r>
              <w:rPr>
                <w:sz w:val="16"/>
                <w:szCs w:val="16"/>
              </w:rPr>
              <w:t>Surrender of restricted stock</w:t>
            </w:r>
          </w:p>
        </w:tc>
        <w:tc>
          <w:tcPr>
            <w:tcW w:w="50" w:type="pct"/>
            <w:shd w:val="clear" w:color="auto" w:fill="CCEEFF"/>
            <w:vAlign w:val="bottom"/>
            <w:hideMark/>
          </w:tcPr>
          <w:p w14:paraId="1CA9F4B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1E5A0A"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A70FCA4"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B98CC3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FDFFD8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F0DF4D0"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575C86D"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296B0A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A02B85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5672073"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054A7C2"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AB477F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6C462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CCC422D"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313836D" w14:textId="77777777" w:rsidR="00000000" w:rsidRDefault="00322B34">
            <w:pPr>
              <w:jc w:val="right"/>
              <w:rPr>
                <w:rFonts w:eastAsia="Times New Roman"/>
                <w:sz w:val="16"/>
                <w:szCs w:val="16"/>
              </w:rPr>
            </w:pPr>
            <w:r>
              <w:rPr>
                <w:rFonts w:eastAsia="Times New Roman"/>
                <w:sz w:val="16"/>
                <w:szCs w:val="16"/>
              </w:rPr>
              <w:t>(223</w:t>
            </w:r>
          </w:p>
        </w:tc>
        <w:tc>
          <w:tcPr>
            <w:tcW w:w="50" w:type="pct"/>
            <w:shd w:val="clear" w:color="auto" w:fill="CCEEFF"/>
            <w:vAlign w:val="bottom"/>
            <w:hideMark/>
          </w:tcPr>
          <w:p w14:paraId="0EA5C697"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08C0481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39ADE97"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75A3C31" w14:textId="77777777" w:rsidR="00000000" w:rsidRDefault="00322B34">
            <w:pPr>
              <w:jc w:val="right"/>
              <w:rPr>
                <w:rFonts w:eastAsia="Times New Roman"/>
                <w:sz w:val="16"/>
                <w:szCs w:val="16"/>
              </w:rPr>
            </w:pPr>
            <w:r>
              <w:rPr>
                <w:rFonts w:eastAsia="Times New Roman"/>
                <w:sz w:val="16"/>
                <w:szCs w:val="16"/>
              </w:rPr>
              <w:t>(2</w:t>
            </w:r>
          </w:p>
        </w:tc>
        <w:tc>
          <w:tcPr>
            <w:tcW w:w="50" w:type="pct"/>
            <w:shd w:val="clear" w:color="auto" w:fill="CCEEFF"/>
            <w:vAlign w:val="bottom"/>
            <w:hideMark/>
          </w:tcPr>
          <w:p w14:paraId="5BC40EDF"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0B7B709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99AC95E"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22BC854" w14:textId="77777777" w:rsidR="00000000" w:rsidRDefault="00322B34">
            <w:pPr>
              <w:jc w:val="right"/>
              <w:rPr>
                <w:rFonts w:eastAsia="Times New Roman"/>
                <w:sz w:val="16"/>
                <w:szCs w:val="16"/>
              </w:rPr>
            </w:pPr>
            <w:r>
              <w:rPr>
                <w:rFonts w:eastAsia="Times New Roman"/>
                <w:sz w:val="16"/>
                <w:szCs w:val="16"/>
              </w:rPr>
              <w:t>(3,687</w:t>
            </w:r>
          </w:p>
        </w:tc>
        <w:tc>
          <w:tcPr>
            <w:tcW w:w="50" w:type="pct"/>
            <w:shd w:val="clear" w:color="auto" w:fill="CCEEFF"/>
            <w:vAlign w:val="bottom"/>
            <w:hideMark/>
          </w:tcPr>
          <w:p w14:paraId="44B12CA9"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5C0B29A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34AF3B2"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D73B453" w14:textId="77777777" w:rsidR="00000000" w:rsidRDefault="00322B34">
            <w:pPr>
              <w:jc w:val="right"/>
              <w:rPr>
                <w:rFonts w:eastAsia="Times New Roman"/>
                <w:sz w:val="16"/>
                <w:szCs w:val="16"/>
              </w:rPr>
            </w:pPr>
            <w:r>
              <w:rPr>
                <w:rFonts w:eastAsia="Times New Roman"/>
                <w:sz w:val="16"/>
                <w:szCs w:val="16"/>
              </w:rPr>
              <w:t>(3,689</w:t>
            </w:r>
          </w:p>
        </w:tc>
        <w:tc>
          <w:tcPr>
            <w:tcW w:w="50" w:type="pct"/>
            <w:shd w:val="clear" w:color="auto" w:fill="CCEEFF"/>
            <w:vAlign w:val="bottom"/>
            <w:hideMark/>
          </w:tcPr>
          <w:p w14:paraId="3AD9CAFD"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504D28E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26C2FE"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59135008"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4F220D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E3B5F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5C7E1D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02F3E7D" w14:textId="77777777" w:rsidR="00000000" w:rsidRDefault="00322B34">
            <w:pPr>
              <w:jc w:val="right"/>
              <w:rPr>
                <w:rFonts w:eastAsia="Times New Roman"/>
                <w:sz w:val="16"/>
                <w:szCs w:val="16"/>
              </w:rPr>
            </w:pPr>
            <w:r>
              <w:rPr>
                <w:rFonts w:eastAsia="Times New Roman"/>
                <w:sz w:val="16"/>
                <w:szCs w:val="16"/>
              </w:rPr>
              <w:t>(3,689</w:t>
            </w:r>
          </w:p>
        </w:tc>
        <w:tc>
          <w:tcPr>
            <w:tcW w:w="50" w:type="pct"/>
            <w:shd w:val="clear" w:color="auto" w:fill="CCEEFF"/>
            <w:vAlign w:val="bottom"/>
            <w:hideMark/>
          </w:tcPr>
          <w:p w14:paraId="2F7CE4ED" w14:textId="77777777" w:rsidR="00000000" w:rsidRDefault="00322B34">
            <w:pPr>
              <w:rPr>
                <w:rFonts w:eastAsia="Times New Roman"/>
                <w:sz w:val="16"/>
                <w:szCs w:val="16"/>
              </w:rPr>
            </w:pPr>
            <w:r>
              <w:rPr>
                <w:rFonts w:eastAsia="Times New Roman"/>
                <w:sz w:val="16"/>
                <w:szCs w:val="16"/>
              </w:rPr>
              <w:t>)</w:t>
            </w:r>
          </w:p>
        </w:tc>
      </w:tr>
      <w:tr w:rsidR="00322B34" w14:paraId="65750D8C" w14:textId="77777777">
        <w:trPr>
          <w:divId w:val="376854770"/>
          <w:tblCellSpacing w:w="0" w:type="dxa"/>
        </w:trPr>
        <w:tc>
          <w:tcPr>
            <w:tcW w:w="1200" w:type="pct"/>
            <w:shd w:val="clear" w:color="auto" w:fill="FFFFFF"/>
            <w:vAlign w:val="bottom"/>
            <w:hideMark/>
          </w:tcPr>
          <w:p w14:paraId="43835DC8" w14:textId="77777777" w:rsidR="00000000" w:rsidRDefault="00322B34">
            <w:pPr>
              <w:pStyle w:val="a3"/>
              <w:spacing w:before="0" w:beforeAutospacing="0" w:after="0" w:afterAutospacing="0"/>
              <w:rPr>
                <w:sz w:val="16"/>
                <w:szCs w:val="16"/>
              </w:rPr>
            </w:pPr>
            <w:r>
              <w:rPr>
                <w:sz w:val="16"/>
                <w:szCs w:val="16"/>
              </w:rPr>
              <w:t>Exercise of common stock options</w:t>
            </w:r>
          </w:p>
        </w:tc>
        <w:tc>
          <w:tcPr>
            <w:tcW w:w="50" w:type="pct"/>
            <w:shd w:val="clear" w:color="auto" w:fill="FFFFFF"/>
            <w:vAlign w:val="bottom"/>
            <w:hideMark/>
          </w:tcPr>
          <w:p w14:paraId="21B1880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2BBCA6F"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951DB04"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44C085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3E99E7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47039E7"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06A3FA4"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7183F8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84B27A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63C9E7C"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E98E812"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B0BB90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BC62E1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E3F00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F7BAF5C" w14:textId="77777777" w:rsidR="00000000" w:rsidRDefault="00322B34">
            <w:pPr>
              <w:jc w:val="right"/>
              <w:rPr>
                <w:rFonts w:eastAsia="Times New Roman"/>
                <w:sz w:val="16"/>
                <w:szCs w:val="16"/>
              </w:rPr>
            </w:pPr>
            <w:r>
              <w:rPr>
                <w:rFonts w:eastAsia="Times New Roman"/>
                <w:sz w:val="16"/>
                <w:szCs w:val="16"/>
              </w:rPr>
              <w:t>142</w:t>
            </w:r>
          </w:p>
        </w:tc>
        <w:tc>
          <w:tcPr>
            <w:tcW w:w="50" w:type="pct"/>
            <w:shd w:val="clear" w:color="auto" w:fill="FFFFFF"/>
            <w:vAlign w:val="bottom"/>
            <w:hideMark/>
          </w:tcPr>
          <w:p w14:paraId="1703111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BB3BA2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8F974B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4FF3E69" w14:textId="77777777" w:rsidR="00000000" w:rsidRDefault="00322B34">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14:paraId="0F0A294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3DD2D5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720C862"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FB41B6A" w14:textId="77777777" w:rsidR="00000000" w:rsidRDefault="00322B34">
            <w:pPr>
              <w:jc w:val="right"/>
              <w:rPr>
                <w:rFonts w:eastAsia="Times New Roman"/>
                <w:sz w:val="16"/>
                <w:szCs w:val="16"/>
              </w:rPr>
            </w:pPr>
            <w:r>
              <w:rPr>
                <w:rFonts w:eastAsia="Times New Roman"/>
                <w:sz w:val="16"/>
                <w:szCs w:val="16"/>
              </w:rPr>
              <w:t>1,810</w:t>
            </w:r>
          </w:p>
        </w:tc>
        <w:tc>
          <w:tcPr>
            <w:tcW w:w="50" w:type="pct"/>
            <w:shd w:val="clear" w:color="auto" w:fill="FFFFFF"/>
            <w:vAlign w:val="bottom"/>
            <w:hideMark/>
          </w:tcPr>
          <w:p w14:paraId="2B8C73B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6412FB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DD15F31"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43DCC77" w14:textId="77777777" w:rsidR="00000000" w:rsidRDefault="00322B34">
            <w:pPr>
              <w:jc w:val="right"/>
              <w:rPr>
                <w:rFonts w:eastAsia="Times New Roman"/>
                <w:sz w:val="16"/>
                <w:szCs w:val="16"/>
              </w:rPr>
            </w:pPr>
            <w:r>
              <w:rPr>
                <w:rFonts w:eastAsia="Times New Roman"/>
                <w:sz w:val="16"/>
                <w:szCs w:val="16"/>
              </w:rPr>
              <w:t>1,811</w:t>
            </w:r>
          </w:p>
        </w:tc>
        <w:tc>
          <w:tcPr>
            <w:tcW w:w="50" w:type="pct"/>
            <w:shd w:val="clear" w:color="auto" w:fill="FFFFFF"/>
            <w:vAlign w:val="bottom"/>
            <w:hideMark/>
          </w:tcPr>
          <w:p w14:paraId="01D9E02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E77FED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C798348"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CAE62EE"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916356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40A99D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5BB96A8"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88F798E" w14:textId="77777777" w:rsidR="00000000" w:rsidRDefault="00322B34">
            <w:pPr>
              <w:jc w:val="right"/>
              <w:rPr>
                <w:rFonts w:eastAsia="Times New Roman"/>
                <w:sz w:val="16"/>
                <w:szCs w:val="16"/>
              </w:rPr>
            </w:pPr>
            <w:r>
              <w:rPr>
                <w:rFonts w:eastAsia="Times New Roman"/>
                <w:sz w:val="16"/>
                <w:szCs w:val="16"/>
              </w:rPr>
              <w:t>1,811</w:t>
            </w:r>
          </w:p>
        </w:tc>
        <w:tc>
          <w:tcPr>
            <w:tcW w:w="50" w:type="pct"/>
            <w:shd w:val="clear" w:color="auto" w:fill="FFFFFF"/>
            <w:vAlign w:val="bottom"/>
            <w:hideMark/>
          </w:tcPr>
          <w:p w14:paraId="33372436" w14:textId="77777777" w:rsidR="00000000" w:rsidRDefault="00322B34">
            <w:pPr>
              <w:rPr>
                <w:rFonts w:eastAsia="Times New Roman"/>
                <w:sz w:val="16"/>
                <w:szCs w:val="16"/>
              </w:rPr>
            </w:pPr>
            <w:r>
              <w:rPr>
                <w:rFonts w:eastAsia="Times New Roman"/>
                <w:sz w:val="16"/>
                <w:szCs w:val="16"/>
              </w:rPr>
              <w:t> </w:t>
            </w:r>
          </w:p>
        </w:tc>
      </w:tr>
      <w:tr w:rsidR="00322B34" w14:paraId="6DFAA77D" w14:textId="77777777">
        <w:trPr>
          <w:divId w:val="376854770"/>
          <w:tblCellSpacing w:w="0" w:type="dxa"/>
        </w:trPr>
        <w:tc>
          <w:tcPr>
            <w:tcW w:w="1200" w:type="pct"/>
            <w:shd w:val="clear" w:color="auto" w:fill="CCEEFF"/>
            <w:vAlign w:val="bottom"/>
            <w:hideMark/>
          </w:tcPr>
          <w:p w14:paraId="56959D35" w14:textId="77777777" w:rsidR="00000000" w:rsidRDefault="00322B34">
            <w:pPr>
              <w:pStyle w:val="a3"/>
              <w:spacing w:before="0" w:beforeAutospacing="0" w:after="0" w:afterAutospacing="0"/>
              <w:rPr>
                <w:sz w:val="16"/>
                <w:szCs w:val="16"/>
              </w:rPr>
            </w:pPr>
            <w:r>
              <w:rPr>
                <w:sz w:val="16"/>
                <w:szCs w:val="16"/>
              </w:rPr>
              <w:t>Amortization of equity awards</w:t>
            </w:r>
          </w:p>
        </w:tc>
        <w:tc>
          <w:tcPr>
            <w:tcW w:w="50" w:type="pct"/>
            <w:shd w:val="clear" w:color="auto" w:fill="CCEEFF"/>
            <w:vAlign w:val="bottom"/>
            <w:hideMark/>
          </w:tcPr>
          <w:p w14:paraId="44BCE2E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D5A94C9"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70AB212"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05E283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739B15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B55AEB2"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11BDD2C"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3500BA3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7F5035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D8EB46B"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6AC382D"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7F3DEE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BA30F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EF605D1"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F4A0DB3"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66FC5FA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EE320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F031941"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4ECA841"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5FFB70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1E6E1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71AE83"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440A8BC" w14:textId="77777777" w:rsidR="00000000" w:rsidRDefault="00322B34">
            <w:pPr>
              <w:jc w:val="right"/>
              <w:rPr>
                <w:rFonts w:eastAsia="Times New Roman"/>
                <w:sz w:val="16"/>
                <w:szCs w:val="16"/>
              </w:rPr>
            </w:pPr>
            <w:r>
              <w:rPr>
                <w:rFonts w:eastAsia="Times New Roman"/>
                <w:sz w:val="16"/>
                <w:szCs w:val="16"/>
              </w:rPr>
              <w:t>9,714</w:t>
            </w:r>
          </w:p>
        </w:tc>
        <w:tc>
          <w:tcPr>
            <w:tcW w:w="50" w:type="pct"/>
            <w:shd w:val="clear" w:color="auto" w:fill="CCEEFF"/>
            <w:vAlign w:val="bottom"/>
            <w:hideMark/>
          </w:tcPr>
          <w:p w14:paraId="1F9629A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EC816E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D244B3A"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466D4B3" w14:textId="77777777" w:rsidR="00000000" w:rsidRDefault="00322B34">
            <w:pPr>
              <w:jc w:val="right"/>
              <w:rPr>
                <w:rFonts w:eastAsia="Times New Roman"/>
                <w:sz w:val="16"/>
                <w:szCs w:val="16"/>
              </w:rPr>
            </w:pPr>
            <w:r>
              <w:rPr>
                <w:rFonts w:eastAsia="Times New Roman"/>
                <w:sz w:val="16"/>
                <w:szCs w:val="16"/>
              </w:rPr>
              <w:t>9,714</w:t>
            </w:r>
          </w:p>
        </w:tc>
        <w:tc>
          <w:tcPr>
            <w:tcW w:w="50" w:type="pct"/>
            <w:shd w:val="clear" w:color="auto" w:fill="CCEEFF"/>
            <w:vAlign w:val="bottom"/>
            <w:hideMark/>
          </w:tcPr>
          <w:p w14:paraId="67FAAEB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0CAA1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E55259"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7950A0F"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BAFA03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BA3263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CFEE98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A517AB8" w14:textId="77777777" w:rsidR="00000000" w:rsidRDefault="00322B34">
            <w:pPr>
              <w:jc w:val="right"/>
              <w:rPr>
                <w:rFonts w:eastAsia="Times New Roman"/>
                <w:sz w:val="16"/>
                <w:szCs w:val="16"/>
              </w:rPr>
            </w:pPr>
            <w:r>
              <w:rPr>
                <w:rFonts w:eastAsia="Times New Roman"/>
                <w:sz w:val="16"/>
                <w:szCs w:val="16"/>
              </w:rPr>
              <w:t>9,714</w:t>
            </w:r>
          </w:p>
        </w:tc>
        <w:tc>
          <w:tcPr>
            <w:tcW w:w="50" w:type="pct"/>
            <w:shd w:val="clear" w:color="auto" w:fill="CCEEFF"/>
            <w:vAlign w:val="bottom"/>
            <w:hideMark/>
          </w:tcPr>
          <w:p w14:paraId="62DDB1CB" w14:textId="77777777" w:rsidR="00000000" w:rsidRDefault="00322B34">
            <w:pPr>
              <w:rPr>
                <w:rFonts w:eastAsia="Times New Roman"/>
                <w:sz w:val="16"/>
                <w:szCs w:val="16"/>
              </w:rPr>
            </w:pPr>
            <w:r>
              <w:rPr>
                <w:rFonts w:eastAsia="Times New Roman"/>
                <w:sz w:val="16"/>
                <w:szCs w:val="16"/>
              </w:rPr>
              <w:t> </w:t>
            </w:r>
          </w:p>
        </w:tc>
      </w:tr>
      <w:tr w:rsidR="00322B34" w14:paraId="01850E2E" w14:textId="77777777">
        <w:trPr>
          <w:divId w:val="376854770"/>
          <w:tblCellSpacing w:w="0" w:type="dxa"/>
        </w:trPr>
        <w:tc>
          <w:tcPr>
            <w:tcW w:w="1200" w:type="pct"/>
            <w:shd w:val="clear" w:color="auto" w:fill="FFFFFF"/>
            <w:vAlign w:val="bottom"/>
            <w:hideMark/>
          </w:tcPr>
          <w:p w14:paraId="43F85215" w14:textId="77777777" w:rsidR="00000000" w:rsidRDefault="00322B34">
            <w:pPr>
              <w:pStyle w:val="a3"/>
              <w:spacing w:before="0" w:beforeAutospacing="0" w:after="0" w:afterAutospacing="0"/>
              <w:ind w:left="180" w:hanging="180"/>
              <w:rPr>
                <w:sz w:val="16"/>
                <w:szCs w:val="16"/>
              </w:rPr>
            </w:pPr>
            <w:r>
              <w:rPr>
                <w:sz w:val="16"/>
                <w:szCs w:val="16"/>
              </w:rPr>
              <w:t>Acquisition of noncontrolling interests</w:t>
            </w:r>
          </w:p>
        </w:tc>
        <w:tc>
          <w:tcPr>
            <w:tcW w:w="50" w:type="pct"/>
            <w:shd w:val="clear" w:color="auto" w:fill="FFFFFF"/>
            <w:tcMar>
              <w:top w:w="0" w:type="dxa"/>
              <w:left w:w="0" w:type="dxa"/>
              <w:bottom w:w="15" w:type="dxa"/>
              <w:right w:w="0" w:type="dxa"/>
            </w:tcMar>
            <w:vAlign w:val="bottom"/>
            <w:hideMark/>
          </w:tcPr>
          <w:p w14:paraId="2871CA38"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306790F9"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10317701" w14:textId="77777777" w:rsidR="00000000" w:rsidRDefault="00322B3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54AF0CF8"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5A917B5B"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1A36362A"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2CC8B683" w14:textId="77777777" w:rsidR="00000000" w:rsidRDefault="00322B34">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14:paraId="2B0E7D7B"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65F0B2DF"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5E0AF106"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64CD4F1D" w14:textId="77777777" w:rsidR="00000000" w:rsidRDefault="00322B3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336106DE"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2C514BBD"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45D36A60"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5AA4C11C" w14:textId="77777777" w:rsidR="00000000" w:rsidRDefault="00322B34">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14:paraId="7D914003"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4851A20F"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7EC2F3BC"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180D6EC8" w14:textId="77777777" w:rsidR="00000000" w:rsidRDefault="00322B3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565FAF51"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2FD5AD43"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3364C054"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3B3319F4" w14:textId="77777777" w:rsidR="00000000" w:rsidRDefault="00322B34">
            <w:pPr>
              <w:jc w:val="right"/>
              <w:rPr>
                <w:rFonts w:eastAsia="Times New Roman"/>
                <w:sz w:val="16"/>
                <w:szCs w:val="16"/>
              </w:rPr>
            </w:pPr>
            <w:r>
              <w:rPr>
                <w:rFonts w:eastAsia="Times New Roman"/>
                <w:sz w:val="16"/>
                <w:szCs w:val="16"/>
              </w:rPr>
              <w:t>489</w:t>
            </w:r>
          </w:p>
        </w:tc>
        <w:tc>
          <w:tcPr>
            <w:tcW w:w="50" w:type="pct"/>
            <w:tcBorders>
              <w:bottom w:val="single" w:sz="6" w:space="0" w:color="000000"/>
            </w:tcBorders>
            <w:shd w:val="clear" w:color="auto" w:fill="FFFFFF"/>
            <w:vAlign w:val="bottom"/>
            <w:hideMark/>
          </w:tcPr>
          <w:p w14:paraId="32776B66"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2A600604"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40D398C0"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1097DAAA" w14:textId="77777777" w:rsidR="00000000" w:rsidRDefault="00322B34">
            <w:pPr>
              <w:jc w:val="right"/>
              <w:rPr>
                <w:rFonts w:eastAsia="Times New Roman"/>
                <w:sz w:val="16"/>
                <w:szCs w:val="16"/>
              </w:rPr>
            </w:pPr>
            <w:r>
              <w:rPr>
                <w:rFonts w:eastAsia="Times New Roman"/>
                <w:sz w:val="16"/>
                <w:szCs w:val="16"/>
              </w:rPr>
              <w:t>489</w:t>
            </w:r>
          </w:p>
        </w:tc>
        <w:tc>
          <w:tcPr>
            <w:tcW w:w="50" w:type="pct"/>
            <w:tcBorders>
              <w:bottom w:val="single" w:sz="6" w:space="0" w:color="000000"/>
            </w:tcBorders>
            <w:shd w:val="clear" w:color="auto" w:fill="FFFFFF"/>
            <w:vAlign w:val="bottom"/>
            <w:hideMark/>
          </w:tcPr>
          <w:p w14:paraId="2CAC683A"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6D2742F2"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164041DE"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3A2B902E" w14:textId="77777777" w:rsidR="00000000" w:rsidRDefault="00322B34">
            <w:pPr>
              <w:jc w:val="right"/>
              <w:rPr>
                <w:rFonts w:eastAsia="Times New Roman"/>
                <w:sz w:val="16"/>
                <w:szCs w:val="16"/>
              </w:rPr>
            </w:pPr>
            <w:r>
              <w:rPr>
                <w:rFonts w:eastAsia="Times New Roman"/>
                <w:sz w:val="16"/>
                <w:szCs w:val="16"/>
              </w:rPr>
              <w:t>(3,215</w:t>
            </w:r>
          </w:p>
        </w:tc>
        <w:tc>
          <w:tcPr>
            <w:tcW w:w="50" w:type="pct"/>
            <w:tcBorders>
              <w:bottom w:val="single" w:sz="6" w:space="0" w:color="000000"/>
            </w:tcBorders>
            <w:shd w:val="clear" w:color="auto" w:fill="FFFFFF"/>
            <w:vAlign w:val="bottom"/>
            <w:hideMark/>
          </w:tcPr>
          <w:p w14:paraId="344706D5" w14:textId="77777777" w:rsidR="00000000" w:rsidRDefault="00322B34">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23DDF638"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153B77D8"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25716779" w14:textId="77777777" w:rsidR="00000000" w:rsidRDefault="00322B34">
            <w:pPr>
              <w:jc w:val="right"/>
              <w:rPr>
                <w:rFonts w:eastAsia="Times New Roman"/>
                <w:sz w:val="16"/>
                <w:szCs w:val="16"/>
              </w:rPr>
            </w:pPr>
            <w:r>
              <w:rPr>
                <w:rFonts w:eastAsia="Times New Roman"/>
                <w:sz w:val="16"/>
                <w:szCs w:val="16"/>
              </w:rPr>
              <w:t>(2,726</w:t>
            </w:r>
          </w:p>
        </w:tc>
        <w:tc>
          <w:tcPr>
            <w:tcW w:w="50" w:type="pct"/>
            <w:shd w:val="clear" w:color="auto" w:fill="FFFFFF"/>
            <w:tcMar>
              <w:top w:w="0" w:type="dxa"/>
              <w:left w:w="0" w:type="dxa"/>
              <w:bottom w:w="15" w:type="dxa"/>
              <w:right w:w="0" w:type="dxa"/>
            </w:tcMar>
            <w:vAlign w:val="bottom"/>
            <w:hideMark/>
          </w:tcPr>
          <w:p w14:paraId="0A9B43CF" w14:textId="77777777" w:rsidR="00000000" w:rsidRDefault="00322B34">
            <w:pPr>
              <w:rPr>
                <w:rFonts w:eastAsia="Times New Roman"/>
                <w:sz w:val="16"/>
                <w:szCs w:val="16"/>
              </w:rPr>
            </w:pPr>
            <w:r>
              <w:rPr>
                <w:rFonts w:eastAsia="Times New Roman"/>
                <w:sz w:val="16"/>
                <w:szCs w:val="16"/>
              </w:rPr>
              <w:t>)</w:t>
            </w:r>
          </w:p>
        </w:tc>
      </w:tr>
      <w:tr w:rsidR="00322B34" w14:paraId="1103C62B" w14:textId="77777777">
        <w:trPr>
          <w:divId w:val="376854770"/>
          <w:tblCellSpacing w:w="0" w:type="dxa"/>
        </w:trPr>
        <w:tc>
          <w:tcPr>
            <w:tcW w:w="1200" w:type="pct"/>
            <w:shd w:val="clear" w:color="auto" w:fill="CCEEFF"/>
            <w:vAlign w:val="bottom"/>
            <w:hideMark/>
          </w:tcPr>
          <w:p w14:paraId="687DB41B" w14:textId="77777777" w:rsidR="00000000" w:rsidRDefault="00322B34">
            <w:pPr>
              <w:pStyle w:val="a3"/>
              <w:spacing w:before="0" w:beforeAutospacing="0" w:after="0" w:afterAutospacing="0"/>
              <w:rPr>
                <w:sz w:val="16"/>
                <w:szCs w:val="16"/>
              </w:rPr>
            </w:pPr>
            <w:r>
              <w:rPr>
                <w:sz w:val="16"/>
                <w:szCs w:val="16"/>
              </w:rPr>
              <w:t>Balance at June 30, 2019</w:t>
            </w:r>
          </w:p>
        </w:tc>
        <w:tc>
          <w:tcPr>
            <w:tcW w:w="50" w:type="pct"/>
            <w:shd w:val="clear" w:color="auto" w:fill="CCEEFF"/>
            <w:tcMar>
              <w:top w:w="0" w:type="dxa"/>
              <w:left w:w="0" w:type="dxa"/>
              <w:bottom w:w="45" w:type="dxa"/>
              <w:right w:w="0" w:type="dxa"/>
            </w:tcMar>
            <w:vAlign w:val="bottom"/>
            <w:hideMark/>
          </w:tcPr>
          <w:p w14:paraId="39734EE5"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17A67964"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14:paraId="688BAEC4" w14:textId="77777777" w:rsidR="00000000" w:rsidRDefault="00322B34">
            <w:pPr>
              <w:jc w:val="right"/>
              <w:rPr>
                <w:rFonts w:eastAsia="Times New Roman"/>
                <w:sz w:val="16"/>
                <w:szCs w:val="16"/>
              </w:rPr>
            </w:pPr>
            <w:r>
              <w:rPr>
                <w:rFonts w:eastAsia="Times New Roman"/>
                <w:sz w:val="16"/>
                <w:szCs w:val="16"/>
              </w:rPr>
              <w:t>(835,934</w:t>
            </w:r>
          </w:p>
        </w:tc>
        <w:tc>
          <w:tcPr>
            <w:tcW w:w="50" w:type="pct"/>
            <w:tcBorders>
              <w:bottom w:val="double" w:sz="6" w:space="0" w:color="000000"/>
            </w:tcBorders>
            <w:shd w:val="clear" w:color="auto" w:fill="CCEEFF"/>
            <w:vAlign w:val="bottom"/>
            <w:hideMark/>
          </w:tcPr>
          <w:p w14:paraId="51BC934F" w14:textId="77777777" w:rsidR="00000000" w:rsidRDefault="00322B34">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CCEEFF"/>
            <w:vAlign w:val="bottom"/>
            <w:hideMark/>
          </w:tcPr>
          <w:p w14:paraId="4A6C0C13"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2E180E98" w14:textId="77777777" w:rsidR="00000000" w:rsidRDefault="00322B3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CCEEFF"/>
            <w:vAlign w:val="bottom"/>
            <w:hideMark/>
          </w:tcPr>
          <w:p w14:paraId="6BF4A0F4" w14:textId="77777777" w:rsidR="00000000" w:rsidRDefault="00322B34">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CCEEFF"/>
            <w:vAlign w:val="bottom"/>
            <w:hideMark/>
          </w:tcPr>
          <w:p w14:paraId="22CF9246"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102B54FC"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6967FAF2" w14:textId="77777777" w:rsidR="00000000" w:rsidRDefault="00322B3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14:paraId="551306FB" w14:textId="77777777" w:rsidR="00000000" w:rsidRDefault="00322B34">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CCEEFF"/>
            <w:vAlign w:val="bottom"/>
            <w:hideMark/>
          </w:tcPr>
          <w:p w14:paraId="55FFA8B1"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4BF78284"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7156D139" w14:textId="77777777" w:rsidR="00000000" w:rsidRDefault="00322B3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CCEEFF"/>
            <w:vAlign w:val="bottom"/>
            <w:hideMark/>
          </w:tcPr>
          <w:p w14:paraId="2AA57EA8" w14:textId="77777777" w:rsidR="00000000" w:rsidRDefault="00322B34">
            <w:pPr>
              <w:jc w:val="right"/>
              <w:rPr>
                <w:rFonts w:eastAsia="Times New Roman"/>
                <w:sz w:val="16"/>
                <w:szCs w:val="16"/>
              </w:rPr>
            </w:pPr>
            <w:r>
              <w:rPr>
                <w:rFonts w:eastAsia="Times New Roman"/>
                <w:sz w:val="16"/>
                <w:szCs w:val="16"/>
              </w:rPr>
              <w:t>422,094</w:t>
            </w:r>
          </w:p>
        </w:tc>
        <w:tc>
          <w:tcPr>
            <w:tcW w:w="50" w:type="pct"/>
            <w:tcBorders>
              <w:bottom w:val="double" w:sz="6" w:space="0" w:color="000000"/>
            </w:tcBorders>
            <w:shd w:val="clear" w:color="auto" w:fill="CCEEFF"/>
            <w:vAlign w:val="bottom"/>
            <w:hideMark/>
          </w:tcPr>
          <w:p w14:paraId="29F8ABC1"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43E1D1D8"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493C374A" w14:textId="77777777" w:rsidR="00000000" w:rsidRDefault="00322B3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14:paraId="2621FA56" w14:textId="77777777" w:rsidR="00000000" w:rsidRDefault="00322B34">
            <w:pPr>
              <w:jc w:val="right"/>
              <w:rPr>
                <w:rFonts w:eastAsia="Times New Roman"/>
                <w:sz w:val="16"/>
                <w:szCs w:val="16"/>
              </w:rPr>
            </w:pPr>
            <w:r>
              <w:rPr>
                <w:rFonts w:eastAsia="Times New Roman"/>
                <w:sz w:val="16"/>
                <w:szCs w:val="16"/>
              </w:rPr>
              <w:t>4,221</w:t>
            </w:r>
          </w:p>
        </w:tc>
        <w:tc>
          <w:tcPr>
            <w:tcW w:w="50" w:type="pct"/>
            <w:tcBorders>
              <w:bottom w:val="double" w:sz="6" w:space="0" w:color="000000"/>
            </w:tcBorders>
            <w:shd w:val="clear" w:color="auto" w:fill="CCEEFF"/>
            <w:vAlign w:val="bottom"/>
            <w:hideMark/>
          </w:tcPr>
          <w:p w14:paraId="008D70AA"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4D27DECE"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0D9B75C2"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14:paraId="20014827" w14:textId="77777777" w:rsidR="00000000" w:rsidRDefault="00322B34">
            <w:pPr>
              <w:jc w:val="right"/>
              <w:rPr>
                <w:rFonts w:eastAsia="Times New Roman"/>
                <w:sz w:val="16"/>
                <w:szCs w:val="16"/>
              </w:rPr>
            </w:pPr>
            <w:r>
              <w:rPr>
                <w:rFonts w:eastAsia="Times New Roman"/>
                <w:sz w:val="16"/>
                <w:szCs w:val="16"/>
              </w:rPr>
              <w:t>6,125,572</w:t>
            </w:r>
          </w:p>
        </w:tc>
        <w:tc>
          <w:tcPr>
            <w:tcW w:w="50" w:type="pct"/>
            <w:tcBorders>
              <w:bottom w:val="double" w:sz="6" w:space="0" w:color="000000"/>
            </w:tcBorders>
            <w:shd w:val="clear" w:color="auto" w:fill="CCEEFF"/>
            <w:vAlign w:val="bottom"/>
            <w:hideMark/>
          </w:tcPr>
          <w:p w14:paraId="6C39CE3E"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00AA04B5"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158341B0"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14:paraId="677BBDAD" w14:textId="77777777" w:rsidR="00000000" w:rsidRDefault="00322B34">
            <w:pPr>
              <w:jc w:val="right"/>
              <w:rPr>
                <w:rFonts w:eastAsia="Times New Roman"/>
                <w:sz w:val="16"/>
                <w:szCs w:val="16"/>
              </w:rPr>
            </w:pPr>
            <w:r>
              <w:rPr>
                <w:rFonts w:eastAsia="Times New Roman"/>
                <w:sz w:val="16"/>
                <w:szCs w:val="16"/>
              </w:rPr>
              <w:t>5,293,902</w:t>
            </w:r>
          </w:p>
        </w:tc>
        <w:tc>
          <w:tcPr>
            <w:tcW w:w="50" w:type="pct"/>
            <w:tcBorders>
              <w:bottom w:val="double" w:sz="6" w:space="0" w:color="000000"/>
            </w:tcBorders>
            <w:shd w:val="clear" w:color="auto" w:fill="CCEEFF"/>
            <w:vAlign w:val="bottom"/>
            <w:hideMark/>
          </w:tcPr>
          <w:p w14:paraId="112878CB"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58AEC4EF"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43C5DFB6"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14:paraId="19242F9F" w14:textId="77777777" w:rsidR="00000000" w:rsidRDefault="00322B34">
            <w:pPr>
              <w:jc w:val="right"/>
              <w:rPr>
                <w:rFonts w:eastAsia="Times New Roman"/>
                <w:sz w:val="16"/>
                <w:szCs w:val="16"/>
              </w:rPr>
            </w:pPr>
            <w:r>
              <w:rPr>
                <w:rFonts w:eastAsia="Times New Roman"/>
                <w:sz w:val="16"/>
                <w:szCs w:val="16"/>
              </w:rPr>
              <w:t>73,559</w:t>
            </w:r>
          </w:p>
        </w:tc>
        <w:tc>
          <w:tcPr>
            <w:tcW w:w="50" w:type="pct"/>
            <w:tcBorders>
              <w:bottom w:val="double" w:sz="6" w:space="0" w:color="000000"/>
            </w:tcBorders>
            <w:shd w:val="clear" w:color="auto" w:fill="CCEEFF"/>
            <w:vAlign w:val="bottom"/>
            <w:hideMark/>
          </w:tcPr>
          <w:p w14:paraId="1C43ACD2"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6B49C7C2"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088144A8" w14:textId="77777777" w:rsidR="00000000" w:rsidRDefault="00322B3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14:paraId="62339927" w14:textId="77777777" w:rsidR="00000000" w:rsidRDefault="00322B34">
            <w:pPr>
              <w:jc w:val="right"/>
              <w:rPr>
                <w:rFonts w:eastAsia="Times New Roman"/>
                <w:sz w:val="16"/>
                <w:szCs w:val="16"/>
              </w:rPr>
            </w:pPr>
            <w:r>
              <w:rPr>
                <w:rFonts w:eastAsia="Times New Roman"/>
                <w:sz w:val="16"/>
                <w:szCs w:val="16"/>
              </w:rPr>
              <w:t>5,367,461</w:t>
            </w:r>
          </w:p>
        </w:tc>
        <w:tc>
          <w:tcPr>
            <w:tcW w:w="50" w:type="pct"/>
            <w:shd w:val="clear" w:color="auto" w:fill="CCEEFF"/>
            <w:tcMar>
              <w:top w:w="0" w:type="dxa"/>
              <w:left w:w="0" w:type="dxa"/>
              <w:bottom w:w="45" w:type="dxa"/>
              <w:right w:w="0" w:type="dxa"/>
            </w:tcMar>
            <w:vAlign w:val="bottom"/>
            <w:hideMark/>
          </w:tcPr>
          <w:p w14:paraId="708748E1" w14:textId="77777777" w:rsidR="00000000" w:rsidRDefault="00322B34">
            <w:pPr>
              <w:rPr>
                <w:rFonts w:eastAsia="Times New Roman"/>
                <w:sz w:val="16"/>
                <w:szCs w:val="16"/>
              </w:rPr>
            </w:pPr>
            <w:r>
              <w:rPr>
                <w:rFonts w:eastAsia="Times New Roman"/>
                <w:sz w:val="16"/>
                <w:szCs w:val="16"/>
              </w:rPr>
              <w:t> </w:t>
            </w:r>
          </w:p>
        </w:tc>
      </w:tr>
      <w:tr w:rsidR="00000000" w14:paraId="76E2CAA9" w14:textId="77777777">
        <w:trPr>
          <w:divId w:val="376854770"/>
          <w:tblCellSpacing w:w="0" w:type="dxa"/>
        </w:trPr>
        <w:tc>
          <w:tcPr>
            <w:tcW w:w="1200" w:type="pct"/>
            <w:vAlign w:val="center"/>
            <w:hideMark/>
          </w:tcPr>
          <w:p w14:paraId="58D61EC9"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2967E395"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11928773" w14:textId="77777777" w:rsidR="00000000" w:rsidRDefault="00322B34">
            <w:pPr>
              <w:rPr>
                <w:rFonts w:eastAsia="Times New Roman"/>
                <w:sz w:val="16"/>
                <w:szCs w:val="16"/>
              </w:rPr>
            </w:pPr>
            <w:r>
              <w:rPr>
                <w:rFonts w:eastAsia="Times New Roman"/>
                <w:sz w:val="16"/>
                <w:szCs w:val="16"/>
              </w:rPr>
              <w:t> </w:t>
            </w:r>
          </w:p>
        </w:tc>
        <w:tc>
          <w:tcPr>
            <w:tcW w:w="300" w:type="pct"/>
            <w:vAlign w:val="center"/>
            <w:hideMark/>
          </w:tcPr>
          <w:p w14:paraId="3D6302B8" w14:textId="77777777" w:rsidR="00000000" w:rsidRDefault="00322B34">
            <w:pPr>
              <w:jc w:val="right"/>
              <w:rPr>
                <w:rFonts w:eastAsia="Times New Roman"/>
                <w:sz w:val="16"/>
                <w:szCs w:val="16"/>
              </w:rPr>
            </w:pPr>
            <w:r>
              <w:rPr>
                <w:rFonts w:eastAsia="Times New Roman"/>
                <w:sz w:val="16"/>
                <w:szCs w:val="16"/>
              </w:rPr>
              <w:t> </w:t>
            </w:r>
          </w:p>
        </w:tc>
        <w:tc>
          <w:tcPr>
            <w:tcW w:w="50" w:type="pct"/>
            <w:vAlign w:val="center"/>
            <w:hideMark/>
          </w:tcPr>
          <w:p w14:paraId="1A6C32AD"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43E0C48E"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20E14DC9" w14:textId="77777777" w:rsidR="00000000" w:rsidRDefault="00322B34">
            <w:pPr>
              <w:rPr>
                <w:rFonts w:eastAsia="Times New Roman"/>
                <w:sz w:val="16"/>
                <w:szCs w:val="16"/>
              </w:rPr>
            </w:pPr>
            <w:r>
              <w:rPr>
                <w:rFonts w:eastAsia="Times New Roman"/>
                <w:sz w:val="16"/>
                <w:szCs w:val="16"/>
              </w:rPr>
              <w:t> </w:t>
            </w:r>
          </w:p>
        </w:tc>
        <w:tc>
          <w:tcPr>
            <w:tcW w:w="250" w:type="pct"/>
            <w:vAlign w:val="center"/>
            <w:hideMark/>
          </w:tcPr>
          <w:p w14:paraId="7E71D575" w14:textId="77777777" w:rsidR="00000000" w:rsidRDefault="00322B34">
            <w:pPr>
              <w:jc w:val="right"/>
              <w:rPr>
                <w:rFonts w:eastAsia="Times New Roman"/>
                <w:sz w:val="16"/>
                <w:szCs w:val="16"/>
              </w:rPr>
            </w:pPr>
            <w:r>
              <w:rPr>
                <w:rFonts w:eastAsia="Times New Roman"/>
                <w:sz w:val="16"/>
                <w:szCs w:val="16"/>
              </w:rPr>
              <w:t> </w:t>
            </w:r>
          </w:p>
        </w:tc>
        <w:tc>
          <w:tcPr>
            <w:tcW w:w="50" w:type="pct"/>
            <w:vAlign w:val="center"/>
            <w:hideMark/>
          </w:tcPr>
          <w:p w14:paraId="7016E79B"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39C01A1F"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19B6F7FF" w14:textId="77777777" w:rsidR="00000000" w:rsidRDefault="00322B34">
            <w:pPr>
              <w:rPr>
                <w:rFonts w:eastAsia="Times New Roman"/>
                <w:sz w:val="16"/>
                <w:szCs w:val="16"/>
              </w:rPr>
            </w:pPr>
            <w:r>
              <w:rPr>
                <w:rFonts w:eastAsia="Times New Roman"/>
                <w:sz w:val="16"/>
                <w:szCs w:val="16"/>
              </w:rPr>
              <w:t> </w:t>
            </w:r>
          </w:p>
        </w:tc>
        <w:tc>
          <w:tcPr>
            <w:tcW w:w="250" w:type="pct"/>
            <w:vAlign w:val="center"/>
            <w:hideMark/>
          </w:tcPr>
          <w:p w14:paraId="1B54B839" w14:textId="77777777" w:rsidR="00000000" w:rsidRDefault="00322B34">
            <w:pPr>
              <w:jc w:val="right"/>
              <w:rPr>
                <w:rFonts w:eastAsia="Times New Roman"/>
                <w:sz w:val="16"/>
                <w:szCs w:val="16"/>
              </w:rPr>
            </w:pPr>
            <w:r>
              <w:rPr>
                <w:rFonts w:eastAsia="Times New Roman"/>
                <w:sz w:val="16"/>
                <w:szCs w:val="16"/>
              </w:rPr>
              <w:t> </w:t>
            </w:r>
          </w:p>
        </w:tc>
        <w:tc>
          <w:tcPr>
            <w:tcW w:w="50" w:type="pct"/>
            <w:vAlign w:val="center"/>
            <w:hideMark/>
          </w:tcPr>
          <w:p w14:paraId="1C2C1A3B"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62F713C3"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3BBE00DF" w14:textId="77777777" w:rsidR="00000000" w:rsidRDefault="00322B34">
            <w:pPr>
              <w:rPr>
                <w:rFonts w:eastAsia="Times New Roman"/>
                <w:sz w:val="16"/>
                <w:szCs w:val="16"/>
              </w:rPr>
            </w:pPr>
            <w:r>
              <w:rPr>
                <w:rFonts w:eastAsia="Times New Roman"/>
                <w:sz w:val="16"/>
                <w:szCs w:val="16"/>
              </w:rPr>
              <w:t> </w:t>
            </w:r>
          </w:p>
        </w:tc>
        <w:tc>
          <w:tcPr>
            <w:tcW w:w="250" w:type="pct"/>
            <w:vAlign w:val="center"/>
            <w:hideMark/>
          </w:tcPr>
          <w:p w14:paraId="03344D79" w14:textId="77777777" w:rsidR="00000000" w:rsidRDefault="00322B34">
            <w:pPr>
              <w:jc w:val="right"/>
              <w:rPr>
                <w:rFonts w:eastAsia="Times New Roman"/>
                <w:sz w:val="16"/>
                <w:szCs w:val="16"/>
              </w:rPr>
            </w:pPr>
            <w:r>
              <w:rPr>
                <w:rFonts w:eastAsia="Times New Roman"/>
                <w:sz w:val="16"/>
                <w:szCs w:val="16"/>
              </w:rPr>
              <w:t> </w:t>
            </w:r>
          </w:p>
        </w:tc>
        <w:tc>
          <w:tcPr>
            <w:tcW w:w="50" w:type="pct"/>
            <w:vAlign w:val="center"/>
            <w:hideMark/>
          </w:tcPr>
          <w:p w14:paraId="088CC200"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1AFB1F78"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2EF3022C" w14:textId="77777777" w:rsidR="00000000" w:rsidRDefault="00322B34">
            <w:pPr>
              <w:rPr>
                <w:rFonts w:eastAsia="Times New Roman"/>
                <w:sz w:val="16"/>
                <w:szCs w:val="16"/>
              </w:rPr>
            </w:pPr>
            <w:r>
              <w:rPr>
                <w:rFonts w:eastAsia="Times New Roman"/>
                <w:sz w:val="16"/>
                <w:szCs w:val="16"/>
              </w:rPr>
              <w:t> </w:t>
            </w:r>
          </w:p>
        </w:tc>
        <w:tc>
          <w:tcPr>
            <w:tcW w:w="250" w:type="pct"/>
            <w:vAlign w:val="center"/>
            <w:hideMark/>
          </w:tcPr>
          <w:p w14:paraId="3BA7166F" w14:textId="77777777" w:rsidR="00000000" w:rsidRDefault="00322B34">
            <w:pPr>
              <w:jc w:val="right"/>
              <w:rPr>
                <w:rFonts w:eastAsia="Times New Roman"/>
                <w:sz w:val="16"/>
                <w:szCs w:val="16"/>
              </w:rPr>
            </w:pPr>
            <w:r>
              <w:rPr>
                <w:rFonts w:eastAsia="Times New Roman"/>
                <w:sz w:val="16"/>
                <w:szCs w:val="16"/>
              </w:rPr>
              <w:t> </w:t>
            </w:r>
          </w:p>
        </w:tc>
        <w:tc>
          <w:tcPr>
            <w:tcW w:w="50" w:type="pct"/>
            <w:vAlign w:val="center"/>
            <w:hideMark/>
          </w:tcPr>
          <w:p w14:paraId="14146440"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6D56A4CB"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2FFCECC5" w14:textId="77777777" w:rsidR="00000000" w:rsidRDefault="00322B34">
            <w:pPr>
              <w:rPr>
                <w:rFonts w:eastAsia="Times New Roman"/>
                <w:sz w:val="16"/>
                <w:szCs w:val="16"/>
              </w:rPr>
            </w:pPr>
            <w:r>
              <w:rPr>
                <w:rFonts w:eastAsia="Times New Roman"/>
                <w:sz w:val="16"/>
                <w:szCs w:val="16"/>
              </w:rPr>
              <w:t> </w:t>
            </w:r>
          </w:p>
        </w:tc>
        <w:tc>
          <w:tcPr>
            <w:tcW w:w="300" w:type="pct"/>
            <w:vAlign w:val="center"/>
            <w:hideMark/>
          </w:tcPr>
          <w:p w14:paraId="15140022" w14:textId="77777777" w:rsidR="00000000" w:rsidRDefault="00322B34">
            <w:pPr>
              <w:jc w:val="right"/>
              <w:rPr>
                <w:rFonts w:eastAsia="Times New Roman"/>
                <w:sz w:val="16"/>
                <w:szCs w:val="16"/>
              </w:rPr>
            </w:pPr>
            <w:r>
              <w:rPr>
                <w:rFonts w:eastAsia="Times New Roman"/>
                <w:sz w:val="16"/>
                <w:szCs w:val="16"/>
              </w:rPr>
              <w:t> </w:t>
            </w:r>
          </w:p>
        </w:tc>
        <w:tc>
          <w:tcPr>
            <w:tcW w:w="50" w:type="pct"/>
            <w:vAlign w:val="center"/>
            <w:hideMark/>
          </w:tcPr>
          <w:p w14:paraId="3B55E587"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69534954"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3B30FAD3" w14:textId="77777777" w:rsidR="00000000" w:rsidRDefault="00322B34">
            <w:pPr>
              <w:rPr>
                <w:rFonts w:eastAsia="Times New Roman"/>
                <w:sz w:val="16"/>
                <w:szCs w:val="16"/>
              </w:rPr>
            </w:pPr>
            <w:r>
              <w:rPr>
                <w:rFonts w:eastAsia="Times New Roman"/>
                <w:sz w:val="16"/>
                <w:szCs w:val="16"/>
              </w:rPr>
              <w:t> </w:t>
            </w:r>
          </w:p>
        </w:tc>
        <w:tc>
          <w:tcPr>
            <w:tcW w:w="300" w:type="pct"/>
            <w:vAlign w:val="center"/>
            <w:hideMark/>
          </w:tcPr>
          <w:p w14:paraId="61134C4A" w14:textId="77777777" w:rsidR="00000000" w:rsidRDefault="00322B34">
            <w:pPr>
              <w:jc w:val="right"/>
              <w:rPr>
                <w:rFonts w:eastAsia="Times New Roman"/>
                <w:sz w:val="16"/>
                <w:szCs w:val="16"/>
              </w:rPr>
            </w:pPr>
            <w:r>
              <w:rPr>
                <w:rFonts w:eastAsia="Times New Roman"/>
                <w:sz w:val="16"/>
                <w:szCs w:val="16"/>
              </w:rPr>
              <w:t> </w:t>
            </w:r>
          </w:p>
        </w:tc>
        <w:tc>
          <w:tcPr>
            <w:tcW w:w="50" w:type="pct"/>
            <w:vAlign w:val="center"/>
            <w:hideMark/>
          </w:tcPr>
          <w:p w14:paraId="3C629258"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2C94FD2E"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6AC1A4ED" w14:textId="77777777" w:rsidR="00000000" w:rsidRDefault="00322B34">
            <w:pPr>
              <w:rPr>
                <w:rFonts w:eastAsia="Times New Roman"/>
                <w:sz w:val="16"/>
                <w:szCs w:val="16"/>
              </w:rPr>
            </w:pPr>
            <w:r>
              <w:rPr>
                <w:rFonts w:eastAsia="Times New Roman"/>
                <w:sz w:val="16"/>
                <w:szCs w:val="16"/>
              </w:rPr>
              <w:t> </w:t>
            </w:r>
          </w:p>
        </w:tc>
        <w:tc>
          <w:tcPr>
            <w:tcW w:w="300" w:type="pct"/>
            <w:vAlign w:val="center"/>
            <w:hideMark/>
          </w:tcPr>
          <w:p w14:paraId="21E1026C" w14:textId="77777777" w:rsidR="00000000" w:rsidRDefault="00322B34">
            <w:pPr>
              <w:jc w:val="right"/>
              <w:rPr>
                <w:rFonts w:eastAsia="Times New Roman"/>
                <w:sz w:val="16"/>
                <w:szCs w:val="16"/>
              </w:rPr>
            </w:pPr>
            <w:r>
              <w:rPr>
                <w:rFonts w:eastAsia="Times New Roman"/>
                <w:sz w:val="16"/>
                <w:szCs w:val="16"/>
              </w:rPr>
              <w:t> </w:t>
            </w:r>
          </w:p>
        </w:tc>
        <w:tc>
          <w:tcPr>
            <w:tcW w:w="50" w:type="pct"/>
            <w:vAlign w:val="center"/>
            <w:hideMark/>
          </w:tcPr>
          <w:p w14:paraId="5026B968"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78A3B241" w14:textId="77777777" w:rsidR="00000000" w:rsidRDefault="00322B34">
            <w:pPr>
              <w:rPr>
                <w:rFonts w:eastAsia="Times New Roman"/>
                <w:sz w:val="16"/>
                <w:szCs w:val="16"/>
              </w:rPr>
            </w:pPr>
            <w:r>
              <w:rPr>
                <w:rFonts w:eastAsia="Times New Roman"/>
                <w:sz w:val="16"/>
                <w:szCs w:val="16"/>
              </w:rPr>
              <w:t> </w:t>
            </w:r>
          </w:p>
        </w:tc>
        <w:tc>
          <w:tcPr>
            <w:tcW w:w="50" w:type="pct"/>
            <w:vAlign w:val="center"/>
            <w:hideMark/>
          </w:tcPr>
          <w:p w14:paraId="3AFA61E6" w14:textId="77777777" w:rsidR="00000000" w:rsidRDefault="00322B34">
            <w:pPr>
              <w:rPr>
                <w:rFonts w:eastAsia="Times New Roman"/>
                <w:sz w:val="16"/>
                <w:szCs w:val="16"/>
              </w:rPr>
            </w:pPr>
            <w:r>
              <w:rPr>
                <w:rFonts w:eastAsia="Times New Roman"/>
                <w:sz w:val="16"/>
                <w:szCs w:val="16"/>
              </w:rPr>
              <w:t> </w:t>
            </w:r>
          </w:p>
        </w:tc>
        <w:tc>
          <w:tcPr>
            <w:tcW w:w="250" w:type="pct"/>
            <w:vAlign w:val="center"/>
            <w:hideMark/>
          </w:tcPr>
          <w:p w14:paraId="328A78D1" w14:textId="77777777" w:rsidR="00000000" w:rsidRDefault="00322B34">
            <w:pPr>
              <w:jc w:val="right"/>
              <w:rPr>
                <w:rFonts w:eastAsia="Times New Roman"/>
                <w:sz w:val="16"/>
                <w:szCs w:val="16"/>
              </w:rPr>
            </w:pPr>
            <w:r>
              <w:rPr>
                <w:rFonts w:eastAsia="Times New Roman"/>
                <w:sz w:val="16"/>
                <w:szCs w:val="16"/>
              </w:rPr>
              <w:t> </w:t>
            </w:r>
          </w:p>
        </w:tc>
        <w:tc>
          <w:tcPr>
            <w:tcW w:w="50" w:type="pct"/>
            <w:vAlign w:val="center"/>
            <w:hideMark/>
          </w:tcPr>
          <w:p w14:paraId="0549AF9D" w14:textId="77777777" w:rsidR="00000000" w:rsidRDefault="00322B34">
            <w:pPr>
              <w:rPr>
                <w:rFonts w:eastAsia="Times New Roman"/>
                <w:sz w:val="16"/>
                <w:szCs w:val="16"/>
              </w:rPr>
            </w:pPr>
            <w:r>
              <w:rPr>
                <w:rFonts w:eastAsia="Times New Roman"/>
                <w:sz w:val="16"/>
                <w:szCs w:val="16"/>
              </w:rPr>
              <w:t> </w:t>
            </w:r>
          </w:p>
        </w:tc>
      </w:tr>
      <w:tr w:rsidR="00322B34" w14:paraId="61D760AD" w14:textId="77777777">
        <w:trPr>
          <w:divId w:val="376854770"/>
          <w:tblCellSpacing w:w="0" w:type="dxa"/>
        </w:trPr>
        <w:tc>
          <w:tcPr>
            <w:tcW w:w="1200" w:type="pct"/>
            <w:shd w:val="clear" w:color="auto" w:fill="FFFFFF"/>
            <w:vAlign w:val="bottom"/>
            <w:hideMark/>
          </w:tcPr>
          <w:p w14:paraId="7585B12C" w14:textId="77777777" w:rsidR="00000000" w:rsidRDefault="00322B34">
            <w:pPr>
              <w:pStyle w:val="a3"/>
              <w:spacing w:before="0" w:beforeAutospacing="0" w:after="0" w:afterAutospacing="0"/>
              <w:rPr>
                <w:sz w:val="16"/>
                <w:szCs w:val="16"/>
              </w:rPr>
            </w:pPr>
            <w:r>
              <w:rPr>
                <w:sz w:val="16"/>
                <w:szCs w:val="16"/>
              </w:rPr>
              <w:t>Balance at January 1, 2020</w:t>
            </w:r>
          </w:p>
        </w:tc>
        <w:tc>
          <w:tcPr>
            <w:tcW w:w="50" w:type="pct"/>
            <w:shd w:val="clear" w:color="auto" w:fill="FFFFFF"/>
            <w:vAlign w:val="bottom"/>
            <w:hideMark/>
          </w:tcPr>
          <w:p w14:paraId="24EAE7E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2CEAF87" w14:textId="77777777" w:rsidR="00000000" w:rsidRDefault="00322B34">
            <w:pPr>
              <w:rPr>
                <w:rFonts w:eastAsia="Times New Roman"/>
                <w:sz w:val="16"/>
                <w:szCs w:val="16"/>
              </w:rPr>
            </w:pPr>
            <w:r>
              <w:rPr>
                <w:rFonts w:eastAsia="Times New Roman"/>
                <w:sz w:val="16"/>
                <w:szCs w:val="16"/>
              </w:rPr>
              <w:t>$</w:t>
            </w:r>
          </w:p>
        </w:tc>
        <w:tc>
          <w:tcPr>
            <w:tcW w:w="300" w:type="pct"/>
            <w:shd w:val="clear" w:color="auto" w:fill="FFFFFF"/>
            <w:vAlign w:val="bottom"/>
            <w:hideMark/>
          </w:tcPr>
          <w:p w14:paraId="2E30B37F" w14:textId="77777777" w:rsidR="00000000" w:rsidRDefault="00322B34">
            <w:pPr>
              <w:jc w:val="right"/>
              <w:rPr>
                <w:rFonts w:eastAsia="Times New Roman"/>
                <w:sz w:val="16"/>
                <w:szCs w:val="16"/>
              </w:rPr>
            </w:pPr>
            <w:r>
              <w:rPr>
                <w:rFonts w:eastAsia="Times New Roman"/>
                <w:sz w:val="16"/>
                <w:szCs w:val="16"/>
              </w:rPr>
              <w:t>(904,679</w:t>
            </w:r>
          </w:p>
        </w:tc>
        <w:tc>
          <w:tcPr>
            <w:tcW w:w="50" w:type="pct"/>
            <w:shd w:val="clear" w:color="auto" w:fill="FFFFFF"/>
            <w:vAlign w:val="bottom"/>
            <w:hideMark/>
          </w:tcPr>
          <w:p w14:paraId="1D62E6BB" w14:textId="77777777" w:rsidR="00000000" w:rsidRDefault="00322B34">
            <w:pPr>
              <w:rPr>
                <w:rFonts w:eastAsia="Times New Roman"/>
                <w:sz w:val="16"/>
                <w:szCs w:val="16"/>
              </w:rPr>
            </w:pPr>
            <w:r>
              <w:rPr>
                <w:rFonts w:eastAsia="Times New Roman"/>
                <w:sz w:val="16"/>
                <w:szCs w:val="16"/>
              </w:rPr>
              <w:t>)</w:t>
            </w:r>
          </w:p>
        </w:tc>
        <w:tc>
          <w:tcPr>
            <w:tcW w:w="50" w:type="pct"/>
            <w:shd w:val="clear" w:color="auto" w:fill="FFFFFF"/>
            <w:vAlign w:val="bottom"/>
            <w:hideMark/>
          </w:tcPr>
          <w:p w14:paraId="763A545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C3A272"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A3BB27A" w14:textId="77777777" w:rsidR="00000000" w:rsidRDefault="00322B34">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14:paraId="2F3ABB9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B3BCF2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086B43B" w14:textId="77777777" w:rsidR="00000000" w:rsidRDefault="00322B34">
            <w:pPr>
              <w:rPr>
                <w:rFonts w:eastAsia="Times New Roman"/>
                <w:sz w:val="16"/>
                <w:szCs w:val="16"/>
              </w:rPr>
            </w:pPr>
            <w:r>
              <w:rPr>
                <w:rFonts w:eastAsia="Times New Roman"/>
                <w:sz w:val="16"/>
                <w:szCs w:val="16"/>
              </w:rPr>
              <w:t>$</w:t>
            </w:r>
          </w:p>
        </w:tc>
        <w:tc>
          <w:tcPr>
            <w:tcW w:w="250" w:type="pct"/>
            <w:shd w:val="clear" w:color="auto" w:fill="FFFFFF"/>
            <w:vAlign w:val="bottom"/>
            <w:hideMark/>
          </w:tcPr>
          <w:p w14:paraId="0ABD0398" w14:textId="77777777" w:rsidR="00000000" w:rsidRDefault="00322B34">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14:paraId="103F8EA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14F50A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D5661E"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7BB4BC4" w14:textId="77777777" w:rsidR="00000000" w:rsidRDefault="00322B34">
            <w:pPr>
              <w:jc w:val="right"/>
              <w:rPr>
                <w:rFonts w:eastAsia="Times New Roman"/>
                <w:sz w:val="16"/>
                <w:szCs w:val="16"/>
              </w:rPr>
            </w:pPr>
            <w:r>
              <w:rPr>
                <w:rFonts w:eastAsia="Times New Roman"/>
                <w:sz w:val="16"/>
                <w:szCs w:val="16"/>
              </w:rPr>
              <w:t>431,815</w:t>
            </w:r>
          </w:p>
        </w:tc>
        <w:tc>
          <w:tcPr>
            <w:tcW w:w="50" w:type="pct"/>
            <w:shd w:val="clear" w:color="auto" w:fill="FFFFFF"/>
            <w:vAlign w:val="bottom"/>
            <w:hideMark/>
          </w:tcPr>
          <w:p w14:paraId="275660E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7CFD7A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B901C4C" w14:textId="77777777" w:rsidR="00000000" w:rsidRDefault="00322B34">
            <w:pPr>
              <w:rPr>
                <w:rFonts w:eastAsia="Times New Roman"/>
                <w:sz w:val="16"/>
                <w:szCs w:val="16"/>
              </w:rPr>
            </w:pPr>
            <w:r>
              <w:rPr>
                <w:rFonts w:eastAsia="Times New Roman"/>
                <w:sz w:val="16"/>
                <w:szCs w:val="16"/>
              </w:rPr>
              <w:t>$</w:t>
            </w:r>
          </w:p>
        </w:tc>
        <w:tc>
          <w:tcPr>
            <w:tcW w:w="250" w:type="pct"/>
            <w:shd w:val="clear" w:color="auto" w:fill="FFFFFF"/>
            <w:vAlign w:val="bottom"/>
            <w:hideMark/>
          </w:tcPr>
          <w:p w14:paraId="229A5D2A" w14:textId="77777777" w:rsidR="00000000" w:rsidRDefault="00322B34">
            <w:pPr>
              <w:jc w:val="right"/>
              <w:rPr>
                <w:rFonts w:eastAsia="Times New Roman"/>
                <w:sz w:val="16"/>
                <w:szCs w:val="16"/>
              </w:rPr>
            </w:pPr>
            <w:r>
              <w:rPr>
                <w:rFonts w:eastAsia="Times New Roman"/>
                <w:sz w:val="16"/>
                <w:szCs w:val="16"/>
              </w:rPr>
              <w:t>4,318</w:t>
            </w:r>
          </w:p>
        </w:tc>
        <w:tc>
          <w:tcPr>
            <w:tcW w:w="50" w:type="pct"/>
            <w:shd w:val="clear" w:color="auto" w:fill="FFFFFF"/>
            <w:vAlign w:val="bottom"/>
            <w:hideMark/>
          </w:tcPr>
          <w:p w14:paraId="16F4C7A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9C691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78C197" w14:textId="77777777" w:rsidR="00000000" w:rsidRDefault="00322B34">
            <w:pPr>
              <w:rPr>
                <w:rFonts w:eastAsia="Times New Roman"/>
                <w:sz w:val="16"/>
                <w:szCs w:val="16"/>
              </w:rPr>
            </w:pPr>
            <w:r>
              <w:rPr>
                <w:rFonts w:eastAsia="Times New Roman"/>
                <w:sz w:val="16"/>
                <w:szCs w:val="16"/>
              </w:rPr>
              <w:t>$</w:t>
            </w:r>
          </w:p>
        </w:tc>
        <w:tc>
          <w:tcPr>
            <w:tcW w:w="300" w:type="pct"/>
            <w:shd w:val="clear" w:color="auto" w:fill="FFFFFF"/>
            <w:vAlign w:val="bottom"/>
            <w:hideMark/>
          </w:tcPr>
          <w:p w14:paraId="71A7B211" w14:textId="77777777" w:rsidR="00000000" w:rsidRDefault="00322B34">
            <w:pPr>
              <w:jc w:val="right"/>
              <w:rPr>
                <w:rFonts w:eastAsia="Times New Roman"/>
                <w:sz w:val="16"/>
                <w:szCs w:val="16"/>
              </w:rPr>
            </w:pPr>
            <w:r>
              <w:rPr>
                <w:rFonts w:eastAsia="Times New Roman"/>
                <w:sz w:val="16"/>
                <w:szCs w:val="16"/>
              </w:rPr>
              <w:t>5,765,233</w:t>
            </w:r>
          </w:p>
        </w:tc>
        <w:tc>
          <w:tcPr>
            <w:tcW w:w="50" w:type="pct"/>
            <w:shd w:val="clear" w:color="auto" w:fill="FFFFFF"/>
            <w:vAlign w:val="bottom"/>
            <w:hideMark/>
          </w:tcPr>
          <w:p w14:paraId="49672BD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608AB4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5A04931" w14:textId="77777777" w:rsidR="00000000" w:rsidRDefault="00322B34">
            <w:pPr>
              <w:rPr>
                <w:rFonts w:eastAsia="Times New Roman"/>
                <w:sz w:val="16"/>
                <w:szCs w:val="16"/>
              </w:rPr>
            </w:pPr>
            <w:r>
              <w:rPr>
                <w:rFonts w:eastAsia="Times New Roman"/>
                <w:sz w:val="16"/>
                <w:szCs w:val="16"/>
              </w:rPr>
              <w:t>$</w:t>
            </w:r>
          </w:p>
        </w:tc>
        <w:tc>
          <w:tcPr>
            <w:tcW w:w="300" w:type="pct"/>
            <w:shd w:val="clear" w:color="auto" w:fill="FFFFFF"/>
            <w:vAlign w:val="bottom"/>
            <w:hideMark/>
          </w:tcPr>
          <w:p w14:paraId="5124BAAF" w14:textId="77777777" w:rsidR="00000000" w:rsidRDefault="00322B34">
            <w:pPr>
              <w:jc w:val="right"/>
              <w:rPr>
                <w:rFonts w:eastAsia="Times New Roman"/>
                <w:sz w:val="16"/>
                <w:szCs w:val="16"/>
              </w:rPr>
            </w:pPr>
            <w:r>
              <w:rPr>
                <w:rFonts w:eastAsia="Times New Roman"/>
                <w:sz w:val="16"/>
                <w:szCs w:val="16"/>
              </w:rPr>
              <w:t>4,864,892</w:t>
            </w:r>
          </w:p>
        </w:tc>
        <w:tc>
          <w:tcPr>
            <w:tcW w:w="50" w:type="pct"/>
            <w:shd w:val="clear" w:color="auto" w:fill="FFFFFF"/>
            <w:vAlign w:val="bottom"/>
            <w:hideMark/>
          </w:tcPr>
          <w:p w14:paraId="091ABC4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1B55DB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D9D7C2" w14:textId="77777777" w:rsidR="00000000" w:rsidRDefault="00322B34">
            <w:pPr>
              <w:rPr>
                <w:rFonts w:eastAsia="Times New Roman"/>
                <w:sz w:val="16"/>
                <w:szCs w:val="16"/>
              </w:rPr>
            </w:pPr>
            <w:r>
              <w:rPr>
                <w:rFonts w:eastAsia="Times New Roman"/>
                <w:sz w:val="16"/>
                <w:szCs w:val="16"/>
              </w:rPr>
              <w:t>$</w:t>
            </w:r>
          </w:p>
        </w:tc>
        <w:tc>
          <w:tcPr>
            <w:tcW w:w="300" w:type="pct"/>
            <w:shd w:val="clear" w:color="auto" w:fill="FFFFFF"/>
            <w:vAlign w:val="bottom"/>
            <w:hideMark/>
          </w:tcPr>
          <w:p w14:paraId="1136D484" w14:textId="77777777" w:rsidR="00000000" w:rsidRDefault="00322B34">
            <w:pPr>
              <w:jc w:val="right"/>
              <w:rPr>
                <w:rFonts w:eastAsia="Times New Roman"/>
                <w:sz w:val="16"/>
                <w:szCs w:val="16"/>
              </w:rPr>
            </w:pPr>
            <w:r>
              <w:rPr>
                <w:rFonts w:eastAsia="Times New Roman"/>
                <w:sz w:val="16"/>
                <w:szCs w:val="16"/>
              </w:rPr>
              <w:t>64,015</w:t>
            </w:r>
          </w:p>
        </w:tc>
        <w:tc>
          <w:tcPr>
            <w:tcW w:w="50" w:type="pct"/>
            <w:shd w:val="clear" w:color="auto" w:fill="FFFFFF"/>
            <w:vAlign w:val="bottom"/>
            <w:hideMark/>
          </w:tcPr>
          <w:p w14:paraId="7F8397C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662A69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19E3EC8" w14:textId="77777777" w:rsidR="00000000" w:rsidRDefault="00322B34">
            <w:pPr>
              <w:rPr>
                <w:rFonts w:eastAsia="Times New Roman"/>
                <w:sz w:val="16"/>
                <w:szCs w:val="16"/>
              </w:rPr>
            </w:pPr>
            <w:r>
              <w:rPr>
                <w:rFonts w:eastAsia="Times New Roman"/>
                <w:sz w:val="16"/>
                <w:szCs w:val="16"/>
              </w:rPr>
              <w:t>$</w:t>
            </w:r>
          </w:p>
        </w:tc>
        <w:tc>
          <w:tcPr>
            <w:tcW w:w="250" w:type="pct"/>
            <w:shd w:val="clear" w:color="auto" w:fill="FFFFFF"/>
            <w:vAlign w:val="bottom"/>
            <w:hideMark/>
          </w:tcPr>
          <w:p w14:paraId="6EDB5A97" w14:textId="77777777" w:rsidR="00000000" w:rsidRDefault="00322B34">
            <w:pPr>
              <w:jc w:val="right"/>
              <w:rPr>
                <w:rFonts w:eastAsia="Times New Roman"/>
                <w:sz w:val="16"/>
                <w:szCs w:val="16"/>
              </w:rPr>
            </w:pPr>
            <w:r>
              <w:rPr>
                <w:rFonts w:eastAsia="Times New Roman"/>
                <w:sz w:val="16"/>
                <w:szCs w:val="16"/>
              </w:rPr>
              <w:t>4,928,907</w:t>
            </w:r>
          </w:p>
        </w:tc>
        <w:tc>
          <w:tcPr>
            <w:tcW w:w="50" w:type="pct"/>
            <w:shd w:val="clear" w:color="auto" w:fill="FFFFFF"/>
            <w:vAlign w:val="bottom"/>
            <w:hideMark/>
          </w:tcPr>
          <w:p w14:paraId="702F4E2F" w14:textId="77777777" w:rsidR="00000000" w:rsidRDefault="00322B34">
            <w:pPr>
              <w:rPr>
                <w:rFonts w:eastAsia="Times New Roman"/>
                <w:sz w:val="16"/>
                <w:szCs w:val="16"/>
              </w:rPr>
            </w:pPr>
            <w:r>
              <w:rPr>
                <w:rFonts w:eastAsia="Times New Roman"/>
                <w:sz w:val="16"/>
                <w:szCs w:val="16"/>
              </w:rPr>
              <w:t> </w:t>
            </w:r>
          </w:p>
        </w:tc>
      </w:tr>
      <w:tr w:rsidR="00322B34" w14:paraId="46D595F9" w14:textId="77777777">
        <w:trPr>
          <w:divId w:val="376854770"/>
          <w:tblCellSpacing w:w="0" w:type="dxa"/>
        </w:trPr>
        <w:tc>
          <w:tcPr>
            <w:tcW w:w="1200" w:type="pct"/>
            <w:shd w:val="clear" w:color="auto" w:fill="CCEEFF"/>
            <w:vAlign w:val="bottom"/>
            <w:hideMark/>
          </w:tcPr>
          <w:p w14:paraId="1EA4B394" w14:textId="77777777" w:rsidR="00000000" w:rsidRDefault="00322B34">
            <w:pPr>
              <w:pStyle w:val="a3"/>
              <w:spacing w:before="0" w:beforeAutospacing="0" w:after="0" w:afterAutospacing="0"/>
              <w:ind w:left="180" w:hanging="180"/>
              <w:rPr>
                <w:sz w:val="16"/>
                <w:szCs w:val="16"/>
              </w:rPr>
            </w:pPr>
            <w:r>
              <w:rPr>
                <w:sz w:val="16"/>
                <w:szCs w:val="16"/>
              </w:rPr>
              <w:t>Contributions from noncontrolling interests</w:t>
            </w:r>
          </w:p>
        </w:tc>
        <w:tc>
          <w:tcPr>
            <w:tcW w:w="50" w:type="pct"/>
            <w:shd w:val="clear" w:color="auto" w:fill="CCEEFF"/>
            <w:vAlign w:val="bottom"/>
            <w:hideMark/>
          </w:tcPr>
          <w:p w14:paraId="2F89E95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8CA8241"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BF3DFE9"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5E1E7D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68879E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BA49DE"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1B0C283"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4522CE9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5D519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1132E2"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4D9ADB7"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DEA265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ACE924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1CF8FFA"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2D35B43"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4160F37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697CD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E8198E"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F292C4E"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995B6B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8FEA4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1C083A"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1746FC3"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AF06BB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4626B6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EBF59A2"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DDE886C"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D2478A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B350A8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E122C0"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3FEED73" w14:textId="77777777" w:rsidR="00000000" w:rsidRDefault="00322B34">
            <w:pPr>
              <w:jc w:val="right"/>
              <w:rPr>
                <w:rFonts w:eastAsia="Times New Roman"/>
                <w:sz w:val="16"/>
                <w:szCs w:val="16"/>
              </w:rPr>
            </w:pPr>
            <w:r>
              <w:rPr>
                <w:rFonts w:eastAsia="Times New Roman"/>
                <w:sz w:val="16"/>
                <w:szCs w:val="16"/>
              </w:rPr>
              <w:t>109</w:t>
            </w:r>
          </w:p>
        </w:tc>
        <w:tc>
          <w:tcPr>
            <w:tcW w:w="50" w:type="pct"/>
            <w:shd w:val="clear" w:color="auto" w:fill="CCEEFF"/>
            <w:vAlign w:val="bottom"/>
            <w:hideMark/>
          </w:tcPr>
          <w:p w14:paraId="15E83C7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64FD2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25052B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E818A32" w14:textId="77777777" w:rsidR="00000000" w:rsidRDefault="00322B34">
            <w:pPr>
              <w:jc w:val="right"/>
              <w:rPr>
                <w:rFonts w:eastAsia="Times New Roman"/>
                <w:sz w:val="16"/>
                <w:szCs w:val="16"/>
              </w:rPr>
            </w:pPr>
            <w:r>
              <w:rPr>
                <w:rFonts w:eastAsia="Times New Roman"/>
                <w:sz w:val="16"/>
                <w:szCs w:val="16"/>
              </w:rPr>
              <w:t>109</w:t>
            </w:r>
          </w:p>
        </w:tc>
        <w:tc>
          <w:tcPr>
            <w:tcW w:w="50" w:type="pct"/>
            <w:shd w:val="clear" w:color="auto" w:fill="CCEEFF"/>
            <w:vAlign w:val="bottom"/>
            <w:hideMark/>
          </w:tcPr>
          <w:p w14:paraId="2A9F92F5" w14:textId="77777777" w:rsidR="00000000" w:rsidRDefault="00322B34">
            <w:pPr>
              <w:rPr>
                <w:rFonts w:eastAsia="Times New Roman"/>
                <w:sz w:val="16"/>
                <w:szCs w:val="16"/>
              </w:rPr>
            </w:pPr>
            <w:r>
              <w:rPr>
                <w:rFonts w:eastAsia="Times New Roman"/>
                <w:sz w:val="16"/>
                <w:szCs w:val="16"/>
              </w:rPr>
              <w:t> </w:t>
            </w:r>
          </w:p>
        </w:tc>
      </w:tr>
      <w:tr w:rsidR="00322B34" w14:paraId="3DBDD907" w14:textId="77777777">
        <w:trPr>
          <w:divId w:val="376854770"/>
          <w:tblCellSpacing w:w="0" w:type="dxa"/>
        </w:trPr>
        <w:tc>
          <w:tcPr>
            <w:tcW w:w="1200" w:type="pct"/>
            <w:shd w:val="clear" w:color="auto" w:fill="FFFFFF"/>
            <w:vAlign w:val="bottom"/>
            <w:hideMark/>
          </w:tcPr>
          <w:p w14:paraId="0AE74A8D" w14:textId="77777777" w:rsidR="00000000" w:rsidRDefault="00322B34">
            <w:pPr>
              <w:pStyle w:val="a3"/>
              <w:spacing w:before="0" w:beforeAutospacing="0" w:after="0" w:afterAutospacing="0"/>
              <w:rPr>
                <w:sz w:val="16"/>
                <w:szCs w:val="16"/>
              </w:rPr>
            </w:pPr>
            <w:r>
              <w:rPr>
                <w:sz w:val="16"/>
                <w:szCs w:val="16"/>
              </w:rPr>
              <w:t>Net income</w:t>
            </w:r>
          </w:p>
        </w:tc>
        <w:tc>
          <w:tcPr>
            <w:tcW w:w="50" w:type="pct"/>
            <w:shd w:val="clear" w:color="auto" w:fill="FFFFFF"/>
            <w:vAlign w:val="bottom"/>
            <w:hideMark/>
          </w:tcPr>
          <w:p w14:paraId="6623B59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2F9A4A5"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E2DF20F" w14:textId="77777777" w:rsidR="00000000" w:rsidRDefault="00322B34">
            <w:pPr>
              <w:jc w:val="right"/>
              <w:rPr>
                <w:rFonts w:eastAsia="Times New Roman"/>
                <w:sz w:val="16"/>
                <w:szCs w:val="16"/>
              </w:rPr>
            </w:pPr>
            <w:r>
              <w:rPr>
                <w:rFonts w:eastAsia="Times New Roman"/>
                <w:sz w:val="16"/>
                <w:szCs w:val="16"/>
              </w:rPr>
              <w:t>837,993</w:t>
            </w:r>
          </w:p>
        </w:tc>
        <w:tc>
          <w:tcPr>
            <w:tcW w:w="50" w:type="pct"/>
            <w:shd w:val="clear" w:color="auto" w:fill="FFFFFF"/>
            <w:vAlign w:val="bottom"/>
            <w:hideMark/>
          </w:tcPr>
          <w:p w14:paraId="03ABF21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671F44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CB6196C"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0FA09FE"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535E333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FE0561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53B3A1"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21F0A51"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BDBB5A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D53ED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DD93A50"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19EF856"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7AA9DCF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18E2AB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09C9F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095922B"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515777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39566D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968EE3"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BF452F6"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71F7F8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E6D62C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7306E5"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8DC452C" w14:textId="77777777" w:rsidR="00000000" w:rsidRDefault="00322B34">
            <w:pPr>
              <w:jc w:val="right"/>
              <w:rPr>
                <w:rFonts w:eastAsia="Times New Roman"/>
                <w:sz w:val="16"/>
                <w:szCs w:val="16"/>
              </w:rPr>
            </w:pPr>
            <w:r>
              <w:rPr>
                <w:rFonts w:eastAsia="Times New Roman"/>
                <w:sz w:val="16"/>
                <w:szCs w:val="16"/>
              </w:rPr>
              <w:t>837,993</w:t>
            </w:r>
          </w:p>
        </w:tc>
        <w:tc>
          <w:tcPr>
            <w:tcW w:w="50" w:type="pct"/>
            <w:shd w:val="clear" w:color="auto" w:fill="FFFFFF"/>
            <w:vAlign w:val="bottom"/>
            <w:hideMark/>
          </w:tcPr>
          <w:p w14:paraId="35569BD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A5BF3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A512E5"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AD2AF55" w14:textId="77777777" w:rsidR="00000000" w:rsidRDefault="00322B34">
            <w:pPr>
              <w:jc w:val="right"/>
              <w:rPr>
                <w:rFonts w:eastAsia="Times New Roman"/>
                <w:sz w:val="16"/>
                <w:szCs w:val="16"/>
              </w:rPr>
            </w:pPr>
            <w:r>
              <w:rPr>
                <w:rFonts w:eastAsia="Times New Roman"/>
                <w:sz w:val="16"/>
                <w:szCs w:val="16"/>
              </w:rPr>
              <w:t>514</w:t>
            </w:r>
          </w:p>
        </w:tc>
        <w:tc>
          <w:tcPr>
            <w:tcW w:w="50" w:type="pct"/>
            <w:shd w:val="clear" w:color="auto" w:fill="FFFFFF"/>
            <w:vAlign w:val="bottom"/>
            <w:hideMark/>
          </w:tcPr>
          <w:p w14:paraId="2F9D4F6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0FC289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AEF517"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6FD35F7" w14:textId="77777777" w:rsidR="00000000" w:rsidRDefault="00322B34">
            <w:pPr>
              <w:jc w:val="right"/>
              <w:rPr>
                <w:rFonts w:eastAsia="Times New Roman"/>
                <w:sz w:val="16"/>
                <w:szCs w:val="16"/>
              </w:rPr>
            </w:pPr>
            <w:r>
              <w:rPr>
                <w:rFonts w:eastAsia="Times New Roman"/>
                <w:sz w:val="16"/>
                <w:szCs w:val="16"/>
              </w:rPr>
              <w:t>838,507</w:t>
            </w:r>
          </w:p>
        </w:tc>
        <w:tc>
          <w:tcPr>
            <w:tcW w:w="50" w:type="pct"/>
            <w:shd w:val="clear" w:color="auto" w:fill="FFFFFF"/>
            <w:vAlign w:val="bottom"/>
            <w:hideMark/>
          </w:tcPr>
          <w:p w14:paraId="1B0C30EE" w14:textId="77777777" w:rsidR="00000000" w:rsidRDefault="00322B34">
            <w:pPr>
              <w:rPr>
                <w:rFonts w:eastAsia="Times New Roman"/>
                <w:sz w:val="16"/>
                <w:szCs w:val="16"/>
              </w:rPr>
            </w:pPr>
            <w:r>
              <w:rPr>
                <w:rFonts w:eastAsia="Times New Roman"/>
                <w:sz w:val="16"/>
                <w:szCs w:val="16"/>
              </w:rPr>
              <w:t> </w:t>
            </w:r>
          </w:p>
        </w:tc>
      </w:tr>
      <w:tr w:rsidR="00322B34" w14:paraId="4CD5B1FB" w14:textId="77777777">
        <w:trPr>
          <w:divId w:val="376854770"/>
          <w:tblCellSpacing w:w="0" w:type="dxa"/>
        </w:trPr>
        <w:tc>
          <w:tcPr>
            <w:tcW w:w="1200" w:type="pct"/>
            <w:shd w:val="clear" w:color="auto" w:fill="CCEEFF"/>
            <w:vAlign w:val="bottom"/>
            <w:hideMark/>
          </w:tcPr>
          <w:p w14:paraId="373BAEB8" w14:textId="77777777" w:rsidR="00000000" w:rsidRDefault="00322B34">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CCEEFF"/>
            <w:vAlign w:val="bottom"/>
            <w:hideMark/>
          </w:tcPr>
          <w:p w14:paraId="07AAA62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B41F4C"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121823E"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D8E8A5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05E3BB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A24DA7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2DD763A"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050D39A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68B5E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71806CD"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FC9BC7E"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950F55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E0834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1882D1"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05F9831"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5E5E6AD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35882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B630E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77E6F0C"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876FF7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34605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C609BE2"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1490260"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8ECC51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E52B1C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57A9568"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AC26B27"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F95B61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D77AB6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2F6A153"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6A97B502" w14:textId="77777777" w:rsidR="00000000" w:rsidRDefault="00322B34">
            <w:pPr>
              <w:jc w:val="right"/>
              <w:rPr>
                <w:rFonts w:eastAsia="Times New Roman"/>
                <w:sz w:val="16"/>
                <w:szCs w:val="16"/>
              </w:rPr>
            </w:pPr>
            <w:r>
              <w:rPr>
                <w:rFonts w:eastAsia="Times New Roman"/>
                <w:sz w:val="16"/>
                <w:szCs w:val="16"/>
              </w:rPr>
              <w:t>(605</w:t>
            </w:r>
          </w:p>
        </w:tc>
        <w:tc>
          <w:tcPr>
            <w:tcW w:w="50" w:type="pct"/>
            <w:shd w:val="clear" w:color="auto" w:fill="CCEEFF"/>
            <w:vAlign w:val="bottom"/>
            <w:hideMark/>
          </w:tcPr>
          <w:p w14:paraId="5907EEFB"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20680A8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695DE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F440D82" w14:textId="77777777" w:rsidR="00000000" w:rsidRDefault="00322B34">
            <w:pPr>
              <w:jc w:val="right"/>
              <w:rPr>
                <w:rFonts w:eastAsia="Times New Roman"/>
                <w:sz w:val="16"/>
                <w:szCs w:val="16"/>
              </w:rPr>
            </w:pPr>
            <w:r>
              <w:rPr>
                <w:rFonts w:eastAsia="Times New Roman"/>
                <w:sz w:val="16"/>
                <w:szCs w:val="16"/>
              </w:rPr>
              <w:t>(605</w:t>
            </w:r>
          </w:p>
        </w:tc>
        <w:tc>
          <w:tcPr>
            <w:tcW w:w="50" w:type="pct"/>
            <w:shd w:val="clear" w:color="auto" w:fill="CCEEFF"/>
            <w:vAlign w:val="bottom"/>
            <w:hideMark/>
          </w:tcPr>
          <w:p w14:paraId="60C6FC9B" w14:textId="77777777" w:rsidR="00000000" w:rsidRDefault="00322B34">
            <w:pPr>
              <w:rPr>
                <w:rFonts w:eastAsia="Times New Roman"/>
                <w:sz w:val="16"/>
                <w:szCs w:val="16"/>
              </w:rPr>
            </w:pPr>
            <w:r>
              <w:rPr>
                <w:rFonts w:eastAsia="Times New Roman"/>
                <w:sz w:val="16"/>
                <w:szCs w:val="16"/>
              </w:rPr>
              <w:t>)</w:t>
            </w:r>
          </w:p>
        </w:tc>
      </w:tr>
      <w:tr w:rsidR="00322B34" w14:paraId="024431AA" w14:textId="77777777">
        <w:trPr>
          <w:divId w:val="376854770"/>
          <w:tblCellSpacing w:w="0" w:type="dxa"/>
        </w:trPr>
        <w:tc>
          <w:tcPr>
            <w:tcW w:w="1200" w:type="pct"/>
            <w:shd w:val="clear" w:color="auto" w:fill="FFFFFF"/>
            <w:vAlign w:val="bottom"/>
            <w:hideMark/>
          </w:tcPr>
          <w:p w14:paraId="3D19C4B3" w14:textId="77777777" w:rsidR="00000000" w:rsidRDefault="00322B34">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FFFFFF"/>
            <w:vAlign w:val="bottom"/>
            <w:hideMark/>
          </w:tcPr>
          <w:p w14:paraId="209BCAB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3BB9C9B"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F73918B" w14:textId="77777777" w:rsidR="00000000" w:rsidRDefault="00322B34">
            <w:pPr>
              <w:jc w:val="right"/>
              <w:rPr>
                <w:rFonts w:eastAsia="Times New Roman"/>
                <w:sz w:val="16"/>
                <w:szCs w:val="16"/>
              </w:rPr>
            </w:pPr>
            <w:r>
              <w:rPr>
                <w:rFonts w:eastAsia="Times New Roman"/>
                <w:sz w:val="16"/>
                <w:szCs w:val="16"/>
              </w:rPr>
              <w:t>(133,806</w:t>
            </w:r>
          </w:p>
        </w:tc>
        <w:tc>
          <w:tcPr>
            <w:tcW w:w="50" w:type="pct"/>
            <w:shd w:val="clear" w:color="auto" w:fill="FFFFFF"/>
            <w:vAlign w:val="bottom"/>
            <w:hideMark/>
          </w:tcPr>
          <w:p w14:paraId="2FA353EB" w14:textId="77777777" w:rsidR="00000000" w:rsidRDefault="00322B34">
            <w:pPr>
              <w:rPr>
                <w:rFonts w:eastAsia="Times New Roman"/>
                <w:sz w:val="16"/>
                <w:szCs w:val="16"/>
              </w:rPr>
            </w:pPr>
            <w:r>
              <w:rPr>
                <w:rFonts w:eastAsia="Times New Roman"/>
                <w:sz w:val="16"/>
                <w:szCs w:val="16"/>
              </w:rPr>
              <w:t>)</w:t>
            </w:r>
          </w:p>
        </w:tc>
        <w:tc>
          <w:tcPr>
            <w:tcW w:w="50" w:type="pct"/>
            <w:shd w:val="clear" w:color="auto" w:fill="FFFFFF"/>
            <w:vAlign w:val="bottom"/>
            <w:hideMark/>
          </w:tcPr>
          <w:p w14:paraId="27D730B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74CE3A"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D183034"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53FE306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992CBE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FA4845A"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5765614"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7D0E79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451CA7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0D1616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B922693"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20DEA8F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043A1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2342BBD"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67EC6C8"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89CA75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CCBC54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05B7853"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023F207"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E08C34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13807E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D942107"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6C3E9E6" w14:textId="77777777" w:rsidR="00000000" w:rsidRDefault="00322B34">
            <w:pPr>
              <w:jc w:val="right"/>
              <w:rPr>
                <w:rFonts w:eastAsia="Times New Roman"/>
                <w:sz w:val="16"/>
                <w:szCs w:val="16"/>
              </w:rPr>
            </w:pPr>
            <w:r>
              <w:rPr>
                <w:rFonts w:eastAsia="Times New Roman"/>
                <w:sz w:val="16"/>
                <w:szCs w:val="16"/>
              </w:rPr>
              <w:t>(133,806</w:t>
            </w:r>
          </w:p>
        </w:tc>
        <w:tc>
          <w:tcPr>
            <w:tcW w:w="50" w:type="pct"/>
            <w:shd w:val="clear" w:color="auto" w:fill="FFFFFF"/>
            <w:vAlign w:val="bottom"/>
            <w:hideMark/>
          </w:tcPr>
          <w:p w14:paraId="54F10D05" w14:textId="77777777" w:rsidR="00000000" w:rsidRDefault="00322B34">
            <w:pPr>
              <w:rPr>
                <w:rFonts w:eastAsia="Times New Roman"/>
                <w:sz w:val="16"/>
                <w:szCs w:val="16"/>
              </w:rPr>
            </w:pPr>
            <w:r>
              <w:rPr>
                <w:rFonts w:eastAsia="Times New Roman"/>
                <w:sz w:val="16"/>
                <w:szCs w:val="16"/>
              </w:rPr>
              <w:t>)</w:t>
            </w:r>
          </w:p>
        </w:tc>
        <w:tc>
          <w:tcPr>
            <w:tcW w:w="50" w:type="pct"/>
            <w:shd w:val="clear" w:color="auto" w:fill="FFFFFF"/>
            <w:vAlign w:val="bottom"/>
            <w:hideMark/>
          </w:tcPr>
          <w:p w14:paraId="3E8D6B6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25D5E06"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62ECFAB2"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85A7BC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24C01A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E719A9"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4D04DA1" w14:textId="77777777" w:rsidR="00000000" w:rsidRDefault="00322B34">
            <w:pPr>
              <w:jc w:val="right"/>
              <w:rPr>
                <w:rFonts w:eastAsia="Times New Roman"/>
                <w:sz w:val="16"/>
                <w:szCs w:val="16"/>
              </w:rPr>
            </w:pPr>
            <w:r>
              <w:rPr>
                <w:rFonts w:eastAsia="Times New Roman"/>
                <w:sz w:val="16"/>
                <w:szCs w:val="16"/>
              </w:rPr>
              <w:t>(</w:t>
            </w:r>
            <w:r>
              <w:rPr>
                <w:rFonts w:eastAsia="Times New Roman"/>
                <w:sz w:val="16"/>
                <w:szCs w:val="16"/>
              </w:rPr>
              <w:t>133,806</w:t>
            </w:r>
          </w:p>
        </w:tc>
        <w:tc>
          <w:tcPr>
            <w:tcW w:w="50" w:type="pct"/>
            <w:shd w:val="clear" w:color="auto" w:fill="FFFFFF"/>
            <w:vAlign w:val="bottom"/>
            <w:hideMark/>
          </w:tcPr>
          <w:p w14:paraId="163ECCD1" w14:textId="77777777" w:rsidR="00000000" w:rsidRDefault="00322B34">
            <w:pPr>
              <w:rPr>
                <w:rFonts w:eastAsia="Times New Roman"/>
                <w:sz w:val="16"/>
                <w:szCs w:val="16"/>
              </w:rPr>
            </w:pPr>
            <w:r>
              <w:rPr>
                <w:rFonts w:eastAsia="Times New Roman"/>
                <w:sz w:val="16"/>
                <w:szCs w:val="16"/>
              </w:rPr>
              <w:t>)</w:t>
            </w:r>
          </w:p>
        </w:tc>
      </w:tr>
      <w:tr w:rsidR="00322B34" w14:paraId="6237775C" w14:textId="77777777">
        <w:trPr>
          <w:divId w:val="376854770"/>
          <w:tblCellSpacing w:w="0" w:type="dxa"/>
        </w:trPr>
        <w:tc>
          <w:tcPr>
            <w:tcW w:w="1200" w:type="pct"/>
            <w:shd w:val="clear" w:color="auto" w:fill="CCEEFF"/>
            <w:vAlign w:val="bottom"/>
            <w:hideMark/>
          </w:tcPr>
          <w:p w14:paraId="0D320208" w14:textId="77777777" w:rsidR="00000000" w:rsidRDefault="00322B34">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14:paraId="5284940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2F6D9B"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D8CB026"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94E574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78195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70D575"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AB99B7C"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5D8E9D7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3AD72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5C2073"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055A13C"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017634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4749A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5E20089"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A3B5252"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00D209B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CBFAA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5C1A48"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8692F49"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647CDC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ADFEF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D1C3CDA"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7F574438"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1E10E0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E516B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A525FA"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6AEA3D7"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4D0358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2A2BF1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8895B33"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287C93D0" w14:textId="77777777" w:rsidR="00000000" w:rsidRDefault="00322B34">
            <w:pPr>
              <w:jc w:val="right"/>
              <w:rPr>
                <w:rFonts w:eastAsia="Times New Roman"/>
                <w:sz w:val="16"/>
                <w:szCs w:val="16"/>
              </w:rPr>
            </w:pPr>
            <w:r>
              <w:rPr>
                <w:rFonts w:eastAsia="Times New Roman"/>
                <w:sz w:val="16"/>
                <w:szCs w:val="16"/>
              </w:rPr>
              <w:t>(899</w:t>
            </w:r>
          </w:p>
        </w:tc>
        <w:tc>
          <w:tcPr>
            <w:tcW w:w="50" w:type="pct"/>
            <w:shd w:val="clear" w:color="auto" w:fill="CCEEFF"/>
            <w:vAlign w:val="bottom"/>
            <w:hideMark/>
          </w:tcPr>
          <w:p w14:paraId="4E3F55B3"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6EC7844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72A5FDF"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FACE453" w14:textId="77777777" w:rsidR="00000000" w:rsidRDefault="00322B34">
            <w:pPr>
              <w:jc w:val="right"/>
              <w:rPr>
                <w:rFonts w:eastAsia="Times New Roman"/>
                <w:sz w:val="16"/>
                <w:szCs w:val="16"/>
              </w:rPr>
            </w:pPr>
            <w:r>
              <w:rPr>
                <w:rFonts w:eastAsia="Times New Roman"/>
                <w:sz w:val="16"/>
                <w:szCs w:val="16"/>
              </w:rPr>
              <w:t>(899</w:t>
            </w:r>
          </w:p>
        </w:tc>
        <w:tc>
          <w:tcPr>
            <w:tcW w:w="50" w:type="pct"/>
            <w:shd w:val="clear" w:color="auto" w:fill="CCEEFF"/>
            <w:vAlign w:val="bottom"/>
            <w:hideMark/>
          </w:tcPr>
          <w:p w14:paraId="16C016CD" w14:textId="77777777" w:rsidR="00000000" w:rsidRDefault="00322B34">
            <w:pPr>
              <w:rPr>
                <w:rFonts w:eastAsia="Times New Roman"/>
                <w:sz w:val="16"/>
                <w:szCs w:val="16"/>
              </w:rPr>
            </w:pPr>
            <w:r>
              <w:rPr>
                <w:rFonts w:eastAsia="Times New Roman"/>
                <w:sz w:val="16"/>
                <w:szCs w:val="16"/>
              </w:rPr>
              <w:t>)</w:t>
            </w:r>
          </w:p>
        </w:tc>
      </w:tr>
      <w:tr w:rsidR="00322B34" w14:paraId="0D9F3EAC" w14:textId="77777777">
        <w:trPr>
          <w:divId w:val="376854770"/>
          <w:tblCellSpacing w:w="0" w:type="dxa"/>
        </w:trPr>
        <w:tc>
          <w:tcPr>
            <w:tcW w:w="1200" w:type="pct"/>
            <w:shd w:val="clear" w:color="auto" w:fill="FFFFFF"/>
            <w:vAlign w:val="bottom"/>
            <w:hideMark/>
          </w:tcPr>
          <w:p w14:paraId="04EAE9CE" w14:textId="77777777" w:rsidR="00000000" w:rsidRDefault="00322B34">
            <w:pPr>
              <w:pStyle w:val="a3"/>
              <w:spacing w:before="0" w:beforeAutospacing="0" w:after="0" w:afterAutospacing="0"/>
              <w:rPr>
                <w:sz w:val="16"/>
                <w:szCs w:val="16"/>
              </w:rPr>
            </w:pPr>
            <w:r>
              <w:rPr>
                <w:sz w:val="16"/>
                <w:szCs w:val="16"/>
              </w:rPr>
              <w:t>Issuance of common stock</w:t>
            </w:r>
          </w:p>
        </w:tc>
        <w:tc>
          <w:tcPr>
            <w:tcW w:w="50" w:type="pct"/>
            <w:shd w:val="clear" w:color="auto" w:fill="FFFFFF"/>
            <w:vAlign w:val="bottom"/>
            <w:hideMark/>
          </w:tcPr>
          <w:p w14:paraId="43182E1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1AD39A5"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3D892A23"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222473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8132CA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2A3C493"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FB91C0F"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B76516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51EA49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39D9843"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FE726E6"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1CBEFE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7BEC95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D3F857E"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8F12018" w14:textId="77777777" w:rsidR="00000000" w:rsidRDefault="00322B34">
            <w:pPr>
              <w:jc w:val="right"/>
              <w:rPr>
                <w:rFonts w:eastAsia="Times New Roman"/>
                <w:sz w:val="16"/>
                <w:szCs w:val="16"/>
              </w:rPr>
            </w:pPr>
            <w:r>
              <w:rPr>
                <w:rFonts w:eastAsia="Times New Roman"/>
                <w:sz w:val="16"/>
                <w:szCs w:val="16"/>
              </w:rPr>
              <w:t>921</w:t>
            </w:r>
          </w:p>
        </w:tc>
        <w:tc>
          <w:tcPr>
            <w:tcW w:w="50" w:type="pct"/>
            <w:shd w:val="clear" w:color="auto" w:fill="FFFFFF"/>
            <w:vAlign w:val="bottom"/>
            <w:hideMark/>
          </w:tcPr>
          <w:p w14:paraId="15691329"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B10C89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DEC0147"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1F9D216" w14:textId="77777777" w:rsidR="00000000" w:rsidRDefault="00322B34">
            <w:pPr>
              <w:jc w:val="right"/>
              <w:rPr>
                <w:rFonts w:eastAsia="Times New Roman"/>
                <w:sz w:val="16"/>
                <w:szCs w:val="16"/>
              </w:rPr>
            </w:pPr>
            <w:r>
              <w:rPr>
                <w:rFonts w:eastAsia="Times New Roman"/>
                <w:sz w:val="16"/>
                <w:szCs w:val="16"/>
              </w:rPr>
              <w:t>9</w:t>
            </w:r>
          </w:p>
        </w:tc>
        <w:tc>
          <w:tcPr>
            <w:tcW w:w="50" w:type="pct"/>
            <w:shd w:val="clear" w:color="auto" w:fill="FFFFFF"/>
            <w:vAlign w:val="bottom"/>
            <w:hideMark/>
          </w:tcPr>
          <w:p w14:paraId="17FD994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6EDA88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66759A7"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5E7130B" w14:textId="77777777" w:rsidR="00000000" w:rsidRDefault="00322B34">
            <w:pPr>
              <w:jc w:val="right"/>
              <w:rPr>
                <w:rFonts w:eastAsia="Times New Roman"/>
                <w:sz w:val="16"/>
                <w:szCs w:val="16"/>
              </w:rPr>
            </w:pPr>
            <w:r>
              <w:rPr>
                <w:rFonts w:eastAsia="Times New Roman"/>
                <w:sz w:val="16"/>
                <w:szCs w:val="16"/>
              </w:rPr>
              <w:t>(9</w:t>
            </w:r>
          </w:p>
        </w:tc>
        <w:tc>
          <w:tcPr>
            <w:tcW w:w="50" w:type="pct"/>
            <w:shd w:val="clear" w:color="auto" w:fill="FFFFFF"/>
            <w:vAlign w:val="bottom"/>
            <w:hideMark/>
          </w:tcPr>
          <w:p w14:paraId="5CD24963" w14:textId="77777777" w:rsidR="00000000" w:rsidRDefault="00322B34">
            <w:pPr>
              <w:rPr>
                <w:rFonts w:eastAsia="Times New Roman"/>
                <w:sz w:val="16"/>
                <w:szCs w:val="16"/>
              </w:rPr>
            </w:pPr>
            <w:r>
              <w:rPr>
                <w:rFonts w:eastAsia="Times New Roman"/>
                <w:sz w:val="16"/>
                <w:szCs w:val="16"/>
              </w:rPr>
              <w:t>)</w:t>
            </w:r>
          </w:p>
        </w:tc>
        <w:tc>
          <w:tcPr>
            <w:tcW w:w="50" w:type="pct"/>
            <w:shd w:val="clear" w:color="auto" w:fill="FFFFFF"/>
            <w:vAlign w:val="bottom"/>
            <w:hideMark/>
          </w:tcPr>
          <w:p w14:paraId="0A56443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A84B9DE"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40DB4E18"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84FBD6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6219AE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23FF672"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ADE302E"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8EB3A7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32EB45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01C8F733"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5C01C99"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615CE7D" w14:textId="77777777" w:rsidR="00000000" w:rsidRDefault="00322B34">
            <w:pPr>
              <w:rPr>
                <w:rFonts w:eastAsia="Times New Roman"/>
                <w:sz w:val="16"/>
                <w:szCs w:val="16"/>
              </w:rPr>
            </w:pPr>
            <w:r>
              <w:rPr>
                <w:rFonts w:eastAsia="Times New Roman"/>
                <w:sz w:val="16"/>
                <w:szCs w:val="16"/>
              </w:rPr>
              <w:t> </w:t>
            </w:r>
          </w:p>
        </w:tc>
      </w:tr>
      <w:tr w:rsidR="00322B34" w14:paraId="04A0F5B7" w14:textId="77777777">
        <w:trPr>
          <w:divId w:val="376854770"/>
          <w:tblCellSpacing w:w="0" w:type="dxa"/>
        </w:trPr>
        <w:tc>
          <w:tcPr>
            <w:tcW w:w="1200" w:type="pct"/>
            <w:shd w:val="clear" w:color="auto" w:fill="CCEEFF"/>
            <w:vAlign w:val="bottom"/>
            <w:hideMark/>
          </w:tcPr>
          <w:p w14:paraId="3133F4DF" w14:textId="77777777" w:rsidR="00000000" w:rsidRDefault="00322B34">
            <w:pPr>
              <w:pStyle w:val="a3"/>
              <w:spacing w:before="0" w:beforeAutospacing="0" w:after="0" w:afterAutospacing="0"/>
              <w:rPr>
                <w:sz w:val="16"/>
                <w:szCs w:val="16"/>
              </w:rPr>
            </w:pPr>
            <w:r>
              <w:rPr>
                <w:sz w:val="16"/>
                <w:szCs w:val="16"/>
              </w:rPr>
              <w:t>Surrender of restricted common stock</w:t>
            </w:r>
          </w:p>
        </w:tc>
        <w:tc>
          <w:tcPr>
            <w:tcW w:w="50" w:type="pct"/>
            <w:shd w:val="clear" w:color="auto" w:fill="CCEEFF"/>
            <w:vAlign w:val="bottom"/>
            <w:hideMark/>
          </w:tcPr>
          <w:p w14:paraId="3145E52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75EB34"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3CD0D66"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C87BDE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8DE59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4ADD090"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B26DDB5"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D1447D6"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E14C9E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1E92E270"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405A0A8"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6F108D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7EC5E8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F3D6CF"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28494A6" w14:textId="77777777" w:rsidR="00000000" w:rsidRDefault="00322B34">
            <w:pPr>
              <w:jc w:val="right"/>
              <w:rPr>
                <w:rFonts w:eastAsia="Times New Roman"/>
                <w:sz w:val="16"/>
                <w:szCs w:val="16"/>
              </w:rPr>
            </w:pPr>
            <w:r>
              <w:rPr>
                <w:rFonts w:eastAsia="Times New Roman"/>
                <w:sz w:val="16"/>
                <w:szCs w:val="16"/>
              </w:rPr>
              <w:t>(295</w:t>
            </w:r>
          </w:p>
        </w:tc>
        <w:tc>
          <w:tcPr>
            <w:tcW w:w="50" w:type="pct"/>
            <w:shd w:val="clear" w:color="auto" w:fill="CCEEFF"/>
            <w:vAlign w:val="bottom"/>
            <w:hideMark/>
          </w:tcPr>
          <w:p w14:paraId="034768CB"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658BE7F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4F0617"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9A96789" w14:textId="77777777" w:rsidR="00000000" w:rsidRDefault="00322B34">
            <w:pPr>
              <w:jc w:val="right"/>
              <w:rPr>
                <w:rFonts w:eastAsia="Times New Roman"/>
                <w:sz w:val="16"/>
                <w:szCs w:val="16"/>
              </w:rPr>
            </w:pPr>
            <w:r>
              <w:rPr>
                <w:rFonts w:eastAsia="Times New Roman"/>
                <w:sz w:val="16"/>
                <w:szCs w:val="16"/>
              </w:rPr>
              <w:t>(3</w:t>
            </w:r>
          </w:p>
        </w:tc>
        <w:tc>
          <w:tcPr>
            <w:tcW w:w="50" w:type="pct"/>
            <w:shd w:val="clear" w:color="auto" w:fill="CCEEFF"/>
            <w:vAlign w:val="bottom"/>
            <w:hideMark/>
          </w:tcPr>
          <w:p w14:paraId="02F5E20B"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2DED695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7EFAC18"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0A9CBA5" w14:textId="77777777" w:rsidR="00000000" w:rsidRDefault="00322B34">
            <w:pPr>
              <w:jc w:val="right"/>
              <w:rPr>
                <w:rFonts w:eastAsia="Times New Roman"/>
                <w:sz w:val="16"/>
                <w:szCs w:val="16"/>
              </w:rPr>
            </w:pPr>
            <w:r>
              <w:rPr>
                <w:rFonts w:eastAsia="Times New Roman"/>
                <w:sz w:val="16"/>
                <w:szCs w:val="16"/>
              </w:rPr>
              <w:t>(5,322</w:t>
            </w:r>
          </w:p>
        </w:tc>
        <w:tc>
          <w:tcPr>
            <w:tcW w:w="50" w:type="pct"/>
            <w:shd w:val="clear" w:color="auto" w:fill="CCEEFF"/>
            <w:vAlign w:val="bottom"/>
            <w:hideMark/>
          </w:tcPr>
          <w:p w14:paraId="5CF631E3"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6BE4AD1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ED19DE8"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0AA390A5" w14:textId="77777777" w:rsidR="00000000" w:rsidRDefault="00322B34">
            <w:pPr>
              <w:jc w:val="right"/>
              <w:rPr>
                <w:rFonts w:eastAsia="Times New Roman"/>
                <w:sz w:val="16"/>
                <w:szCs w:val="16"/>
              </w:rPr>
            </w:pPr>
            <w:r>
              <w:rPr>
                <w:rFonts w:eastAsia="Times New Roman"/>
                <w:sz w:val="16"/>
                <w:szCs w:val="16"/>
              </w:rPr>
              <w:t>(5,325</w:t>
            </w:r>
          </w:p>
        </w:tc>
        <w:tc>
          <w:tcPr>
            <w:tcW w:w="50" w:type="pct"/>
            <w:shd w:val="clear" w:color="auto" w:fill="CCEEFF"/>
            <w:vAlign w:val="bottom"/>
            <w:hideMark/>
          </w:tcPr>
          <w:p w14:paraId="3FF0C8BB" w14:textId="77777777" w:rsidR="00000000" w:rsidRDefault="00322B34">
            <w:pPr>
              <w:rPr>
                <w:rFonts w:eastAsia="Times New Roman"/>
                <w:sz w:val="16"/>
                <w:szCs w:val="16"/>
              </w:rPr>
            </w:pPr>
            <w:r>
              <w:rPr>
                <w:rFonts w:eastAsia="Times New Roman"/>
                <w:sz w:val="16"/>
                <w:szCs w:val="16"/>
              </w:rPr>
              <w:t>)</w:t>
            </w:r>
          </w:p>
        </w:tc>
        <w:tc>
          <w:tcPr>
            <w:tcW w:w="50" w:type="pct"/>
            <w:shd w:val="clear" w:color="auto" w:fill="CCEEFF"/>
            <w:vAlign w:val="bottom"/>
            <w:hideMark/>
          </w:tcPr>
          <w:p w14:paraId="1351900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0EBA60"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F10D54F"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3D408C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8615BE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A10CF04"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1E2BB93" w14:textId="77777777" w:rsidR="00000000" w:rsidRDefault="00322B34">
            <w:pPr>
              <w:jc w:val="right"/>
              <w:rPr>
                <w:rFonts w:eastAsia="Times New Roman"/>
                <w:sz w:val="16"/>
                <w:szCs w:val="16"/>
              </w:rPr>
            </w:pPr>
            <w:r>
              <w:rPr>
                <w:rFonts w:eastAsia="Times New Roman"/>
                <w:sz w:val="16"/>
                <w:szCs w:val="16"/>
              </w:rPr>
              <w:t>(5,325</w:t>
            </w:r>
          </w:p>
        </w:tc>
        <w:tc>
          <w:tcPr>
            <w:tcW w:w="50" w:type="pct"/>
            <w:shd w:val="clear" w:color="auto" w:fill="CCEEFF"/>
            <w:vAlign w:val="bottom"/>
            <w:hideMark/>
          </w:tcPr>
          <w:p w14:paraId="7242B830" w14:textId="77777777" w:rsidR="00000000" w:rsidRDefault="00322B34">
            <w:pPr>
              <w:rPr>
                <w:rFonts w:eastAsia="Times New Roman"/>
                <w:sz w:val="16"/>
                <w:szCs w:val="16"/>
              </w:rPr>
            </w:pPr>
            <w:r>
              <w:rPr>
                <w:rFonts w:eastAsia="Times New Roman"/>
                <w:sz w:val="16"/>
                <w:szCs w:val="16"/>
              </w:rPr>
              <w:t>)</w:t>
            </w:r>
          </w:p>
        </w:tc>
      </w:tr>
      <w:tr w:rsidR="00322B34" w14:paraId="7969C6B8" w14:textId="77777777">
        <w:trPr>
          <w:divId w:val="376854770"/>
          <w:tblCellSpacing w:w="0" w:type="dxa"/>
        </w:trPr>
        <w:tc>
          <w:tcPr>
            <w:tcW w:w="1200" w:type="pct"/>
            <w:shd w:val="clear" w:color="auto" w:fill="FFFFFF"/>
            <w:vAlign w:val="bottom"/>
            <w:hideMark/>
          </w:tcPr>
          <w:p w14:paraId="2DFF23A8" w14:textId="77777777" w:rsidR="00000000" w:rsidRDefault="00322B34">
            <w:pPr>
              <w:pStyle w:val="a3"/>
              <w:spacing w:before="0" w:beforeAutospacing="0" w:after="0" w:afterAutospacing="0"/>
              <w:rPr>
                <w:sz w:val="16"/>
                <w:szCs w:val="16"/>
              </w:rPr>
            </w:pPr>
            <w:r>
              <w:rPr>
                <w:sz w:val="16"/>
                <w:szCs w:val="16"/>
              </w:rPr>
              <w:t>Exercise of common stock options</w:t>
            </w:r>
          </w:p>
        </w:tc>
        <w:tc>
          <w:tcPr>
            <w:tcW w:w="50" w:type="pct"/>
            <w:shd w:val="clear" w:color="auto" w:fill="FFFFFF"/>
            <w:vAlign w:val="bottom"/>
            <w:hideMark/>
          </w:tcPr>
          <w:p w14:paraId="3007A40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02C324D"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2A928FB0"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39F130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8A8CC7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EB855BC"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0BDCDBD"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C8A873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972A56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1E40E28C"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A3FE52F"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0480B2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DF964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A95F358"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5A55BFA" w14:textId="77777777" w:rsidR="00000000" w:rsidRDefault="00322B34">
            <w:pPr>
              <w:jc w:val="right"/>
              <w:rPr>
                <w:rFonts w:eastAsia="Times New Roman"/>
                <w:sz w:val="16"/>
                <w:szCs w:val="16"/>
              </w:rPr>
            </w:pPr>
            <w:r>
              <w:rPr>
                <w:rFonts w:eastAsia="Times New Roman"/>
                <w:sz w:val="16"/>
                <w:szCs w:val="16"/>
              </w:rPr>
              <w:t>63</w:t>
            </w:r>
          </w:p>
        </w:tc>
        <w:tc>
          <w:tcPr>
            <w:tcW w:w="50" w:type="pct"/>
            <w:shd w:val="clear" w:color="auto" w:fill="FFFFFF"/>
            <w:vAlign w:val="bottom"/>
            <w:hideMark/>
          </w:tcPr>
          <w:p w14:paraId="03C6339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5B6741C"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9135DB"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4CBEAAD" w14:textId="77777777" w:rsidR="00000000" w:rsidRDefault="00322B34">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14:paraId="6DF6B9B3"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2D3EF37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0F5514"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5E3FBE39" w14:textId="77777777" w:rsidR="00000000" w:rsidRDefault="00322B34">
            <w:pPr>
              <w:jc w:val="right"/>
              <w:rPr>
                <w:rFonts w:eastAsia="Times New Roman"/>
                <w:sz w:val="16"/>
                <w:szCs w:val="16"/>
              </w:rPr>
            </w:pPr>
            <w:r>
              <w:rPr>
                <w:rFonts w:eastAsia="Times New Roman"/>
                <w:sz w:val="16"/>
                <w:szCs w:val="16"/>
              </w:rPr>
              <w:t>980</w:t>
            </w:r>
          </w:p>
        </w:tc>
        <w:tc>
          <w:tcPr>
            <w:tcW w:w="50" w:type="pct"/>
            <w:shd w:val="clear" w:color="auto" w:fill="FFFFFF"/>
            <w:vAlign w:val="bottom"/>
            <w:hideMark/>
          </w:tcPr>
          <w:p w14:paraId="4E71885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895B0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4773147"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7BAA611B" w14:textId="77777777" w:rsidR="00000000" w:rsidRDefault="00322B34">
            <w:pPr>
              <w:jc w:val="right"/>
              <w:rPr>
                <w:rFonts w:eastAsia="Times New Roman"/>
                <w:sz w:val="16"/>
                <w:szCs w:val="16"/>
              </w:rPr>
            </w:pPr>
            <w:r>
              <w:rPr>
                <w:rFonts w:eastAsia="Times New Roman"/>
                <w:sz w:val="16"/>
                <w:szCs w:val="16"/>
              </w:rPr>
              <w:t>981</w:t>
            </w:r>
          </w:p>
        </w:tc>
        <w:tc>
          <w:tcPr>
            <w:tcW w:w="50" w:type="pct"/>
            <w:shd w:val="clear" w:color="auto" w:fill="FFFFFF"/>
            <w:vAlign w:val="bottom"/>
            <w:hideMark/>
          </w:tcPr>
          <w:p w14:paraId="525C53B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3B04D76B"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3C8FD56"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FFFFFF"/>
            <w:vAlign w:val="bottom"/>
            <w:hideMark/>
          </w:tcPr>
          <w:p w14:paraId="10ABA170"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35D0D5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43D4CF2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1B7570"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6752FF6" w14:textId="77777777" w:rsidR="00000000" w:rsidRDefault="00322B34">
            <w:pPr>
              <w:jc w:val="right"/>
              <w:rPr>
                <w:rFonts w:eastAsia="Times New Roman"/>
                <w:sz w:val="16"/>
                <w:szCs w:val="16"/>
              </w:rPr>
            </w:pPr>
            <w:r>
              <w:rPr>
                <w:rFonts w:eastAsia="Times New Roman"/>
                <w:sz w:val="16"/>
                <w:szCs w:val="16"/>
              </w:rPr>
              <w:t>981</w:t>
            </w:r>
          </w:p>
        </w:tc>
        <w:tc>
          <w:tcPr>
            <w:tcW w:w="50" w:type="pct"/>
            <w:shd w:val="clear" w:color="auto" w:fill="FFFFFF"/>
            <w:vAlign w:val="bottom"/>
            <w:hideMark/>
          </w:tcPr>
          <w:p w14:paraId="08BDEE40" w14:textId="77777777" w:rsidR="00000000" w:rsidRDefault="00322B34">
            <w:pPr>
              <w:rPr>
                <w:rFonts w:eastAsia="Times New Roman"/>
                <w:sz w:val="16"/>
                <w:szCs w:val="16"/>
              </w:rPr>
            </w:pPr>
            <w:r>
              <w:rPr>
                <w:rFonts w:eastAsia="Times New Roman"/>
                <w:sz w:val="16"/>
                <w:szCs w:val="16"/>
              </w:rPr>
              <w:t> </w:t>
            </w:r>
          </w:p>
        </w:tc>
      </w:tr>
      <w:tr w:rsidR="00322B34" w14:paraId="1AE5B840" w14:textId="77777777">
        <w:trPr>
          <w:divId w:val="376854770"/>
          <w:tblCellSpacing w:w="0" w:type="dxa"/>
        </w:trPr>
        <w:tc>
          <w:tcPr>
            <w:tcW w:w="1200" w:type="pct"/>
            <w:shd w:val="clear" w:color="auto" w:fill="CCEEFF"/>
            <w:vAlign w:val="bottom"/>
            <w:hideMark/>
          </w:tcPr>
          <w:p w14:paraId="69F966E5" w14:textId="77777777" w:rsidR="00000000" w:rsidRDefault="00322B34">
            <w:pPr>
              <w:pStyle w:val="a3"/>
              <w:spacing w:before="0" w:beforeAutospacing="0" w:after="0" w:afterAutospacing="0"/>
              <w:rPr>
                <w:sz w:val="16"/>
                <w:szCs w:val="16"/>
              </w:rPr>
            </w:pPr>
            <w:r>
              <w:rPr>
                <w:sz w:val="16"/>
                <w:szCs w:val="16"/>
              </w:rPr>
              <w:t>Amortization of equity awards</w:t>
            </w:r>
          </w:p>
        </w:tc>
        <w:tc>
          <w:tcPr>
            <w:tcW w:w="50" w:type="pct"/>
            <w:shd w:val="clear" w:color="auto" w:fill="CCEEFF"/>
            <w:vAlign w:val="bottom"/>
            <w:hideMark/>
          </w:tcPr>
          <w:p w14:paraId="1FED4851"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CFC1F31"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F459DDA"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CC5823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020956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D0F5C38"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215189BE"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501DF6BE"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88FC41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E639EB9"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ECCE14B"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4EBDC07"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764D3F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24288E"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034C598" w14:textId="77777777" w:rsidR="00000000" w:rsidRDefault="00322B34">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338D5BB8"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04734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C7C8BB"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56C8886"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FBE4750"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C2783D"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8BB47E"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6983B0A" w14:textId="77777777" w:rsidR="00000000" w:rsidRDefault="00322B34">
            <w:pPr>
              <w:jc w:val="right"/>
              <w:rPr>
                <w:rFonts w:eastAsia="Times New Roman"/>
                <w:sz w:val="16"/>
                <w:szCs w:val="16"/>
              </w:rPr>
            </w:pPr>
            <w:r>
              <w:rPr>
                <w:rFonts w:eastAsia="Times New Roman"/>
                <w:sz w:val="16"/>
                <w:szCs w:val="16"/>
              </w:rPr>
              <w:t>11,124</w:t>
            </w:r>
          </w:p>
        </w:tc>
        <w:tc>
          <w:tcPr>
            <w:tcW w:w="50" w:type="pct"/>
            <w:shd w:val="clear" w:color="auto" w:fill="CCEEFF"/>
            <w:vAlign w:val="bottom"/>
            <w:hideMark/>
          </w:tcPr>
          <w:p w14:paraId="691DAC7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6D8BFF"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A095C5"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3E9E8221" w14:textId="77777777" w:rsidR="00000000" w:rsidRDefault="00322B34">
            <w:pPr>
              <w:jc w:val="right"/>
              <w:rPr>
                <w:rFonts w:eastAsia="Times New Roman"/>
                <w:sz w:val="16"/>
                <w:szCs w:val="16"/>
              </w:rPr>
            </w:pPr>
            <w:r>
              <w:rPr>
                <w:rFonts w:eastAsia="Times New Roman"/>
                <w:sz w:val="16"/>
                <w:szCs w:val="16"/>
              </w:rPr>
              <w:t>11,124</w:t>
            </w:r>
          </w:p>
        </w:tc>
        <w:tc>
          <w:tcPr>
            <w:tcW w:w="50" w:type="pct"/>
            <w:shd w:val="clear" w:color="auto" w:fill="CCEEFF"/>
            <w:vAlign w:val="bottom"/>
            <w:hideMark/>
          </w:tcPr>
          <w:p w14:paraId="61F3047A"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42FFAA04"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2A324B" w14:textId="77777777" w:rsidR="00000000" w:rsidRDefault="00322B34">
            <w:pPr>
              <w:rPr>
                <w:rFonts w:eastAsia="Times New Roman"/>
                <w:sz w:val="16"/>
                <w:szCs w:val="16"/>
              </w:rPr>
            </w:pPr>
            <w:r>
              <w:rPr>
                <w:rFonts w:eastAsia="Times New Roman"/>
                <w:sz w:val="16"/>
                <w:szCs w:val="16"/>
              </w:rPr>
              <w:t> </w:t>
            </w:r>
          </w:p>
        </w:tc>
        <w:tc>
          <w:tcPr>
            <w:tcW w:w="300" w:type="pct"/>
            <w:shd w:val="clear" w:color="auto" w:fill="CCEEFF"/>
            <w:vAlign w:val="bottom"/>
            <w:hideMark/>
          </w:tcPr>
          <w:p w14:paraId="1ED85518" w14:textId="77777777" w:rsidR="00000000" w:rsidRDefault="00322B34">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C453822"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368755F5" w14:textId="77777777" w:rsidR="00000000" w:rsidRDefault="00322B34">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F9572C" w14:textId="77777777" w:rsidR="00000000" w:rsidRDefault="00322B34">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891EB2D" w14:textId="77777777" w:rsidR="00000000" w:rsidRDefault="00322B34">
            <w:pPr>
              <w:jc w:val="right"/>
              <w:rPr>
                <w:rFonts w:eastAsia="Times New Roman"/>
                <w:sz w:val="16"/>
                <w:szCs w:val="16"/>
              </w:rPr>
            </w:pPr>
            <w:r>
              <w:rPr>
                <w:rFonts w:eastAsia="Times New Roman"/>
                <w:sz w:val="16"/>
                <w:szCs w:val="16"/>
              </w:rPr>
              <w:t>11,124</w:t>
            </w:r>
          </w:p>
        </w:tc>
        <w:tc>
          <w:tcPr>
            <w:tcW w:w="50" w:type="pct"/>
            <w:shd w:val="clear" w:color="auto" w:fill="CCEEFF"/>
            <w:vAlign w:val="bottom"/>
            <w:hideMark/>
          </w:tcPr>
          <w:p w14:paraId="10F82665" w14:textId="77777777" w:rsidR="00000000" w:rsidRDefault="00322B34">
            <w:pPr>
              <w:rPr>
                <w:rFonts w:eastAsia="Times New Roman"/>
                <w:sz w:val="16"/>
                <w:szCs w:val="16"/>
              </w:rPr>
            </w:pPr>
            <w:r>
              <w:rPr>
                <w:rFonts w:eastAsia="Times New Roman"/>
                <w:sz w:val="16"/>
                <w:szCs w:val="16"/>
              </w:rPr>
              <w:t> </w:t>
            </w:r>
          </w:p>
        </w:tc>
      </w:tr>
      <w:tr w:rsidR="00322B34" w14:paraId="627EEB8B" w14:textId="77777777">
        <w:trPr>
          <w:divId w:val="376854770"/>
          <w:tblCellSpacing w:w="0" w:type="dxa"/>
        </w:trPr>
        <w:tc>
          <w:tcPr>
            <w:tcW w:w="1200" w:type="pct"/>
            <w:shd w:val="clear" w:color="auto" w:fill="FFFFFF"/>
            <w:vAlign w:val="bottom"/>
            <w:hideMark/>
          </w:tcPr>
          <w:p w14:paraId="79DA34A1" w14:textId="77777777" w:rsidR="00000000" w:rsidRDefault="00322B34">
            <w:pPr>
              <w:pStyle w:val="a3"/>
              <w:spacing w:before="0" w:beforeAutospacing="0" w:after="0" w:afterAutospacing="0"/>
              <w:ind w:left="180" w:hanging="180"/>
              <w:rPr>
                <w:sz w:val="16"/>
                <w:szCs w:val="16"/>
              </w:rPr>
            </w:pPr>
            <w:r>
              <w:rPr>
                <w:sz w:val="16"/>
                <w:szCs w:val="16"/>
              </w:rPr>
              <w:t>Acquisition of noncontrolling interests</w:t>
            </w:r>
          </w:p>
        </w:tc>
        <w:tc>
          <w:tcPr>
            <w:tcW w:w="50" w:type="pct"/>
            <w:shd w:val="clear" w:color="auto" w:fill="FFFFFF"/>
            <w:tcMar>
              <w:top w:w="0" w:type="dxa"/>
              <w:left w:w="0" w:type="dxa"/>
              <w:bottom w:w="15" w:type="dxa"/>
              <w:right w:w="0" w:type="dxa"/>
            </w:tcMar>
            <w:vAlign w:val="bottom"/>
            <w:hideMark/>
          </w:tcPr>
          <w:p w14:paraId="43220C55"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0C3FFEDC"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0E20F991" w14:textId="77777777" w:rsidR="00000000" w:rsidRDefault="00322B3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2212F9A2"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4CFF7A0B"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7FF9C8B1"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2C952031" w14:textId="77777777" w:rsidR="00000000" w:rsidRDefault="00322B34">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14:paraId="7000D53C"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6B014C0A"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2BCF158B"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427A3D5A" w14:textId="77777777" w:rsidR="00000000" w:rsidRDefault="00322B3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669086F3"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51960FA3"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04E2C79F"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0B10C55A" w14:textId="77777777" w:rsidR="00000000" w:rsidRDefault="00322B34">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14:paraId="1D6FD614"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66748293"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1EC21BEB"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17B5CA09" w14:textId="77777777" w:rsidR="00000000" w:rsidRDefault="00322B34">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34146F92"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0F0905A4"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682A10A2"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30CD0F90" w14:textId="77777777" w:rsidR="00000000" w:rsidRDefault="00322B34">
            <w:pPr>
              <w:jc w:val="right"/>
              <w:rPr>
                <w:rFonts w:eastAsia="Times New Roman"/>
                <w:sz w:val="16"/>
                <w:szCs w:val="16"/>
              </w:rPr>
            </w:pPr>
            <w:r>
              <w:rPr>
                <w:rFonts w:eastAsia="Times New Roman"/>
                <w:sz w:val="16"/>
                <w:szCs w:val="16"/>
              </w:rPr>
              <w:t>(19,348</w:t>
            </w:r>
          </w:p>
        </w:tc>
        <w:tc>
          <w:tcPr>
            <w:tcW w:w="50" w:type="pct"/>
            <w:tcBorders>
              <w:bottom w:val="single" w:sz="6" w:space="0" w:color="000000"/>
            </w:tcBorders>
            <w:shd w:val="clear" w:color="auto" w:fill="FFFFFF"/>
            <w:vAlign w:val="bottom"/>
            <w:hideMark/>
          </w:tcPr>
          <w:p w14:paraId="45DAD2B1" w14:textId="77777777" w:rsidR="00000000" w:rsidRDefault="00322B34">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76D19FCC"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62EC4A98"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1DF6A23B" w14:textId="77777777" w:rsidR="00000000" w:rsidRDefault="00322B34">
            <w:pPr>
              <w:jc w:val="right"/>
              <w:rPr>
                <w:rFonts w:eastAsia="Times New Roman"/>
                <w:sz w:val="16"/>
                <w:szCs w:val="16"/>
              </w:rPr>
            </w:pPr>
            <w:r>
              <w:rPr>
                <w:rFonts w:eastAsia="Times New Roman"/>
                <w:sz w:val="16"/>
                <w:szCs w:val="16"/>
              </w:rPr>
              <w:t>(19,348</w:t>
            </w:r>
          </w:p>
        </w:tc>
        <w:tc>
          <w:tcPr>
            <w:tcW w:w="50" w:type="pct"/>
            <w:tcBorders>
              <w:bottom w:val="single" w:sz="6" w:space="0" w:color="000000"/>
            </w:tcBorders>
            <w:shd w:val="clear" w:color="auto" w:fill="FFFFFF"/>
            <w:vAlign w:val="bottom"/>
            <w:hideMark/>
          </w:tcPr>
          <w:p w14:paraId="19BA7253" w14:textId="77777777" w:rsidR="00000000" w:rsidRDefault="00322B34">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20C0992B"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17C0D73F" w14:textId="77777777" w:rsidR="00000000" w:rsidRDefault="00322B34">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14:paraId="5C0E5072" w14:textId="77777777" w:rsidR="00000000" w:rsidRDefault="00322B34">
            <w:pPr>
              <w:jc w:val="right"/>
              <w:rPr>
                <w:rFonts w:eastAsia="Times New Roman"/>
                <w:sz w:val="16"/>
                <w:szCs w:val="16"/>
              </w:rPr>
            </w:pPr>
            <w:r>
              <w:rPr>
                <w:rFonts w:eastAsia="Times New Roman"/>
                <w:sz w:val="16"/>
                <w:szCs w:val="16"/>
              </w:rPr>
              <w:t>(1,271</w:t>
            </w:r>
          </w:p>
        </w:tc>
        <w:tc>
          <w:tcPr>
            <w:tcW w:w="50" w:type="pct"/>
            <w:tcBorders>
              <w:bottom w:val="single" w:sz="6" w:space="0" w:color="000000"/>
            </w:tcBorders>
            <w:shd w:val="clear" w:color="auto" w:fill="FFFFFF"/>
            <w:vAlign w:val="bottom"/>
            <w:hideMark/>
          </w:tcPr>
          <w:p w14:paraId="2C3106F9" w14:textId="77777777" w:rsidR="00000000" w:rsidRDefault="00322B34">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6FE544F6" w14:textId="77777777" w:rsidR="00000000" w:rsidRDefault="00322B34">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49938EA6" w14:textId="77777777" w:rsidR="00000000" w:rsidRDefault="00322B34">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3CD444C1" w14:textId="77777777" w:rsidR="00000000" w:rsidRDefault="00322B34">
            <w:pPr>
              <w:jc w:val="right"/>
              <w:rPr>
                <w:rFonts w:eastAsia="Times New Roman"/>
                <w:sz w:val="16"/>
                <w:szCs w:val="16"/>
              </w:rPr>
            </w:pPr>
            <w:r>
              <w:rPr>
                <w:rFonts w:eastAsia="Times New Roman"/>
                <w:sz w:val="16"/>
                <w:szCs w:val="16"/>
              </w:rPr>
              <w:t>(20,619</w:t>
            </w:r>
          </w:p>
        </w:tc>
        <w:tc>
          <w:tcPr>
            <w:tcW w:w="50" w:type="pct"/>
            <w:shd w:val="clear" w:color="auto" w:fill="FFFFFF"/>
            <w:tcMar>
              <w:top w:w="0" w:type="dxa"/>
              <w:left w:w="0" w:type="dxa"/>
              <w:bottom w:w="15" w:type="dxa"/>
              <w:right w:w="0" w:type="dxa"/>
            </w:tcMar>
            <w:vAlign w:val="bottom"/>
            <w:hideMark/>
          </w:tcPr>
          <w:p w14:paraId="365E80C6" w14:textId="77777777" w:rsidR="00000000" w:rsidRDefault="00322B34">
            <w:pPr>
              <w:rPr>
                <w:rFonts w:eastAsia="Times New Roman"/>
                <w:sz w:val="16"/>
                <w:szCs w:val="16"/>
              </w:rPr>
            </w:pPr>
            <w:r>
              <w:rPr>
                <w:rFonts w:eastAsia="Times New Roman"/>
                <w:sz w:val="16"/>
                <w:szCs w:val="16"/>
              </w:rPr>
              <w:t>)</w:t>
            </w:r>
          </w:p>
        </w:tc>
      </w:tr>
      <w:tr w:rsidR="00322B34" w14:paraId="7A0E665D" w14:textId="77777777">
        <w:trPr>
          <w:divId w:val="376854770"/>
          <w:tblCellSpacing w:w="0" w:type="dxa"/>
        </w:trPr>
        <w:tc>
          <w:tcPr>
            <w:tcW w:w="1200" w:type="pct"/>
            <w:shd w:val="clear" w:color="auto" w:fill="CCEEFF"/>
            <w:vAlign w:val="bottom"/>
            <w:hideMark/>
          </w:tcPr>
          <w:p w14:paraId="3A1F1581" w14:textId="77777777" w:rsidR="00000000" w:rsidRDefault="00322B34">
            <w:pPr>
              <w:pStyle w:val="a3"/>
              <w:spacing w:before="0" w:beforeAutospacing="0" w:after="0" w:afterAutospacing="0"/>
              <w:rPr>
                <w:sz w:val="16"/>
                <w:szCs w:val="16"/>
              </w:rPr>
            </w:pPr>
            <w:r>
              <w:rPr>
                <w:sz w:val="16"/>
                <w:szCs w:val="16"/>
              </w:rPr>
              <w:t>Balance at June 30, 2020</w:t>
            </w:r>
          </w:p>
        </w:tc>
        <w:tc>
          <w:tcPr>
            <w:tcW w:w="50" w:type="pct"/>
            <w:shd w:val="clear" w:color="auto" w:fill="CCEEFF"/>
            <w:tcMar>
              <w:top w:w="0" w:type="dxa"/>
              <w:left w:w="0" w:type="dxa"/>
              <w:bottom w:w="45" w:type="dxa"/>
              <w:right w:w="0" w:type="dxa"/>
            </w:tcMar>
            <w:vAlign w:val="bottom"/>
            <w:hideMark/>
          </w:tcPr>
          <w:p w14:paraId="5588BFD1"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7A33997A"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14:paraId="2893D462" w14:textId="77777777" w:rsidR="00000000" w:rsidRDefault="00322B34">
            <w:pPr>
              <w:jc w:val="right"/>
              <w:rPr>
                <w:rFonts w:eastAsia="Times New Roman"/>
                <w:sz w:val="16"/>
                <w:szCs w:val="16"/>
              </w:rPr>
            </w:pPr>
            <w:r>
              <w:rPr>
                <w:rFonts w:eastAsia="Times New Roman"/>
                <w:sz w:val="16"/>
                <w:szCs w:val="16"/>
              </w:rPr>
              <w:t>(200,492</w:t>
            </w:r>
          </w:p>
        </w:tc>
        <w:tc>
          <w:tcPr>
            <w:tcW w:w="50" w:type="pct"/>
            <w:tcBorders>
              <w:bottom w:val="double" w:sz="6" w:space="0" w:color="000000"/>
            </w:tcBorders>
            <w:shd w:val="clear" w:color="auto" w:fill="CCEEFF"/>
            <w:vAlign w:val="bottom"/>
            <w:hideMark/>
          </w:tcPr>
          <w:p w14:paraId="4A477F34" w14:textId="77777777" w:rsidR="00000000" w:rsidRDefault="00322B34">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CCEEFF"/>
            <w:vAlign w:val="bottom"/>
            <w:hideMark/>
          </w:tcPr>
          <w:p w14:paraId="33E7D24C"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5F7B705E" w14:textId="77777777" w:rsidR="00000000" w:rsidRDefault="00322B3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CCEEFF"/>
            <w:vAlign w:val="bottom"/>
            <w:hideMark/>
          </w:tcPr>
          <w:p w14:paraId="1D92C049" w14:textId="77777777" w:rsidR="00000000" w:rsidRDefault="00322B34">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14:paraId="21E766D8"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45613A65"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3E0A0AEF" w14:textId="77777777" w:rsidR="00000000" w:rsidRDefault="00322B3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14:paraId="22524F4A" w14:textId="77777777" w:rsidR="00000000" w:rsidRDefault="00322B34">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14:paraId="4AB882E7"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2382BA87"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693A8204" w14:textId="77777777" w:rsidR="00000000" w:rsidRDefault="00322B34">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CCEEFF"/>
            <w:vAlign w:val="bottom"/>
            <w:hideMark/>
          </w:tcPr>
          <w:p w14:paraId="049ABD68" w14:textId="77777777" w:rsidR="00000000" w:rsidRDefault="00322B34">
            <w:pPr>
              <w:jc w:val="right"/>
              <w:rPr>
                <w:rFonts w:eastAsia="Times New Roman"/>
                <w:sz w:val="16"/>
                <w:szCs w:val="16"/>
              </w:rPr>
            </w:pPr>
            <w:r>
              <w:rPr>
                <w:rFonts w:eastAsia="Times New Roman"/>
                <w:sz w:val="16"/>
                <w:szCs w:val="16"/>
              </w:rPr>
              <w:t>432,504</w:t>
            </w:r>
          </w:p>
        </w:tc>
        <w:tc>
          <w:tcPr>
            <w:tcW w:w="50" w:type="pct"/>
            <w:tcBorders>
              <w:bottom w:val="double" w:sz="6" w:space="0" w:color="000000"/>
            </w:tcBorders>
            <w:shd w:val="clear" w:color="auto" w:fill="CCEEFF"/>
            <w:vAlign w:val="bottom"/>
            <w:hideMark/>
          </w:tcPr>
          <w:p w14:paraId="3F60EC1D"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044EEA42"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627D91A8" w14:textId="77777777" w:rsidR="00000000" w:rsidRDefault="00322B3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14:paraId="0649D644" w14:textId="77777777" w:rsidR="00000000" w:rsidRDefault="00322B34">
            <w:pPr>
              <w:jc w:val="right"/>
              <w:rPr>
                <w:rFonts w:eastAsia="Times New Roman"/>
                <w:sz w:val="16"/>
                <w:szCs w:val="16"/>
              </w:rPr>
            </w:pPr>
            <w:r>
              <w:rPr>
                <w:rFonts w:eastAsia="Times New Roman"/>
                <w:sz w:val="16"/>
                <w:szCs w:val="16"/>
              </w:rPr>
              <w:t>4,325</w:t>
            </w:r>
          </w:p>
        </w:tc>
        <w:tc>
          <w:tcPr>
            <w:tcW w:w="50" w:type="pct"/>
            <w:tcBorders>
              <w:bottom w:val="double" w:sz="6" w:space="0" w:color="000000"/>
            </w:tcBorders>
            <w:shd w:val="clear" w:color="auto" w:fill="CCEEFF"/>
            <w:vAlign w:val="bottom"/>
            <w:hideMark/>
          </w:tcPr>
          <w:p w14:paraId="59ADA852"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761F45C6"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28C4C407"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14:paraId="1FA10734" w14:textId="77777777" w:rsidR="00000000" w:rsidRDefault="00322B34">
            <w:pPr>
              <w:jc w:val="right"/>
              <w:rPr>
                <w:rFonts w:eastAsia="Times New Roman"/>
                <w:sz w:val="16"/>
                <w:szCs w:val="16"/>
              </w:rPr>
            </w:pPr>
            <w:r>
              <w:rPr>
                <w:rFonts w:eastAsia="Times New Roman"/>
                <w:sz w:val="16"/>
                <w:szCs w:val="16"/>
              </w:rPr>
              <w:t>5,752,658</w:t>
            </w:r>
          </w:p>
        </w:tc>
        <w:tc>
          <w:tcPr>
            <w:tcW w:w="50" w:type="pct"/>
            <w:tcBorders>
              <w:bottom w:val="double" w:sz="6" w:space="0" w:color="000000"/>
            </w:tcBorders>
            <w:shd w:val="clear" w:color="auto" w:fill="CCEEFF"/>
            <w:vAlign w:val="bottom"/>
            <w:hideMark/>
          </w:tcPr>
          <w:p w14:paraId="7F9E1461"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6E80B9CF"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5B651BAE"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14:paraId="50E3C830" w14:textId="77777777" w:rsidR="00000000" w:rsidRDefault="00322B34">
            <w:pPr>
              <w:jc w:val="right"/>
              <w:rPr>
                <w:rFonts w:eastAsia="Times New Roman"/>
                <w:sz w:val="16"/>
                <w:szCs w:val="16"/>
              </w:rPr>
            </w:pPr>
            <w:r>
              <w:rPr>
                <w:rFonts w:eastAsia="Times New Roman"/>
                <w:sz w:val="16"/>
                <w:szCs w:val="16"/>
              </w:rPr>
              <w:t>5,556,511</w:t>
            </w:r>
          </w:p>
        </w:tc>
        <w:tc>
          <w:tcPr>
            <w:tcW w:w="50" w:type="pct"/>
            <w:tcBorders>
              <w:bottom w:val="double" w:sz="6" w:space="0" w:color="000000"/>
            </w:tcBorders>
            <w:shd w:val="clear" w:color="auto" w:fill="CCEEFF"/>
            <w:vAlign w:val="bottom"/>
            <w:hideMark/>
          </w:tcPr>
          <w:p w14:paraId="4D83BB71"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51BACE5E"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068BD0B5" w14:textId="77777777" w:rsidR="00000000" w:rsidRDefault="00322B34">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14:paraId="3CD25A17" w14:textId="77777777" w:rsidR="00000000" w:rsidRDefault="00322B34">
            <w:pPr>
              <w:jc w:val="right"/>
              <w:rPr>
                <w:rFonts w:eastAsia="Times New Roman"/>
                <w:sz w:val="16"/>
                <w:szCs w:val="16"/>
              </w:rPr>
            </w:pPr>
            <w:r>
              <w:rPr>
                <w:rFonts w:eastAsia="Times New Roman"/>
                <w:sz w:val="16"/>
                <w:szCs w:val="16"/>
              </w:rPr>
              <w:t>61,863</w:t>
            </w:r>
          </w:p>
        </w:tc>
        <w:tc>
          <w:tcPr>
            <w:tcW w:w="50" w:type="pct"/>
            <w:tcBorders>
              <w:bottom w:val="double" w:sz="6" w:space="0" w:color="000000"/>
            </w:tcBorders>
            <w:shd w:val="clear" w:color="auto" w:fill="CCEEFF"/>
            <w:vAlign w:val="bottom"/>
            <w:hideMark/>
          </w:tcPr>
          <w:p w14:paraId="6CD6EFE1"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0CBD8E8A" w14:textId="77777777" w:rsidR="00000000" w:rsidRDefault="00322B34">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5F120B17" w14:textId="77777777" w:rsidR="00000000" w:rsidRDefault="00322B34">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14:paraId="52404BB8" w14:textId="77777777" w:rsidR="00000000" w:rsidRDefault="00322B34">
            <w:pPr>
              <w:jc w:val="right"/>
              <w:rPr>
                <w:rFonts w:eastAsia="Times New Roman"/>
                <w:sz w:val="16"/>
                <w:szCs w:val="16"/>
              </w:rPr>
            </w:pPr>
            <w:r>
              <w:rPr>
                <w:rFonts w:eastAsia="Times New Roman"/>
                <w:sz w:val="16"/>
                <w:szCs w:val="16"/>
              </w:rPr>
              <w:t>5,618,374</w:t>
            </w:r>
          </w:p>
        </w:tc>
        <w:tc>
          <w:tcPr>
            <w:tcW w:w="50" w:type="pct"/>
            <w:shd w:val="clear" w:color="auto" w:fill="CCEEFF"/>
            <w:tcMar>
              <w:top w:w="0" w:type="dxa"/>
              <w:left w:w="0" w:type="dxa"/>
              <w:bottom w:w="45" w:type="dxa"/>
              <w:right w:w="0" w:type="dxa"/>
            </w:tcMar>
            <w:vAlign w:val="bottom"/>
            <w:hideMark/>
          </w:tcPr>
          <w:p w14:paraId="07A5ADEF" w14:textId="77777777" w:rsidR="00000000" w:rsidRDefault="00322B34">
            <w:pPr>
              <w:rPr>
                <w:rFonts w:eastAsia="Times New Roman"/>
                <w:sz w:val="16"/>
                <w:szCs w:val="16"/>
              </w:rPr>
            </w:pPr>
            <w:r>
              <w:rPr>
                <w:rFonts w:eastAsia="Times New Roman"/>
                <w:sz w:val="16"/>
                <w:szCs w:val="16"/>
              </w:rPr>
              <w:t> </w:t>
            </w:r>
          </w:p>
        </w:tc>
      </w:tr>
    </w:tbl>
    <w:p w14:paraId="1579F500" w14:textId="77777777" w:rsidR="00000000" w:rsidRDefault="00322B34">
      <w:pPr>
        <w:pStyle w:val="a3"/>
        <w:spacing w:before="0" w:beforeAutospacing="0" w:after="0" w:afterAutospacing="0"/>
        <w:rPr>
          <w:sz w:val="20"/>
          <w:szCs w:val="20"/>
        </w:rPr>
      </w:pPr>
      <w:r>
        <w:rPr>
          <w:sz w:val="20"/>
          <w:szCs w:val="20"/>
        </w:rPr>
        <w:t> </w:t>
      </w:r>
    </w:p>
    <w:p w14:paraId="02B8B42E" w14:textId="77777777" w:rsidR="00000000" w:rsidRDefault="00322B34">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02E4FE83" w14:textId="77777777" w:rsidR="00000000" w:rsidRDefault="00322B34">
      <w:pPr>
        <w:pStyle w:val="a3"/>
        <w:spacing w:before="0" w:beforeAutospacing="0" w:after="0" w:afterAutospacing="0"/>
        <w:rPr>
          <w:sz w:val="20"/>
          <w:szCs w:val="20"/>
        </w:rPr>
      </w:pPr>
      <w:r>
        <w:rPr>
          <w:sz w:val="20"/>
          <w:szCs w:val="20"/>
        </w:rPr>
        <w:t> </w:t>
      </w:r>
    </w:p>
    <w:p w14:paraId="2604AB1B" w14:textId="77777777" w:rsidR="00000000" w:rsidRDefault="00322B34">
      <w:pPr>
        <w:jc w:val="center"/>
        <w:divId w:val="1341547169"/>
        <w:rPr>
          <w:rFonts w:eastAsia="Times New Roman"/>
          <w:sz w:val="20"/>
          <w:szCs w:val="20"/>
        </w:rPr>
      </w:pPr>
      <w:r>
        <w:rPr>
          <w:rFonts w:eastAsia="Times New Roman"/>
          <w:sz w:val="20"/>
          <w:szCs w:val="20"/>
        </w:rPr>
        <w:t xml:space="preserve">6 </w:t>
      </w:r>
    </w:p>
    <w:p w14:paraId="1C24E82C" w14:textId="77777777" w:rsidR="00000000" w:rsidRDefault="00322B34">
      <w:pPr>
        <w:divId w:val="1508055709"/>
        <w:rPr>
          <w:rFonts w:eastAsia="Times New Roman"/>
          <w:sz w:val="20"/>
          <w:szCs w:val="20"/>
        </w:rPr>
      </w:pPr>
      <w:r>
        <w:rPr>
          <w:rFonts w:eastAsia="Times New Roman"/>
          <w:sz w:val="20"/>
          <w:szCs w:val="20"/>
        </w:rPr>
        <w:pict w14:anchorId="2E041D63">
          <v:rect id="_x0000_i1034" style="width:0;height:1.5pt" o:hralign="center" o:hrstd="t" o:hr="t" fillcolor="#a0a0a0" stroked="f"/>
        </w:pict>
      </w:r>
    </w:p>
    <w:p w14:paraId="4EEBA91D" w14:textId="77777777" w:rsidR="00000000" w:rsidRDefault="00322B34">
      <w:pPr>
        <w:divId w:val="149201929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1C3A22A" w14:textId="77777777" w:rsidR="00000000" w:rsidRDefault="00322B34">
      <w:pPr>
        <w:pStyle w:val="a3"/>
        <w:spacing w:before="0" w:beforeAutospacing="0" w:after="0" w:afterAutospacing="0"/>
        <w:rPr>
          <w:sz w:val="20"/>
          <w:szCs w:val="20"/>
        </w:rPr>
      </w:pPr>
      <w:r>
        <w:rPr>
          <w:sz w:val="20"/>
          <w:szCs w:val="20"/>
        </w:rPr>
        <w:t> </w:t>
      </w:r>
    </w:p>
    <w:p w14:paraId="0930FCED" w14:textId="77777777" w:rsidR="00000000" w:rsidRDefault="00322B34">
      <w:pPr>
        <w:divId w:val="216477441"/>
        <w:rPr>
          <w:rFonts w:eastAsia="Times New Roman"/>
          <w:sz w:val="20"/>
          <w:szCs w:val="20"/>
        </w:rPr>
      </w:pPr>
      <w:r>
        <w:rPr>
          <w:rFonts w:eastAsia="Times New Roman"/>
          <w:sz w:val="20"/>
          <w:szCs w:val="20"/>
        </w:rPr>
        <w:t xml:space="preserve">  </w:t>
      </w:r>
    </w:p>
    <w:p w14:paraId="3763D781" w14:textId="77777777" w:rsidR="00000000" w:rsidRDefault="00322B34">
      <w:pPr>
        <w:pStyle w:val="a3"/>
        <w:spacing w:before="0" w:beforeAutospacing="0" w:after="0" w:afterAutospacing="0"/>
        <w:jc w:val="center"/>
        <w:rPr>
          <w:sz w:val="20"/>
          <w:szCs w:val="20"/>
        </w:rPr>
      </w:pPr>
      <w:r>
        <w:rPr>
          <w:sz w:val="20"/>
          <w:szCs w:val="20"/>
        </w:rPr>
        <w:t>KIMCO REALTY CORPORATION AND SUBS</w:t>
      </w:r>
      <w:r>
        <w:rPr>
          <w:sz w:val="20"/>
          <w:szCs w:val="20"/>
        </w:rPr>
        <w:t>IDIARIES</w:t>
      </w:r>
    </w:p>
    <w:p w14:paraId="0C4F4DAD" w14:textId="77777777" w:rsidR="00000000" w:rsidRDefault="00322B34">
      <w:pPr>
        <w:pStyle w:val="a3"/>
        <w:spacing w:before="0" w:beforeAutospacing="0" w:after="0" w:afterAutospacing="0"/>
        <w:jc w:val="center"/>
        <w:rPr>
          <w:sz w:val="20"/>
          <w:szCs w:val="20"/>
        </w:rPr>
      </w:pPr>
      <w:r>
        <w:rPr>
          <w:sz w:val="20"/>
          <w:szCs w:val="20"/>
        </w:rPr>
        <w:t>CONDENSED CONSOLIDATED STATEMENTS OF CASH FLOWS</w:t>
      </w:r>
    </w:p>
    <w:p w14:paraId="5963A935" w14:textId="77777777" w:rsidR="00000000" w:rsidRDefault="00322B34">
      <w:pPr>
        <w:pStyle w:val="a3"/>
        <w:spacing w:before="0" w:beforeAutospacing="0" w:after="0" w:afterAutospacing="0"/>
        <w:jc w:val="center"/>
        <w:rPr>
          <w:sz w:val="20"/>
          <w:szCs w:val="20"/>
        </w:rPr>
      </w:pPr>
      <w:r>
        <w:rPr>
          <w:sz w:val="20"/>
          <w:szCs w:val="20"/>
        </w:rPr>
        <w:t>(Unaudited)</w:t>
      </w:r>
    </w:p>
    <w:p w14:paraId="5F5F3B68" w14:textId="77777777" w:rsidR="00000000" w:rsidRDefault="00322B34">
      <w:pPr>
        <w:pStyle w:val="a3"/>
        <w:spacing w:before="0" w:beforeAutospacing="0" w:after="0" w:afterAutospacing="0"/>
        <w:jc w:val="center"/>
        <w:rPr>
          <w:sz w:val="20"/>
          <w:szCs w:val="20"/>
        </w:rPr>
      </w:pPr>
      <w:r>
        <w:rPr>
          <w:sz w:val="20"/>
          <w:szCs w:val="20"/>
        </w:rPr>
        <w:t>(in thousands)</w:t>
      </w:r>
    </w:p>
    <w:p w14:paraId="6376E6DC" w14:textId="77777777" w:rsidR="00000000" w:rsidRDefault="00322B3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778"/>
        <w:gridCol w:w="230"/>
        <w:gridCol w:w="100"/>
        <w:gridCol w:w="962"/>
        <w:gridCol w:w="67"/>
        <w:gridCol w:w="50"/>
        <w:gridCol w:w="100"/>
        <w:gridCol w:w="952"/>
        <w:gridCol w:w="67"/>
      </w:tblGrid>
      <w:tr w:rsidR="00000000" w14:paraId="08E791EB" w14:textId="77777777">
        <w:trPr>
          <w:divId w:val="1869636019"/>
          <w:tblCellSpacing w:w="0" w:type="dxa"/>
        </w:trPr>
        <w:tc>
          <w:tcPr>
            <w:tcW w:w="0" w:type="auto"/>
            <w:vAlign w:val="bottom"/>
            <w:hideMark/>
          </w:tcPr>
          <w:p w14:paraId="63837D35"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6673AB0" w14:textId="77777777" w:rsidR="00000000" w:rsidRDefault="00322B34">
            <w:pPr>
              <w:rPr>
                <w:rFonts w:eastAsia="Times New Roman"/>
                <w:sz w:val="20"/>
                <w:szCs w:val="20"/>
              </w:rPr>
            </w:pPr>
            <w:r>
              <w:rPr>
                <w:rFonts w:eastAsia="Times New Roman"/>
                <w:sz w:val="20"/>
                <w:szCs w:val="20"/>
              </w:rPr>
              <w:t> </w:t>
            </w:r>
          </w:p>
        </w:tc>
        <w:tc>
          <w:tcPr>
            <w:tcW w:w="0" w:type="auto"/>
            <w:gridSpan w:val="6"/>
            <w:vAlign w:val="bottom"/>
            <w:hideMark/>
          </w:tcPr>
          <w:p w14:paraId="01434304" w14:textId="77777777" w:rsidR="00000000" w:rsidRDefault="00322B34">
            <w:pPr>
              <w:pStyle w:val="a3"/>
              <w:spacing w:before="0" w:beforeAutospacing="0" w:after="0" w:afterAutospacing="0"/>
              <w:jc w:val="center"/>
              <w:rPr>
                <w:sz w:val="20"/>
                <w:szCs w:val="20"/>
              </w:rPr>
            </w:pPr>
            <w:r>
              <w:rPr>
                <w:b/>
                <w:bCs/>
                <w:sz w:val="20"/>
                <w:szCs w:val="20"/>
              </w:rPr>
              <w:t xml:space="preserve">Six Months Ended June 30, </w:t>
            </w:r>
          </w:p>
        </w:tc>
        <w:tc>
          <w:tcPr>
            <w:tcW w:w="0" w:type="auto"/>
            <w:vAlign w:val="bottom"/>
            <w:hideMark/>
          </w:tcPr>
          <w:p w14:paraId="0C6E9219" w14:textId="77777777" w:rsidR="00000000" w:rsidRDefault="00322B34">
            <w:pPr>
              <w:rPr>
                <w:rFonts w:eastAsia="Times New Roman"/>
                <w:sz w:val="20"/>
                <w:szCs w:val="20"/>
              </w:rPr>
            </w:pPr>
            <w:r>
              <w:rPr>
                <w:rFonts w:eastAsia="Times New Roman"/>
                <w:sz w:val="20"/>
                <w:szCs w:val="20"/>
              </w:rPr>
              <w:t> </w:t>
            </w:r>
          </w:p>
        </w:tc>
      </w:tr>
      <w:tr w:rsidR="00000000" w14:paraId="349184EE" w14:textId="77777777">
        <w:trPr>
          <w:divId w:val="1869636019"/>
          <w:tblCellSpacing w:w="0" w:type="dxa"/>
        </w:trPr>
        <w:tc>
          <w:tcPr>
            <w:tcW w:w="0" w:type="auto"/>
            <w:vAlign w:val="bottom"/>
            <w:hideMark/>
          </w:tcPr>
          <w:p w14:paraId="36D59244"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A590B24"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50D2A5D"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651EF3CC"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F7BB3EB"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7B24444"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0CF1D553" w14:textId="77777777" w:rsidR="00000000" w:rsidRDefault="00322B34">
            <w:pPr>
              <w:rPr>
                <w:rFonts w:eastAsia="Times New Roman"/>
                <w:sz w:val="20"/>
                <w:szCs w:val="20"/>
              </w:rPr>
            </w:pPr>
            <w:r>
              <w:rPr>
                <w:rFonts w:eastAsia="Times New Roman"/>
                <w:sz w:val="20"/>
                <w:szCs w:val="20"/>
              </w:rPr>
              <w:t> </w:t>
            </w:r>
          </w:p>
        </w:tc>
      </w:tr>
      <w:tr w:rsidR="00000000" w14:paraId="49032ACD" w14:textId="77777777">
        <w:trPr>
          <w:divId w:val="1869636019"/>
          <w:tblCellSpacing w:w="0" w:type="dxa"/>
        </w:trPr>
        <w:tc>
          <w:tcPr>
            <w:tcW w:w="0" w:type="auto"/>
            <w:vAlign w:val="bottom"/>
            <w:hideMark/>
          </w:tcPr>
          <w:p w14:paraId="4DA565A4"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D3933D8"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686DB8D"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EA1BA9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D8105C2"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9C6AC75"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5D2DB32"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52FED1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AA6B88F" w14:textId="77777777" w:rsidR="00000000" w:rsidRDefault="00322B34">
            <w:pPr>
              <w:rPr>
                <w:rFonts w:eastAsia="Times New Roman"/>
                <w:sz w:val="20"/>
                <w:szCs w:val="20"/>
              </w:rPr>
            </w:pPr>
            <w:r>
              <w:rPr>
                <w:rFonts w:eastAsia="Times New Roman"/>
                <w:sz w:val="20"/>
                <w:szCs w:val="20"/>
              </w:rPr>
              <w:t> </w:t>
            </w:r>
          </w:p>
        </w:tc>
      </w:tr>
      <w:tr w:rsidR="00000000" w14:paraId="0998EEC0" w14:textId="77777777">
        <w:trPr>
          <w:divId w:val="1869636019"/>
          <w:tblCellSpacing w:w="0" w:type="dxa"/>
        </w:trPr>
        <w:tc>
          <w:tcPr>
            <w:tcW w:w="3500" w:type="pct"/>
            <w:shd w:val="clear" w:color="auto" w:fill="CCEEFF"/>
            <w:vAlign w:val="bottom"/>
            <w:hideMark/>
          </w:tcPr>
          <w:p w14:paraId="198DE70C" w14:textId="77777777" w:rsidR="00000000" w:rsidRDefault="00322B34">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14:paraId="73E5726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62B85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4733E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A0062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18039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4DBAE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06FE1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4F771A" w14:textId="77777777" w:rsidR="00000000" w:rsidRDefault="00322B34">
            <w:pPr>
              <w:rPr>
                <w:rFonts w:eastAsia="Times New Roman"/>
                <w:sz w:val="20"/>
                <w:szCs w:val="20"/>
              </w:rPr>
            </w:pPr>
            <w:r>
              <w:rPr>
                <w:rFonts w:eastAsia="Times New Roman"/>
                <w:sz w:val="20"/>
                <w:szCs w:val="20"/>
              </w:rPr>
              <w:t> </w:t>
            </w:r>
          </w:p>
        </w:tc>
      </w:tr>
      <w:tr w:rsidR="00000000" w14:paraId="2AE22F37" w14:textId="77777777">
        <w:trPr>
          <w:divId w:val="1869636019"/>
          <w:tblCellSpacing w:w="0" w:type="dxa"/>
        </w:trPr>
        <w:tc>
          <w:tcPr>
            <w:tcW w:w="0" w:type="auto"/>
            <w:shd w:val="clear" w:color="auto" w:fill="FFFFFF"/>
            <w:vAlign w:val="bottom"/>
            <w:hideMark/>
          </w:tcPr>
          <w:p w14:paraId="4B0BFF1C" w14:textId="77777777" w:rsidR="00000000" w:rsidRDefault="00322B34">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14:paraId="2646BA5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66E43D" w14:textId="77777777" w:rsidR="00000000" w:rsidRDefault="00322B34">
            <w:pPr>
              <w:rPr>
                <w:rFonts w:eastAsia="Times New Roman"/>
                <w:sz w:val="20"/>
                <w:szCs w:val="20"/>
              </w:rPr>
            </w:pPr>
            <w:r>
              <w:rPr>
                <w:rFonts w:eastAsia="Times New Roman"/>
                <w:sz w:val="20"/>
                <w:szCs w:val="20"/>
              </w:rPr>
              <w:t>$</w:t>
            </w:r>
          </w:p>
        </w:tc>
        <w:tc>
          <w:tcPr>
            <w:tcW w:w="600" w:type="pct"/>
            <w:shd w:val="clear" w:color="auto" w:fill="FFFFFF"/>
            <w:vAlign w:val="bottom"/>
            <w:hideMark/>
          </w:tcPr>
          <w:p w14:paraId="404EA2B8" w14:textId="77777777" w:rsidR="00000000" w:rsidRDefault="00322B34">
            <w:pPr>
              <w:jc w:val="right"/>
              <w:rPr>
                <w:rFonts w:eastAsia="Times New Roman"/>
                <w:sz w:val="20"/>
                <w:szCs w:val="20"/>
              </w:rPr>
            </w:pPr>
            <w:r>
              <w:rPr>
                <w:rFonts w:eastAsia="Times New Roman"/>
                <w:sz w:val="20"/>
                <w:szCs w:val="20"/>
              </w:rPr>
              <w:t>838,507</w:t>
            </w:r>
          </w:p>
        </w:tc>
        <w:tc>
          <w:tcPr>
            <w:tcW w:w="50" w:type="pct"/>
            <w:shd w:val="clear" w:color="auto" w:fill="FFFFFF"/>
            <w:vAlign w:val="bottom"/>
            <w:hideMark/>
          </w:tcPr>
          <w:p w14:paraId="23C54D4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3284D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201DF4" w14:textId="77777777" w:rsidR="00000000" w:rsidRDefault="00322B34">
            <w:pPr>
              <w:rPr>
                <w:rFonts w:eastAsia="Times New Roman"/>
                <w:sz w:val="20"/>
                <w:szCs w:val="20"/>
              </w:rPr>
            </w:pPr>
            <w:r>
              <w:rPr>
                <w:rFonts w:eastAsia="Times New Roman"/>
                <w:sz w:val="20"/>
                <w:szCs w:val="20"/>
              </w:rPr>
              <w:t>$</w:t>
            </w:r>
          </w:p>
        </w:tc>
        <w:tc>
          <w:tcPr>
            <w:tcW w:w="600" w:type="pct"/>
            <w:shd w:val="clear" w:color="auto" w:fill="FFFFFF"/>
            <w:vAlign w:val="bottom"/>
            <w:hideMark/>
          </w:tcPr>
          <w:p w14:paraId="7F29E34B" w14:textId="77777777" w:rsidR="00000000" w:rsidRDefault="00322B34">
            <w:pPr>
              <w:jc w:val="right"/>
              <w:rPr>
                <w:rFonts w:eastAsia="Times New Roman"/>
                <w:sz w:val="20"/>
                <w:szCs w:val="20"/>
              </w:rPr>
            </w:pPr>
            <w:r>
              <w:rPr>
                <w:rFonts w:eastAsia="Times New Roman"/>
                <w:sz w:val="20"/>
                <w:szCs w:val="20"/>
              </w:rPr>
              <w:t>218,065</w:t>
            </w:r>
          </w:p>
        </w:tc>
        <w:tc>
          <w:tcPr>
            <w:tcW w:w="50" w:type="pct"/>
            <w:shd w:val="clear" w:color="auto" w:fill="FFFFFF"/>
            <w:vAlign w:val="bottom"/>
            <w:hideMark/>
          </w:tcPr>
          <w:p w14:paraId="0501A34B" w14:textId="77777777" w:rsidR="00000000" w:rsidRDefault="00322B34">
            <w:pPr>
              <w:rPr>
                <w:rFonts w:eastAsia="Times New Roman"/>
                <w:sz w:val="20"/>
                <w:szCs w:val="20"/>
              </w:rPr>
            </w:pPr>
            <w:r>
              <w:rPr>
                <w:rFonts w:eastAsia="Times New Roman"/>
                <w:sz w:val="20"/>
                <w:szCs w:val="20"/>
              </w:rPr>
              <w:t> </w:t>
            </w:r>
          </w:p>
        </w:tc>
      </w:tr>
      <w:tr w:rsidR="00000000" w14:paraId="4403D546" w14:textId="77777777">
        <w:trPr>
          <w:divId w:val="1869636019"/>
          <w:tblCellSpacing w:w="0" w:type="dxa"/>
        </w:trPr>
        <w:tc>
          <w:tcPr>
            <w:tcW w:w="0" w:type="auto"/>
            <w:shd w:val="clear" w:color="auto" w:fill="CCEEFF"/>
            <w:vAlign w:val="bottom"/>
            <w:hideMark/>
          </w:tcPr>
          <w:p w14:paraId="423A28F2" w14:textId="77777777" w:rsidR="00000000" w:rsidRDefault="00322B34">
            <w:pPr>
              <w:pStyle w:val="a3"/>
              <w:spacing w:before="0" w:beforeAutospacing="0" w:after="0" w:afterAutospacing="0"/>
              <w:ind w:left="180"/>
              <w:rPr>
                <w:sz w:val="20"/>
                <w:szCs w:val="20"/>
              </w:rPr>
            </w:pPr>
            <w:r>
              <w:rPr>
                <w:sz w:val="20"/>
                <w:szCs w:val="20"/>
              </w:rPr>
              <w:t>Adjustments to reconcile net income to net cash provided by operating activities:</w:t>
            </w:r>
          </w:p>
        </w:tc>
        <w:tc>
          <w:tcPr>
            <w:tcW w:w="0" w:type="auto"/>
            <w:shd w:val="clear" w:color="auto" w:fill="CCEEFF"/>
            <w:vAlign w:val="bottom"/>
            <w:hideMark/>
          </w:tcPr>
          <w:p w14:paraId="4C41AF3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EADE7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664CA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96B9E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6748C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5F12E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649B8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B071A0" w14:textId="77777777" w:rsidR="00000000" w:rsidRDefault="00322B34">
            <w:pPr>
              <w:rPr>
                <w:rFonts w:eastAsia="Times New Roman"/>
                <w:sz w:val="20"/>
                <w:szCs w:val="20"/>
              </w:rPr>
            </w:pPr>
            <w:r>
              <w:rPr>
                <w:rFonts w:eastAsia="Times New Roman"/>
                <w:sz w:val="20"/>
                <w:szCs w:val="20"/>
              </w:rPr>
              <w:t> </w:t>
            </w:r>
          </w:p>
        </w:tc>
      </w:tr>
      <w:tr w:rsidR="00000000" w14:paraId="3E6756CC" w14:textId="77777777">
        <w:trPr>
          <w:divId w:val="1869636019"/>
          <w:tblCellSpacing w:w="0" w:type="dxa"/>
        </w:trPr>
        <w:tc>
          <w:tcPr>
            <w:tcW w:w="0" w:type="auto"/>
            <w:shd w:val="clear" w:color="auto" w:fill="FFFFFF"/>
            <w:vAlign w:val="bottom"/>
            <w:hideMark/>
          </w:tcPr>
          <w:p w14:paraId="6219C993" w14:textId="77777777" w:rsidR="00000000" w:rsidRDefault="00322B34">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14:paraId="125702D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15B8CB"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F5F1BC9" w14:textId="77777777" w:rsidR="00000000" w:rsidRDefault="00322B34">
            <w:pPr>
              <w:jc w:val="right"/>
              <w:rPr>
                <w:rFonts w:eastAsia="Times New Roman"/>
                <w:sz w:val="20"/>
                <w:szCs w:val="20"/>
              </w:rPr>
            </w:pPr>
            <w:r>
              <w:rPr>
                <w:rFonts w:eastAsia="Times New Roman"/>
                <w:sz w:val="20"/>
                <w:szCs w:val="20"/>
              </w:rPr>
              <w:t>142,956</w:t>
            </w:r>
          </w:p>
        </w:tc>
        <w:tc>
          <w:tcPr>
            <w:tcW w:w="50" w:type="pct"/>
            <w:shd w:val="clear" w:color="auto" w:fill="FFFFFF"/>
            <w:vAlign w:val="bottom"/>
            <w:hideMark/>
          </w:tcPr>
          <w:p w14:paraId="2EB9D84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AA986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A63A67"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D1B7316" w14:textId="77777777" w:rsidR="00000000" w:rsidRDefault="00322B34">
            <w:pPr>
              <w:jc w:val="right"/>
              <w:rPr>
                <w:rFonts w:eastAsia="Times New Roman"/>
                <w:sz w:val="20"/>
                <w:szCs w:val="20"/>
              </w:rPr>
            </w:pPr>
            <w:r>
              <w:rPr>
                <w:rFonts w:eastAsia="Times New Roman"/>
                <w:sz w:val="20"/>
                <w:szCs w:val="20"/>
              </w:rPr>
              <w:t>140,566</w:t>
            </w:r>
          </w:p>
        </w:tc>
        <w:tc>
          <w:tcPr>
            <w:tcW w:w="50" w:type="pct"/>
            <w:shd w:val="clear" w:color="auto" w:fill="FFFFFF"/>
            <w:vAlign w:val="bottom"/>
            <w:hideMark/>
          </w:tcPr>
          <w:p w14:paraId="411ADB99" w14:textId="77777777" w:rsidR="00000000" w:rsidRDefault="00322B34">
            <w:pPr>
              <w:rPr>
                <w:rFonts w:eastAsia="Times New Roman"/>
                <w:sz w:val="20"/>
                <w:szCs w:val="20"/>
              </w:rPr>
            </w:pPr>
            <w:r>
              <w:rPr>
                <w:rFonts w:eastAsia="Times New Roman"/>
                <w:sz w:val="20"/>
                <w:szCs w:val="20"/>
              </w:rPr>
              <w:t> </w:t>
            </w:r>
          </w:p>
        </w:tc>
      </w:tr>
      <w:tr w:rsidR="00000000" w14:paraId="5ACFD588" w14:textId="77777777">
        <w:trPr>
          <w:divId w:val="1869636019"/>
          <w:tblCellSpacing w:w="0" w:type="dxa"/>
        </w:trPr>
        <w:tc>
          <w:tcPr>
            <w:tcW w:w="0" w:type="auto"/>
            <w:shd w:val="clear" w:color="auto" w:fill="CCEEFF"/>
            <w:vAlign w:val="bottom"/>
            <w:hideMark/>
          </w:tcPr>
          <w:p w14:paraId="1D799E43" w14:textId="77777777" w:rsidR="00000000" w:rsidRDefault="00322B34">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14:paraId="5DB9351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37DCBA"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B1B85B6" w14:textId="77777777" w:rsidR="00000000" w:rsidRDefault="00322B34">
            <w:pPr>
              <w:jc w:val="right"/>
              <w:rPr>
                <w:rFonts w:eastAsia="Times New Roman"/>
                <w:sz w:val="20"/>
                <w:szCs w:val="20"/>
              </w:rPr>
            </w:pPr>
            <w:r>
              <w:rPr>
                <w:rFonts w:eastAsia="Times New Roman"/>
                <w:sz w:val="20"/>
                <w:szCs w:val="20"/>
              </w:rPr>
              <w:t>3,112</w:t>
            </w:r>
          </w:p>
        </w:tc>
        <w:tc>
          <w:tcPr>
            <w:tcW w:w="50" w:type="pct"/>
            <w:shd w:val="clear" w:color="auto" w:fill="CCEEFF"/>
            <w:vAlign w:val="bottom"/>
            <w:hideMark/>
          </w:tcPr>
          <w:p w14:paraId="19E5958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A5F9A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66D8C0"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5962539" w14:textId="77777777" w:rsidR="00000000" w:rsidRDefault="00322B34">
            <w:pPr>
              <w:jc w:val="right"/>
              <w:rPr>
                <w:rFonts w:eastAsia="Times New Roman"/>
                <w:sz w:val="20"/>
                <w:szCs w:val="20"/>
              </w:rPr>
            </w:pPr>
            <w:r>
              <w:rPr>
                <w:rFonts w:eastAsia="Times New Roman"/>
                <w:sz w:val="20"/>
                <w:szCs w:val="20"/>
              </w:rPr>
              <w:t>21,626</w:t>
            </w:r>
          </w:p>
        </w:tc>
        <w:tc>
          <w:tcPr>
            <w:tcW w:w="50" w:type="pct"/>
            <w:shd w:val="clear" w:color="auto" w:fill="CCEEFF"/>
            <w:vAlign w:val="bottom"/>
            <w:hideMark/>
          </w:tcPr>
          <w:p w14:paraId="4C1EF5FD" w14:textId="77777777" w:rsidR="00000000" w:rsidRDefault="00322B34">
            <w:pPr>
              <w:rPr>
                <w:rFonts w:eastAsia="Times New Roman"/>
                <w:sz w:val="20"/>
                <w:szCs w:val="20"/>
              </w:rPr>
            </w:pPr>
            <w:r>
              <w:rPr>
                <w:rFonts w:eastAsia="Times New Roman"/>
                <w:sz w:val="20"/>
                <w:szCs w:val="20"/>
              </w:rPr>
              <w:t> </w:t>
            </w:r>
          </w:p>
        </w:tc>
      </w:tr>
      <w:tr w:rsidR="00000000" w14:paraId="7D9ACBE2" w14:textId="77777777">
        <w:trPr>
          <w:divId w:val="1869636019"/>
          <w:tblCellSpacing w:w="0" w:type="dxa"/>
        </w:trPr>
        <w:tc>
          <w:tcPr>
            <w:tcW w:w="0" w:type="auto"/>
            <w:shd w:val="clear" w:color="auto" w:fill="FFFFFF"/>
            <w:vAlign w:val="bottom"/>
            <w:hideMark/>
          </w:tcPr>
          <w:p w14:paraId="723FAE73" w14:textId="77777777" w:rsidR="00000000" w:rsidRDefault="00322B34">
            <w:pPr>
              <w:pStyle w:val="a3"/>
              <w:spacing w:before="0" w:beforeAutospacing="0" w:after="0" w:afterAutospacing="0"/>
              <w:ind w:left="360"/>
              <w:rPr>
                <w:sz w:val="20"/>
                <w:szCs w:val="20"/>
              </w:rPr>
            </w:pPr>
            <w:r>
              <w:rPr>
                <w:sz w:val="20"/>
                <w:szCs w:val="20"/>
              </w:rPr>
              <w:t>Equity award expense</w:t>
            </w:r>
          </w:p>
        </w:tc>
        <w:tc>
          <w:tcPr>
            <w:tcW w:w="50" w:type="pct"/>
            <w:shd w:val="clear" w:color="auto" w:fill="FFFFFF"/>
            <w:vAlign w:val="bottom"/>
            <w:hideMark/>
          </w:tcPr>
          <w:p w14:paraId="10146F2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F840D7"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0DC81FA" w14:textId="77777777" w:rsidR="00000000" w:rsidRDefault="00322B34">
            <w:pPr>
              <w:jc w:val="right"/>
              <w:rPr>
                <w:rFonts w:eastAsia="Times New Roman"/>
                <w:sz w:val="20"/>
                <w:szCs w:val="20"/>
              </w:rPr>
            </w:pPr>
            <w:r>
              <w:rPr>
                <w:rFonts w:eastAsia="Times New Roman"/>
                <w:sz w:val="20"/>
                <w:szCs w:val="20"/>
              </w:rPr>
              <w:t>11,482</w:t>
            </w:r>
          </w:p>
        </w:tc>
        <w:tc>
          <w:tcPr>
            <w:tcW w:w="50" w:type="pct"/>
            <w:shd w:val="clear" w:color="auto" w:fill="FFFFFF"/>
            <w:vAlign w:val="bottom"/>
            <w:hideMark/>
          </w:tcPr>
          <w:p w14:paraId="46730FB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2DB1C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0AB74D"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926D6CC" w14:textId="77777777" w:rsidR="00000000" w:rsidRDefault="00322B34">
            <w:pPr>
              <w:jc w:val="right"/>
              <w:rPr>
                <w:rFonts w:eastAsia="Times New Roman"/>
                <w:sz w:val="20"/>
                <w:szCs w:val="20"/>
              </w:rPr>
            </w:pPr>
            <w:r>
              <w:rPr>
                <w:rFonts w:eastAsia="Times New Roman"/>
                <w:sz w:val="20"/>
                <w:szCs w:val="20"/>
              </w:rPr>
              <w:t>10,284</w:t>
            </w:r>
          </w:p>
        </w:tc>
        <w:tc>
          <w:tcPr>
            <w:tcW w:w="50" w:type="pct"/>
            <w:shd w:val="clear" w:color="auto" w:fill="FFFFFF"/>
            <w:vAlign w:val="bottom"/>
            <w:hideMark/>
          </w:tcPr>
          <w:p w14:paraId="020B1114" w14:textId="77777777" w:rsidR="00000000" w:rsidRDefault="00322B34">
            <w:pPr>
              <w:rPr>
                <w:rFonts w:eastAsia="Times New Roman"/>
                <w:sz w:val="20"/>
                <w:szCs w:val="20"/>
              </w:rPr>
            </w:pPr>
            <w:r>
              <w:rPr>
                <w:rFonts w:eastAsia="Times New Roman"/>
                <w:sz w:val="20"/>
                <w:szCs w:val="20"/>
              </w:rPr>
              <w:t> </w:t>
            </w:r>
          </w:p>
        </w:tc>
      </w:tr>
      <w:tr w:rsidR="00000000" w14:paraId="0E27AEDB" w14:textId="77777777">
        <w:trPr>
          <w:divId w:val="1869636019"/>
          <w:tblCellSpacing w:w="0" w:type="dxa"/>
        </w:trPr>
        <w:tc>
          <w:tcPr>
            <w:tcW w:w="0" w:type="auto"/>
            <w:shd w:val="clear" w:color="auto" w:fill="CCEEFF"/>
            <w:vAlign w:val="bottom"/>
            <w:hideMark/>
          </w:tcPr>
          <w:p w14:paraId="368C8FF8" w14:textId="77777777" w:rsidR="00000000" w:rsidRDefault="00322B34">
            <w:pPr>
              <w:pStyle w:val="a3"/>
              <w:spacing w:before="0" w:beforeAutospacing="0" w:after="0" w:afterAutospacing="0"/>
              <w:ind w:left="360"/>
              <w:rPr>
                <w:sz w:val="20"/>
                <w:szCs w:val="20"/>
              </w:rPr>
            </w:pPr>
            <w:r>
              <w:rPr>
                <w:sz w:val="20"/>
                <w:szCs w:val="20"/>
              </w:rPr>
              <w:t>Gain on sale of properties</w:t>
            </w:r>
          </w:p>
        </w:tc>
        <w:tc>
          <w:tcPr>
            <w:tcW w:w="50" w:type="pct"/>
            <w:shd w:val="clear" w:color="auto" w:fill="CCEEFF"/>
            <w:vAlign w:val="bottom"/>
            <w:hideMark/>
          </w:tcPr>
          <w:p w14:paraId="497BF90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0D7CE0"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47C7678" w14:textId="77777777" w:rsidR="00000000" w:rsidRDefault="00322B34">
            <w:pPr>
              <w:jc w:val="right"/>
              <w:rPr>
                <w:rFonts w:eastAsia="Times New Roman"/>
                <w:sz w:val="20"/>
                <w:szCs w:val="20"/>
              </w:rPr>
            </w:pPr>
            <w:r>
              <w:rPr>
                <w:rFonts w:eastAsia="Times New Roman"/>
                <w:sz w:val="20"/>
                <w:szCs w:val="20"/>
              </w:rPr>
              <w:t>(5,697</w:t>
            </w:r>
          </w:p>
        </w:tc>
        <w:tc>
          <w:tcPr>
            <w:tcW w:w="50" w:type="pct"/>
            <w:shd w:val="clear" w:color="auto" w:fill="CCEEFF"/>
            <w:vAlign w:val="bottom"/>
            <w:hideMark/>
          </w:tcPr>
          <w:p w14:paraId="35D98BF2"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75DA9F2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1865A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6005A0F" w14:textId="77777777" w:rsidR="00000000" w:rsidRDefault="00322B34">
            <w:pPr>
              <w:jc w:val="right"/>
              <w:rPr>
                <w:rFonts w:eastAsia="Times New Roman"/>
                <w:sz w:val="20"/>
                <w:szCs w:val="20"/>
              </w:rPr>
            </w:pPr>
            <w:r>
              <w:rPr>
                <w:rFonts w:eastAsia="Times New Roman"/>
                <w:sz w:val="20"/>
                <w:szCs w:val="20"/>
              </w:rPr>
              <w:t>(38,357</w:t>
            </w:r>
          </w:p>
        </w:tc>
        <w:tc>
          <w:tcPr>
            <w:tcW w:w="50" w:type="pct"/>
            <w:shd w:val="clear" w:color="auto" w:fill="CCEEFF"/>
            <w:vAlign w:val="bottom"/>
            <w:hideMark/>
          </w:tcPr>
          <w:p w14:paraId="168BD99A" w14:textId="77777777" w:rsidR="00000000" w:rsidRDefault="00322B34">
            <w:pPr>
              <w:rPr>
                <w:rFonts w:eastAsia="Times New Roman"/>
                <w:sz w:val="20"/>
                <w:szCs w:val="20"/>
              </w:rPr>
            </w:pPr>
            <w:r>
              <w:rPr>
                <w:rFonts w:eastAsia="Times New Roman"/>
                <w:sz w:val="20"/>
                <w:szCs w:val="20"/>
              </w:rPr>
              <w:t>)</w:t>
            </w:r>
          </w:p>
        </w:tc>
      </w:tr>
      <w:tr w:rsidR="00000000" w14:paraId="79FDFEF3" w14:textId="77777777">
        <w:trPr>
          <w:divId w:val="1869636019"/>
          <w:tblCellSpacing w:w="0" w:type="dxa"/>
        </w:trPr>
        <w:tc>
          <w:tcPr>
            <w:tcW w:w="0" w:type="auto"/>
            <w:shd w:val="clear" w:color="auto" w:fill="FFFFFF"/>
            <w:vAlign w:val="bottom"/>
            <w:hideMark/>
          </w:tcPr>
          <w:p w14:paraId="236BCD18" w14:textId="77777777" w:rsidR="00000000" w:rsidRDefault="00322B34">
            <w:pPr>
              <w:pStyle w:val="a3"/>
              <w:spacing w:before="0" w:beforeAutospacing="0" w:after="0" w:afterAutospacing="0"/>
              <w:ind w:left="360"/>
              <w:rPr>
                <w:sz w:val="20"/>
                <w:szCs w:val="20"/>
              </w:rPr>
            </w:pPr>
            <w:r>
              <w:rPr>
                <w:sz w:val="20"/>
                <w:szCs w:val="20"/>
              </w:rPr>
              <w:t>Gain on marketable securities, net</w:t>
            </w:r>
          </w:p>
        </w:tc>
        <w:tc>
          <w:tcPr>
            <w:tcW w:w="50" w:type="pct"/>
            <w:shd w:val="clear" w:color="auto" w:fill="FFFFFF"/>
            <w:vAlign w:val="bottom"/>
            <w:hideMark/>
          </w:tcPr>
          <w:p w14:paraId="79A7DAC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80BB97"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0A96BCA" w14:textId="77777777" w:rsidR="00000000" w:rsidRDefault="00322B34">
            <w:pPr>
              <w:jc w:val="right"/>
              <w:rPr>
                <w:rFonts w:eastAsia="Times New Roman"/>
                <w:sz w:val="20"/>
                <w:szCs w:val="20"/>
              </w:rPr>
            </w:pPr>
            <w:r>
              <w:rPr>
                <w:rFonts w:eastAsia="Times New Roman"/>
                <w:sz w:val="20"/>
                <w:szCs w:val="20"/>
              </w:rPr>
              <w:t>(521,577</w:t>
            </w:r>
          </w:p>
        </w:tc>
        <w:tc>
          <w:tcPr>
            <w:tcW w:w="50" w:type="pct"/>
            <w:shd w:val="clear" w:color="auto" w:fill="FFFFFF"/>
            <w:vAlign w:val="bottom"/>
            <w:hideMark/>
          </w:tcPr>
          <w:p w14:paraId="5E991FB7"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3362889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1E21C1"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D01C55A" w14:textId="77777777" w:rsidR="00000000" w:rsidRDefault="00322B34">
            <w:pPr>
              <w:jc w:val="right"/>
              <w:rPr>
                <w:rFonts w:eastAsia="Times New Roman"/>
                <w:sz w:val="20"/>
                <w:szCs w:val="20"/>
              </w:rPr>
            </w:pPr>
            <w:r>
              <w:rPr>
                <w:rFonts w:eastAsia="Times New Roman"/>
                <w:sz w:val="20"/>
                <w:szCs w:val="20"/>
              </w:rPr>
              <w:t>(1,574</w:t>
            </w:r>
          </w:p>
        </w:tc>
        <w:tc>
          <w:tcPr>
            <w:tcW w:w="50" w:type="pct"/>
            <w:shd w:val="clear" w:color="auto" w:fill="FFFFFF"/>
            <w:vAlign w:val="bottom"/>
            <w:hideMark/>
          </w:tcPr>
          <w:p w14:paraId="37FCD82D" w14:textId="77777777" w:rsidR="00000000" w:rsidRDefault="00322B34">
            <w:pPr>
              <w:rPr>
                <w:rFonts w:eastAsia="Times New Roman"/>
                <w:sz w:val="20"/>
                <w:szCs w:val="20"/>
              </w:rPr>
            </w:pPr>
            <w:r>
              <w:rPr>
                <w:rFonts w:eastAsia="Times New Roman"/>
                <w:sz w:val="20"/>
                <w:szCs w:val="20"/>
              </w:rPr>
              <w:t>)</w:t>
            </w:r>
          </w:p>
        </w:tc>
      </w:tr>
      <w:tr w:rsidR="00000000" w14:paraId="4393871D" w14:textId="77777777">
        <w:trPr>
          <w:divId w:val="1869636019"/>
          <w:tblCellSpacing w:w="0" w:type="dxa"/>
        </w:trPr>
        <w:tc>
          <w:tcPr>
            <w:tcW w:w="0" w:type="auto"/>
            <w:shd w:val="clear" w:color="auto" w:fill="CCEEFF"/>
            <w:vAlign w:val="bottom"/>
            <w:hideMark/>
          </w:tcPr>
          <w:p w14:paraId="202AB0DB" w14:textId="77777777" w:rsidR="00000000" w:rsidRDefault="00322B34">
            <w:pPr>
              <w:pStyle w:val="a3"/>
              <w:spacing w:before="0" w:beforeAutospacing="0" w:after="0" w:afterAutospacing="0"/>
              <w:ind w:left="360"/>
              <w:rPr>
                <w:sz w:val="20"/>
                <w:szCs w:val="20"/>
              </w:rPr>
            </w:pPr>
            <w:r>
              <w:rPr>
                <w:sz w:val="20"/>
                <w:szCs w:val="20"/>
              </w:rPr>
              <w:t>Gain on sale of cost method investment</w:t>
            </w:r>
          </w:p>
        </w:tc>
        <w:tc>
          <w:tcPr>
            <w:tcW w:w="50" w:type="pct"/>
            <w:shd w:val="clear" w:color="auto" w:fill="CCEEFF"/>
            <w:vAlign w:val="bottom"/>
            <w:hideMark/>
          </w:tcPr>
          <w:p w14:paraId="20CF8FB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C8FDE6"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AC15705" w14:textId="77777777" w:rsidR="00000000" w:rsidRDefault="00322B34">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063414F7"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1714F96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B0F508"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1B4FD1D"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75F06C4" w14:textId="77777777" w:rsidR="00000000" w:rsidRDefault="00322B34">
            <w:pPr>
              <w:rPr>
                <w:rFonts w:eastAsia="Times New Roman"/>
                <w:sz w:val="20"/>
                <w:szCs w:val="20"/>
              </w:rPr>
            </w:pPr>
            <w:r>
              <w:rPr>
                <w:rFonts w:eastAsia="Times New Roman"/>
                <w:sz w:val="20"/>
                <w:szCs w:val="20"/>
              </w:rPr>
              <w:t> </w:t>
            </w:r>
          </w:p>
        </w:tc>
      </w:tr>
      <w:tr w:rsidR="00000000" w14:paraId="1448CDFB" w14:textId="77777777">
        <w:trPr>
          <w:divId w:val="1869636019"/>
          <w:tblCellSpacing w:w="0" w:type="dxa"/>
        </w:trPr>
        <w:tc>
          <w:tcPr>
            <w:tcW w:w="0" w:type="auto"/>
            <w:shd w:val="clear" w:color="auto" w:fill="FFFFFF"/>
            <w:vAlign w:val="bottom"/>
            <w:hideMark/>
          </w:tcPr>
          <w:p w14:paraId="0DB32B52" w14:textId="77777777" w:rsidR="00000000" w:rsidRDefault="00322B34">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FFFFFF"/>
            <w:vAlign w:val="bottom"/>
            <w:hideMark/>
          </w:tcPr>
          <w:p w14:paraId="2D919CB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35ED9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DE8ED9C" w14:textId="77777777" w:rsidR="00000000" w:rsidRDefault="00322B34">
            <w:pPr>
              <w:jc w:val="right"/>
              <w:rPr>
                <w:rFonts w:eastAsia="Times New Roman"/>
                <w:sz w:val="20"/>
                <w:szCs w:val="20"/>
              </w:rPr>
            </w:pPr>
            <w:r>
              <w:rPr>
                <w:rFonts w:eastAsia="Times New Roman"/>
                <w:sz w:val="20"/>
                <w:szCs w:val="20"/>
              </w:rPr>
              <w:t>(23,806</w:t>
            </w:r>
          </w:p>
        </w:tc>
        <w:tc>
          <w:tcPr>
            <w:tcW w:w="50" w:type="pct"/>
            <w:shd w:val="clear" w:color="auto" w:fill="FFFFFF"/>
            <w:vAlign w:val="bottom"/>
            <w:hideMark/>
          </w:tcPr>
          <w:p w14:paraId="0BF04A26"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1C594A6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892166"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FD30BD0" w14:textId="77777777" w:rsidR="00000000" w:rsidRDefault="00322B34">
            <w:pPr>
              <w:jc w:val="right"/>
              <w:rPr>
                <w:rFonts w:eastAsia="Times New Roman"/>
                <w:sz w:val="20"/>
                <w:szCs w:val="20"/>
              </w:rPr>
            </w:pPr>
            <w:r>
              <w:rPr>
                <w:rFonts w:eastAsia="Times New Roman"/>
                <w:sz w:val="20"/>
                <w:szCs w:val="20"/>
              </w:rPr>
              <w:t>(41,287</w:t>
            </w:r>
          </w:p>
        </w:tc>
        <w:tc>
          <w:tcPr>
            <w:tcW w:w="50" w:type="pct"/>
            <w:shd w:val="clear" w:color="auto" w:fill="FFFFFF"/>
            <w:vAlign w:val="bottom"/>
            <w:hideMark/>
          </w:tcPr>
          <w:p w14:paraId="4E790886" w14:textId="77777777" w:rsidR="00000000" w:rsidRDefault="00322B34">
            <w:pPr>
              <w:rPr>
                <w:rFonts w:eastAsia="Times New Roman"/>
                <w:sz w:val="20"/>
                <w:szCs w:val="20"/>
              </w:rPr>
            </w:pPr>
            <w:r>
              <w:rPr>
                <w:rFonts w:eastAsia="Times New Roman"/>
                <w:sz w:val="20"/>
                <w:szCs w:val="20"/>
              </w:rPr>
              <w:t>)</w:t>
            </w:r>
          </w:p>
        </w:tc>
      </w:tr>
      <w:tr w:rsidR="00000000" w14:paraId="40D09DEE" w14:textId="77777777">
        <w:trPr>
          <w:divId w:val="1869636019"/>
          <w:tblCellSpacing w:w="0" w:type="dxa"/>
        </w:trPr>
        <w:tc>
          <w:tcPr>
            <w:tcW w:w="0" w:type="auto"/>
            <w:shd w:val="clear" w:color="auto" w:fill="CCEEFF"/>
            <w:vAlign w:val="bottom"/>
            <w:hideMark/>
          </w:tcPr>
          <w:p w14:paraId="4812CCBB" w14:textId="77777777" w:rsidR="00000000" w:rsidRDefault="00322B34">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CCEEFF"/>
            <w:vAlign w:val="bottom"/>
            <w:hideMark/>
          </w:tcPr>
          <w:p w14:paraId="144504C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D49D1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59B0C38" w14:textId="77777777" w:rsidR="00000000" w:rsidRDefault="00322B34">
            <w:pPr>
              <w:jc w:val="right"/>
              <w:rPr>
                <w:rFonts w:eastAsia="Times New Roman"/>
                <w:sz w:val="20"/>
                <w:szCs w:val="20"/>
              </w:rPr>
            </w:pPr>
            <w:r>
              <w:rPr>
                <w:rFonts w:eastAsia="Times New Roman"/>
                <w:sz w:val="20"/>
                <w:szCs w:val="20"/>
              </w:rPr>
              <w:t>(15,740</w:t>
            </w:r>
          </w:p>
        </w:tc>
        <w:tc>
          <w:tcPr>
            <w:tcW w:w="50" w:type="pct"/>
            <w:shd w:val="clear" w:color="auto" w:fill="CCEEFF"/>
            <w:vAlign w:val="bottom"/>
            <w:hideMark/>
          </w:tcPr>
          <w:p w14:paraId="78306ECC"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7517799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A1D02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ABB710F" w14:textId="77777777" w:rsidR="00000000" w:rsidRDefault="00322B34">
            <w:pPr>
              <w:jc w:val="right"/>
              <w:rPr>
                <w:rFonts w:eastAsia="Times New Roman"/>
                <w:sz w:val="20"/>
                <w:szCs w:val="20"/>
              </w:rPr>
            </w:pPr>
            <w:r>
              <w:rPr>
                <w:rFonts w:eastAsia="Times New Roman"/>
                <w:sz w:val="20"/>
                <w:szCs w:val="20"/>
              </w:rPr>
              <w:t>(19,493</w:t>
            </w:r>
          </w:p>
        </w:tc>
        <w:tc>
          <w:tcPr>
            <w:tcW w:w="50" w:type="pct"/>
            <w:shd w:val="clear" w:color="auto" w:fill="CCEEFF"/>
            <w:vAlign w:val="bottom"/>
            <w:hideMark/>
          </w:tcPr>
          <w:p w14:paraId="03ED4730" w14:textId="77777777" w:rsidR="00000000" w:rsidRDefault="00322B34">
            <w:pPr>
              <w:rPr>
                <w:rFonts w:eastAsia="Times New Roman"/>
                <w:sz w:val="20"/>
                <w:szCs w:val="20"/>
              </w:rPr>
            </w:pPr>
            <w:r>
              <w:rPr>
                <w:rFonts w:eastAsia="Times New Roman"/>
                <w:sz w:val="20"/>
                <w:szCs w:val="20"/>
              </w:rPr>
              <w:t>)</w:t>
            </w:r>
          </w:p>
        </w:tc>
      </w:tr>
      <w:tr w:rsidR="00000000" w14:paraId="74E5649E" w14:textId="77777777">
        <w:trPr>
          <w:divId w:val="1869636019"/>
          <w:tblCellSpacing w:w="0" w:type="dxa"/>
        </w:trPr>
        <w:tc>
          <w:tcPr>
            <w:tcW w:w="0" w:type="auto"/>
            <w:shd w:val="clear" w:color="auto" w:fill="FFFFFF"/>
            <w:vAlign w:val="bottom"/>
            <w:hideMark/>
          </w:tcPr>
          <w:p w14:paraId="1E4794B8" w14:textId="77777777" w:rsidR="00000000" w:rsidRDefault="00322B34">
            <w:pPr>
              <w:pStyle w:val="a3"/>
              <w:spacing w:before="0" w:beforeAutospacing="0" w:after="0" w:afterAutospacing="0"/>
              <w:ind w:left="360"/>
              <w:rPr>
                <w:sz w:val="20"/>
                <w:szCs w:val="20"/>
              </w:rPr>
            </w:pPr>
            <w:r>
              <w:rPr>
                <w:sz w:val="20"/>
                <w:szCs w:val="20"/>
              </w:rPr>
              <w:t>Distributions from joint ventures and other real estate investments</w:t>
            </w:r>
          </w:p>
        </w:tc>
        <w:tc>
          <w:tcPr>
            <w:tcW w:w="50" w:type="pct"/>
            <w:shd w:val="clear" w:color="auto" w:fill="FFFFFF"/>
            <w:vAlign w:val="bottom"/>
            <w:hideMark/>
          </w:tcPr>
          <w:p w14:paraId="3B2127D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024A83"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CF12A2E" w14:textId="77777777" w:rsidR="00000000" w:rsidRDefault="00322B34">
            <w:pPr>
              <w:jc w:val="right"/>
              <w:rPr>
                <w:rFonts w:eastAsia="Times New Roman"/>
                <w:sz w:val="20"/>
                <w:szCs w:val="20"/>
              </w:rPr>
            </w:pPr>
            <w:r>
              <w:rPr>
                <w:rFonts w:eastAsia="Times New Roman"/>
                <w:sz w:val="20"/>
                <w:szCs w:val="20"/>
              </w:rPr>
              <w:t>55,828</w:t>
            </w:r>
          </w:p>
        </w:tc>
        <w:tc>
          <w:tcPr>
            <w:tcW w:w="50" w:type="pct"/>
            <w:shd w:val="clear" w:color="auto" w:fill="FFFFFF"/>
            <w:vAlign w:val="bottom"/>
            <w:hideMark/>
          </w:tcPr>
          <w:p w14:paraId="3AEBEF1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40480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182C5B"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B6A638B" w14:textId="77777777" w:rsidR="00000000" w:rsidRDefault="00322B34">
            <w:pPr>
              <w:jc w:val="right"/>
              <w:rPr>
                <w:rFonts w:eastAsia="Times New Roman"/>
                <w:sz w:val="20"/>
                <w:szCs w:val="20"/>
              </w:rPr>
            </w:pPr>
            <w:r>
              <w:rPr>
                <w:rFonts w:eastAsia="Times New Roman"/>
                <w:sz w:val="20"/>
                <w:szCs w:val="20"/>
              </w:rPr>
              <w:t>60,858</w:t>
            </w:r>
          </w:p>
        </w:tc>
        <w:tc>
          <w:tcPr>
            <w:tcW w:w="50" w:type="pct"/>
            <w:shd w:val="clear" w:color="auto" w:fill="FFFFFF"/>
            <w:vAlign w:val="bottom"/>
            <w:hideMark/>
          </w:tcPr>
          <w:p w14:paraId="2B79A616" w14:textId="77777777" w:rsidR="00000000" w:rsidRDefault="00322B34">
            <w:pPr>
              <w:rPr>
                <w:rFonts w:eastAsia="Times New Roman"/>
                <w:sz w:val="20"/>
                <w:szCs w:val="20"/>
              </w:rPr>
            </w:pPr>
            <w:r>
              <w:rPr>
                <w:rFonts w:eastAsia="Times New Roman"/>
                <w:sz w:val="20"/>
                <w:szCs w:val="20"/>
              </w:rPr>
              <w:t> </w:t>
            </w:r>
          </w:p>
        </w:tc>
      </w:tr>
      <w:tr w:rsidR="00000000" w14:paraId="0FE59707" w14:textId="77777777">
        <w:trPr>
          <w:divId w:val="1869636019"/>
          <w:tblCellSpacing w:w="0" w:type="dxa"/>
        </w:trPr>
        <w:tc>
          <w:tcPr>
            <w:tcW w:w="0" w:type="auto"/>
            <w:shd w:val="clear" w:color="auto" w:fill="CCEEFF"/>
            <w:vAlign w:val="bottom"/>
            <w:hideMark/>
          </w:tcPr>
          <w:p w14:paraId="1F51FE4E" w14:textId="77777777" w:rsidR="00000000" w:rsidRDefault="00322B34">
            <w:pPr>
              <w:pStyle w:val="a3"/>
              <w:spacing w:before="0" w:beforeAutospacing="0" w:after="0" w:afterAutospacing="0"/>
              <w:ind w:left="360"/>
              <w:rPr>
                <w:sz w:val="20"/>
                <w:szCs w:val="20"/>
              </w:rPr>
            </w:pPr>
            <w:r>
              <w:rPr>
                <w:sz w:val="20"/>
                <w:szCs w:val="20"/>
              </w:rPr>
              <w:t>Change in accounts and notes receivable, net</w:t>
            </w:r>
          </w:p>
        </w:tc>
        <w:tc>
          <w:tcPr>
            <w:tcW w:w="50" w:type="pct"/>
            <w:shd w:val="clear" w:color="auto" w:fill="CCEEFF"/>
            <w:vAlign w:val="bottom"/>
            <w:hideMark/>
          </w:tcPr>
          <w:p w14:paraId="2795C86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352D78"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B1E3493" w14:textId="77777777" w:rsidR="00000000" w:rsidRDefault="00322B34">
            <w:pPr>
              <w:jc w:val="right"/>
              <w:rPr>
                <w:rFonts w:eastAsia="Times New Roman"/>
                <w:sz w:val="20"/>
                <w:szCs w:val="20"/>
              </w:rPr>
            </w:pPr>
            <w:r>
              <w:rPr>
                <w:rFonts w:eastAsia="Times New Roman"/>
                <w:sz w:val="20"/>
                <w:szCs w:val="20"/>
              </w:rPr>
              <w:t>(31,461</w:t>
            </w:r>
          </w:p>
        </w:tc>
        <w:tc>
          <w:tcPr>
            <w:tcW w:w="50" w:type="pct"/>
            <w:shd w:val="clear" w:color="auto" w:fill="CCEEFF"/>
            <w:vAlign w:val="bottom"/>
            <w:hideMark/>
          </w:tcPr>
          <w:p w14:paraId="00D3DF65"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5B2DE00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F98C66"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58BE80A" w14:textId="77777777" w:rsidR="00000000" w:rsidRDefault="00322B34">
            <w:pPr>
              <w:jc w:val="right"/>
              <w:rPr>
                <w:rFonts w:eastAsia="Times New Roman"/>
                <w:sz w:val="20"/>
                <w:szCs w:val="20"/>
              </w:rPr>
            </w:pPr>
            <w:r>
              <w:rPr>
                <w:rFonts w:eastAsia="Times New Roman"/>
                <w:sz w:val="20"/>
                <w:szCs w:val="20"/>
              </w:rPr>
              <w:t>2,159</w:t>
            </w:r>
          </w:p>
        </w:tc>
        <w:tc>
          <w:tcPr>
            <w:tcW w:w="50" w:type="pct"/>
            <w:shd w:val="clear" w:color="auto" w:fill="CCEEFF"/>
            <w:vAlign w:val="bottom"/>
            <w:hideMark/>
          </w:tcPr>
          <w:p w14:paraId="2351B04F" w14:textId="77777777" w:rsidR="00000000" w:rsidRDefault="00322B34">
            <w:pPr>
              <w:rPr>
                <w:rFonts w:eastAsia="Times New Roman"/>
                <w:sz w:val="20"/>
                <w:szCs w:val="20"/>
              </w:rPr>
            </w:pPr>
            <w:r>
              <w:rPr>
                <w:rFonts w:eastAsia="Times New Roman"/>
                <w:sz w:val="20"/>
                <w:szCs w:val="20"/>
              </w:rPr>
              <w:t> </w:t>
            </w:r>
          </w:p>
        </w:tc>
      </w:tr>
      <w:tr w:rsidR="00000000" w14:paraId="7B6C2ADF" w14:textId="77777777">
        <w:trPr>
          <w:divId w:val="1869636019"/>
          <w:tblCellSpacing w:w="0" w:type="dxa"/>
        </w:trPr>
        <w:tc>
          <w:tcPr>
            <w:tcW w:w="0" w:type="auto"/>
            <w:shd w:val="clear" w:color="auto" w:fill="FFFFFF"/>
            <w:vAlign w:val="bottom"/>
            <w:hideMark/>
          </w:tcPr>
          <w:p w14:paraId="75DF903A" w14:textId="77777777" w:rsidR="00000000" w:rsidRDefault="00322B34">
            <w:pPr>
              <w:pStyle w:val="a3"/>
              <w:spacing w:before="0" w:beforeAutospacing="0" w:after="0" w:afterAutospacing="0"/>
              <w:ind w:left="360"/>
              <w:rPr>
                <w:sz w:val="20"/>
                <w:szCs w:val="20"/>
              </w:rPr>
            </w:pPr>
            <w:r>
              <w:rPr>
                <w:sz w:val="20"/>
                <w:szCs w:val="20"/>
              </w:rPr>
              <w:t>Change in accounts payable and accrued expenses</w:t>
            </w:r>
          </w:p>
        </w:tc>
        <w:tc>
          <w:tcPr>
            <w:tcW w:w="50" w:type="pct"/>
            <w:shd w:val="clear" w:color="auto" w:fill="FFFFFF"/>
            <w:vAlign w:val="bottom"/>
            <w:hideMark/>
          </w:tcPr>
          <w:p w14:paraId="1CACF31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F764B2"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ADECD3D" w14:textId="77777777" w:rsidR="00000000" w:rsidRDefault="00322B34">
            <w:pPr>
              <w:jc w:val="right"/>
              <w:rPr>
                <w:rFonts w:eastAsia="Times New Roman"/>
                <w:sz w:val="20"/>
                <w:szCs w:val="20"/>
              </w:rPr>
            </w:pPr>
            <w:r>
              <w:rPr>
                <w:rFonts w:eastAsia="Times New Roman"/>
                <w:sz w:val="20"/>
                <w:szCs w:val="20"/>
              </w:rPr>
              <w:t>(977</w:t>
            </w:r>
          </w:p>
        </w:tc>
        <w:tc>
          <w:tcPr>
            <w:tcW w:w="50" w:type="pct"/>
            <w:shd w:val="clear" w:color="auto" w:fill="FFFFFF"/>
            <w:vAlign w:val="bottom"/>
            <w:hideMark/>
          </w:tcPr>
          <w:p w14:paraId="50748F6D"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22AF229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CEB41A"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BE01A98" w14:textId="77777777" w:rsidR="00000000" w:rsidRDefault="00322B34">
            <w:pPr>
              <w:jc w:val="right"/>
              <w:rPr>
                <w:rFonts w:eastAsia="Times New Roman"/>
                <w:sz w:val="20"/>
                <w:szCs w:val="20"/>
              </w:rPr>
            </w:pPr>
            <w:r>
              <w:rPr>
                <w:rFonts w:eastAsia="Times New Roman"/>
                <w:sz w:val="20"/>
                <w:szCs w:val="20"/>
              </w:rPr>
              <w:t>(8,382</w:t>
            </w:r>
          </w:p>
        </w:tc>
        <w:tc>
          <w:tcPr>
            <w:tcW w:w="50" w:type="pct"/>
            <w:shd w:val="clear" w:color="auto" w:fill="FFFFFF"/>
            <w:vAlign w:val="bottom"/>
            <w:hideMark/>
          </w:tcPr>
          <w:p w14:paraId="7F690831" w14:textId="77777777" w:rsidR="00000000" w:rsidRDefault="00322B34">
            <w:pPr>
              <w:rPr>
                <w:rFonts w:eastAsia="Times New Roman"/>
                <w:sz w:val="20"/>
                <w:szCs w:val="20"/>
              </w:rPr>
            </w:pPr>
            <w:r>
              <w:rPr>
                <w:rFonts w:eastAsia="Times New Roman"/>
                <w:sz w:val="20"/>
                <w:szCs w:val="20"/>
              </w:rPr>
              <w:t>)</w:t>
            </w:r>
          </w:p>
        </w:tc>
      </w:tr>
      <w:tr w:rsidR="00000000" w14:paraId="482F91DE" w14:textId="77777777">
        <w:trPr>
          <w:divId w:val="1869636019"/>
          <w:tblCellSpacing w:w="0" w:type="dxa"/>
        </w:trPr>
        <w:tc>
          <w:tcPr>
            <w:tcW w:w="0" w:type="auto"/>
            <w:shd w:val="clear" w:color="auto" w:fill="CCEEFF"/>
            <w:vAlign w:val="bottom"/>
            <w:hideMark/>
          </w:tcPr>
          <w:p w14:paraId="7FB59C94" w14:textId="77777777" w:rsidR="00000000" w:rsidRDefault="00322B34">
            <w:pPr>
              <w:pStyle w:val="a3"/>
              <w:spacing w:before="0" w:beforeAutospacing="0" w:after="0" w:afterAutospacing="0"/>
              <w:ind w:left="360"/>
              <w:rPr>
                <w:sz w:val="20"/>
                <w:szCs w:val="20"/>
              </w:rPr>
            </w:pPr>
            <w:r>
              <w:rPr>
                <w:sz w:val="20"/>
                <w:szCs w:val="20"/>
              </w:rPr>
              <w:t>Change in other operating assets and liabilities, net</w:t>
            </w:r>
          </w:p>
        </w:tc>
        <w:tc>
          <w:tcPr>
            <w:tcW w:w="50" w:type="pct"/>
            <w:shd w:val="clear" w:color="auto" w:fill="CCEEFF"/>
            <w:tcMar>
              <w:top w:w="0" w:type="dxa"/>
              <w:left w:w="0" w:type="dxa"/>
              <w:bottom w:w="15" w:type="dxa"/>
              <w:right w:w="0" w:type="dxa"/>
            </w:tcMar>
            <w:vAlign w:val="bottom"/>
            <w:hideMark/>
          </w:tcPr>
          <w:p w14:paraId="7544C56F"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A573446"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E7D527F" w14:textId="77777777" w:rsidR="00000000" w:rsidRDefault="00322B34">
            <w:pPr>
              <w:jc w:val="right"/>
              <w:rPr>
                <w:rFonts w:eastAsia="Times New Roman"/>
                <w:sz w:val="20"/>
                <w:szCs w:val="20"/>
              </w:rPr>
            </w:pPr>
            <w:r>
              <w:rPr>
                <w:rFonts w:eastAsia="Times New Roman"/>
                <w:sz w:val="20"/>
                <w:szCs w:val="20"/>
              </w:rPr>
              <w:t>(24,348</w:t>
            </w:r>
          </w:p>
        </w:tc>
        <w:tc>
          <w:tcPr>
            <w:tcW w:w="50" w:type="pct"/>
            <w:shd w:val="clear" w:color="auto" w:fill="CCEEFF"/>
            <w:tcMar>
              <w:top w:w="0" w:type="dxa"/>
              <w:left w:w="0" w:type="dxa"/>
              <w:bottom w:w="15" w:type="dxa"/>
              <w:right w:w="0" w:type="dxa"/>
            </w:tcMar>
            <w:vAlign w:val="bottom"/>
            <w:hideMark/>
          </w:tcPr>
          <w:p w14:paraId="18D2AFA6"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5A9412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9356ACF"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014F416C" w14:textId="77777777" w:rsidR="00000000" w:rsidRDefault="00322B34">
            <w:pPr>
              <w:jc w:val="right"/>
              <w:rPr>
                <w:rFonts w:eastAsia="Times New Roman"/>
                <w:sz w:val="20"/>
                <w:szCs w:val="20"/>
              </w:rPr>
            </w:pPr>
            <w:r>
              <w:rPr>
                <w:rFonts w:eastAsia="Times New Roman"/>
                <w:sz w:val="20"/>
                <w:szCs w:val="20"/>
              </w:rPr>
              <w:t>(30,936</w:t>
            </w:r>
          </w:p>
        </w:tc>
        <w:tc>
          <w:tcPr>
            <w:tcW w:w="50" w:type="pct"/>
            <w:shd w:val="clear" w:color="auto" w:fill="CCEEFF"/>
            <w:tcMar>
              <w:top w:w="0" w:type="dxa"/>
              <w:left w:w="0" w:type="dxa"/>
              <w:bottom w:w="15" w:type="dxa"/>
              <w:right w:w="0" w:type="dxa"/>
            </w:tcMar>
            <w:vAlign w:val="bottom"/>
            <w:hideMark/>
          </w:tcPr>
          <w:p w14:paraId="588D84E1" w14:textId="77777777" w:rsidR="00000000" w:rsidRDefault="00322B34">
            <w:pPr>
              <w:rPr>
                <w:rFonts w:eastAsia="Times New Roman"/>
                <w:sz w:val="20"/>
                <w:szCs w:val="20"/>
              </w:rPr>
            </w:pPr>
            <w:r>
              <w:rPr>
                <w:rFonts w:eastAsia="Times New Roman"/>
                <w:sz w:val="20"/>
                <w:szCs w:val="20"/>
              </w:rPr>
              <w:t>)</w:t>
            </w:r>
          </w:p>
        </w:tc>
      </w:tr>
      <w:tr w:rsidR="00000000" w14:paraId="3B0ECA49" w14:textId="77777777">
        <w:trPr>
          <w:divId w:val="1869636019"/>
          <w:tblCellSpacing w:w="0" w:type="dxa"/>
        </w:trPr>
        <w:tc>
          <w:tcPr>
            <w:tcW w:w="0" w:type="auto"/>
            <w:shd w:val="clear" w:color="auto" w:fill="FFFFFF"/>
            <w:vAlign w:val="bottom"/>
            <w:hideMark/>
          </w:tcPr>
          <w:p w14:paraId="63FBC6B1" w14:textId="77777777" w:rsidR="00000000" w:rsidRDefault="00322B34">
            <w:pPr>
              <w:pStyle w:val="a3"/>
              <w:spacing w:before="0" w:beforeAutospacing="0" w:after="0" w:afterAutospacing="0"/>
              <w:ind w:left="540"/>
              <w:rPr>
                <w:sz w:val="20"/>
                <w:szCs w:val="20"/>
              </w:rPr>
            </w:pPr>
            <w:r>
              <w:rPr>
                <w:sz w:val="20"/>
                <w:szCs w:val="20"/>
              </w:rPr>
              <w:t>Net cash flow provided by operating activities</w:t>
            </w:r>
          </w:p>
        </w:tc>
        <w:tc>
          <w:tcPr>
            <w:tcW w:w="50" w:type="pct"/>
            <w:shd w:val="clear" w:color="auto" w:fill="FFFFFF"/>
            <w:vAlign w:val="bottom"/>
            <w:hideMark/>
          </w:tcPr>
          <w:p w14:paraId="4D02545C"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D6B2203"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204D011" w14:textId="77777777" w:rsidR="00000000" w:rsidRDefault="00322B34">
            <w:pPr>
              <w:jc w:val="right"/>
              <w:rPr>
                <w:rFonts w:eastAsia="Times New Roman"/>
                <w:sz w:val="20"/>
                <w:szCs w:val="20"/>
              </w:rPr>
            </w:pPr>
            <w:r>
              <w:rPr>
                <w:rFonts w:eastAsia="Times New Roman"/>
                <w:sz w:val="20"/>
                <w:szCs w:val="20"/>
              </w:rPr>
              <w:t>237,447</w:t>
            </w:r>
          </w:p>
        </w:tc>
        <w:tc>
          <w:tcPr>
            <w:tcW w:w="50" w:type="pct"/>
            <w:shd w:val="clear" w:color="auto" w:fill="FFFFFF"/>
            <w:tcMar>
              <w:top w:w="0" w:type="dxa"/>
              <w:left w:w="0" w:type="dxa"/>
              <w:bottom w:w="15" w:type="dxa"/>
              <w:right w:w="0" w:type="dxa"/>
            </w:tcMar>
            <w:vAlign w:val="bottom"/>
            <w:hideMark/>
          </w:tcPr>
          <w:p w14:paraId="4DAEE32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4C69B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3806D92"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0F83695" w14:textId="77777777" w:rsidR="00000000" w:rsidRDefault="00322B34">
            <w:pPr>
              <w:jc w:val="right"/>
              <w:rPr>
                <w:rFonts w:eastAsia="Times New Roman"/>
                <w:sz w:val="20"/>
                <w:szCs w:val="20"/>
              </w:rPr>
            </w:pPr>
            <w:r>
              <w:rPr>
                <w:rFonts w:eastAsia="Times New Roman"/>
                <w:sz w:val="20"/>
                <w:szCs w:val="20"/>
              </w:rPr>
              <w:t>313,529</w:t>
            </w:r>
          </w:p>
        </w:tc>
        <w:tc>
          <w:tcPr>
            <w:tcW w:w="50" w:type="pct"/>
            <w:shd w:val="clear" w:color="auto" w:fill="FFFFFF"/>
            <w:tcMar>
              <w:top w:w="0" w:type="dxa"/>
              <w:left w:w="0" w:type="dxa"/>
              <w:bottom w:w="15" w:type="dxa"/>
              <w:right w:w="0" w:type="dxa"/>
            </w:tcMar>
            <w:vAlign w:val="bottom"/>
            <w:hideMark/>
          </w:tcPr>
          <w:p w14:paraId="0D52C2FB" w14:textId="77777777" w:rsidR="00000000" w:rsidRDefault="00322B34">
            <w:pPr>
              <w:rPr>
                <w:rFonts w:eastAsia="Times New Roman"/>
                <w:sz w:val="20"/>
                <w:szCs w:val="20"/>
              </w:rPr>
            </w:pPr>
            <w:r>
              <w:rPr>
                <w:rFonts w:eastAsia="Times New Roman"/>
                <w:sz w:val="20"/>
                <w:szCs w:val="20"/>
              </w:rPr>
              <w:t> </w:t>
            </w:r>
          </w:p>
        </w:tc>
      </w:tr>
      <w:tr w:rsidR="00000000" w14:paraId="312B8513" w14:textId="77777777">
        <w:trPr>
          <w:divId w:val="1869636019"/>
          <w:tblCellSpacing w:w="0" w:type="dxa"/>
        </w:trPr>
        <w:tc>
          <w:tcPr>
            <w:tcW w:w="0" w:type="auto"/>
            <w:shd w:val="clear" w:color="auto" w:fill="CCEEFF"/>
            <w:vAlign w:val="bottom"/>
            <w:hideMark/>
          </w:tcPr>
          <w:p w14:paraId="417327B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C75F1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98A7E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6D8CE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340E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9CABB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754DC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347B5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6D9CF7" w14:textId="77777777" w:rsidR="00000000" w:rsidRDefault="00322B34">
            <w:pPr>
              <w:rPr>
                <w:rFonts w:eastAsia="Times New Roman"/>
                <w:sz w:val="20"/>
                <w:szCs w:val="20"/>
              </w:rPr>
            </w:pPr>
            <w:r>
              <w:rPr>
                <w:rFonts w:eastAsia="Times New Roman"/>
                <w:sz w:val="20"/>
                <w:szCs w:val="20"/>
              </w:rPr>
              <w:t> </w:t>
            </w:r>
          </w:p>
        </w:tc>
      </w:tr>
      <w:tr w:rsidR="00000000" w14:paraId="02CB1E47" w14:textId="77777777">
        <w:trPr>
          <w:divId w:val="1869636019"/>
          <w:tblCellSpacing w:w="0" w:type="dxa"/>
        </w:trPr>
        <w:tc>
          <w:tcPr>
            <w:tcW w:w="0" w:type="auto"/>
            <w:shd w:val="clear" w:color="auto" w:fill="FFFFFF"/>
            <w:vAlign w:val="bottom"/>
            <w:hideMark/>
          </w:tcPr>
          <w:p w14:paraId="6D9CFF78" w14:textId="77777777" w:rsidR="00000000" w:rsidRDefault="00322B34">
            <w:pPr>
              <w:pStyle w:val="a3"/>
              <w:spacing w:before="0" w:beforeAutospacing="0" w:after="0" w:afterAutospacing="0"/>
              <w:rPr>
                <w:sz w:val="20"/>
                <w:szCs w:val="20"/>
              </w:rPr>
            </w:pPr>
            <w:r>
              <w:rPr>
                <w:sz w:val="20"/>
                <w:szCs w:val="20"/>
              </w:rPr>
              <w:t>Cash flow from investing activities:</w:t>
            </w:r>
          </w:p>
        </w:tc>
        <w:tc>
          <w:tcPr>
            <w:tcW w:w="0" w:type="auto"/>
            <w:shd w:val="clear" w:color="auto" w:fill="FFFFFF"/>
            <w:vAlign w:val="bottom"/>
            <w:hideMark/>
          </w:tcPr>
          <w:p w14:paraId="3B01891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F42F5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C9C29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3C44A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235E7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EAD45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E1E04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660498" w14:textId="77777777" w:rsidR="00000000" w:rsidRDefault="00322B34">
            <w:pPr>
              <w:rPr>
                <w:rFonts w:eastAsia="Times New Roman"/>
                <w:sz w:val="20"/>
                <w:szCs w:val="20"/>
              </w:rPr>
            </w:pPr>
            <w:r>
              <w:rPr>
                <w:rFonts w:eastAsia="Times New Roman"/>
                <w:sz w:val="20"/>
                <w:szCs w:val="20"/>
              </w:rPr>
              <w:t> </w:t>
            </w:r>
          </w:p>
        </w:tc>
      </w:tr>
      <w:tr w:rsidR="00000000" w14:paraId="5075CE72" w14:textId="77777777">
        <w:trPr>
          <w:divId w:val="1869636019"/>
          <w:tblCellSpacing w:w="0" w:type="dxa"/>
        </w:trPr>
        <w:tc>
          <w:tcPr>
            <w:tcW w:w="0" w:type="auto"/>
            <w:shd w:val="clear" w:color="auto" w:fill="CCEEFF"/>
            <w:vAlign w:val="bottom"/>
            <w:hideMark/>
          </w:tcPr>
          <w:p w14:paraId="45554237" w14:textId="77777777" w:rsidR="00000000" w:rsidRDefault="00322B34">
            <w:pPr>
              <w:pStyle w:val="a3"/>
              <w:spacing w:before="0" w:beforeAutospacing="0" w:after="0" w:afterAutospacing="0"/>
              <w:ind w:left="360"/>
              <w:rPr>
                <w:sz w:val="20"/>
                <w:szCs w:val="20"/>
              </w:rPr>
            </w:pPr>
            <w:r>
              <w:rPr>
                <w:sz w:val="20"/>
                <w:szCs w:val="20"/>
              </w:rPr>
              <w:t>Acquisition of operating real estate</w:t>
            </w:r>
          </w:p>
        </w:tc>
        <w:tc>
          <w:tcPr>
            <w:tcW w:w="50" w:type="pct"/>
            <w:shd w:val="clear" w:color="auto" w:fill="CCEEFF"/>
            <w:vAlign w:val="bottom"/>
            <w:hideMark/>
          </w:tcPr>
          <w:p w14:paraId="72DA093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9FFCD6"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1B37BC7" w14:textId="77777777" w:rsidR="00000000" w:rsidRDefault="00322B34">
            <w:pPr>
              <w:jc w:val="right"/>
              <w:rPr>
                <w:rFonts w:eastAsia="Times New Roman"/>
                <w:sz w:val="20"/>
                <w:szCs w:val="20"/>
              </w:rPr>
            </w:pPr>
            <w:r>
              <w:rPr>
                <w:rFonts w:eastAsia="Times New Roman"/>
                <w:sz w:val="20"/>
                <w:szCs w:val="20"/>
              </w:rPr>
              <w:t>(7,073</w:t>
            </w:r>
          </w:p>
        </w:tc>
        <w:tc>
          <w:tcPr>
            <w:tcW w:w="50" w:type="pct"/>
            <w:shd w:val="clear" w:color="auto" w:fill="CCEEFF"/>
            <w:vAlign w:val="bottom"/>
            <w:hideMark/>
          </w:tcPr>
          <w:p w14:paraId="3DA0598F"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4B989BB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9B84DE"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144FF02"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EF7B8B6" w14:textId="77777777" w:rsidR="00000000" w:rsidRDefault="00322B34">
            <w:pPr>
              <w:rPr>
                <w:rFonts w:eastAsia="Times New Roman"/>
                <w:sz w:val="20"/>
                <w:szCs w:val="20"/>
              </w:rPr>
            </w:pPr>
            <w:r>
              <w:rPr>
                <w:rFonts w:eastAsia="Times New Roman"/>
                <w:sz w:val="20"/>
                <w:szCs w:val="20"/>
              </w:rPr>
              <w:t> </w:t>
            </w:r>
          </w:p>
        </w:tc>
      </w:tr>
      <w:tr w:rsidR="00000000" w14:paraId="5EBCEFEC" w14:textId="77777777">
        <w:trPr>
          <w:divId w:val="1869636019"/>
          <w:tblCellSpacing w:w="0" w:type="dxa"/>
        </w:trPr>
        <w:tc>
          <w:tcPr>
            <w:tcW w:w="0" w:type="auto"/>
            <w:shd w:val="clear" w:color="auto" w:fill="FFFFFF"/>
            <w:vAlign w:val="bottom"/>
            <w:hideMark/>
          </w:tcPr>
          <w:p w14:paraId="527DCB52" w14:textId="77777777" w:rsidR="00000000" w:rsidRDefault="00322B34">
            <w:pPr>
              <w:pStyle w:val="a3"/>
              <w:spacing w:before="0" w:beforeAutospacing="0" w:after="0" w:afterAutospacing="0"/>
              <w:ind w:left="360"/>
              <w:rPr>
                <w:sz w:val="20"/>
                <w:szCs w:val="20"/>
              </w:rPr>
            </w:pPr>
            <w:r>
              <w:rPr>
                <w:sz w:val="20"/>
                <w:szCs w:val="20"/>
              </w:rPr>
              <w:t>Improvements to operating real estate</w:t>
            </w:r>
          </w:p>
        </w:tc>
        <w:tc>
          <w:tcPr>
            <w:tcW w:w="50" w:type="pct"/>
            <w:shd w:val="clear" w:color="auto" w:fill="FFFFFF"/>
            <w:vAlign w:val="bottom"/>
            <w:hideMark/>
          </w:tcPr>
          <w:p w14:paraId="3EEDF5C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FBEB0D"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0753E4B" w14:textId="77777777" w:rsidR="00000000" w:rsidRDefault="00322B34">
            <w:pPr>
              <w:jc w:val="right"/>
              <w:rPr>
                <w:rFonts w:eastAsia="Times New Roman"/>
                <w:sz w:val="20"/>
                <w:szCs w:val="20"/>
              </w:rPr>
            </w:pPr>
            <w:r>
              <w:rPr>
                <w:rFonts w:eastAsia="Times New Roman"/>
                <w:sz w:val="20"/>
                <w:szCs w:val="20"/>
              </w:rPr>
              <w:t>(110,826</w:t>
            </w:r>
          </w:p>
        </w:tc>
        <w:tc>
          <w:tcPr>
            <w:tcW w:w="50" w:type="pct"/>
            <w:shd w:val="clear" w:color="auto" w:fill="FFFFFF"/>
            <w:vAlign w:val="bottom"/>
            <w:hideMark/>
          </w:tcPr>
          <w:p w14:paraId="0CE3A4A8"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1430799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B5E81B"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7962183" w14:textId="77777777" w:rsidR="00000000" w:rsidRDefault="00322B34">
            <w:pPr>
              <w:jc w:val="right"/>
              <w:rPr>
                <w:rFonts w:eastAsia="Times New Roman"/>
                <w:sz w:val="20"/>
                <w:szCs w:val="20"/>
              </w:rPr>
            </w:pPr>
            <w:r>
              <w:rPr>
                <w:rFonts w:eastAsia="Times New Roman"/>
                <w:sz w:val="20"/>
                <w:szCs w:val="20"/>
              </w:rPr>
              <w:t>(139,865</w:t>
            </w:r>
          </w:p>
        </w:tc>
        <w:tc>
          <w:tcPr>
            <w:tcW w:w="50" w:type="pct"/>
            <w:shd w:val="clear" w:color="auto" w:fill="FFFFFF"/>
            <w:vAlign w:val="bottom"/>
            <w:hideMark/>
          </w:tcPr>
          <w:p w14:paraId="15905FEE" w14:textId="77777777" w:rsidR="00000000" w:rsidRDefault="00322B34">
            <w:pPr>
              <w:rPr>
                <w:rFonts w:eastAsia="Times New Roman"/>
                <w:sz w:val="20"/>
                <w:szCs w:val="20"/>
              </w:rPr>
            </w:pPr>
            <w:r>
              <w:rPr>
                <w:rFonts w:eastAsia="Times New Roman"/>
                <w:sz w:val="20"/>
                <w:szCs w:val="20"/>
              </w:rPr>
              <w:t>)</w:t>
            </w:r>
          </w:p>
        </w:tc>
      </w:tr>
      <w:tr w:rsidR="00000000" w14:paraId="08A3296A" w14:textId="77777777">
        <w:trPr>
          <w:divId w:val="1869636019"/>
          <w:tblCellSpacing w:w="0" w:type="dxa"/>
        </w:trPr>
        <w:tc>
          <w:tcPr>
            <w:tcW w:w="0" w:type="auto"/>
            <w:shd w:val="clear" w:color="auto" w:fill="CCEEFF"/>
            <w:vAlign w:val="bottom"/>
            <w:hideMark/>
          </w:tcPr>
          <w:p w14:paraId="114D0EFF" w14:textId="77777777" w:rsidR="00000000" w:rsidRDefault="00322B34">
            <w:pPr>
              <w:pStyle w:val="a3"/>
              <w:spacing w:before="0" w:beforeAutospacing="0" w:after="0" w:afterAutospacing="0"/>
              <w:ind w:left="360"/>
              <w:rPr>
                <w:sz w:val="20"/>
                <w:szCs w:val="20"/>
              </w:rPr>
            </w:pPr>
            <w:r>
              <w:rPr>
                <w:sz w:val="20"/>
                <w:szCs w:val="20"/>
              </w:rPr>
              <w:t>Improvements to real estate under development</w:t>
            </w:r>
          </w:p>
        </w:tc>
        <w:tc>
          <w:tcPr>
            <w:tcW w:w="50" w:type="pct"/>
            <w:shd w:val="clear" w:color="auto" w:fill="CCEEFF"/>
            <w:vAlign w:val="bottom"/>
            <w:hideMark/>
          </w:tcPr>
          <w:p w14:paraId="5445137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07C8D6"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AB0C46F" w14:textId="77777777" w:rsidR="00000000" w:rsidRDefault="00322B34">
            <w:pPr>
              <w:jc w:val="right"/>
              <w:rPr>
                <w:rFonts w:eastAsia="Times New Roman"/>
                <w:sz w:val="20"/>
                <w:szCs w:val="20"/>
              </w:rPr>
            </w:pPr>
            <w:r>
              <w:rPr>
                <w:rFonts w:eastAsia="Times New Roman"/>
                <w:sz w:val="20"/>
                <w:szCs w:val="20"/>
              </w:rPr>
              <w:t>(22,358</w:t>
            </w:r>
          </w:p>
        </w:tc>
        <w:tc>
          <w:tcPr>
            <w:tcW w:w="50" w:type="pct"/>
            <w:shd w:val="clear" w:color="auto" w:fill="CCEEFF"/>
            <w:vAlign w:val="bottom"/>
            <w:hideMark/>
          </w:tcPr>
          <w:p w14:paraId="2A6CB88F"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27F0FE7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5E339A"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FEE9322" w14:textId="77777777" w:rsidR="00000000" w:rsidRDefault="00322B34">
            <w:pPr>
              <w:jc w:val="right"/>
              <w:rPr>
                <w:rFonts w:eastAsia="Times New Roman"/>
                <w:sz w:val="20"/>
                <w:szCs w:val="20"/>
              </w:rPr>
            </w:pPr>
            <w:r>
              <w:rPr>
                <w:rFonts w:eastAsia="Times New Roman"/>
                <w:sz w:val="20"/>
                <w:szCs w:val="20"/>
              </w:rPr>
              <w:t>(57,496</w:t>
            </w:r>
          </w:p>
        </w:tc>
        <w:tc>
          <w:tcPr>
            <w:tcW w:w="50" w:type="pct"/>
            <w:shd w:val="clear" w:color="auto" w:fill="CCEEFF"/>
            <w:vAlign w:val="bottom"/>
            <w:hideMark/>
          </w:tcPr>
          <w:p w14:paraId="6E8F4050" w14:textId="77777777" w:rsidR="00000000" w:rsidRDefault="00322B34">
            <w:pPr>
              <w:rPr>
                <w:rFonts w:eastAsia="Times New Roman"/>
                <w:sz w:val="20"/>
                <w:szCs w:val="20"/>
              </w:rPr>
            </w:pPr>
            <w:r>
              <w:rPr>
                <w:rFonts w:eastAsia="Times New Roman"/>
                <w:sz w:val="20"/>
                <w:szCs w:val="20"/>
              </w:rPr>
              <w:t>)</w:t>
            </w:r>
          </w:p>
        </w:tc>
      </w:tr>
      <w:tr w:rsidR="00000000" w14:paraId="20CEC7E6" w14:textId="77777777">
        <w:trPr>
          <w:divId w:val="1869636019"/>
          <w:tblCellSpacing w:w="0" w:type="dxa"/>
        </w:trPr>
        <w:tc>
          <w:tcPr>
            <w:tcW w:w="0" w:type="auto"/>
            <w:shd w:val="clear" w:color="auto" w:fill="FFFFFF"/>
            <w:vAlign w:val="bottom"/>
            <w:hideMark/>
          </w:tcPr>
          <w:p w14:paraId="76786DCB" w14:textId="77777777" w:rsidR="00000000" w:rsidRDefault="00322B34">
            <w:pPr>
              <w:pStyle w:val="a3"/>
              <w:spacing w:before="0" w:beforeAutospacing="0" w:after="0" w:afterAutospacing="0"/>
              <w:ind w:left="360"/>
              <w:rPr>
                <w:sz w:val="20"/>
                <w:szCs w:val="20"/>
              </w:rPr>
            </w:pPr>
            <w:r>
              <w:rPr>
                <w:sz w:val="20"/>
                <w:szCs w:val="20"/>
              </w:rPr>
              <w:t>Investments in marketable securities</w:t>
            </w:r>
          </w:p>
        </w:tc>
        <w:tc>
          <w:tcPr>
            <w:tcW w:w="50" w:type="pct"/>
            <w:shd w:val="clear" w:color="auto" w:fill="FFFFFF"/>
            <w:vAlign w:val="bottom"/>
            <w:hideMark/>
          </w:tcPr>
          <w:p w14:paraId="0518FDF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D45C21"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FDF1E94"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DA4DD4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C9812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6D5E6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FCBAB6D" w14:textId="77777777" w:rsidR="00000000" w:rsidRDefault="00322B34">
            <w:pPr>
              <w:jc w:val="right"/>
              <w:rPr>
                <w:rFonts w:eastAsia="Times New Roman"/>
                <w:sz w:val="20"/>
                <w:szCs w:val="20"/>
              </w:rPr>
            </w:pPr>
            <w:r>
              <w:rPr>
                <w:rFonts w:eastAsia="Times New Roman"/>
                <w:sz w:val="20"/>
                <w:szCs w:val="20"/>
              </w:rPr>
              <w:t>(157</w:t>
            </w:r>
          </w:p>
        </w:tc>
        <w:tc>
          <w:tcPr>
            <w:tcW w:w="50" w:type="pct"/>
            <w:shd w:val="clear" w:color="auto" w:fill="FFFFFF"/>
            <w:vAlign w:val="bottom"/>
            <w:hideMark/>
          </w:tcPr>
          <w:p w14:paraId="137C40CE" w14:textId="77777777" w:rsidR="00000000" w:rsidRDefault="00322B34">
            <w:pPr>
              <w:rPr>
                <w:rFonts w:eastAsia="Times New Roman"/>
                <w:sz w:val="20"/>
                <w:szCs w:val="20"/>
              </w:rPr>
            </w:pPr>
            <w:r>
              <w:rPr>
                <w:rFonts w:eastAsia="Times New Roman"/>
                <w:sz w:val="20"/>
                <w:szCs w:val="20"/>
              </w:rPr>
              <w:t>)</w:t>
            </w:r>
          </w:p>
        </w:tc>
      </w:tr>
      <w:tr w:rsidR="00000000" w14:paraId="70590129" w14:textId="77777777">
        <w:trPr>
          <w:divId w:val="1869636019"/>
          <w:tblCellSpacing w:w="0" w:type="dxa"/>
        </w:trPr>
        <w:tc>
          <w:tcPr>
            <w:tcW w:w="0" w:type="auto"/>
            <w:shd w:val="clear" w:color="auto" w:fill="CCEEFF"/>
            <w:vAlign w:val="bottom"/>
            <w:hideMark/>
          </w:tcPr>
          <w:p w14:paraId="37D78AB6" w14:textId="77777777" w:rsidR="00000000" w:rsidRDefault="00322B34">
            <w:pPr>
              <w:pStyle w:val="a3"/>
              <w:spacing w:before="0" w:beforeAutospacing="0" w:after="0" w:afterAutospacing="0"/>
              <w:ind w:left="360"/>
              <w:rPr>
                <w:sz w:val="20"/>
                <w:szCs w:val="20"/>
              </w:rPr>
            </w:pPr>
            <w:r>
              <w:rPr>
                <w:sz w:val="20"/>
                <w:szCs w:val="20"/>
              </w:rPr>
              <w:t>Proceeds from sale of marketable securities</w:t>
            </w:r>
          </w:p>
        </w:tc>
        <w:tc>
          <w:tcPr>
            <w:tcW w:w="50" w:type="pct"/>
            <w:shd w:val="clear" w:color="auto" w:fill="CCEEFF"/>
            <w:vAlign w:val="bottom"/>
            <w:hideMark/>
          </w:tcPr>
          <w:p w14:paraId="62F13EE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064AFA"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87741B8" w14:textId="77777777" w:rsidR="00000000" w:rsidRDefault="00322B34">
            <w:pPr>
              <w:jc w:val="right"/>
              <w:rPr>
                <w:rFonts w:eastAsia="Times New Roman"/>
                <w:sz w:val="20"/>
                <w:szCs w:val="20"/>
              </w:rPr>
            </w:pPr>
            <w:r>
              <w:rPr>
                <w:rFonts w:eastAsia="Times New Roman"/>
                <w:sz w:val="20"/>
                <w:szCs w:val="20"/>
              </w:rPr>
              <w:t>906</w:t>
            </w:r>
          </w:p>
        </w:tc>
        <w:tc>
          <w:tcPr>
            <w:tcW w:w="50" w:type="pct"/>
            <w:shd w:val="clear" w:color="auto" w:fill="CCEEFF"/>
            <w:vAlign w:val="bottom"/>
            <w:hideMark/>
          </w:tcPr>
          <w:p w14:paraId="1221151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323CA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4E1988"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3362CBB" w14:textId="77777777" w:rsidR="00000000" w:rsidRDefault="00322B34">
            <w:pPr>
              <w:jc w:val="right"/>
              <w:rPr>
                <w:rFonts w:eastAsia="Times New Roman"/>
                <w:sz w:val="20"/>
                <w:szCs w:val="20"/>
              </w:rPr>
            </w:pPr>
            <w:r>
              <w:rPr>
                <w:rFonts w:eastAsia="Times New Roman"/>
                <w:sz w:val="20"/>
                <w:szCs w:val="20"/>
              </w:rPr>
              <w:t>151</w:t>
            </w:r>
          </w:p>
        </w:tc>
        <w:tc>
          <w:tcPr>
            <w:tcW w:w="50" w:type="pct"/>
            <w:shd w:val="clear" w:color="auto" w:fill="CCEEFF"/>
            <w:vAlign w:val="bottom"/>
            <w:hideMark/>
          </w:tcPr>
          <w:p w14:paraId="205ECFDC" w14:textId="77777777" w:rsidR="00000000" w:rsidRDefault="00322B34">
            <w:pPr>
              <w:rPr>
                <w:rFonts w:eastAsia="Times New Roman"/>
                <w:sz w:val="20"/>
                <w:szCs w:val="20"/>
              </w:rPr>
            </w:pPr>
            <w:r>
              <w:rPr>
                <w:rFonts w:eastAsia="Times New Roman"/>
                <w:sz w:val="20"/>
                <w:szCs w:val="20"/>
              </w:rPr>
              <w:t> </w:t>
            </w:r>
          </w:p>
        </w:tc>
      </w:tr>
      <w:tr w:rsidR="00000000" w14:paraId="7A0243A0" w14:textId="77777777">
        <w:trPr>
          <w:divId w:val="1869636019"/>
          <w:tblCellSpacing w:w="0" w:type="dxa"/>
        </w:trPr>
        <w:tc>
          <w:tcPr>
            <w:tcW w:w="0" w:type="auto"/>
            <w:shd w:val="clear" w:color="auto" w:fill="FFFFFF"/>
            <w:vAlign w:val="bottom"/>
            <w:hideMark/>
          </w:tcPr>
          <w:p w14:paraId="218E84B9" w14:textId="77777777" w:rsidR="00000000" w:rsidRDefault="00322B34">
            <w:pPr>
              <w:rPr>
                <w:rFonts w:eastAsia="Times New Roman"/>
                <w:sz w:val="20"/>
                <w:szCs w:val="20"/>
              </w:rPr>
            </w:pPr>
            <w:r>
              <w:rPr>
                <w:rFonts w:eastAsia="Times New Roman"/>
                <w:sz w:val="20"/>
                <w:szCs w:val="20"/>
              </w:rPr>
              <w:t>       Proceeds from sale of cost method investment</w:t>
            </w:r>
          </w:p>
        </w:tc>
        <w:tc>
          <w:tcPr>
            <w:tcW w:w="50" w:type="pct"/>
            <w:shd w:val="clear" w:color="auto" w:fill="FFFFFF"/>
            <w:vAlign w:val="bottom"/>
            <w:hideMark/>
          </w:tcPr>
          <w:p w14:paraId="7386666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12616C"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A30191F" w14:textId="77777777" w:rsidR="00000000" w:rsidRDefault="00322B34">
            <w:pPr>
              <w:jc w:val="right"/>
              <w:rPr>
                <w:rFonts w:eastAsia="Times New Roman"/>
                <w:sz w:val="20"/>
                <w:szCs w:val="20"/>
              </w:rPr>
            </w:pPr>
            <w:r>
              <w:rPr>
                <w:rFonts w:eastAsia="Times New Roman"/>
                <w:sz w:val="20"/>
                <w:szCs w:val="20"/>
              </w:rPr>
              <w:t>227,521</w:t>
            </w:r>
          </w:p>
        </w:tc>
        <w:tc>
          <w:tcPr>
            <w:tcW w:w="50" w:type="pct"/>
            <w:shd w:val="clear" w:color="auto" w:fill="FFFFFF"/>
            <w:vAlign w:val="bottom"/>
            <w:hideMark/>
          </w:tcPr>
          <w:p w14:paraId="7240662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9C6A6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AA7863"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8D943AE"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206629E" w14:textId="77777777" w:rsidR="00000000" w:rsidRDefault="00322B34">
            <w:pPr>
              <w:rPr>
                <w:rFonts w:eastAsia="Times New Roman"/>
                <w:sz w:val="20"/>
                <w:szCs w:val="20"/>
              </w:rPr>
            </w:pPr>
            <w:r>
              <w:rPr>
                <w:rFonts w:eastAsia="Times New Roman"/>
                <w:sz w:val="20"/>
                <w:szCs w:val="20"/>
              </w:rPr>
              <w:t> </w:t>
            </w:r>
          </w:p>
        </w:tc>
      </w:tr>
      <w:tr w:rsidR="00000000" w14:paraId="49F9BC34" w14:textId="77777777">
        <w:trPr>
          <w:divId w:val="1869636019"/>
          <w:tblCellSpacing w:w="0" w:type="dxa"/>
        </w:trPr>
        <w:tc>
          <w:tcPr>
            <w:tcW w:w="0" w:type="auto"/>
            <w:shd w:val="clear" w:color="auto" w:fill="CCEEFF"/>
            <w:vAlign w:val="bottom"/>
            <w:hideMark/>
          </w:tcPr>
          <w:p w14:paraId="43E9579F" w14:textId="77777777" w:rsidR="00000000" w:rsidRDefault="00322B34">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CCEEFF"/>
            <w:vAlign w:val="bottom"/>
            <w:hideMark/>
          </w:tcPr>
          <w:p w14:paraId="69D34A6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DA0A83"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CD22D29" w14:textId="77777777" w:rsidR="00000000" w:rsidRDefault="00322B34">
            <w:pPr>
              <w:jc w:val="right"/>
              <w:rPr>
                <w:rFonts w:eastAsia="Times New Roman"/>
                <w:sz w:val="20"/>
                <w:szCs w:val="20"/>
              </w:rPr>
            </w:pPr>
            <w:r>
              <w:rPr>
                <w:rFonts w:eastAsia="Times New Roman"/>
                <w:sz w:val="20"/>
                <w:szCs w:val="20"/>
              </w:rPr>
              <w:t>(8,006</w:t>
            </w:r>
          </w:p>
        </w:tc>
        <w:tc>
          <w:tcPr>
            <w:tcW w:w="50" w:type="pct"/>
            <w:shd w:val="clear" w:color="auto" w:fill="CCEEFF"/>
            <w:vAlign w:val="bottom"/>
            <w:hideMark/>
          </w:tcPr>
          <w:p w14:paraId="561B7B79"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775CBB4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89895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6664325" w14:textId="77777777" w:rsidR="00000000" w:rsidRDefault="00322B34">
            <w:pPr>
              <w:jc w:val="right"/>
              <w:rPr>
                <w:rFonts w:eastAsia="Times New Roman"/>
                <w:sz w:val="20"/>
                <w:szCs w:val="20"/>
              </w:rPr>
            </w:pPr>
            <w:r>
              <w:rPr>
                <w:rFonts w:eastAsia="Times New Roman"/>
                <w:sz w:val="20"/>
                <w:szCs w:val="20"/>
              </w:rPr>
              <w:t>(16,214</w:t>
            </w:r>
          </w:p>
        </w:tc>
        <w:tc>
          <w:tcPr>
            <w:tcW w:w="50" w:type="pct"/>
            <w:shd w:val="clear" w:color="auto" w:fill="CCEEFF"/>
            <w:vAlign w:val="bottom"/>
            <w:hideMark/>
          </w:tcPr>
          <w:p w14:paraId="3C2A9DEF" w14:textId="77777777" w:rsidR="00000000" w:rsidRDefault="00322B34">
            <w:pPr>
              <w:rPr>
                <w:rFonts w:eastAsia="Times New Roman"/>
                <w:sz w:val="20"/>
                <w:szCs w:val="20"/>
              </w:rPr>
            </w:pPr>
            <w:r>
              <w:rPr>
                <w:rFonts w:eastAsia="Times New Roman"/>
                <w:sz w:val="20"/>
                <w:szCs w:val="20"/>
              </w:rPr>
              <w:t>)</w:t>
            </w:r>
          </w:p>
        </w:tc>
      </w:tr>
      <w:tr w:rsidR="00000000" w14:paraId="6168DC22" w14:textId="77777777">
        <w:trPr>
          <w:divId w:val="1869636019"/>
          <w:tblCellSpacing w:w="0" w:type="dxa"/>
        </w:trPr>
        <w:tc>
          <w:tcPr>
            <w:tcW w:w="0" w:type="auto"/>
            <w:shd w:val="clear" w:color="auto" w:fill="FFFFFF"/>
            <w:vAlign w:val="bottom"/>
            <w:hideMark/>
          </w:tcPr>
          <w:p w14:paraId="0CB603B1" w14:textId="77777777" w:rsidR="00000000" w:rsidRDefault="00322B34">
            <w:pPr>
              <w:pStyle w:val="a3"/>
              <w:spacing w:before="0" w:beforeAutospacing="0" w:after="0" w:afterAutospacing="0"/>
              <w:ind w:left="360"/>
              <w:rPr>
                <w:sz w:val="20"/>
                <w:szCs w:val="20"/>
              </w:rPr>
            </w:pPr>
            <w:r>
              <w:rPr>
                <w:sz w:val="20"/>
                <w:szCs w:val="20"/>
              </w:rPr>
              <w:t>Reimbursements of investments in and advances to real estate joint ventures</w:t>
            </w:r>
          </w:p>
        </w:tc>
        <w:tc>
          <w:tcPr>
            <w:tcW w:w="50" w:type="pct"/>
            <w:shd w:val="clear" w:color="auto" w:fill="FFFFFF"/>
            <w:vAlign w:val="bottom"/>
            <w:hideMark/>
          </w:tcPr>
          <w:p w14:paraId="3DB846E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84450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A594A8E" w14:textId="77777777" w:rsidR="00000000" w:rsidRDefault="00322B34">
            <w:pPr>
              <w:jc w:val="right"/>
              <w:rPr>
                <w:rFonts w:eastAsia="Times New Roman"/>
                <w:sz w:val="20"/>
                <w:szCs w:val="20"/>
              </w:rPr>
            </w:pPr>
            <w:r>
              <w:rPr>
                <w:rFonts w:eastAsia="Times New Roman"/>
                <w:sz w:val="20"/>
                <w:szCs w:val="20"/>
              </w:rPr>
              <w:t>1,737</w:t>
            </w:r>
          </w:p>
        </w:tc>
        <w:tc>
          <w:tcPr>
            <w:tcW w:w="50" w:type="pct"/>
            <w:shd w:val="clear" w:color="auto" w:fill="FFFFFF"/>
            <w:vAlign w:val="bottom"/>
            <w:hideMark/>
          </w:tcPr>
          <w:p w14:paraId="3E8DECB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BF457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D8619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924874B" w14:textId="77777777" w:rsidR="00000000" w:rsidRDefault="00322B34">
            <w:pPr>
              <w:jc w:val="right"/>
              <w:rPr>
                <w:rFonts w:eastAsia="Times New Roman"/>
                <w:sz w:val="20"/>
                <w:szCs w:val="20"/>
              </w:rPr>
            </w:pPr>
            <w:r>
              <w:rPr>
                <w:rFonts w:eastAsia="Times New Roman"/>
                <w:sz w:val="20"/>
                <w:szCs w:val="20"/>
              </w:rPr>
              <w:t>2,702</w:t>
            </w:r>
          </w:p>
        </w:tc>
        <w:tc>
          <w:tcPr>
            <w:tcW w:w="50" w:type="pct"/>
            <w:shd w:val="clear" w:color="auto" w:fill="FFFFFF"/>
            <w:vAlign w:val="bottom"/>
            <w:hideMark/>
          </w:tcPr>
          <w:p w14:paraId="59670CF4" w14:textId="77777777" w:rsidR="00000000" w:rsidRDefault="00322B34">
            <w:pPr>
              <w:rPr>
                <w:rFonts w:eastAsia="Times New Roman"/>
                <w:sz w:val="20"/>
                <w:szCs w:val="20"/>
              </w:rPr>
            </w:pPr>
            <w:r>
              <w:rPr>
                <w:rFonts w:eastAsia="Times New Roman"/>
                <w:sz w:val="20"/>
                <w:szCs w:val="20"/>
              </w:rPr>
              <w:t> </w:t>
            </w:r>
          </w:p>
        </w:tc>
      </w:tr>
      <w:tr w:rsidR="00000000" w14:paraId="4C02EF23" w14:textId="77777777">
        <w:trPr>
          <w:divId w:val="1869636019"/>
          <w:tblCellSpacing w:w="0" w:type="dxa"/>
        </w:trPr>
        <w:tc>
          <w:tcPr>
            <w:tcW w:w="0" w:type="auto"/>
            <w:shd w:val="clear" w:color="auto" w:fill="CCEEFF"/>
            <w:vAlign w:val="bottom"/>
            <w:hideMark/>
          </w:tcPr>
          <w:p w14:paraId="0ED1E8FC" w14:textId="77777777" w:rsidR="00000000" w:rsidRDefault="00322B34">
            <w:pPr>
              <w:pStyle w:val="a3"/>
              <w:spacing w:before="0" w:beforeAutospacing="0" w:after="0" w:afterAutospacing="0"/>
              <w:ind w:left="360"/>
              <w:rPr>
                <w:sz w:val="20"/>
                <w:szCs w:val="20"/>
              </w:rPr>
            </w:pPr>
            <w:r>
              <w:rPr>
                <w:sz w:val="20"/>
                <w:szCs w:val="20"/>
              </w:rPr>
              <w:t>Investments in and advances to other real estate investments</w:t>
            </w:r>
          </w:p>
        </w:tc>
        <w:tc>
          <w:tcPr>
            <w:tcW w:w="50" w:type="pct"/>
            <w:shd w:val="clear" w:color="auto" w:fill="CCEEFF"/>
            <w:vAlign w:val="bottom"/>
            <w:hideMark/>
          </w:tcPr>
          <w:p w14:paraId="25E3BCD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D0BE9A"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F2CF7C1" w14:textId="77777777" w:rsidR="00000000" w:rsidRDefault="00322B34">
            <w:pPr>
              <w:jc w:val="right"/>
              <w:rPr>
                <w:rFonts w:eastAsia="Times New Roman"/>
                <w:sz w:val="20"/>
                <w:szCs w:val="20"/>
              </w:rPr>
            </w:pPr>
            <w:r>
              <w:rPr>
                <w:rFonts w:eastAsia="Times New Roman"/>
                <w:sz w:val="20"/>
                <w:szCs w:val="20"/>
              </w:rPr>
              <w:t>(1,278</w:t>
            </w:r>
          </w:p>
        </w:tc>
        <w:tc>
          <w:tcPr>
            <w:tcW w:w="50" w:type="pct"/>
            <w:shd w:val="clear" w:color="auto" w:fill="CCEEFF"/>
            <w:vAlign w:val="bottom"/>
            <w:hideMark/>
          </w:tcPr>
          <w:p w14:paraId="5B2990D6"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64A646E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FAA14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F09CB59" w14:textId="77777777" w:rsidR="00000000" w:rsidRDefault="00322B34">
            <w:pPr>
              <w:jc w:val="right"/>
              <w:rPr>
                <w:rFonts w:eastAsia="Times New Roman"/>
                <w:sz w:val="20"/>
                <w:szCs w:val="20"/>
              </w:rPr>
            </w:pPr>
            <w:r>
              <w:rPr>
                <w:rFonts w:eastAsia="Times New Roman"/>
                <w:sz w:val="20"/>
                <w:szCs w:val="20"/>
              </w:rPr>
              <w:t>(9,685</w:t>
            </w:r>
          </w:p>
        </w:tc>
        <w:tc>
          <w:tcPr>
            <w:tcW w:w="50" w:type="pct"/>
            <w:shd w:val="clear" w:color="auto" w:fill="CCEEFF"/>
            <w:vAlign w:val="bottom"/>
            <w:hideMark/>
          </w:tcPr>
          <w:p w14:paraId="35CB1C21" w14:textId="77777777" w:rsidR="00000000" w:rsidRDefault="00322B34">
            <w:pPr>
              <w:rPr>
                <w:rFonts w:eastAsia="Times New Roman"/>
                <w:sz w:val="20"/>
                <w:szCs w:val="20"/>
              </w:rPr>
            </w:pPr>
            <w:r>
              <w:rPr>
                <w:rFonts w:eastAsia="Times New Roman"/>
                <w:sz w:val="20"/>
                <w:szCs w:val="20"/>
              </w:rPr>
              <w:t>)</w:t>
            </w:r>
          </w:p>
        </w:tc>
      </w:tr>
      <w:tr w:rsidR="00000000" w14:paraId="49B4D814" w14:textId="77777777">
        <w:trPr>
          <w:divId w:val="1869636019"/>
          <w:tblCellSpacing w:w="0" w:type="dxa"/>
        </w:trPr>
        <w:tc>
          <w:tcPr>
            <w:tcW w:w="0" w:type="auto"/>
            <w:shd w:val="clear" w:color="auto" w:fill="FFFFFF"/>
            <w:vAlign w:val="bottom"/>
            <w:hideMark/>
          </w:tcPr>
          <w:p w14:paraId="279CE0B1" w14:textId="77777777" w:rsidR="00000000" w:rsidRDefault="00322B34">
            <w:pPr>
              <w:pStyle w:val="a3"/>
              <w:spacing w:before="0" w:beforeAutospacing="0" w:after="0" w:afterAutospacing="0"/>
              <w:ind w:left="360"/>
              <w:rPr>
                <w:sz w:val="20"/>
                <w:szCs w:val="20"/>
              </w:rPr>
            </w:pPr>
            <w:r>
              <w:rPr>
                <w:sz w:val="20"/>
                <w:szCs w:val="20"/>
              </w:rPr>
              <w:t>Reimbursements of investments in and advances to other real estate investments</w:t>
            </w:r>
          </w:p>
        </w:tc>
        <w:tc>
          <w:tcPr>
            <w:tcW w:w="50" w:type="pct"/>
            <w:shd w:val="clear" w:color="auto" w:fill="FFFFFF"/>
            <w:vAlign w:val="bottom"/>
            <w:hideMark/>
          </w:tcPr>
          <w:p w14:paraId="4864AB0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015B38"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41557F9"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1DCC31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366A0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8E92B7"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79F6035" w14:textId="77777777" w:rsidR="00000000" w:rsidRDefault="00322B34">
            <w:pPr>
              <w:jc w:val="right"/>
              <w:rPr>
                <w:rFonts w:eastAsia="Times New Roman"/>
                <w:sz w:val="20"/>
                <w:szCs w:val="20"/>
              </w:rPr>
            </w:pPr>
            <w:r>
              <w:rPr>
                <w:rFonts w:eastAsia="Times New Roman"/>
                <w:sz w:val="20"/>
                <w:szCs w:val="20"/>
              </w:rPr>
              <w:t>5,960</w:t>
            </w:r>
          </w:p>
        </w:tc>
        <w:tc>
          <w:tcPr>
            <w:tcW w:w="50" w:type="pct"/>
            <w:shd w:val="clear" w:color="auto" w:fill="FFFFFF"/>
            <w:vAlign w:val="bottom"/>
            <w:hideMark/>
          </w:tcPr>
          <w:p w14:paraId="083A900C" w14:textId="77777777" w:rsidR="00000000" w:rsidRDefault="00322B34">
            <w:pPr>
              <w:rPr>
                <w:rFonts w:eastAsia="Times New Roman"/>
                <w:sz w:val="20"/>
                <w:szCs w:val="20"/>
              </w:rPr>
            </w:pPr>
            <w:r>
              <w:rPr>
                <w:rFonts w:eastAsia="Times New Roman"/>
                <w:sz w:val="20"/>
                <w:szCs w:val="20"/>
              </w:rPr>
              <w:t> </w:t>
            </w:r>
          </w:p>
        </w:tc>
      </w:tr>
      <w:tr w:rsidR="00000000" w14:paraId="7234EA48" w14:textId="77777777">
        <w:trPr>
          <w:divId w:val="1869636019"/>
          <w:tblCellSpacing w:w="0" w:type="dxa"/>
        </w:trPr>
        <w:tc>
          <w:tcPr>
            <w:tcW w:w="0" w:type="auto"/>
            <w:shd w:val="clear" w:color="auto" w:fill="CCEEFF"/>
            <w:vAlign w:val="bottom"/>
            <w:hideMark/>
          </w:tcPr>
          <w:p w14:paraId="39D24830" w14:textId="77777777" w:rsidR="00000000" w:rsidRDefault="00322B34">
            <w:pPr>
              <w:pStyle w:val="a3"/>
              <w:spacing w:before="0" w:beforeAutospacing="0" w:after="0" w:afterAutospacing="0"/>
              <w:ind w:left="360"/>
              <w:rPr>
                <w:sz w:val="20"/>
                <w:szCs w:val="20"/>
              </w:rPr>
            </w:pPr>
            <w:r>
              <w:rPr>
                <w:sz w:val="20"/>
                <w:szCs w:val="20"/>
              </w:rPr>
              <w:t>Investment in other financing receivable</w:t>
            </w:r>
          </w:p>
        </w:tc>
        <w:tc>
          <w:tcPr>
            <w:tcW w:w="50" w:type="pct"/>
            <w:shd w:val="clear" w:color="auto" w:fill="CCEEFF"/>
            <w:vAlign w:val="bottom"/>
            <w:hideMark/>
          </w:tcPr>
          <w:p w14:paraId="532839D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40F11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B6DA0FF"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7C645D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71C52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A49181"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B6EC7C5" w14:textId="77777777" w:rsidR="00000000" w:rsidRDefault="00322B34">
            <w:pPr>
              <w:jc w:val="right"/>
              <w:rPr>
                <w:rFonts w:eastAsia="Times New Roman"/>
                <w:sz w:val="20"/>
                <w:szCs w:val="20"/>
              </w:rPr>
            </w:pPr>
            <w:r>
              <w:rPr>
                <w:rFonts w:eastAsia="Times New Roman"/>
                <w:sz w:val="20"/>
                <w:szCs w:val="20"/>
              </w:rPr>
              <w:t>(48</w:t>
            </w:r>
          </w:p>
        </w:tc>
        <w:tc>
          <w:tcPr>
            <w:tcW w:w="50" w:type="pct"/>
            <w:shd w:val="clear" w:color="auto" w:fill="CCEEFF"/>
            <w:vAlign w:val="bottom"/>
            <w:hideMark/>
          </w:tcPr>
          <w:p w14:paraId="63F2BC76" w14:textId="77777777" w:rsidR="00000000" w:rsidRDefault="00322B34">
            <w:pPr>
              <w:rPr>
                <w:rFonts w:eastAsia="Times New Roman"/>
                <w:sz w:val="20"/>
                <w:szCs w:val="20"/>
              </w:rPr>
            </w:pPr>
            <w:r>
              <w:rPr>
                <w:rFonts w:eastAsia="Times New Roman"/>
                <w:sz w:val="20"/>
                <w:szCs w:val="20"/>
              </w:rPr>
              <w:t>)</w:t>
            </w:r>
          </w:p>
        </w:tc>
      </w:tr>
      <w:tr w:rsidR="00000000" w14:paraId="1E3BF25D" w14:textId="77777777">
        <w:trPr>
          <w:divId w:val="1869636019"/>
          <w:tblCellSpacing w:w="0" w:type="dxa"/>
        </w:trPr>
        <w:tc>
          <w:tcPr>
            <w:tcW w:w="0" w:type="auto"/>
            <w:shd w:val="clear" w:color="auto" w:fill="FFFFFF"/>
            <w:vAlign w:val="bottom"/>
            <w:hideMark/>
          </w:tcPr>
          <w:p w14:paraId="730CD02D" w14:textId="77777777" w:rsidR="00000000" w:rsidRDefault="00322B34">
            <w:pPr>
              <w:pStyle w:val="a3"/>
              <w:spacing w:before="0" w:beforeAutospacing="0" w:after="0" w:afterAutospacing="0"/>
              <w:ind w:left="360"/>
              <w:rPr>
                <w:sz w:val="20"/>
                <w:szCs w:val="20"/>
              </w:rPr>
            </w:pPr>
            <w:r>
              <w:rPr>
                <w:sz w:val="20"/>
                <w:szCs w:val="20"/>
              </w:rPr>
              <w:t>Collection of mortgage loans receivable</w:t>
            </w:r>
          </w:p>
        </w:tc>
        <w:tc>
          <w:tcPr>
            <w:tcW w:w="50" w:type="pct"/>
            <w:shd w:val="clear" w:color="auto" w:fill="FFFFFF"/>
            <w:vAlign w:val="bottom"/>
            <w:hideMark/>
          </w:tcPr>
          <w:p w14:paraId="4D9B50A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71C55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9ACC764" w14:textId="77777777" w:rsidR="00000000" w:rsidRDefault="00322B34">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14:paraId="546A1BE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BE095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79624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9BC8B3F" w14:textId="77777777" w:rsidR="00000000" w:rsidRDefault="00322B34">
            <w:pPr>
              <w:jc w:val="right"/>
              <w:rPr>
                <w:rFonts w:eastAsia="Times New Roman"/>
                <w:sz w:val="20"/>
                <w:szCs w:val="20"/>
              </w:rPr>
            </w:pPr>
            <w:r>
              <w:rPr>
                <w:rFonts w:eastAsia="Times New Roman"/>
                <w:sz w:val="20"/>
                <w:szCs w:val="20"/>
              </w:rPr>
              <w:t>5,351</w:t>
            </w:r>
          </w:p>
        </w:tc>
        <w:tc>
          <w:tcPr>
            <w:tcW w:w="50" w:type="pct"/>
            <w:shd w:val="clear" w:color="auto" w:fill="FFFFFF"/>
            <w:vAlign w:val="bottom"/>
            <w:hideMark/>
          </w:tcPr>
          <w:p w14:paraId="3136CBFA" w14:textId="77777777" w:rsidR="00000000" w:rsidRDefault="00322B34">
            <w:pPr>
              <w:rPr>
                <w:rFonts w:eastAsia="Times New Roman"/>
                <w:sz w:val="20"/>
                <w:szCs w:val="20"/>
              </w:rPr>
            </w:pPr>
            <w:r>
              <w:rPr>
                <w:rFonts w:eastAsia="Times New Roman"/>
                <w:sz w:val="20"/>
                <w:szCs w:val="20"/>
              </w:rPr>
              <w:t> </w:t>
            </w:r>
          </w:p>
        </w:tc>
      </w:tr>
      <w:tr w:rsidR="00000000" w14:paraId="2083F97E" w14:textId="77777777">
        <w:trPr>
          <w:divId w:val="1869636019"/>
          <w:tblCellSpacing w:w="0" w:type="dxa"/>
        </w:trPr>
        <w:tc>
          <w:tcPr>
            <w:tcW w:w="0" w:type="auto"/>
            <w:shd w:val="clear" w:color="auto" w:fill="CCEEFF"/>
            <w:vAlign w:val="bottom"/>
            <w:hideMark/>
          </w:tcPr>
          <w:p w14:paraId="7CCDAAA1" w14:textId="77777777" w:rsidR="00000000" w:rsidRDefault="00322B34">
            <w:pPr>
              <w:pStyle w:val="a3"/>
              <w:spacing w:before="0" w:beforeAutospacing="0" w:after="0" w:afterAutospacing="0"/>
              <w:ind w:left="360"/>
              <w:rPr>
                <w:sz w:val="20"/>
                <w:szCs w:val="20"/>
              </w:rPr>
            </w:pPr>
            <w:r>
              <w:rPr>
                <w:sz w:val="20"/>
                <w:szCs w:val="20"/>
              </w:rPr>
              <w:t>Proceeds from sale of operating properties</w:t>
            </w:r>
          </w:p>
        </w:tc>
        <w:tc>
          <w:tcPr>
            <w:tcW w:w="50" w:type="pct"/>
            <w:shd w:val="clear" w:color="auto" w:fill="CCEEFF"/>
            <w:vAlign w:val="bottom"/>
            <w:hideMark/>
          </w:tcPr>
          <w:p w14:paraId="7917E25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5212C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BA6E535" w14:textId="77777777" w:rsidR="00000000" w:rsidRDefault="00322B34">
            <w:pPr>
              <w:jc w:val="right"/>
              <w:rPr>
                <w:rFonts w:eastAsia="Times New Roman"/>
                <w:sz w:val="20"/>
                <w:szCs w:val="20"/>
              </w:rPr>
            </w:pPr>
            <w:r>
              <w:rPr>
                <w:rFonts w:eastAsia="Times New Roman"/>
                <w:sz w:val="20"/>
                <w:szCs w:val="20"/>
              </w:rPr>
              <w:t>13,447</w:t>
            </w:r>
          </w:p>
        </w:tc>
        <w:tc>
          <w:tcPr>
            <w:tcW w:w="50" w:type="pct"/>
            <w:shd w:val="clear" w:color="auto" w:fill="CCEEFF"/>
            <w:vAlign w:val="bottom"/>
            <w:hideMark/>
          </w:tcPr>
          <w:p w14:paraId="4CB413B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646DC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D53F0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5DF6BB9" w14:textId="77777777" w:rsidR="00000000" w:rsidRDefault="00322B34">
            <w:pPr>
              <w:jc w:val="right"/>
              <w:rPr>
                <w:rFonts w:eastAsia="Times New Roman"/>
                <w:sz w:val="20"/>
                <w:szCs w:val="20"/>
              </w:rPr>
            </w:pPr>
            <w:r>
              <w:rPr>
                <w:rFonts w:eastAsia="Times New Roman"/>
                <w:sz w:val="20"/>
                <w:szCs w:val="20"/>
              </w:rPr>
              <w:t>106,782</w:t>
            </w:r>
          </w:p>
        </w:tc>
        <w:tc>
          <w:tcPr>
            <w:tcW w:w="50" w:type="pct"/>
            <w:shd w:val="clear" w:color="auto" w:fill="CCEEFF"/>
            <w:vAlign w:val="bottom"/>
            <w:hideMark/>
          </w:tcPr>
          <w:p w14:paraId="273467EF" w14:textId="77777777" w:rsidR="00000000" w:rsidRDefault="00322B34">
            <w:pPr>
              <w:rPr>
                <w:rFonts w:eastAsia="Times New Roman"/>
                <w:sz w:val="20"/>
                <w:szCs w:val="20"/>
              </w:rPr>
            </w:pPr>
            <w:r>
              <w:rPr>
                <w:rFonts w:eastAsia="Times New Roman"/>
                <w:sz w:val="20"/>
                <w:szCs w:val="20"/>
              </w:rPr>
              <w:t> </w:t>
            </w:r>
          </w:p>
        </w:tc>
      </w:tr>
      <w:tr w:rsidR="00000000" w14:paraId="7CC840AB" w14:textId="77777777">
        <w:trPr>
          <w:divId w:val="1869636019"/>
          <w:tblCellSpacing w:w="0" w:type="dxa"/>
        </w:trPr>
        <w:tc>
          <w:tcPr>
            <w:tcW w:w="0" w:type="auto"/>
            <w:shd w:val="clear" w:color="auto" w:fill="FFFFFF"/>
            <w:vAlign w:val="bottom"/>
            <w:hideMark/>
          </w:tcPr>
          <w:p w14:paraId="02071D0F" w14:textId="77777777" w:rsidR="00000000" w:rsidRDefault="00322B34">
            <w:pPr>
              <w:pStyle w:val="a3"/>
              <w:spacing w:before="0" w:beforeAutospacing="0" w:after="0" w:afterAutospacing="0"/>
              <w:ind w:left="360"/>
              <w:rPr>
                <w:sz w:val="20"/>
                <w:szCs w:val="20"/>
              </w:rPr>
            </w:pPr>
            <w:r>
              <w:rPr>
                <w:sz w:val="20"/>
                <w:szCs w:val="20"/>
              </w:rPr>
              <w:t>Proceeds from insurance casualty claims</w:t>
            </w:r>
          </w:p>
        </w:tc>
        <w:tc>
          <w:tcPr>
            <w:tcW w:w="50" w:type="pct"/>
            <w:shd w:val="clear" w:color="auto" w:fill="FFFFFF"/>
            <w:tcMar>
              <w:top w:w="0" w:type="dxa"/>
              <w:left w:w="0" w:type="dxa"/>
              <w:bottom w:w="15" w:type="dxa"/>
              <w:right w:w="0" w:type="dxa"/>
            </w:tcMar>
            <w:vAlign w:val="bottom"/>
            <w:hideMark/>
          </w:tcPr>
          <w:p w14:paraId="65F28A76"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4B6ABAF"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EE528C0" w14:textId="77777777" w:rsidR="00000000" w:rsidRDefault="00322B34">
            <w:pPr>
              <w:jc w:val="right"/>
              <w:rPr>
                <w:rFonts w:eastAsia="Times New Roman"/>
                <w:sz w:val="20"/>
                <w:szCs w:val="20"/>
              </w:rPr>
            </w:pPr>
            <w:r>
              <w:rPr>
                <w:rFonts w:eastAsia="Times New Roman"/>
                <w:sz w:val="20"/>
                <w:szCs w:val="20"/>
              </w:rPr>
              <w:t>2,450</w:t>
            </w:r>
          </w:p>
        </w:tc>
        <w:tc>
          <w:tcPr>
            <w:tcW w:w="50" w:type="pct"/>
            <w:shd w:val="clear" w:color="auto" w:fill="FFFFFF"/>
            <w:tcMar>
              <w:top w:w="0" w:type="dxa"/>
              <w:left w:w="0" w:type="dxa"/>
              <w:bottom w:w="15" w:type="dxa"/>
              <w:right w:w="0" w:type="dxa"/>
            </w:tcMar>
            <w:vAlign w:val="bottom"/>
            <w:hideMark/>
          </w:tcPr>
          <w:p w14:paraId="08590ED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B9C0834"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BF39D84"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BEE96A4" w14:textId="77777777" w:rsidR="00000000" w:rsidRDefault="00322B34">
            <w:pPr>
              <w:jc w:val="right"/>
              <w:rPr>
                <w:rFonts w:eastAsia="Times New Roman"/>
                <w:sz w:val="20"/>
                <w:szCs w:val="20"/>
              </w:rPr>
            </w:pPr>
            <w:r>
              <w:rPr>
                <w:rFonts w:eastAsia="Times New Roman"/>
                <w:sz w:val="20"/>
                <w:szCs w:val="20"/>
              </w:rPr>
              <w:t>2,000</w:t>
            </w:r>
          </w:p>
        </w:tc>
        <w:tc>
          <w:tcPr>
            <w:tcW w:w="50" w:type="pct"/>
            <w:shd w:val="clear" w:color="auto" w:fill="FFFFFF"/>
            <w:tcMar>
              <w:top w:w="0" w:type="dxa"/>
              <w:left w:w="0" w:type="dxa"/>
              <w:bottom w:w="15" w:type="dxa"/>
              <w:right w:w="0" w:type="dxa"/>
            </w:tcMar>
            <w:vAlign w:val="bottom"/>
            <w:hideMark/>
          </w:tcPr>
          <w:p w14:paraId="2B15C235" w14:textId="77777777" w:rsidR="00000000" w:rsidRDefault="00322B34">
            <w:pPr>
              <w:rPr>
                <w:rFonts w:eastAsia="Times New Roman"/>
                <w:sz w:val="20"/>
                <w:szCs w:val="20"/>
              </w:rPr>
            </w:pPr>
            <w:r>
              <w:rPr>
                <w:rFonts w:eastAsia="Times New Roman"/>
                <w:sz w:val="20"/>
                <w:szCs w:val="20"/>
              </w:rPr>
              <w:t> </w:t>
            </w:r>
          </w:p>
        </w:tc>
      </w:tr>
      <w:tr w:rsidR="00000000" w14:paraId="6224CC1D" w14:textId="77777777">
        <w:trPr>
          <w:divId w:val="1869636019"/>
          <w:tblCellSpacing w:w="0" w:type="dxa"/>
        </w:trPr>
        <w:tc>
          <w:tcPr>
            <w:tcW w:w="0" w:type="auto"/>
            <w:shd w:val="clear" w:color="auto" w:fill="CCEEFF"/>
            <w:vAlign w:val="bottom"/>
            <w:hideMark/>
          </w:tcPr>
          <w:p w14:paraId="2965E306" w14:textId="77777777" w:rsidR="00000000" w:rsidRDefault="00322B34">
            <w:pPr>
              <w:pStyle w:val="a3"/>
              <w:spacing w:before="0" w:beforeAutospacing="0" w:after="0" w:afterAutospacing="0"/>
              <w:ind w:left="720"/>
              <w:rPr>
                <w:sz w:val="20"/>
                <w:szCs w:val="20"/>
              </w:rPr>
            </w:pPr>
            <w:r>
              <w:rPr>
                <w:sz w:val="20"/>
                <w:szCs w:val="20"/>
              </w:rPr>
              <w:t>Net cash flow provided by/(used for) investing activities</w:t>
            </w:r>
          </w:p>
        </w:tc>
        <w:tc>
          <w:tcPr>
            <w:tcW w:w="50" w:type="pct"/>
            <w:shd w:val="clear" w:color="auto" w:fill="CCEEFF"/>
            <w:vAlign w:val="bottom"/>
            <w:hideMark/>
          </w:tcPr>
          <w:p w14:paraId="44C31D3E"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C45B8FB"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69D62669" w14:textId="77777777" w:rsidR="00000000" w:rsidRDefault="00322B34">
            <w:pPr>
              <w:jc w:val="right"/>
              <w:rPr>
                <w:rFonts w:eastAsia="Times New Roman"/>
                <w:sz w:val="20"/>
                <w:szCs w:val="20"/>
              </w:rPr>
            </w:pPr>
            <w:r>
              <w:rPr>
                <w:rFonts w:eastAsia="Times New Roman"/>
                <w:sz w:val="20"/>
                <w:szCs w:val="20"/>
              </w:rPr>
              <w:t>96,597</w:t>
            </w:r>
          </w:p>
        </w:tc>
        <w:tc>
          <w:tcPr>
            <w:tcW w:w="50" w:type="pct"/>
            <w:shd w:val="clear" w:color="auto" w:fill="CCEEFF"/>
            <w:tcMar>
              <w:top w:w="0" w:type="dxa"/>
              <w:left w:w="0" w:type="dxa"/>
              <w:bottom w:w="15" w:type="dxa"/>
              <w:right w:w="0" w:type="dxa"/>
            </w:tcMar>
            <w:vAlign w:val="bottom"/>
            <w:hideMark/>
          </w:tcPr>
          <w:p w14:paraId="578C70F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D5D5D8"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379A8D1"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D4E429A" w14:textId="77777777" w:rsidR="00000000" w:rsidRDefault="00322B34">
            <w:pPr>
              <w:jc w:val="right"/>
              <w:rPr>
                <w:rFonts w:eastAsia="Times New Roman"/>
                <w:sz w:val="20"/>
                <w:szCs w:val="20"/>
              </w:rPr>
            </w:pPr>
            <w:r>
              <w:rPr>
                <w:rFonts w:eastAsia="Times New Roman"/>
                <w:sz w:val="20"/>
                <w:szCs w:val="20"/>
              </w:rPr>
              <w:t>(100,519</w:t>
            </w:r>
          </w:p>
        </w:tc>
        <w:tc>
          <w:tcPr>
            <w:tcW w:w="50" w:type="pct"/>
            <w:shd w:val="clear" w:color="auto" w:fill="CCEEFF"/>
            <w:tcMar>
              <w:top w:w="0" w:type="dxa"/>
              <w:left w:w="0" w:type="dxa"/>
              <w:bottom w:w="15" w:type="dxa"/>
              <w:right w:w="0" w:type="dxa"/>
            </w:tcMar>
            <w:vAlign w:val="bottom"/>
            <w:hideMark/>
          </w:tcPr>
          <w:p w14:paraId="2E5DDE45" w14:textId="77777777" w:rsidR="00000000" w:rsidRDefault="00322B34">
            <w:pPr>
              <w:rPr>
                <w:rFonts w:eastAsia="Times New Roman"/>
                <w:sz w:val="20"/>
                <w:szCs w:val="20"/>
              </w:rPr>
            </w:pPr>
            <w:r>
              <w:rPr>
                <w:rFonts w:eastAsia="Times New Roman"/>
                <w:sz w:val="20"/>
                <w:szCs w:val="20"/>
              </w:rPr>
              <w:t>)</w:t>
            </w:r>
          </w:p>
        </w:tc>
      </w:tr>
      <w:tr w:rsidR="00000000" w14:paraId="7A9B971B" w14:textId="77777777">
        <w:trPr>
          <w:divId w:val="1869636019"/>
          <w:tblCellSpacing w:w="0" w:type="dxa"/>
        </w:trPr>
        <w:tc>
          <w:tcPr>
            <w:tcW w:w="0" w:type="auto"/>
            <w:shd w:val="clear" w:color="auto" w:fill="FFFFFF"/>
            <w:vAlign w:val="bottom"/>
            <w:hideMark/>
          </w:tcPr>
          <w:p w14:paraId="38B7669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E700C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1590E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65F4F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73A74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E46EA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76218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F0697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09FF7F" w14:textId="77777777" w:rsidR="00000000" w:rsidRDefault="00322B34">
            <w:pPr>
              <w:rPr>
                <w:rFonts w:eastAsia="Times New Roman"/>
                <w:sz w:val="20"/>
                <w:szCs w:val="20"/>
              </w:rPr>
            </w:pPr>
            <w:r>
              <w:rPr>
                <w:rFonts w:eastAsia="Times New Roman"/>
                <w:sz w:val="20"/>
                <w:szCs w:val="20"/>
              </w:rPr>
              <w:t> </w:t>
            </w:r>
          </w:p>
        </w:tc>
      </w:tr>
      <w:tr w:rsidR="00000000" w14:paraId="7EA046DC" w14:textId="77777777">
        <w:trPr>
          <w:divId w:val="1869636019"/>
          <w:tblCellSpacing w:w="0" w:type="dxa"/>
        </w:trPr>
        <w:tc>
          <w:tcPr>
            <w:tcW w:w="0" w:type="auto"/>
            <w:shd w:val="clear" w:color="auto" w:fill="CCEEFF"/>
            <w:vAlign w:val="bottom"/>
            <w:hideMark/>
          </w:tcPr>
          <w:p w14:paraId="3E00DD32" w14:textId="77777777" w:rsidR="00000000" w:rsidRDefault="00322B34">
            <w:pPr>
              <w:pStyle w:val="a3"/>
              <w:spacing w:before="0" w:beforeAutospacing="0" w:after="0" w:afterAutospacing="0"/>
              <w:rPr>
                <w:sz w:val="20"/>
                <w:szCs w:val="20"/>
              </w:rPr>
            </w:pPr>
            <w:r>
              <w:rPr>
                <w:sz w:val="20"/>
                <w:szCs w:val="20"/>
              </w:rPr>
              <w:t>Cash flow from financing activities:</w:t>
            </w:r>
          </w:p>
        </w:tc>
        <w:tc>
          <w:tcPr>
            <w:tcW w:w="0" w:type="auto"/>
            <w:shd w:val="clear" w:color="auto" w:fill="CCEEFF"/>
            <w:vAlign w:val="bottom"/>
            <w:hideMark/>
          </w:tcPr>
          <w:p w14:paraId="4232A0B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4BF58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180C1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94E7C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8DCA0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8CB34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C790B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07FDCB" w14:textId="77777777" w:rsidR="00000000" w:rsidRDefault="00322B34">
            <w:pPr>
              <w:rPr>
                <w:rFonts w:eastAsia="Times New Roman"/>
                <w:sz w:val="20"/>
                <w:szCs w:val="20"/>
              </w:rPr>
            </w:pPr>
            <w:r>
              <w:rPr>
                <w:rFonts w:eastAsia="Times New Roman"/>
                <w:sz w:val="20"/>
                <w:szCs w:val="20"/>
              </w:rPr>
              <w:t> </w:t>
            </w:r>
          </w:p>
        </w:tc>
      </w:tr>
      <w:tr w:rsidR="00000000" w14:paraId="095539F3" w14:textId="77777777">
        <w:trPr>
          <w:divId w:val="1869636019"/>
          <w:tblCellSpacing w:w="0" w:type="dxa"/>
        </w:trPr>
        <w:tc>
          <w:tcPr>
            <w:tcW w:w="0" w:type="auto"/>
            <w:shd w:val="clear" w:color="auto" w:fill="FFFFFF"/>
            <w:vAlign w:val="bottom"/>
            <w:hideMark/>
          </w:tcPr>
          <w:p w14:paraId="65CB5843" w14:textId="77777777" w:rsidR="00000000" w:rsidRDefault="00322B34">
            <w:pPr>
              <w:pStyle w:val="a3"/>
              <w:spacing w:before="0" w:beforeAutospacing="0" w:after="0" w:afterAutospacing="0"/>
              <w:ind w:left="360"/>
              <w:rPr>
                <w:sz w:val="20"/>
                <w:szCs w:val="20"/>
              </w:rPr>
            </w:pPr>
            <w:r>
              <w:rPr>
                <w:sz w:val="20"/>
                <w:szCs w:val="20"/>
              </w:rPr>
              <w:t>Principal payments on debt, excluding normal amortization of rental property debt</w:t>
            </w:r>
          </w:p>
        </w:tc>
        <w:tc>
          <w:tcPr>
            <w:tcW w:w="50" w:type="pct"/>
            <w:shd w:val="clear" w:color="auto" w:fill="FFFFFF"/>
            <w:vAlign w:val="bottom"/>
            <w:hideMark/>
          </w:tcPr>
          <w:p w14:paraId="4505E35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F095F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1B6187E" w14:textId="77777777" w:rsidR="00000000" w:rsidRDefault="00322B34">
            <w:pPr>
              <w:jc w:val="right"/>
              <w:rPr>
                <w:rFonts w:eastAsia="Times New Roman"/>
                <w:sz w:val="20"/>
                <w:szCs w:val="20"/>
              </w:rPr>
            </w:pPr>
            <w:r>
              <w:rPr>
                <w:rFonts w:eastAsia="Times New Roman"/>
                <w:sz w:val="20"/>
                <w:szCs w:val="20"/>
              </w:rPr>
              <w:t>(88,426</w:t>
            </w:r>
          </w:p>
        </w:tc>
        <w:tc>
          <w:tcPr>
            <w:tcW w:w="50" w:type="pct"/>
            <w:shd w:val="clear" w:color="auto" w:fill="FFFFFF"/>
            <w:vAlign w:val="bottom"/>
            <w:hideMark/>
          </w:tcPr>
          <w:p w14:paraId="21D68BF7"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3EC455A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17AA9D"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FF8F790" w14:textId="77777777" w:rsidR="00000000" w:rsidRDefault="00322B34">
            <w:pPr>
              <w:jc w:val="right"/>
              <w:rPr>
                <w:rFonts w:eastAsia="Times New Roman"/>
                <w:sz w:val="20"/>
                <w:szCs w:val="20"/>
              </w:rPr>
            </w:pPr>
            <w:r>
              <w:rPr>
                <w:rFonts w:eastAsia="Times New Roman"/>
                <w:sz w:val="20"/>
                <w:szCs w:val="20"/>
              </w:rPr>
              <w:t>(6,198</w:t>
            </w:r>
          </w:p>
        </w:tc>
        <w:tc>
          <w:tcPr>
            <w:tcW w:w="50" w:type="pct"/>
            <w:shd w:val="clear" w:color="auto" w:fill="FFFFFF"/>
            <w:vAlign w:val="bottom"/>
            <w:hideMark/>
          </w:tcPr>
          <w:p w14:paraId="6D3E47CB" w14:textId="77777777" w:rsidR="00000000" w:rsidRDefault="00322B34">
            <w:pPr>
              <w:rPr>
                <w:rFonts w:eastAsia="Times New Roman"/>
                <w:sz w:val="20"/>
                <w:szCs w:val="20"/>
              </w:rPr>
            </w:pPr>
            <w:r>
              <w:rPr>
                <w:rFonts w:eastAsia="Times New Roman"/>
                <w:sz w:val="20"/>
                <w:szCs w:val="20"/>
              </w:rPr>
              <w:t>)</w:t>
            </w:r>
          </w:p>
        </w:tc>
      </w:tr>
      <w:tr w:rsidR="00000000" w14:paraId="3381D2A2" w14:textId="77777777">
        <w:trPr>
          <w:divId w:val="1869636019"/>
          <w:tblCellSpacing w:w="0" w:type="dxa"/>
        </w:trPr>
        <w:tc>
          <w:tcPr>
            <w:tcW w:w="0" w:type="auto"/>
            <w:shd w:val="clear" w:color="auto" w:fill="CCEEFF"/>
            <w:vAlign w:val="bottom"/>
            <w:hideMark/>
          </w:tcPr>
          <w:p w14:paraId="259CD4DA" w14:textId="77777777" w:rsidR="00000000" w:rsidRDefault="00322B34">
            <w:pPr>
              <w:pStyle w:val="a3"/>
              <w:spacing w:before="0" w:beforeAutospacing="0" w:after="0" w:afterAutospacing="0"/>
              <w:ind w:left="360"/>
              <w:rPr>
                <w:sz w:val="20"/>
                <w:szCs w:val="20"/>
              </w:rPr>
            </w:pPr>
            <w:r>
              <w:rPr>
                <w:sz w:val="20"/>
                <w:szCs w:val="20"/>
              </w:rPr>
              <w:t>Principal payments on rental property debt</w:t>
            </w:r>
          </w:p>
        </w:tc>
        <w:tc>
          <w:tcPr>
            <w:tcW w:w="50" w:type="pct"/>
            <w:shd w:val="clear" w:color="auto" w:fill="CCEEFF"/>
            <w:vAlign w:val="bottom"/>
            <w:hideMark/>
          </w:tcPr>
          <w:p w14:paraId="0C9E842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41185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44FE70C" w14:textId="77777777" w:rsidR="00000000" w:rsidRDefault="00322B34">
            <w:pPr>
              <w:jc w:val="right"/>
              <w:rPr>
                <w:rFonts w:eastAsia="Times New Roman"/>
                <w:sz w:val="20"/>
                <w:szCs w:val="20"/>
              </w:rPr>
            </w:pPr>
            <w:r>
              <w:rPr>
                <w:rFonts w:eastAsia="Times New Roman"/>
                <w:sz w:val="20"/>
                <w:szCs w:val="20"/>
              </w:rPr>
              <w:t>(5,440</w:t>
            </w:r>
          </w:p>
        </w:tc>
        <w:tc>
          <w:tcPr>
            <w:tcW w:w="50" w:type="pct"/>
            <w:shd w:val="clear" w:color="auto" w:fill="CCEEFF"/>
            <w:vAlign w:val="bottom"/>
            <w:hideMark/>
          </w:tcPr>
          <w:p w14:paraId="785F9398"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5AE1F1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EA7192"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413AFD3" w14:textId="77777777" w:rsidR="00000000" w:rsidRDefault="00322B34">
            <w:pPr>
              <w:jc w:val="right"/>
              <w:rPr>
                <w:rFonts w:eastAsia="Times New Roman"/>
                <w:sz w:val="20"/>
                <w:szCs w:val="20"/>
              </w:rPr>
            </w:pPr>
            <w:r>
              <w:rPr>
                <w:rFonts w:eastAsia="Times New Roman"/>
                <w:sz w:val="20"/>
                <w:szCs w:val="20"/>
              </w:rPr>
              <w:t>(6,179</w:t>
            </w:r>
          </w:p>
        </w:tc>
        <w:tc>
          <w:tcPr>
            <w:tcW w:w="50" w:type="pct"/>
            <w:shd w:val="clear" w:color="auto" w:fill="CCEEFF"/>
            <w:vAlign w:val="bottom"/>
            <w:hideMark/>
          </w:tcPr>
          <w:p w14:paraId="124D1DED" w14:textId="77777777" w:rsidR="00000000" w:rsidRDefault="00322B34">
            <w:pPr>
              <w:rPr>
                <w:rFonts w:eastAsia="Times New Roman"/>
                <w:sz w:val="20"/>
                <w:szCs w:val="20"/>
              </w:rPr>
            </w:pPr>
            <w:r>
              <w:rPr>
                <w:rFonts w:eastAsia="Times New Roman"/>
                <w:sz w:val="20"/>
                <w:szCs w:val="20"/>
              </w:rPr>
              <w:t>)</w:t>
            </w:r>
          </w:p>
        </w:tc>
      </w:tr>
      <w:tr w:rsidR="00000000" w14:paraId="3DC09DAC" w14:textId="77777777">
        <w:trPr>
          <w:divId w:val="1869636019"/>
          <w:tblCellSpacing w:w="0" w:type="dxa"/>
        </w:trPr>
        <w:tc>
          <w:tcPr>
            <w:tcW w:w="0" w:type="auto"/>
            <w:shd w:val="clear" w:color="auto" w:fill="FFFFFF"/>
            <w:vAlign w:val="bottom"/>
            <w:hideMark/>
          </w:tcPr>
          <w:p w14:paraId="167A59E9" w14:textId="77777777" w:rsidR="00000000" w:rsidRDefault="00322B34">
            <w:pPr>
              <w:pStyle w:val="a3"/>
              <w:spacing w:before="0" w:beforeAutospacing="0" w:after="0" w:afterAutospacing="0"/>
              <w:ind w:left="360"/>
              <w:rPr>
                <w:sz w:val="20"/>
                <w:szCs w:val="20"/>
              </w:rPr>
            </w:pPr>
            <w:r>
              <w:rPr>
                <w:sz w:val="20"/>
                <w:szCs w:val="20"/>
              </w:rPr>
              <w:t>Proceeds from construction loan financing</w:t>
            </w:r>
          </w:p>
        </w:tc>
        <w:tc>
          <w:tcPr>
            <w:tcW w:w="50" w:type="pct"/>
            <w:shd w:val="clear" w:color="auto" w:fill="FFFFFF"/>
            <w:vAlign w:val="bottom"/>
            <w:hideMark/>
          </w:tcPr>
          <w:p w14:paraId="6ED7F6F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295756"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3086BB6"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5190D7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27759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D6DB07"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69D65BA" w14:textId="77777777" w:rsidR="00000000" w:rsidRDefault="00322B34">
            <w:pPr>
              <w:jc w:val="right"/>
              <w:rPr>
                <w:rFonts w:eastAsia="Times New Roman"/>
                <w:sz w:val="20"/>
                <w:szCs w:val="20"/>
              </w:rPr>
            </w:pPr>
            <w:r>
              <w:rPr>
                <w:rFonts w:eastAsia="Times New Roman"/>
                <w:sz w:val="20"/>
                <w:szCs w:val="20"/>
              </w:rPr>
              <w:t>7,149</w:t>
            </w:r>
          </w:p>
        </w:tc>
        <w:tc>
          <w:tcPr>
            <w:tcW w:w="50" w:type="pct"/>
            <w:shd w:val="clear" w:color="auto" w:fill="FFFFFF"/>
            <w:vAlign w:val="bottom"/>
            <w:hideMark/>
          </w:tcPr>
          <w:p w14:paraId="5F543D4D" w14:textId="77777777" w:rsidR="00000000" w:rsidRDefault="00322B34">
            <w:pPr>
              <w:rPr>
                <w:rFonts w:eastAsia="Times New Roman"/>
                <w:sz w:val="20"/>
                <w:szCs w:val="20"/>
              </w:rPr>
            </w:pPr>
            <w:r>
              <w:rPr>
                <w:rFonts w:eastAsia="Times New Roman"/>
                <w:sz w:val="20"/>
                <w:szCs w:val="20"/>
              </w:rPr>
              <w:t> </w:t>
            </w:r>
          </w:p>
        </w:tc>
      </w:tr>
      <w:tr w:rsidR="00000000" w14:paraId="35E7B688" w14:textId="77777777">
        <w:trPr>
          <w:divId w:val="1869636019"/>
          <w:tblCellSpacing w:w="0" w:type="dxa"/>
        </w:trPr>
        <w:tc>
          <w:tcPr>
            <w:tcW w:w="0" w:type="auto"/>
            <w:shd w:val="clear" w:color="auto" w:fill="CCEEFF"/>
            <w:vAlign w:val="bottom"/>
            <w:hideMark/>
          </w:tcPr>
          <w:p w14:paraId="216D9C23" w14:textId="77777777" w:rsidR="00000000" w:rsidRDefault="00322B34">
            <w:pPr>
              <w:pStyle w:val="a3"/>
              <w:spacing w:before="0" w:beforeAutospacing="0" w:after="0" w:afterAutospacing="0"/>
              <w:ind w:left="360"/>
              <w:rPr>
                <w:sz w:val="20"/>
                <w:szCs w:val="20"/>
              </w:rPr>
            </w:pPr>
            <w:r>
              <w:rPr>
                <w:sz w:val="20"/>
                <w:szCs w:val="20"/>
              </w:rPr>
              <w:t>(Repayments)/proceeds from the unsecured revolving credit facility, net</w:t>
            </w:r>
          </w:p>
        </w:tc>
        <w:tc>
          <w:tcPr>
            <w:tcW w:w="50" w:type="pct"/>
            <w:shd w:val="clear" w:color="auto" w:fill="CCEEFF"/>
            <w:vAlign w:val="bottom"/>
            <w:hideMark/>
          </w:tcPr>
          <w:p w14:paraId="050BBD9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74F94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88C3E88" w14:textId="77777777" w:rsidR="00000000" w:rsidRDefault="00322B34">
            <w:pPr>
              <w:jc w:val="right"/>
              <w:rPr>
                <w:rFonts w:eastAsia="Times New Roman"/>
                <w:sz w:val="20"/>
                <w:szCs w:val="20"/>
              </w:rPr>
            </w:pPr>
            <w:r>
              <w:rPr>
                <w:rFonts w:eastAsia="Times New Roman"/>
                <w:sz w:val="20"/>
                <w:szCs w:val="20"/>
              </w:rPr>
              <w:t>(200,000</w:t>
            </w:r>
          </w:p>
        </w:tc>
        <w:tc>
          <w:tcPr>
            <w:tcW w:w="50" w:type="pct"/>
            <w:shd w:val="clear" w:color="auto" w:fill="CCEEFF"/>
            <w:vAlign w:val="bottom"/>
            <w:hideMark/>
          </w:tcPr>
          <w:p w14:paraId="1747DF85"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3B56AB5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F6E62C"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8E8CBBF" w14:textId="77777777" w:rsidR="00000000" w:rsidRDefault="00322B34">
            <w:pPr>
              <w:jc w:val="right"/>
              <w:rPr>
                <w:rFonts w:eastAsia="Times New Roman"/>
                <w:sz w:val="20"/>
                <w:szCs w:val="20"/>
              </w:rPr>
            </w:pPr>
            <w:r>
              <w:rPr>
                <w:rFonts w:eastAsia="Times New Roman"/>
                <w:sz w:val="20"/>
                <w:szCs w:val="20"/>
              </w:rPr>
              <w:t>35,000</w:t>
            </w:r>
          </w:p>
        </w:tc>
        <w:tc>
          <w:tcPr>
            <w:tcW w:w="50" w:type="pct"/>
            <w:shd w:val="clear" w:color="auto" w:fill="CCEEFF"/>
            <w:vAlign w:val="bottom"/>
            <w:hideMark/>
          </w:tcPr>
          <w:p w14:paraId="25DD4D35" w14:textId="77777777" w:rsidR="00000000" w:rsidRDefault="00322B34">
            <w:pPr>
              <w:rPr>
                <w:rFonts w:eastAsia="Times New Roman"/>
                <w:sz w:val="20"/>
                <w:szCs w:val="20"/>
              </w:rPr>
            </w:pPr>
            <w:r>
              <w:rPr>
                <w:rFonts w:eastAsia="Times New Roman"/>
                <w:sz w:val="20"/>
                <w:szCs w:val="20"/>
              </w:rPr>
              <w:t> </w:t>
            </w:r>
          </w:p>
        </w:tc>
      </w:tr>
      <w:tr w:rsidR="00000000" w14:paraId="4B4BC0D1" w14:textId="77777777">
        <w:trPr>
          <w:divId w:val="1869636019"/>
          <w:tblCellSpacing w:w="0" w:type="dxa"/>
        </w:trPr>
        <w:tc>
          <w:tcPr>
            <w:tcW w:w="0" w:type="auto"/>
            <w:shd w:val="clear" w:color="auto" w:fill="FFFFFF"/>
            <w:vAlign w:val="center"/>
            <w:hideMark/>
          </w:tcPr>
          <w:p w14:paraId="155255CD" w14:textId="77777777" w:rsidR="00000000" w:rsidRDefault="00322B34">
            <w:pPr>
              <w:ind w:firstLine="360"/>
              <w:rPr>
                <w:rFonts w:eastAsia="Times New Roman"/>
                <w:sz w:val="20"/>
                <w:szCs w:val="20"/>
              </w:rPr>
            </w:pPr>
            <w:r>
              <w:rPr>
                <w:rFonts w:eastAsia="Times New Roman"/>
                <w:sz w:val="20"/>
                <w:szCs w:val="20"/>
              </w:rPr>
              <w:t>Proceeds from issuance of unsecured term loan</w:t>
            </w:r>
          </w:p>
        </w:tc>
        <w:tc>
          <w:tcPr>
            <w:tcW w:w="50" w:type="pct"/>
            <w:shd w:val="clear" w:color="auto" w:fill="FFFFFF"/>
            <w:vAlign w:val="center"/>
            <w:hideMark/>
          </w:tcPr>
          <w:p w14:paraId="12B25D83" w14:textId="77777777" w:rsidR="00000000" w:rsidRDefault="00322B34">
            <w:pPr>
              <w:ind w:firstLine="180"/>
              <w:rPr>
                <w:rFonts w:eastAsia="Times New Roman"/>
                <w:sz w:val="20"/>
                <w:szCs w:val="20"/>
              </w:rPr>
            </w:pPr>
            <w:r>
              <w:rPr>
                <w:rFonts w:eastAsia="Times New Roman"/>
                <w:sz w:val="20"/>
                <w:szCs w:val="20"/>
              </w:rPr>
              <w:t> </w:t>
            </w:r>
          </w:p>
        </w:tc>
        <w:tc>
          <w:tcPr>
            <w:tcW w:w="50" w:type="pct"/>
            <w:shd w:val="clear" w:color="auto" w:fill="FFFFFF"/>
            <w:vAlign w:val="center"/>
            <w:hideMark/>
          </w:tcPr>
          <w:p w14:paraId="5FBA1B5E"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center"/>
            <w:hideMark/>
          </w:tcPr>
          <w:p w14:paraId="01B8C882" w14:textId="77777777" w:rsidR="00000000" w:rsidRDefault="00322B34">
            <w:pPr>
              <w:jc w:val="right"/>
              <w:rPr>
                <w:rFonts w:eastAsia="Times New Roman"/>
                <w:sz w:val="20"/>
                <w:szCs w:val="20"/>
              </w:rPr>
            </w:pPr>
            <w:r>
              <w:rPr>
                <w:rFonts w:eastAsia="Times New Roman"/>
                <w:sz w:val="20"/>
                <w:szCs w:val="20"/>
              </w:rPr>
              <w:t>590,000</w:t>
            </w:r>
          </w:p>
        </w:tc>
        <w:tc>
          <w:tcPr>
            <w:tcW w:w="50" w:type="pct"/>
            <w:shd w:val="clear" w:color="auto" w:fill="FFFFFF"/>
            <w:vAlign w:val="center"/>
            <w:hideMark/>
          </w:tcPr>
          <w:p w14:paraId="28F0D12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center"/>
            <w:hideMark/>
          </w:tcPr>
          <w:p w14:paraId="3994D2A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center"/>
            <w:hideMark/>
          </w:tcPr>
          <w:p w14:paraId="1D617F4C"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center"/>
            <w:hideMark/>
          </w:tcPr>
          <w:p w14:paraId="405D5669"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center"/>
            <w:hideMark/>
          </w:tcPr>
          <w:p w14:paraId="57C8BEC7" w14:textId="77777777" w:rsidR="00000000" w:rsidRDefault="00322B34">
            <w:pPr>
              <w:rPr>
                <w:rFonts w:eastAsia="Times New Roman"/>
                <w:sz w:val="20"/>
                <w:szCs w:val="20"/>
              </w:rPr>
            </w:pPr>
            <w:r>
              <w:rPr>
                <w:rFonts w:eastAsia="Times New Roman"/>
                <w:sz w:val="20"/>
                <w:szCs w:val="20"/>
              </w:rPr>
              <w:t> </w:t>
            </w:r>
          </w:p>
        </w:tc>
      </w:tr>
      <w:tr w:rsidR="00000000" w14:paraId="2E45C5FD" w14:textId="77777777">
        <w:trPr>
          <w:divId w:val="1869636019"/>
          <w:tblCellSpacing w:w="0" w:type="dxa"/>
        </w:trPr>
        <w:tc>
          <w:tcPr>
            <w:tcW w:w="0" w:type="auto"/>
            <w:shd w:val="clear" w:color="auto" w:fill="CCEEFF"/>
            <w:vAlign w:val="center"/>
            <w:hideMark/>
          </w:tcPr>
          <w:p w14:paraId="3430FAAD" w14:textId="77777777" w:rsidR="00000000" w:rsidRDefault="00322B34">
            <w:pPr>
              <w:ind w:firstLine="360"/>
              <w:rPr>
                <w:rFonts w:eastAsia="Times New Roman"/>
                <w:sz w:val="20"/>
                <w:szCs w:val="20"/>
              </w:rPr>
            </w:pPr>
            <w:r>
              <w:rPr>
                <w:rFonts w:eastAsia="Times New Roman"/>
                <w:sz w:val="20"/>
                <w:szCs w:val="20"/>
              </w:rPr>
              <w:t>Repayments of unsecured term loan</w:t>
            </w:r>
          </w:p>
        </w:tc>
        <w:tc>
          <w:tcPr>
            <w:tcW w:w="50" w:type="pct"/>
            <w:shd w:val="clear" w:color="auto" w:fill="CCEEFF"/>
            <w:vAlign w:val="center"/>
            <w:hideMark/>
          </w:tcPr>
          <w:p w14:paraId="560D962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center"/>
            <w:hideMark/>
          </w:tcPr>
          <w:p w14:paraId="6245AE01"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center"/>
            <w:hideMark/>
          </w:tcPr>
          <w:p w14:paraId="26314EC8" w14:textId="77777777" w:rsidR="00000000" w:rsidRDefault="00322B34">
            <w:pPr>
              <w:jc w:val="right"/>
              <w:rPr>
                <w:rFonts w:eastAsia="Times New Roman"/>
                <w:sz w:val="20"/>
                <w:szCs w:val="20"/>
              </w:rPr>
            </w:pPr>
            <w:r>
              <w:rPr>
                <w:rFonts w:eastAsia="Times New Roman"/>
                <w:sz w:val="20"/>
                <w:szCs w:val="20"/>
              </w:rPr>
              <w:t>(265,000</w:t>
            </w:r>
          </w:p>
        </w:tc>
        <w:tc>
          <w:tcPr>
            <w:tcW w:w="50" w:type="pct"/>
            <w:shd w:val="clear" w:color="auto" w:fill="CCEEFF"/>
            <w:vAlign w:val="center"/>
            <w:hideMark/>
          </w:tcPr>
          <w:p w14:paraId="4CA81025"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center"/>
            <w:hideMark/>
          </w:tcPr>
          <w:p w14:paraId="66802BD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center"/>
            <w:hideMark/>
          </w:tcPr>
          <w:p w14:paraId="5E1EAD1F"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center"/>
            <w:hideMark/>
          </w:tcPr>
          <w:p w14:paraId="59E46C2E"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14:paraId="2B170C76" w14:textId="77777777" w:rsidR="00000000" w:rsidRDefault="00322B34">
            <w:pPr>
              <w:rPr>
                <w:rFonts w:eastAsia="Times New Roman"/>
                <w:sz w:val="20"/>
                <w:szCs w:val="20"/>
              </w:rPr>
            </w:pPr>
            <w:r>
              <w:rPr>
                <w:rFonts w:eastAsia="Times New Roman"/>
                <w:sz w:val="20"/>
                <w:szCs w:val="20"/>
              </w:rPr>
              <w:t> </w:t>
            </w:r>
          </w:p>
        </w:tc>
      </w:tr>
      <w:tr w:rsidR="00000000" w14:paraId="18EDABC3" w14:textId="77777777">
        <w:trPr>
          <w:divId w:val="1869636019"/>
          <w:tblCellSpacing w:w="0" w:type="dxa"/>
        </w:trPr>
        <w:tc>
          <w:tcPr>
            <w:tcW w:w="0" w:type="auto"/>
            <w:shd w:val="clear" w:color="auto" w:fill="FFFFFF"/>
            <w:vAlign w:val="bottom"/>
            <w:hideMark/>
          </w:tcPr>
          <w:p w14:paraId="45C93A73" w14:textId="77777777" w:rsidR="00000000" w:rsidRDefault="00322B34">
            <w:pPr>
              <w:pStyle w:val="a3"/>
              <w:spacing w:before="0" w:beforeAutospacing="0" w:after="0" w:afterAutospacing="0"/>
              <w:ind w:left="360"/>
              <w:rPr>
                <w:sz w:val="20"/>
                <w:szCs w:val="20"/>
              </w:rPr>
            </w:pPr>
            <w:r>
              <w:rPr>
                <w:sz w:val="20"/>
                <w:szCs w:val="20"/>
              </w:rPr>
              <w:t>Financing origination costs</w:t>
            </w:r>
          </w:p>
        </w:tc>
        <w:tc>
          <w:tcPr>
            <w:tcW w:w="50" w:type="pct"/>
            <w:shd w:val="clear" w:color="auto" w:fill="FFFFFF"/>
            <w:vAlign w:val="bottom"/>
            <w:hideMark/>
          </w:tcPr>
          <w:p w14:paraId="53D428D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2EA801"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1EFEC2E" w14:textId="77777777" w:rsidR="00000000" w:rsidRDefault="00322B34">
            <w:pPr>
              <w:jc w:val="right"/>
              <w:rPr>
                <w:rFonts w:eastAsia="Times New Roman"/>
                <w:sz w:val="20"/>
                <w:szCs w:val="20"/>
              </w:rPr>
            </w:pPr>
            <w:r>
              <w:rPr>
                <w:rFonts w:eastAsia="Times New Roman"/>
                <w:sz w:val="20"/>
                <w:szCs w:val="20"/>
              </w:rPr>
              <w:t>(6,422</w:t>
            </w:r>
          </w:p>
        </w:tc>
        <w:tc>
          <w:tcPr>
            <w:tcW w:w="50" w:type="pct"/>
            <w:shd w:val="clear" w:color="auto" w:fill="FFFFFF"/>
            <w:vAlign w:val="bottom"/>
            <w:hideMark/>
          </w:tcPr>
          <w:p w14:paraId="7C4474ED"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6946AE9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A4D8DB"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A202904" w14:textId="77777777" w:rsidR="00000000" w:rsidRDefault="00322B34">
            <w:pPr>
              <w:jc w:val="right"/>
              <w:rPr>
                <w:rFonts w:eastAsia="Times New Roman"/>
                <w:sz w:val="20"/>
                <w:szCs w:val="20"/>
              </w:rPr>
            </w:pPr>
            <w:r>
              <w:rPr>
                <w:rFonts w:eastAsia="Times New Roman"/>
                <w:sz w:val="20"/>
                <w:szCs w:val="20"/>
              </w:rPr>
              <w:t>(7</w:t>
            </w:r>
          </w:p>
        </w:tc>
        <w:tc>
          <w:tcPr>
            <w:tcW w:w="50" w:type="pct"/>
            <w:shd w:val="clear" w:color="auto" w:fill="FFFFFF"/>
            <w:vAlign w:val="bottom"/>
            <w:hideMark/>
          </w:tcPr>
          <w:p w14:paraId="6ED26806" w14:textId="77777777" w:rsidR="00000000" w:rsidRDefault="00322B34">
            <w:pPr>
              <w:rPr>
                <w:rFonts w:eastAsia="Times New Roman"/>
                <w:sz w:val="20"/>
                <w:szCs w:val="20"/>
              </w:rPr>
            </w:pPr>
            <w:r>
              <w:rPr>
                <w:rFonts w:eastAsia="Times New Roman"/>
                <w:sz w:val="20"/>
                <w:szCs w:val="20"/>
              </w:rPr>
              <w:t>)</w:t>
            </w:r>
          </w:p>
        </w:tc>
      </w:tr>
      <w:tr w:rsidR="00000000" w14:paraId="04F6C569" w14:textId="77777777">
        <w:trPr>
          <w:divId w:val="1869636019"/>
          <w:tblCellSpacing w:w="0" w:type="dxa"/>
        </w:trPr>
        <w:tc>
          <w:tcPr>
            <w:tcW w:w="0" w:type="auto"/>
            <w:shd w:val="clear" w:color="auto" w:fill="CCEEFF"/>
            <w:vAlign w:val="bottom"/>
            <w:hideMark/>
          </w:tcPr>
          <w:p w14:paraId="70E31BCC" w14:textId="77777777" w:rsidR="00000000" w:rsidRDefault="00322B34">
            <w:pPr>
              <w:pStyle w:val="a3"/>
              <w:spacing w:before="0" w:beforeAutospacing="0" w:after="0" w:afterAutospacing="0"/>
              <w:ind w:left="360"/>
              <w:rPr>
                <w:sz w:val="20"/>
                <w:szCs w:val="20"/>
              </w:rPr>
            </w:pPr>
            <w:r>
              <w:rPr>
                <w:sz w:val="20"/>
                <w:szCs w:val="20"/>
              </w:rPr>
              <w:t>Payment of early extinguishment of debt charges</w:t>
            </w:r>
          </w:p>
        </w:tc>
        <w:tc>
          <w:tcPr>
            <w:tcW w:w="50" w:type="pct"/>
            <w:shd w:val="clear" w:color="auto" w:fill="CCEEFF"/>
            <w:vAlign w:val="bottom"/>
            <w:hideMark/>
          </w:tcPr>
          <w:p w14:paraId="53AE57A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653C91"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0D16888"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CA40BC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650AD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5CC3DF"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0D33AF2" w14:textId="77777777" w:rsidR="00000000" w:rsidRDefault="00322B34">
            <w:pPr>
              <w:jc w:val="right"/>
              <w:rPr>
                <w:rFonts w:eastAsia="Times New Roman"/>
                <w:sz w:val="20"/>
                <w:szCs w:val="20"/>
              </w:rPr>
            </w:pPr>
            <w:r>
              <w:rPr>
                <w:rFonts w:eastAsia="Times New Roman"/>
                <w:sz w:val="20"/>
                <w:szCs w:val="20"/>
              </w:rPr>
              <w:t>(1,531</w:t>
            </w:r>
          </w:p>
        </w:tc>
        <w:tc>
          <w:tcPr>
            <w:tcW w:w="50" w:type="pct"/>
            <w:shd w:val="clear" w:color="auto" w:fill="CCEEFF"/>
            <w:vAlign w:val="bottom"/>
            <w:hideMark/>
          </w:tcPr>
          <w:p w14:paraId="22893659" w14:textId="77777777" w:rsidR="00000000" w:rsidRDefault="00322B34">
            <w:pPr>
              <w:rPr>
                <w:rFonts w:eastAsia="Times New Roman"/>
                <w:sz w:val="20"/>
                <w:szCs w:val="20"/>
              </w:rPr>
            </w:pPr>
            <w:r>
              <w:rPr>
                <w:rFonts w:eastAsia="Times New Roman"/>
                <w:sz w:val="20"/>
                <w:szCs w:val="20"/>
              </w:rPr>
              <w:t>)</w:t>
            </w:r>
          </w:p>
        </w:tc>
      </w:tr>
      <w:tr w:rsidR="00000000" w14:paraId="292718BD" w14:textId="77777777">
        <w:trPr>
          <w:divId w:val="1869636019"/>
          <w:tblCellSpacing w:w="0" w:type="dxa"/>
        </w:trPr>
        <w:tc>
          <w:tcPr>
            <w:tcW w:w="0" w:type="auto"/>
            <w:shd w:val="clear" w:color="auto" w:fill="FFFFFF"/>
            <w:vAlign w:val="bottom"/>
            <w:hideMark/>
          </w:tcPr>
          <w:p w14:paraId="09FFEECA" w14:textId="77777777" w:rsidR="00000000" w:rsidRDefault="00322B34">
            <w:pPr>
              <w:pStyle w:val="a3"/>
              <w:spacing w:before="0" w:beforeAutospacing="0" w:after="0" w:afterAutospacing="0"/>
              <w:ind w:left="360"/>
              <w:rPr>
                <w:sz w:val="20"/>
                <w:szCs w:val="20"/>
              </w:rPr>
            </w:pPr>
            <w:r>
              <w:rPr>
                <w:sz w:val="20"/>
                <w:szCs w:val="20"/>
              </w:rPr>
              <w:t>Contributions from noncontrolling interests</w:t>
            </w:r>
          </w:p>
        </w:tc>
        <w:tc>
          <w:tcPr>
            <w:tcW w:w="50" w:type="pct"/>
            <w:shd w:val="clear" w:color="auto" w:fill="FFFFFF"/>
            <w:vAlign w:val="bottom"/>
            <w:hideMark/>
          </w:tcPr>
          <w:p w14:paraId="3A78843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74FABD"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EC3E672" w14:textId="77777777" w:rsidR="00000000" w:rsidRDefault="00322B34">
            <w:pPr>
              <w:jc w:val="right"/>
              <w:rPr>
                <w:rFonts w:eastAsia="Times New Roman"/>
                <w:sz w:val="20"/>
                <w:szCs w:val="20"/>
              </w:rPr>
            </w:pPr>
            <w:r>
              <w:rPr>
                <w:rFonts w:eastAsia="Times New Roman"/>
                <w:sz w:val="20"/>
                <w:szCs w:val="20"/>
              </w:rPr>
              <w:t>109</w:t>
            </w:r>
          </w:p>
        </w:tc>
        <w:tc>
          <w:tcPr>
            <w:tcW w:w="50" w:type="pct"/>
            <w:shd w:val="clear" w:color="auto" w:fill="FFFFFF"/>
            <w:vAlign w:val="bottom"/>
            <w:hideMark/>
          </w:tcPr>
          <w:p w14:paraId="6C6C8FA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D1188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A782F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857D184"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C0D66A1" w14:textId="77777777" w:rsidR="00000000" w:rsidRDefault="00322B34">
            <w:pPr>
              <w:rPr>
                <w:rFonts w:eastAsia="Times New Roman"/>
                <w:sz w:val="20"/>
                <w:szCs w:val="20"/>
              </w:rPr>
            </w:pPr>
            <w:r>
              <w:rPr>
                <w:rFonts w:eastAsia="Times New Roman"/>
                <w:sz w:val="20"/>
                <w:szCs w:val="20"/>
              </w:rPr>
              <w:t> </w:t>
            </w:r>
          </w:p>
        </w:tc>
      </w:tr>
      <w:tr w:rsidR="00000000" w14:paraId="19122E97" w14:textId="77777777">
        <w:trPr>
          <w:divId w:val="1869636019"/>
          <w:tblCellSpacing w:w="0" w:type="dxa"/>
        </w:trPr>
        <w:tc>
          <w:tcPr>
            <w:tcW w:w="0" w:type="auto"/>
            <w:shd w:val="clear" w:color="auto" w:fill="CCEEFF"/>
            <w:vAlign w:val="bottom"/>
            <w:hideMark/>
          </w:tcPr>
          <w:p w14:paraId="5BECD403" w14:textId="77777777" w:rsidR="00000000" w:rsidRDefault="00322B34">
            <w:pPr>
              <w:pStyle w:val="a3"/>
              <w:spacing w:before="0" w:beforeAutospacing="0" w:after="0" w:afterAutospacing="0"/>
              <w:ind w:left="360"/>
              <w:rPr>
                <w:sz w:val="20"/>
                <w:szCs w:val="20"/>
              </w:rPr>
            </w:pPr>
            <w:r>
              <w:rPr>
                <w:sz w:val="20"/>
                <w:szCs w:val="20"/>
              </w:rPr>
              <w:t>Redemption/distribution of noncontrolling interests</w:t>
            </w:r>
          </w:p>
        </w:tc>
        <w:tc>
          <w:tcPr>
            <w:tcW w:w="50" w:type="pct"/>
            <w:shd w:val="clear" w:color="auto" w:fill="CCEEFF"/>
            <w:vAlign w:val="bottom"/>
            <w:hideMark/>
          </w:tcPr>
          <w:p w14:paraId="278E70A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83756E"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43CC57E" w14:textId="77777777" w:rsidR="00000000" w:rsidRDefault="00322B34">
            <w:pPr>
              <w:jc w:val="right"/>
              <w:rPr>
                <w:rFonts w:eastAsia="Times New Roman"/>
                <w:sz w:val="20"/>
                <w:szCs w:val="20"/>
              </w:rPr>
            </w:pPr>
            <w:r>
              <w:rPr>
                <w:rFonts w:eastAsia="Times New Roman"/>
                <w:sz w:val="20"/>
                <w:szCs w:val="20"/>
              </w:rPr>
              <w:t>(22,123</w:t>
            </w:r>
          </w:p>
        </w:tc>
        <w:tc>
          <w:tcPr>
            <w:tcW w:w="50" w:type="pct"/>
            <w:shd w:val="clear" w:color="auto" w:fill="CCEEFF"/>
            <w:vAlign w:val="bottom"/>
            <w:hideMark/>
          </w:tcPr>
          <w:p w14:paraId="1A714605"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698001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4836C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D69D0D3" w14:textId="77777777" w:rsidR="00000000" w:rsidRDefault="00322B34">
            <w:pPr>
              <w:jc w:val="right"/>
              <w:rPr>
                <w:rFonts w:eastAsia="Times New Roman"/>
                <w:sz w:val="20"/>
                <w:szCs w:val="20"/>
              </w:rPr>
            </w:pPr>
            <w:r>
              <w:rPr>
                <w:rFonts w:eastAsia="Times New Roman"/>
                <w:sz w:val="20"/>
                <w:szCs w:val="20"/>
              </w:rPr>
              <w:t>(4,060</w:t>
            </w:r>
          </w:p>
        </w:tc>
        <w:tc>
          <w:tcPr>
            <w:tcW w:w="50" w:type="pct"/>
            <w:shd w:val="clear" w:color="auto" w:fill="CCEEFF"/>
            <w:vAlign w:val="bottom"/>
            <w:hideMark/>
          </w:tcPr>
          <w:p w14:paraId="1F7CFD67" w14:textId="77777777" w:rsidR="00000000" w:rsidRDefault="00322B34">
            <w:pPr>
              <w:rPr>
                <w:rFonts w:eastAsia="Times New Roman"/>
                <w:sz w:val="20"/>
                <w:szCs w:val="20"/>
              </w:rPr>
            </w:pPr>
            <w:r>
              <w:rPr>
                <w:rFonts w:eastAsia="Times New Roman"/>
                <w:sz w:val="20"/>
                <w:szCs w:val="20"/>
              </w:rPr>
              <w:t>)</w:t>
            </w:r>
          </w:p>
        </w:tc>
      </w:tr>
      <w:tr w:rsidR="00000000" w14:paraId="068FAAD4" w14:textId="77777777">
        <w:trPr>
          <w:divId w:val="1869636019"/>
          <w:tblCellSpacing w:w="0" w:type="dxa"/>
        </w:trPr>
        <w:tc>
          <w:tcPr>
            <w:tcW w:w="0" w:type="auto"/>
            <w:shd w:val="clear" w:color="auto" w:fill="FFFFFF"/>
            <w:vAlign w:val="bottom"/>
            <w:hideMark/>
          </w:tcPr>
          <w:p w14:paraId="699205FC" w14:textId="77777777" w:rsidR="00000000" w:rsidRDefault="00322B34">
            <w:pPr>
              <w:pStyle w:val="a3"/>
              <w:spacing w:before="0" w:beforeAutospacing="0" w:after="0" w:afterAutospacing="0"/>
              <w:ind w:left="360"/>
              <w:rPr>
                <w:sz w:val="20"/>
                <w:szCs w:val="20"/>
              </w:rPr>
            </w:pPr>
            <w:r>
              <w:rPr>
                <w:sz w:val="20"/>
                <w:szCs w:val="20"/>
              </w:rPr>
              <w:t>Dividends paid</w:t>
            </w:r>
          </w:p>
        </w:tc>
        <w:tc>
          <w:tcPr>
            <w:tcW w:w="50" w:type="pct"/>
            <w:shd w:val="clear" w:color="auto" w:fill="FFFFFF"/>
            <w:vAlign w:val="bottom"/>
            <w:hideMark/>
          </w:tcPr>
          <w:p w14:paraId="21FC780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966CF4"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EDEAB80" w14:textId="77777777" w:rsidR="00000000" w:rsidRDefault="00322B34">
            <w:pPr>
              <w:jc w:val="right"/>
              <w:rPr>
                <w:rFonts w:eastAsia="Times New Roman"/>
                <w:sz w:val="20"/>
                <w:szCs w:val="20"/>
              </w:rPr>
            </w:pPr>
            <w:r>
              <w:rPr>
                <w:rFonts w:eastAsia="Times New Roman"/>
                <w:sz w:val="20"/>
                <w:szCs w:val="20"/>
              </w:rPr>
              <w:t>(254,716</w:t>
            </w:r>
          </w:p>
        </w:tc>
        <w:tc>
          <w:tcPr>
            <w:tcW w:w="50" w:type="pct"/>
            <w:shd w:val="clear" w:color="auto" w:fill="FFFFFF"/>
            <w:vAlign w:val="bottom"/>
            <w:hideMark/>
          </w:tcPr>
          <w:p w14:paraId="7F6625D6"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0CC688D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7D658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0AC73FC" w14:textId="77777777" w:rsidR="00000000" w:rsidRDefault="00322B34">
            <w:pPr>
              <w:jc w:val="right"/>
              <w:rPr>
                <w:rFonts w:eastAsia="Times New Roman"/>
                <w:sz w:val="20"/>
                <w:szCs w:val="20"/>
              </w:rPr>
            </w:pPr>
            <w:r>
              <w:rPr>
                <w:rFonts w:eastAsia="Times New Roman"/>
                <w:sz w:val="20"/>
                <w:szCs w:val="20"/>
              </w:rPr>
              <w:t>(265,226</w:t>
            </w:r>
          </w:p>
        </w:tc>
        <w:tc>
          <w:tcPr>
            <w:tcW w:w="50" w:type="pct"/>
            <w:shd w:val="clear" w:color="auto" w:fill="FFFFFF"/>
            <w:vAlign w:val="bottom"/>
            <w:hideMark/>
          </w:tcPr>
          <w:p w14:paraId="52EA6E20" w14:textId="77777777" w:rsidR="00000000" w:rsidRDefault="00322B34">
            <w:pPr>
              <w:rPr>
                <w:rFonts w:eastAsia="Times New Roman"/>
                <w:sz w:val="20"/>
                <w:szCs w:val="20"/>
              </w:rPr>
            </w:pPr>
            <w:r>
              <w:rPr>
                <w:rFonts w:eastAsia="Times New Roman"/>
                <w:sz w:val="20"/>
                <w:szCs w:val="20"/>
              </w:rPr>
              <w:t>)</w:t>
            </w:r>
          </w:p>
        </w:tc>
      </w:tr>
      <w:tr w:rsidR="00000000" w14:paraId="21E249E8" w14:textId="77777777">
        <w:trPr>
          <w:divId w:val="1869636019"/>
          <w:tblCellSpacing w:w="0" w:type="dxa"/>
        </w:trPr>
        <w:tc>
          <w:tcPr>
            <w:tcW w:w="0" w:type="auto"/>
            <w:shd w:val="clear" w:color="auto" w:fill="CCEEFF"/>
            <w:vAlign w:val="bottom"/>
            <w:hideMark/>
          </w:tcPr>
          <w:p w14:paraId="50993B64" w14:textId="77777777" w:rsidR="00000000" w:rsidRDefault="00322B34">
            <w:pPr>
              <w:pStyle w:val="a3"/>
              <w:spacing w:before="0" w:beforeAutospacing="0" w:after="0" w:afterAutospacing="0"/>
              <w:ind w:left="360"/>
              <w:rPr>
                <w:sz w:val="20"/>
                <w:szCs w:val="20"/>
              </w:rPr>
            </w:pPr>
            <w:r>
              <w:rPr>
                <w:sz w:val="20"/>
                <w:szCs w:val="20"/>
              </w:rPr>
              <w:t>Proceeds from issuance of stock, net</w:t>
            </w:r>
          </w:p>
        </w:tc>
        <w:tc>
          <w:tcPr>
            <w:tcW w:w="50" w:type="pct"/>
            <w:shd w:val="clear" w:color="auto" w:fill="CCEEFF"/>
            <w:vAlign w:val="bottom"/>
            <w:hideMark/>
          </w:tcPr>
          <w:p w14:paraId="218843E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A1767F"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44B927E" w14:textId="77777777" w:rsidR="00000000" w:rsidRDefault="00322B34">
            <w:pPr>
              <w:jc w:val="right"/>
              <w:rPr>
                <w:rFonts w:eastAsia="Times New Roman"/>
                <w:sz w:val="20"/>
                <w:szCs w:val="20"/>
              </w:rPr>
            </w:pPr>
            <w:r>
              <w:rPr>
                <w:rFonts w:eastAsia="Times New Roman"/>
                <w:sz w:val="20"/>
                <w:szCs w:val="20"/>
              </w:rPr>
              <w:t>981</w:t>
            </w:r>
          </w:p>
        </w:tc>
        <w:tc>
          <w:tcPr>
            <w:tcW w:w="50" w:type="pct"/>
            <w:shd w:val="clear" w:color="auto" w:fill="CCEEFF"/>
            <w:vAlign w:val="bottom"/>
            <w:hideMark/>
          </w:tcPr>
          <w:p w14:paraId="423FD9F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9AC68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BF2068"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14AF6D2" w14:textId="77777777" w:rsidR="00000000" w:rsidRDefault="00322B34">
            <w:pPr>
              <w:jc w:val="right"/>
              <w:rPr>
                <w:rFonts w:eastAsia="Times New Roman"/>
                <w:sz w:val="20"/>
                <w:szCs w:val="20"/>
              </w:rPr>
            </w:pPr>
            <w:r>
              <w:rPr>
                <w:rFonts w:eastAsia="Times New Roman"/>
                <w:sz w:val="20"/>
                <w:szCs w:val="20"/>
              </w:rPr>
              <w:t>1,811</w:t>
            </w:r>
          </w:p>
        </w:tc>
        <w:tc>
          <w:tcPr>
            <w:tcW w:w="50" w:type="pct"/>
            <w:shd w:val="clear" w:color="auto" w:fill="CCEEFF"/>
            <w:vAlign w:val="bottom"/>
            <w:hideMark/>
          </w:tcPr>
          <w:p w14:paraId="23EBA33E" w14:textId="77777777" w:rsidR="00000000" w:rsidRDefault="00322B34">
            <w:pPr>
              <w:rPr>
                <w:rFonts w:eastAsia="Times New Roman"/>
                <w:sz w:val="20"/>
                <w:szCs w:val="20"/>
              </w:rPr>
            </w:pPr>
            <w:r>
              <w:rPr>
                <w:rFonts w:eastAsia="Times New Roman"/>
                <w:sz w:val="20"/>
                <w:szCs w:val="20"/>
              </w:rPr>
              <w:t> </w:t>
            </w:r>
          </w:p>
        </w:tc>
      </w:tr>
      <w:tr w:rsidR="00000000" w14:paraId="2F9F7EE1" w14:textId="77777777">
        <w:trPr>
          <w:divId w:val="1869636019"/>
          <w:tblCellSpacing w:w="0" w:type="dxa"/>
        </w:trPr>
        <w:tc>
          <w:tcPr>
            <w:tcW w:w="0" w:type="auto"/>
            <w:shd w:val="clear" w:color="auto" w:fill="FFFFFF"/>
            <w:vAlign w:val="bottom"/>
            <w:hideMark/>
          </w:tcPr>
          <w:p w14:paraId="013A0E98" w14:textId="77777777" w:rsidR="00000000" w:rsidRDefault="00322B34">
            <w:pPr>
              <w:pStyle w:val="a3"/>
              <w:spacing w:before="0" w:beforeAutospacing="0" w:after="0" w:afterAutospacing="0"/>
              <w:ind w:left="360"/>
              <w:rPr>
                <w:sz w:val="20"/>
                <w:szCs w:val="20"/>
              </w:rPr>
            </w:pPr>
            <w:r>
              <w:rPr>
                <w:sz w:val="20"/>
                <w:szCs w:val="20"/>
              </w:rPr>
              <w:t>Change in other financing liabilities</w:t>
            </w:r>
          </w:p>
        </w:tc>
        <w:tc>
          <w:tcPr>
            <w:tcW w:w="50" w:type="pct"/>
            <w:shd w:val="clear" w:color="auto" w:fill="FFFFFF"/>
            <w:tcMar>
              <w:top w:w="0" w:type="dxa"/>
              <w:left w:w="0" w:type="dxa"/>
              <w:bottom w:w="15" w:type="dxa"/>
              <w:right w:w="0" w:type="dxa"/>
            </w:tcMar>
            <w:vAlign w:val="bottom"/>
            <w:hideMark/>
          </w:tcPr>
          <w:p w14:paraId="2B4E915F"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02BAD2D"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69F5727" w14:textId="77777777" w:rsidR="00000000" w:rsidRDefault="00322B34">
            <w:pPr>
              <w:jc w:val="right"/>
              <w:rPr>
                <w:rFonts w:eastAsia="Times New Roman"/>
                <w:sz w:val="20"/>
                <w:szCs w:val="20"/>
              </w:rPr>
            </w:pPr>
            <w:r>
              <w:rPr>
                <w:rFonts w:eastAsia="Times New Roman"/>
                <w:sz w:val="20"/>
                <w:szCs w:val="20"/>
              </w:rPr>
              <w:t>(5,267</w:t>
            </w:r>
          </w:p>
        </w:tc>
        <w:tc>
          <w:tcPr>
            <w:tcW w:w="50" w:type="pct"/>
            <w:shd w:val="clear" w:color="auto" w:fill="FFFFFF"/>
            <w:tcMar>
              <w:top w:w="0" w:type="dxa"/>
              <w:left w:w="0" w:type="dxa"/>
              <w:bottom w:w="15" w:type="dxa"/>
              <w:right w:w="0" w:type="dxa"/>
            </w:tcMar>
            <w:vAlign w:val="bottom"/>
            <w:hideMark/>
          </w:tcPr>
          <w:p w14:paraId="49DF2D0D"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11D02CF2"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A58FA34"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283A93B" w14:textId="77777777" w:rsidR="00000000" w:rsidRDefault="00322B34">
            <w:pPr>
              <w:jc w:val="right"/>
              <w:rPr>
                <w:rFonts w:eastAsia="Times New Roman"/>
                <w:sz w:val="20"/>
                <w:szCs w:val="20"/>
              </w:rPr>
            </w:pPr>
            <w:r>
              <w:rPr>
                <w:rFonts w:eastAsia="Times New Roman"/>
                <w:sz w:val="20"/>
                <w:szCs w:val="20"/>
              </w:rPr>
              <w:t>(3,359</w:t>
            </w:r>
          </w:p>
        </w:tc>
        <w:tc>
          <w:tcPr>
            <w:tcW w:w="50" w:type="pct"/>
            <w:shd w:val="clear" w:color="auto" w:fill="FFFFFF"/>
            <w:tcMar>
              <w:top w:w="0" w:type="dxa"/>
              <w:left w:w="0" w:type="dxa"/>
              <w:bottom w:w="15" w:type="dxa"/>
              <w:right w:w="0" w:type="dxa"/>
            </w:tcMar>
            <w:vAlign w:val="bottom"/>
            <w:hideMark/>
          </w:tcPr>
          <w:p w14:paraId="50001E84" w14:textId="77777777" w:rsidR="00000000" w:rsidRDefault="00322B34">
            <w:pPr>
              <w:rPr>
                <w:rFonts w:eastAsia="Times New Roman"/>
                <w:sz w:val="20"/>
                <w:szCs w:val="20"/>
              </w:rPr>
            </w:pPr>
            <w:r>
              <w:rPr>
                <w:rFonts w:eastAsia="Times New Roman"/>
                <w:sz w:val="20"/>
                <w:szCs w:val="20"/>
              </w:rPr>
              <w:t>)</w:t>
            </w:r>
          </w:p>
        </w:tc>
      </w:tr>
      <w:tr w:rsidR="00000000" w14:paraId="4C258828" w14:textId="77777777">
        <w:trPr>
          <w:divId w:val="1869636019"/>
          <w:tblCellSpacing w:w="0" w:type="dxa"/>
        </w:trPr>
        <w:tc>
          <w:tcPr>
            <w:tcW w:w="0" w:type="auto"/>
            <w:shd w:val="clear" w:color="auto" w:fill="CCEEFF"/>
            <w:vAlign w:val="bottom"/>
            <w:hideMark/>
          </w:tcPr>
          <w:p w14:paraId="14D337D0" w14:textId="77777777" w:rsidR="00000000" w:rsidRDefault="00322B34">
            <w:pPr>
              <w:pStyle w:val="a3"/>
              <w:spacing w:before="0" w:beforeAutospacing="0" w:after="0" w:afterAutospacing="0"/>
              <w:ind w:left="720"/>
              <w:rPr>
                <w:sz w:val="20"/>
                <w:szCs w:val="20"/>
              </w:rPr>
            </w:pPr>
            <w:r>
              <w:rPr>
                <w:sz w:val="20"/>
                <w:szCs w:val="20"/>
              </w:rPr>
              <w:t>Net cash flow used for financing activities</w:t>
            </w:r>
          </w:p>
        </w:tc>
        <w:tc>
          <w:tcPr>
            <w:tcW w:w="50" w:type="pct"/>
            <w:shd w:val="clear" w:color="auto" w:fill="CCEEFF"/>
            <w:vAlign w:val="bottom"/>
            <w:hideMark/>
          </w:tcPr>
          <w:p w14:paraId="0610D14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E39326F"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0350BB86" w14:textId="77777777" w:rsidR="00000000" w:rsidRDefault="00322B34">
            <w:pPr>
              <w:jc w:val="right"/>
              <w:rPr>
                <w:rFonts w:eastAsia="Times New Roman"/>
                <w:sz w:val="20"/>
                <w:szCs w:val="20"/>
              </w:rPr>
            </w:pPr>
            <w:r>
              <w:rPr>
                <w:rFonts w:eastAsia="Times New Roman"/>
                <w:sz w:val="20"/>
                <w:szCs w:val="20"/>
              </w:rPr>
              <w:t>(256,304</w:t>
            </w:r>
          </w:p>
        </w:tc>
        <w:tc>
          <w:tcPr>
            <w:tcW w:w="50" w:type="pct"/>
            <w:shd w:val="clear" w:color="auto" w:fill="CCEEFF"/>
            <w:tcMar>
              <w:top w:w="0" w:type="dxa"/>
              <w:left w:w="0" w:type="dxa"/>
              <w:bottom w:w="15" w:type="dxa"/>
              <w:right w:w="0" w:type="dxa"/>
            </w:tcMar>
            <w:vAlign w:val="bottom"/>
            <w:hideMark/>
          </w:tcPr>
          <w:p w14:paraId="4B36A612"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A8DE8B2"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124AB37"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6C91972" w14:textId="77777777" w:rsidR="00000000" w:rsidRDefault="00322B34">
            <w:pPr>
              <w:jc w:val="right"/>
              <w:rPr>
                <w:rFonts w:eastAsia="Times New Roman"/>
                <w:sz w:val="20"/>
                <w:szCs w:val="20"/>
              </w:rPr>
            </w:pPr>
            <w:r>
              <w:rPr>
                <w:rFonts w:eastAsia="Times New Roman"/>
                <w:sz w:val="20"/>
                <w:szCs w:val="20"/>
              </w:rPr>
              <w:t>(242,600</w:t>
            </w:r>
          </w:p>
        </w:tc>
        <w:tc>
          <w:tcPr>
            <w:tcW w:w="50" w:type="pct"/>
            <w:shd w:val="clear" w:color="auto" w:fill="CCEEFF"/>
            <w:tcMar>
              <w:top w:w="0" w:type="dxa"/>
              <w:left w:w="0" w:type="dxa"/>
              <w:bottom w:w="15" w:type="dxa"/>
              <w:right w:w="0" w:type="dxa"/>
            </w:tcMar>
            <w:vAlign w:val="bottom"/>
            <w:hideMark/>
          </w:tcPr>
          <w:p w14:paraId="1BE21AA9" w14:textId="77777777" w:rsidR="00000000" w:rsidRDefault="00322B34">
            <w:pPr>
              <w:rPr>
                <w:rFonts w:eastAsia="Times New Roman"/>
                <w:sz w:val="20"/>
                <w:szCs w:val="20"/>
              </w:rPr>
            </w:pPr>
            <w:r>
              <w:rPr>
                <w:rFonts w:eastAsia="Times New Roman"/>
                <w:sz w:val="20"/>
                <w:szCs w:val="20"/>
              </w:rPr>
              <w:t>)</w:t>
            </w:r>
          </w:p>
        </w:tc>
      </w:tr>
      <w:tr w:rsidR="00000000" w14:paraId="1410788F" w14:textId="77777777">
        <w:trPr>
          <w:divId w:val="1869636019"/>
          <w:tblCellSpacing w:w="0" w:type="dxa"/>
        </w:trPr>
        <w:tc>
          <w:tcPr>
            <w:tcW w:w="0" w:type="auto"/>
            <w:shd w:val="clear" w:color="auto" w:fill="FFFFFF"/>
            <w:vAlign w:val="bottom"/>
            <w:hideMark/>
          </w:tcPr>
          <w:p w14:paraId="56E53A4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FA78A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F3B95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19550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DFF05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15258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4DB50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260F6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2AB28C" w14:textId="77777777" w:rsidR="00000000" w:rsidRDefault="00322B34">
            <w:pPr>
              <w:rPr>
                <w:rFonts w:eastAsia="Times New Roman"/>
                <w:sz w:val="20"/>
                <w:szCs w:val="20"/>
              </w:rPr>
            </w:pPr>
            <w:r>
              <w:rPr>
                <w:rFonts w:eastAsia="Times New Roman"/>
                <w:sz w:val="20"/>
                <w:szCs w:val="20"/>
              </w:rPr>
              <w:t> </w:t>
            </w:r>
          </w:p>
        </w:tc>
      </w:tr>
      <w:tr w:rsidR="00000000" w14:paraId="557E91E4" w14:textId="77777777">
        <w:trPr>
          <w:divId w:val="1869636019"/>
          <w:tblCellSpacing w:w="0" w:type="dxa"/>
        </w:trPr>
        <w:tc>
          <w:tcPr>
            <w:tcW w:w="0" w:type="auto"/>
            <w:shd w:val="clear" w:color="auto" w:fill="CCEEFF"/>
            <w:vAlign w:val="bottom"/>
            <w:hideMark/>
          </w:tcPr>
          <w:p w14:paraId="56EDB54E" w14:textId="77777777" w:rsidR="00000000" w:rsidRDefault="00322B34">
            <w:pPr>
              <w:pStyle w:val="a3"/>
              <w:spacing w:before="0" w:beforeAutospacing="0" w:after="0" w:afterAutospacing="0"/>
              <w:rPr>
                <w:sz w:val="20"/>
                <w:szCs w:val="20"/>
              </w:rPr>
            </w:pPr>
            <w:r>
              <w:rPr>
                <w:sz w:val="20"/>
                <w:szCs w:val="20"/>
              </w:rPr>
              <w:t>Net change in cash and cash equivalents</w:t>
            </w:r>
          </w:p>
        </w:tc>
        <w:tc>
          <w:tcPr>
            <w:tcW w:w="50" w:type="pct"/>
            <w:shd w:val="clear" w:color="auto" w:fill="CCEEFF"/>
            <w:vAlign w:val="bottom"/>
            <w:hideMark/>
          </w:tcPr>
          <w:p w14:paraId="7851436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92DC78"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D20C7B9" w14:textId="77777777" w:rsidR="00000000" w:rsidRDefault="00322B34">
            <w:pPr>
              <w:jc w:val="right"/>
              <w:rPr>
                <w:rFonts w:eastAsia="Times New Roman"/>
                <w:sz w:val="20"/>
                <w:szCs w:val="20"/>
              </w:rPr>
            </w:pPr>
            <w:r>
              <w:rPr>
                <w:rFonts w:eastAsia="Times New Roman"/>
                <w:sz w:val="20"/>
                <w:szCs w:val="20"/>
              </w:rPr>
              <w:t>77,740</w:t>
            </w:r>
          </w:p>
        </w:tc>
        <w:tc>
          <w:tcPr>
            <w:tcW w:w="50" w:type="pct"/>
            <w:shd w:val="clear" w:color="auto" w:fill="CCEEFF"/>
            <w:vAlign w:val="bottom"/>
            <w:hideMark/>
          </w:tcPr>
          <w:p w14:paraId="6D9B062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471EF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7CCB9F"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C9C420B" w14:textId="77777777" w:rsidR="00000000" w:rsidRDefault="00322B34">
            <w:pPr>
              <w:jc w:val="right"/>
              <w:rPr>
                <w:rFonts w:eastAsia="Times New Roman"/>
                <w:sz w:val="20"/>
                <w:szCs w:val="20"/>
              </w:rPr>
            </w:pPr>
            <w:r>
              <w:rPr>
                <w:rFonts w:eastAsia="Times New Roman"/>
                <w:sz w:val="20"/>
                <w:szCs w:val="20"/>
              </w:rPr>
              <w:t>(29,590</w:t>
            </w:r>
          </w:p>
        </w:tc>
        <w:tc>
          <w:tcPr>
            <w:tcW w:w="50" w:type="pct"/>
            <w:shd w:val="clear" w:color="auto" w:fill="CCEEFF"/>
            <w:vAlign w:val="bottom"/>
            <w:hideMark/>
          </w:tcPr>
          <w:p w14:paraId="219E6B14" w14:textId="77777777" w:rsidR="00000000" w:rsidRDefault="00322B34">
            <w:pPr>
              <w:rPr>
                <w:rFonts w:eastAsia="Times New Roman"/>
                <w:sz w:val="20"/>
                <w:szCs w:val="20"/>
              </w:rPr>
            </w:pPr>
            <w:r>
              <w:rPr>
                <w:rFonts w:eastAsia="Times New Roman"/>
                <w:sz w:val="20"/>
                <w:szCs w:val="20"/>
              </w:rPr>
              <w:t>)</w:t>
            </w:r>
          </w:p>
        </w:tc>
      </w:tr>
      <w:tr w:rsidR="00000000" w14:paraId="053DBA69" w14:textId="77777777">
        <w:trPr>
          <w:divId w:val="1869636019"/>
          <w:tblCellSpacing w:w="0" w:type="dxa"/>
        </w:trPr>
        <w:tc>
          <w:tcPr>
            <w:tcW w:w="0" w:type="auto"/>
            <w:shd w:val="clear" w:color="auto" w:fill="FFFFFF"/>
            <w:vAlign w:val="bottom"/>
            <w:hideMark/>
          </w:tcPr>
          <w:p w14:paraId="73AFB76F" w14:textId="77777777" w:rsidR="00000000" w:rsidRDefault="00322B34">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FFFFFF"/>
            <w:tcMar>
              <w:top w:w="0" w:type="dxa"/>
              <w:left w:w="0" w:type="dxa"/>
              <w:bottom w:w="15" w:type="dxa"/>
              <w:right w:w="0" w:type="dxa"/>
            </w:tcMar>
            <w:vAlign w:val="bottom"/>
            <w:hideMark/>
          </w:tcPr>
          <w:p w14:paraId="371D14D6"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1B524CA"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D514B6C" w14:textId="77777777" w:rsidR="00000000" w:rsidRDefault="00322B34">
            <w:pPr>
              <w:jc w:val="right"/>
              <w:rPr>
                <w:rFonts w:eastAsia="Times New Roman"/>
                <w:sz w:val="20"/>
                <w:szCs w:val="20"/>
              </w:rPr>
            </w:pPr>
            <w:r>
              <w:rPr>
                <w:rFonts w:eastAsia="Times New Roman"/>
                <w:sz w:val="20"/>
                <w:szCs w:val="20"/>
              </w:rPr>
              <w:t>123,947</w:t>
            </w:r>
          </w:p>
        </w:tc>
        <w:tc>
          <w:tcPr>
            <w:tcW w:w="50" w:type="pct"/>
            <w:shd w:val="clear" w:color="auto" w:fill="FFFFFF"/>
            <w:tcMar>
              <w:top w:w="0" w:type="dxa"/>
              <w:left w:w="0" w:type="dxa"/>
              <w:bottom w:w="15" w:type="dxa"/>
              <w:right w:w="0" w:type="dxa"/>
            </w:tcMar>
            <w:vAlign w:val="bottom"/>
            <w:hideMark/>
          </w:tcPr>
          <w:p w14:paraId="42C759C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74CB340D"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298C8FD"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A636BE7" w14:textId="77777777" w:rsidR="00000000" w:rsidRDefault="00322B34">
            <w:pPr>
              <w:jc w:val="right"/>
              <w:rPr>
                <w:rFonts w:eastAsia="Times New Roman"/>
                <w:sz w:val="20"/>
                <w:szCs w:val="20"/>
              </w:rPr>
            </w:pPr>
            <w:r>
              <w:rPr>
                <w:rFonts w:eastAsia="Times New Roman"/>
                <w:sz w:val="20"/>
                <w:szCs w:val="20"/>
              </w:rPr>
              <w:t>143,581</w:t>
            </w:r>
          </w:p>
        </w:tc>
        <w:tc>
          <w:tcPr>
            <w:tcW w:w="50" w:type="pct"/>
            <w:shd w:val="clear" w:color="auto" w:fill="FFFFFF"/>
            <w:tcMar>
              <w:top w:w="0" w:type="dxa"/>
              <w:left w:w="0" w:type="dxa"/>
              <w:bottom w:w="15" w:type="dxa"/>
              <w:right w:w="0" w:type="dxa"/>
            </w:tcMar>
            <w:vAlign w:val="bottom"/>
            <w:hideMark/>
          </w:tcPr>
          <w:p w14:paraId="432F362A" w14:textId="77777777" w:rsidR="00000000" w:rsidRDefault="00322B34">
            <w:pPr>
              <w:rPr>
                <w:rFonts w:eastAsia="Times New Roman"/>
                <w:sz w:val="20"/>
                <w:szCs w:val="20"/>
              </w:rPr>
            </w:pPr>
            <w:r>
              <w:rPr>
                <w:rFonts w:eastAsia="Times New Roman"/>
                <w:sz w:val="20"/>
                <w:szCs w:val="20"/>
              </w:rPr>
              <w:t> </w:t>
            </w:r>
          </w:p>
        </w:tc>
      </w:tr>
      <w:tr w:rsidR="00000000" w14:paraId="15BCB662" w14:textId="77777777">
        <w:trPr>
          <w:divId w:val="1869636019"/>
          <w:tblCellSpacing w:w="0" w:type="dxa"/>
        </w:trPr>
        <w:tc>
          <w:tcPr>
            <w:tcW w:w="0" w:type="auto"/>
            <w:shd w:val="clear" w:color="auto" w:fill="CCEEFF"/>
            <w:vAlign w:val="bottom"/>
            <w:hideMark/>
          </w:tcPr>
          <w:p w14:paraId="2C24F6C2" w14:textId="77777777" w:rsidR="00000000" w:rsidRDefault="00322B34">
            <w:pPr>
              <w:pStyle w:val="a3"/>
              <w:spacing w:before="0" w:beforeAutospacing="0" w:after="0" w:afterAutospacing="0"/>
              <w:ind w:left="720"/>
              <w:rPr>
                <w:sz w:val="20"/>
                <w:szCs w:val="20"/>
              </w:rPr>
            </w:pPr>
            <w:r>
              <w:rPr>
                <w:sz w:val="20"/>
                <w:szCs w:val="20"/>
              </w:rPr>
              <w:t>Cash and cash equivalents, end of the period</w:t>
            </w:r>
          </w:p>
        </w:tc>
        <w:tc>
          <w:tcPr>
            <w:tcW w:w="50" w:type="pct"/>
            <w:shd w:val="clear" w:color="auto" w:fill="CCEEFF"/>
            <w:vAlign w:val="bottom"/>
            <w:hideMark/>
          </w:tcPr>
          <w:p w14:paraId="211B3530"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BD43B92" w14:textId="77777777" w:rsidR="00000000" w:rsidRDefault="00322B3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07FE0E4F" w14:textId="77777777" w:rsidR="00000000" w:rsidRDefault="00322B34">
            <w:pPr>
              <w:jc w:val="right"/>
              <w:rPr>
                <w:rFonts w:eastAsia="Times New Roman"/>
                <w:sz w:val="20"/>
                <w:szCs w:val="20"/>
              </w:rPr>
            </w:pPr>
            <w:r>
              <w:rPr>
                <w:rFonts w:eastAsia="Times New Roman"/>
                <w:sz w:val="20"/>
                <w:szCs w:val="20"/>
              </w:rPr>
              <w:t>201,687</w:t>
            </w:r>
          </w:p>
        </w:tc>
        <w:tc>
          <w:tcPr>
            <w:tcW w:w="50" w:type="pct"/>
            <w:shd w:val="clear" w:color="auto" w:fill="CCEEFF"/>
            <w:tcMar>
              <w:top w:w="0" w:type="dxa"/>
              <w:left w:w="0" w:type="dxa"/>
              <w:bottom w:w="45" w:type="dxa"/>
              <w:right w:w="0" w:type="dxa"/>
            </w:tcMar>
            <w:vAlign w:val="bottom"/>
            <w:hideMark/>
          </w:tcPr>
          <w:p w14:paraId="38779E0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F553C5"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19B8A60" w14:textId="77777777" w:rsidR="00000000" w:rsidRDefault="00322B3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27186E9A" w14:textId="77777777" w:rsidR="00000000" w:rsidRDefault="00322B34">
            <w:pPr>
              <w:jc w:val="right"/>
              <w:rPr>
                <w:rFonts w:eastAsia="Times New Roman"/>
                <w:sz w:val="20"/>
                <w:szCs w:val="20"/>
              </w:rPr>
            </w:pPr>
            <w:r>
              <w:rPr>
                <w:rFonts w:eastAsia="Times New Roman"/>
                <w:sz w:val="20"/>
                <w:szCs w:val="20"/>
              </w:rPr>
              <w:t>113,991</w:t>
            </w:r>
          </w:p>
        </w:tc>
        <w:tc>
          <w:tcPr>
            <w:tcW w:w="50" w:type="pct"/>
            <w:shd w:val="clear" w:color="auto" w:fill="CCEEFF"/>
            <w:tcMar>
              <w:top w:w="0" w:type="dxa"/>
              <w:left w:w="0" w:type="dxa"/>
              <w:bottom w:w="45" w:type="dxa"/>
              <w:right w:w="0" w:type="dxa"/>
            </w:tcMar>
            <w:vAlign w:val="bottom"/>
            <w:hideMark/>
          </w:tcPr>
          <w:p w14:paraId="6F57C8BC" w14:textId="77777777" w:rsidR="00000000" w:rsidRDefault="00322B34">
            <w:pPr>
              <w:rPr>
                <w:rFonts w:eastAsia="Times New Roman"/>
                <w:sz w:val="20"/>
                <w:szCs w:val="20"/>
              </w:rPr>
            </w:pPr>
            <w:r>
              <w:rPr>
                <w:rFonts w:eastAsia="Times New Roman"/>
                <w:sz w:val="20"/>
                <w:szCs w:val="20"/>
              </w:rPr>
              <w:t> </w:t>
            </w:r>
          </w:p>
        </w:tc>
      </w:tr>
      <w:tr w:rsidR="00000000" w14:paraId="4605FB58" w14:textId="77777777">
        <w:trPr>
          <w:divId w:val="1869636019"/>
          <w:tblCellSpacing w:w="0" w:type="dxa"/>
        </w:trPr>
        <w:tc>
          <w:tcPr>
            <w:tcW w:w="0" w:type="auto"/>
            <w:shd w:val="clear" w:color="auto" w:fill="FFFFFF"/>
            <w:vAlign w:val="bottom"/>
            <w:hideMark/>
          </w:tcPr>
          <w:p w14:paraId="03AD783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EA7D3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D1DA7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B7691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46767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3C4D9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7850F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C73B1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33E5DC" w14:textId="77777777" w:rsidR="00000000" w:rsidRDefault="00322B34">
            <w:pPr>
              <w:rPr>
                <w:rFonts w:eastAsia="Times New Roman"/>
                <w:sz w:val="20"/>
                <w:szCs w:val="20"/>
              </w:rPr>
            </w:pPr>
            <w:r>
              <w:rPr>
                <w:rFonts w:eastAsia="Times New Roman"/>
                <w:sz w:val="20"/>
                <w:szCs w:val="20"/>
              </w:rPr>
              <w:t> </w:t>
            </w:r>
          </w:p>
        </w:tc>
      </w:tr>
      <w:tr w:rsidR="00000000" w14:paraId="3ADA3436" w14:textId="77777777">
        <w:trPr>
          <w:divId w:val="1869636019"/>
          <w:tblCellSpacing w:w="0" w:type="dxa"/>
        </w:trPr>
        <w:tc>
          <w:tcPr>
            <w:tcW w:w="0" w:type="auto"/>
            <w:shd w:val="clear" w:color="auto" w:fill="CCEEFF"/>
            <w:vAlign w:val="bottom"/>
            <w:hideMark/>
          </w:tcPr>
          <w:p w14:paraId="6E883150" w14:textId="77777777" w:rsidR="00000000" w:rsidRDefault="00322B34">
            <w:pPr>
              <w:pStyle w:val="a3"/>
              <w:spacing w:before="0" w:beforeAutospacing="0" w:after="0" w:afterAutospacing="0"/>
              <w:ind w:left="180" w:hanging="180"/>
              <w:rPr>
                <w:sz w:val="20"/>
                <w:szCs w:val="20"/>
              </w:rPr>
            </w:pPr>
            <w:r>
              <w:rPr>
                <w:sz w:val="20"/>
                <w:szCs w:val="20"/>
              </w:rPr>
              <w:t xml:space="preserve">Interest paid during the period including payment of early extinguishment of debt charges of </w:t>
            </w:r>
            <w:r>
              <w:rPr>
                <w:sz w:val="20"/>
                <w:szCs w:val="20"/>
              </w:rPr>
              <w:t>$</w:t>
            </w:r>
            <w:r>
              <w:rPr>
                <w:sz w:val="20"/>
                <w:szCs w:val="20"/>
              </w:rPr>
              <w:t>0</w:t>
            </w:r>
            <w:r>
              <w:rPr>
                <w:sz w:val="20"/>
                <w:szCs w:val="20"/>
              </w:rPr>
              <w:t xml:space="preserve"> and </w:t>
            </w:r>
            <w:r>
              <w:rPr>
                <w:sz w:val="20"/>
                <w:szCs w:val="20"/>
              </w:rPr>
              <w:t>$</w:t>
            </w:r>
            <w:r>
              <w:rPr>
                <w:sz w:val="20"/>
                <w:szCs w:val="20"/>
              </w:rPr>
              <w:t>1,53</w:t>
            </w:r>
            <w:r>
              <w:rPr>
                <w:sz w:val="20"/>
                <w:szCs w:val="20"/>
              </w:rPr>
              <w:t>1</w:t>
            </w:r>
            <w:r>
              <w:rPr>
                <w:sz w:val="20"/>
                <w:szCs w:val="20"/>
              </w:rPr>
              <w:t xml:space="preserve">, respectively (net of capitalized interest of </w:t>
            </w:r>
            <w:r>
              <w:rPr>
                <w:sz w:val="20"/>
                <w:szCs w:val="20"/>
              </w:rPr>
              <w:t>$</w:t>
            </w:r>
            <w:r>
              <w:rPr>
                <w:sz w:val="20"/>
                <w:szCs w:val="20"/>
              </w:rPr>
              <w:t>8,87</w:t>
            </w:r>
            <w:r>
              <w:rPr>
                <w:sz w:val="20"/>
                <w:szCs w:val="20"/>
              </w:rPr>
              <w:t>9</w:t>
            </w:r>
            <w:r>
              <w:rPr>
                <w:sz w:val="20"/>
                <w:szCs w:val="20"/>
              </w:rPr>
              <w:t xml:space="preserve"> and </w:t>
            </w:r>
            <w:r>
              <w:rPr>
                <w:sz w:val="20"/>
                <w:szCs w:val="20"/>
              </w:rPr>
              <w:t>$</w:t>
            </w:r>
            <w:r>
              <w:rPr>
                <w:sz w:val="20"/>
                <w:szCs w:val="20"/>
              </w:rPr>
              <w:t>6,68</w:t>
            </w:r>
            <w:r>
              <w:rPr>
                <w:sz w:val="20"/>
                <w:szCs w:val="20"/>
              </w:rPr>
              <w:t>0</w:t>
            </w:r>
            <w:r>
              <w:rPr>
                <w:sz w:val="20"/>
                <w:szCs w:val="20"/>
              </w:rPr>
              <w:t>, respectively)</w:t>
            </w:r>
          </w:p>
        </w:tc>
        <w:tc>
          <w:tcPr>
            <w:tcW w:w="50" w:type="pct"/>
            <w:shd w:val="clear" w:color="auto" w:fill="CCEEFF"/>
            <w:vAlign w:val="bottom"/>
            <w:hideMark/>
          </w:tcPr>
          <w:p w14:paraId="79D8BBCD"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AA99D7D" w14:textId="77777777" w:rsidR="00000000" w:rsidRDefault="00322B3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280B7B2F" w14:textId="77777777" w:rsidR="00000000" w:rsidRDefault="00322B34">
            <w:pPr>
              <w:jc w:val="right"/>
              <w:rPr>
                <w:rFonts w:eastAsia="Times New Roman"/>
                <w:sz w:val="20"/>
                <w:szCs w:val="20"/>
              </w:rPr>
            </w:pPr>
            <w:r>
              <w:rPr>
                <w:rFonts w:eastAsia="Times New Roman"/>
                <w:sz w:val="20"/>
                <w:szCs w:val="20"/>
              </w:rPr>
              <w:t>91,502</w:t>
            </w:r>
          </w:p>
        </w:tc>
        <w:tc>
          <w:tcPr>
            <w:tcW w:w="50" w:type="pct"/>
            <w:shd w:val="clear" w:color="auto" w:fill="CCEEFF"/>
            <w:tcMar>
              <w:top w:w="0" w:type="dxa"/>
              <w:left w:w="0" w:type="dxa"/>
              <w:bottom w:w="45" w:type="dxa"/>
              <w:right w:w="0" w:type="dxa"/>
            </w:tcMar>
            <w:vAlign w:val="bottom"/>
            <w:hideMark/>
          </w:tcPr>
          <w:p w14:paraId="5B818B7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CF784C"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946B3F5" w14:textId="77777777" w:rsidR="00000000" w:rsidRDefault="00322B34">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48728842" w14:textId="77777777" w:rsidR="00000000" w:rsidRDefault="00322B34">
            <w:pPr>
              <w:jc w:val="right"/>
              <w:rPr>
                <w:rFonts w:eastAsia="Times New Roman"/>
                <w:sz w:val="20"/>
                <w:szCs w:val="20"/>
              </w:rPr>
            </w:pPr>
            <w:r>
              <w:rPr>
                <w:rFonts w:eastAsia="Times New Roman"/>
                <w:sz w:val="20"/>
                <w:szCs w:val="20"/>
              </w:rPr>
              <w:t>86,621</w:t>
            </w:r>
          </w:p>
        </w:tc>
        <w:tc>
          <w:tcPr>
            <w:tcW w:w="50" w:type="pct"/>
            <w:shd w:val="clear" w:color="auto" w:fill="CCEEFF"/>
            <w:tcMar>
              <w:top w:w="0" w:type="dxa"/>
              <w:left w:w="0" w:type="dxa"/>
              <w:bottom w:w="45" w:type="dxa"/>
              <w:right w:w="0" w:type="dxa"/>
            </w:tcMar>
            <w:vAlign w:val="bottom"/>
            <w:hideMark/>
          </w:tcPr>
          <w:p w14:paraId="6CE2260A" w14:textId="77777777" w:rsidR="00000000" w:rsidRDefault="00322B34">
            <w:pPr>
              <w:rPr>
                <w:rFonts w:eastAsia="Times New Roman"/>
                <w:sz w:val="20"/>
                <w:szCs w:val="20"/>
              </w:rPr>
            </w:pPr>
            <w:r>
              <w:rPr>
                <w:rFonts w:eastAsia="Times New Roman"/>
                <w:sz w:val="20"/>
                <w:szCs w:val="20"/>
              </w:rPr>
              <w:t> </w:t>
            </w:r>
          </w:p>
        </w:tc>
      </w:tr>
    </w:tbl>
    <w:p w14:paraId="6011C8B7" w14:textId="77777777" w:rsidR="00000000" w:rsidRDefault="00322B34">
      <w:pPr>
        <w:pStyle w:val="a3"/>
        <w:spacing w:before="0" w:beforeAutospacing="0" w:after="0" w:afterAutospacing="0"/>
        <w:rPr>
          <w:sz w:val="20"/>
          <w:szCs w:val="20"/>
        </w:rPr>
      </w:pPr>
      <w:r>
        <w:rPr>
          <w:sz w:val="20"/>
          <w:szCs w:val="20"/>
        </w:rPr>
        <w:t> </w:t>
      </w:r>
    </w:p>
    <w:p w14:paraId="254E112A" w14:textId="77777777" w:rsidR="00000000" w:rsidRDefault="00322B34">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3EF53553" w14:textId="77777777" w:rsidR="00000000" w:rsidRDefault="00322B34">
      <w:pPr>
        <w:pStyle w:val="a3"/>
        <w:spacing w:before="0" w:beforeAutospacing="0" w:after="0" w:afterAutospacing="0"/>
        <w:jc w:val="center"/>
        <w:rPr>
          <w:sz w:val="20"/>
          <w:szCs w:val="20"/>
        </w:rPr>
      </w:pPr>
      <w:r>
        <w:rPr>
          <w:sz w:val="20"/>
          <w:szCs w:val="20"/>
        </w:rPr>
        <w:t> </w:t>
      </w:r>
    </w:p>
    <w:p w14:paraId="600B8C6A" w14:textId="77777777" w:rsidR="00000000" w:rsidRDefault="00322B34">
      <w:pPr>
        <w:jc w:val="center"/>
        <w:divId w:val="840239469"/>
        <w:rPr>
          <w:rFonts w:eastAsia="Times New Roman"/>
          <w:sz w:val="20"/>
          <w:szCs w:val="20"/>
        </w:rPr>
      </w:pPr>
      <w:r>
        <w:rPr>
          <w:rFonts w:eastAsia="Times New Roman"/>
          <w:sz w:val="20"/>
          <w:szCs w:val="20"/>
        </w:rPr>
        <w:t xml:space="preserve">7 </w:t>
      </w:r>
    </w:p>
    <w:p w14:paraId="3616A17D" w14:textId="77777777" w:rsidR="00000000" w:rsidRDefault="00322B34">
      <w:pPr>
        <w:divId w:val="307054370"/>
        <w:rPr>
          <w:rFonts w:eastAsia="Times New Roman"/>
          <w:sz w:val="20"/>
          <w:szCs w:val="20"/>
        </w:rPr>
      </w:pPr>
      <w:r>
        <w:rPr>
          <w:rFonts w:eastAsia="Times New Roman"/>
          <w:sz w:val="20"/>
          <w:szCs w:val="20"/>
        </w:rPr>
        <w:pict w14:anchorId="6EE82C70">
          <v:rect id="_x0000_i1035" style="width:0;height:1.5pt" o:hralign="center" o:hrstd="t" o:hr="t" fillcolor="#a0a0a0" stroked="f"/>
        </w:pict>
      </w:r>
    </w:p>
    <w:p w14:paraId="1D3E103B" w14:textId="77777777" w:rsidR="00000000" w:rsidRDefault="00322B34">
      <w:pPr>
        <w:divId w:val="91286187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1015669" w14:textId="77777777" w:rsidR="00000000" w:rsidRDefault="00322B34">
      <w:pPr>
        <w:pStyle w:val="a3"/>
        <w:spacing w:before="0" w:beforeAutospacing="0" w:after="0" w:afterAutospacing="0"/>
        <w:rPr>
          <w:sz w:val="20"/>
          <w:szCs w:val="20"/>
        </w:rPr>
      </w:pPr>
      <w:r>
        <w:rPr>
          <w:sz w:val="20"/>
          <w:szCs w:val="20"/>
        </w:rPr>
        <w:t> </w:t>
      </w:r>
    </w:p>
    <w:p w14:paraId="5B5CF613" w14:textId="77777777" w:rsidR="00000000" w:rsidRDefault="00322B34">
      <w:pPr>
        <w:pStyle w:val="a3"/>
        <w:spacing w:before="0" w:beforeAutospacing="0" w:after="0" w:afterAutospacing="0"/>
        <w:jc w:val="center"/>
        <w:rPr>
          <w:sz w:val="20"/>
          <w:szCs w:val="20"/>
        </w:rPr>
      </w:pPr>
      <w:r>
        <w:rPr>
          <w:sz w:val="20"/>
          <w:szCs w:val="20"/>
        </w:rPr>
        <w:t>KIMCO REALTY CORPORATION AND SUBSIDIARIES</w:t>
      </w:r>
    </w:p>
    <w:p w14:paraId="18592187" w14:textId="77777777" w:rsidR="00000000" w:rsidRDefault="00322B34">
      <w:pPr>
        <w:pStyle w:val="a3"/>
        <w:spacing w:before="0" w:beforeAutospacing="0" w:after="0" w:afterAutospacing="0"/>
        <w:rPr>
          <w:sz w:val="20"/>
          <w:szCs w:val="20"/>
        </w:rPr>
      </w:pPr>
      <w:r>
        <w:rPr>
          <w:sz w:val="20"/>
          <w:szCs w:val="20"/>
        </w:rPr>
        <w:t> </w:t>
      </w:r>
    </w:p>
    <w:p w14:paraId="2E67FDBA" w14:textId="77777777" w:rsidR="00000000" w:rsidRDefault="00322B34">
      <w:pPr>
        <w:pStyle w:val="a3"/>
        <w:spacing w:before="0" w:beforeAutospacing="0" w:after="0" w:afterAutospacing="0"/>
        <w:jc w:val="center"/>
        <w:rPr>
          <w:sz w:val="20"/>
          <w:szCs w:val="20"/>
        </w:rPr>
      </w:pPr>
      <w:r>
        <w:rPr>
          <w:sz w:val="20"/>
          <w:szCs w:val="20"/>
        </w:rPr>
        <w:t>NOTES TO CONDENSED CONSOLIDATED FINANCIAL STATEMENTS</w:t>
      </w:r>
    </w:p>
    <w:p w14:paraId="667D9F8F" w14:textId="77777777" w:rsidR="00000000" w:rsidRDefault="00322B34">
      <w:pPr>
        <w:pStyle w:val="a3"/>
        <w:spacing w:before="0" w:beforeAutospacing="0" w:after="0" w:afterAutospacing="0"/>
        <w:jc w:val="center"/>
        <w:rPr>
          <w:sz w:val="20"/>
          <w:szCs w:val="20"/>
        </w:rPr>
      </w:pPr>
      <w:r>
        <w:rPr>
          <w:sz w:val="20"/>
          <w:szCs w:val="20"/>
        </w:rPr>
        <w:t>                                        </w:t>
      </w:r>
    </w:p>
    <w:p w14:paraId="7C5F2CBA" w14:textId="77777777" w:rsidR="00000000" w:rsidRDefault="00322B34">
      <w:pPr>
        <w:divId w:val="105085779"/>
        <w:rPr>
          <w:rFonts w:eastAsia="Times New Roman"/>
          <w:sz w:val="20"/>
          <w:szCs w:val="20"/>
        </w:rPr>
      </w:pPr>
      <w:r>
        <w:rPr>
          <w:rFonts w:eastAsia="Times New Roman"/>
          <w:sz w:val="20"/>
          <w:szCs w:val="20"/>
        </w:rPr>
        <w:t xml:space="preserve">  </w:t>
      </w:r>
    </w:p>
    <w:p w14:paraId="6A43DE78" w14:textId="77777777" w:rsidR="00000000" w:rsidRDefault="00322B34">
      <w:pPr>
        <w:pStyle w:val="a3"/>
        <w:spacing w:before="0" w:beforeAutospacing="0" w:after="0" w:afterAutospacing="0"/>
        <w:jc w:val="both"/>
        <w:rPr>
          <w:sz w:val="20"/>
          <w:szCs w:val="20"/>
        </w:rPr>
      </w:pPr>
      <w:r>
        <w:rPr>
          <w:rStyle w:val="a6"/>
          <w:sz w:val="20"/>
          <w:szCs w:val="20"/>
        </w:rPr>
        <w:t>1.</w:t>
      </w:r>
      <w:r>
        <w:rPr>
          <w:sz w:val="20"/>
          <w:szCs w:val="20"/>
        </w:rPr>
        <w:t xml:space="preserve"> </w:t>
      </w:r>
      <w:r>
        <w:rPr>
          <w:sz w:val="20"/>
          <w:szCs w:val="20"/>
          <w:u w:val="single"/>
        </w:rPr>
        <w:t>Business and Organization</w:t>
      </w:r>
    </w:p>
    <w:p w14:paraId="48BA8805" w14:textId="77777777" w:rsidR="00000000" w:rsidRDefault="00322B34">
      <w:pPr>
        <w:pStyle w:val="a3"/>
        <w:spacing w:before="0" w:beforeAutospacing="0" w:after="0" w:afterAutospacing="0"/>
        <w:jc w:val="both"/>
        <w:rPr>
          <w:sz w:val="20"/>
          <w:szCs w:val="20"/>
        </w:rPr>
      </w:pPr>
      <w:r>
        <w:rPr>
          <w:sz w:val="20"/>
          <w:szCs w:val="20"/>
        </w:rPr>
        <w:t> </w:t>
      </w:r>
    </w:p>
    <w:p w14:paraId="37010D45" w14:textId="77777777" w:rsidR="00000000" w:rsidRDefault="00322B34">
      <w:pPr>
        <w:pStyle w:val="a3"/>
        <w:spacing w:before="0" w:beforeAutospacing="0" w:after="0" w:afterAutospacing="0"/>
        <w:ind w:firstLine="360"/>
        <w:jc w:val="both"/>
        <w:rPr>
          <w:sz w:val="20"/>
          <w:szCs w:val="20"/>
        </w:rPr>
      </w:pPr>
      <w:r>
        <w:rPr>
          <w:sz w:val="20"/>
          <w:szCs w:val="20"/>
        </w:rPr>
        <w:t xml:space="preserve">Kimco Realty Corporation, a Maryland corporation, is </w:t>
      </w:r>
      <w:r>
        <w:rPr>
          <w:rStyle w:val="a6"/>
          <w:sz w:val="20"/>
          <w:szCs w:val="20"/>
        </w:rPr>
        <w:t>one</w:t>
      </w:r>
      <w:r>
        <w:rPr>
          <w:sz w:val="20"/>
          <w:szCs w:val="20"/>
        </w:rPr>
        <w:t xml:space="preserve"> of North America’</w:t>
      </w:r>
      <w:r>
        <w:rPr>
          <w:sz w:val="20"/>
          <w:szCs w:val="20"/>
        </w:rPr>
        <w:t>s largest publicly traded owners and operators of open-air, grocery-anchored shopping centers and mixed-use assets.  The terms “Kimco,” the “Company,” “we,” “our” and “us” each refers to Kimco Realty Corporation and our subsidiaries, unless the context ind</w:t>
      </w:r>
      <w:r>
        <w:rPr>
          <w:sz w:val="20"/>
          <w:szCs w:val="20"/>
        </w:rPr>
        <w:t>icates otherwise. The Company, its affiliates and related real estate joint ventures are engaged principally in the ownership, management, development and operation of open-air shopping centers, which are anchored generally by grocery stores, off-price ret</w:t>
      </w:r>
      <w:r>
        <w:rPr>
          <w:sz w:val="20"/>
          <w:szCs w:val="20"/>
        </w:rPr>
        <w:t>ailers, home improvement centers, discounters and/or service-oriented tenants. Additionally, the Company provides complementary services that capitalize on the Company’s established retail real estate expertise.</w:t>
      </w:r>
    </w:p>
    <w:p w14:paraId="3E66E7A8" w14:textId="77777777" w:rsidR="00000000" w:rsidRDefault="00322B34">
      <w:pPr>
        <w:pStyle w:val="a3"/>
        <w:spacing w:before="0" w:beforeAutospacing="0" w:after="0" w:afterAutospacing="0"/>
        <w:ind w:left="360"/>
        <w:jc w:val="both"/>
        <w:rPr>
          <w:sz w:val="20"/>
          <w:szCs w:val="20"/>
        </w:rPr>
      </w:pPr>
      <w:r>
        <w:rPr>
          <w:sz w:val="20"/>
          <w:szCs w:val="20"/>
        </w:rPr>
        <w:t> </w:t>
      </w:r>
    </w:p>
    <w:p w14:paraId="0CD1FED6" w14:textId="77777777" w:rsidR="00000000" w:rsidRDefault="00322B34">
      <w:pPr>
        <w:pStyle w:val="a3"/>
        <w:spacing w:before="0" w:beforeAutospacing="0" w:after="0" w:afterAutospacing="0"/>
        <w:ind w:firstLine="360"/>
        <w:jc w:val="both"/>
        <w:rPr>
          <w:sz w:val="20"/>
          <w:szCs w:val="20"/>
        </w:rPr>
      </w:pPr>
      <w:r>
        <w:rPr>
          <w:sz w:val="20"/>
          <w:szCs w:val="20"/>
        </w:rPr>
        <w:t>The Company elected status as a Real Estat</w:t>
      </w:r>
      <w:r>
        <w:rPr>
          <w:sz w:val="20"/>
          <w:szCs w:val="20"/>
        </w:rPr>
        <w:t xml:space="preserve">e Investment Trust (a “REIT”) for federal income tax purposes beginning in its taxable year ended </w:t>
      </w:r>
      <w:r>
        <w:rPr>
          <w:rStyle w:val="a6"/>
          <w:sz w:val="20"/>
          <w:szCs w:val="20"/>
        </w:rPr>
        <w:t xml:space="preserve">December 31, 1991 </w:t>
      </w:r>
      <w:r>
        <w:rPr>
          <w:sz w:val="20"/>
          <w:szCs w:val="20"/>
        </w:rPr>
        <w:t>and operates in a manner that enables the Company to maintain its status as a REIT.  As a REIT, with respect to each taxable year, the Compa</w:t>
      </w:r>
      <w:r>
        <w:rPr>
          <w:sz w:val="20"/>
          <w:szCs w:val="20"/>
        </w:rPr>
        <w:t xml:space="preserve">ny must distribute at least </w:t>
      </w:r>
      <w:r>
        <w:rPr>
          <w:rStyle w:val="a6"/>
          <w:sz w:val="20"/>
          <w:szCs w:val="20"/>
        </w:rPr>
        <w:t>90</w:t>
      </w:r>
      <w:r>
        <w:rPr>
          <w:sz w:val="20"/>
          <w:szCs w:val="20"/>
        </w:rPr>
        <w:t xml:space="preserve"> percent of its taxable income (excluding capital gain) and does </w:t>
      </w:r>
      <w:r>
        <w:rPr>
          <w:rStyle w:val="a6"/>
          <w:sz w:val="20"/>
          <w:szCs w:val="20"/>
        </w:rPr>
        <w:t>not</w:t>
      </w:r>
      <w:r>
        <w:rPr>
          <w:sz w:val="20"/>
          <w:szCs w:val="20"/>
        </w:rPr>
        <w:t xml:space="preserve"> pay federal income taxes on the amount distributed to its shareholders.  The Company is </w:t>
      </w:r>
      <w:r>
        <w:rPr>
          <w:rStyle w:val="a6"/>
          <w:sz w:val="20"/>
          <w:szCs w:val="20"/>
        </w:rPr>
        <w:t>not</w:t>
      </w:r>
      <w:r>
        <w:rPr>
          <w:sz w:val="20"/>
          <w:szCs w:val="20"/>
        </w:rPr>
        <w:t xml:space="preserve"> generally subject to federal income taxes if it distributes </w:t>
      </w:r>
      <w:r>
        <w:rPr>
          <w:rStyle w:val="a6"/>
          <w:sz w:val="20"/>
          <w:szCs w:val="20"/>
        </w:rPr>
        <w:t>100</w:t>
      </w:r>
      <w:r>
        <w:rPr>
          <w:sz w:val="20"/>
          <w:szCs w:val="20"/>
        </w:rPr>
        <w:t xml:space="preserve"> p</w:t>
      </w:r>
      <w:r>
        <w:rPr>
          <w:sz w:val="20"/>
          <w:szCs w:val="20"/>
        </w:rPr>
        <w:t>ercent of its taxable income.  Most states where the Company holds investments in real estate, conform to the federal rules recognizing REITs.  Certain subsidiaries have made a joint election with the Company to be treated as taxable REIT subsidiaries (“TR</w:t>
      </w:r>
      <w:r>
        <w:rPr>
          <w:sz w:val="20"/>
          <w:szCs w:val="20"/>
        </w:rPr>
        <w:t xml:space="preserve">Ss”), which permit the Company to engage in certain business activities which the REIT </w:t>
      </w:r>
      <w:r>
        <w:rPr>
          <w:rStyle w:val="a6"/>
          <w:sz w:val="20"/>
          <w:szCs w:val="20"/>
        </w:rPr>
        <w:t>may not</w:t>
      </w:r>
      <w:r>
        <w:rPr>
          <w:sz w:val="20"/>
          <w:szCs w:val="20"/>
        </w:rPr>
        <w:t xml:space="preserve"> conduct directly.  A TRS is subject to federal and state income taxes on its income, and the Company includes, when applicable, a provision for taxes in its cond</w:t>
      </w:r>
      <w:r>
        <w:rPr>
          <w:sz w:val="20"/>
          <w:szCs w:val="20"/>
        </w:rPr>
        <w:t>ensed consolidated financial statements.  The Company is subject to and also includes in its tax provision non-U.S. income taxes on certain investments located in jurisdictions outside the U.S. These investments are held by the Company at the REIT level an</w:t>
      </w:r>
      <w:r>
        <w:rPr>
          <w:sz w:val="20"/>
          <w:szCs w:val="20"/>
        </w:rPr>
        <w:t xml:space="preserve">d </w:t>
      </w:r>
      <w:r>
        <w:rPr>
          <w:rStyle w:val="a6"/>
          <w:sz w:val="20"/>
          <w:szCs w:val="20"/>
        </w:rPr>
        <w:t>not</w:t>
      </w:r>
      <w:r>
        <w:rPr>
          <w:sz w:val="20"/>
          <w:szCs w:val="20"/>
        </w:rPr>
        <w:t xml:space="preserve"> in the Company’s taxable REIT subsidiaries. Accordingly, the Company does </w:t>
      </w:r>
      <w:r>
        <w:rPr>
          <w:rStyle w:val="a6"/>
          <w:sz w:val="20"/>
          <w:szCs w:val="20"/>
        </w:rPr>
        <w:t>not</w:t>
      </w:r>
      <w:r>
        <w:rPr>
          <w:sz w:val="20"/>
          <w:szCs w:val="20"/>
        </w:rPr>
        <w:t xml:space="preserve"> expect a U.S. income tax impact associated with the repatriation of undistributed earnings from the Company’s foreign subsidiaries.</w:t>
      </w:r>
    </w:p>
    <w:p w14:paraId="6F2A134F" w14:textId="77777777" w:rsidR="00000000" w:rsidRDefault="00322B34">
      <w:pPr>
        <w:pStyle w:val="a3"/>
        <w:spacing w:before="0" w:beforeAutospacing="0" w:after="0" w:afterAutospacing="0"/>
        <w:ind w:firstLine="360"/>
        <w:jc w:val="both"/>
        <w:rPr>
          <w:sz w:val="20"/>
          <w:szCs w:val="20"/>
        </w:rPr>
      </w:pPr>
      <w:r>
        <w:rPr>
          <w:sz w:val="20"/>
          <w:szCs w:val="20"/>
        </w:rPr>
        <w:t> </w:t>
      </w:r>
    </w:p>
    <w:p w14:paraId="3C33A70D" w14:textId="77777777" w:rsidR="00000000" w:rsidRDefault="00322B34">
      <w:pPr>
        <w:pStyle w:val="a3"/>
        <w:spacing w:before="0" w:beforeAutospacing="0" w:after="0" w:afterAutospacing="0"/>
        <w:ind w:firstLine="360"/>
        <w:jc w:val="both"/>
        <w:rPr>
          <w:sz w:val="20"/>
          <w:szCs w:val="20"/>
        </w:rPr>
      </w:pPr>
      <w:r>
        <w:rPr>
          <w:i/>
          <w:iCs/>
          <w:sz w:val="20"/>
          <w:szCs w:val="20"/>
        </w:rPr>
        <w:t>COVID-</w:t>
      </w:r>
      <w:r>
        <w:rPr>
          <w:rStyle w:val="a6"/>
          <w:sz w:val="20"/>
          <w:szCs w:val="20"/>
        </w:rPr>
        <w:t>19</w:t>
      </w:r>
      <w:r>
        <w:rPr>
          <w:i/>
          <w:iCs/>
          <w:sz w:val="20"/>
          <w:szCs w:val="20"/>
        </w:rPr>
        <w:t xml:space="preserve"> Pandemic -</w:t>
      </w:r>
    </w:p>
    <w:p w14:paraId="249C6030" w14:textId="77777777" w:rsidR="00000000" w:rsidRDefault="00322B34">
      <w:pPr>
        <w:pStyle w:val="a3"/>
        <w:spacing w:before="0" w:beforeAutospacing="0" w:after="0" w:afterAutospacing="0"/>
        <w:ind w:firstLine="360"/>
        <w:jc w:val="both"/>
        <w:rPr>
          <w:sz w:val="20"/>
          <w:szCs w:val="20"/>
        </w:rPr>
      </w:pPr>
      <w:r>
        <w:rPr>
          <w:sz w:val="20"/>
          <w:szCs w:val="20"/>
        </w:rPr>
        <w:t> </w:t>
      </w:r>
    </w:p>
    <w:p w14:paraId="1E22C956" w14:textId="77777777" w:rsidR="00000000" w:rsidRDefault="00322B34">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March 2020, </w:t>
      </w:r>
      <w:r>
        <w:rPr>
          <w:sz w:val="20"/>
          <w:szCs w:val="20"/>
        </w:rPr>
        <w:t>c</w:t>
      </w:r>
      <w:r>
        <w:rPr>
          <w:sz w:val="20"/>
          <w:szCs w:val="20"/>
        </w:rPr>
        <w:t xml:space="preserve">oronavirus disease </w:t>
      </w:r>
      <w:r>
        <w:rPr>
          <w:rStyle w:val="a6"/>
          <w:sz w:val="20"/>
          <w:szCs w:val="20"/>
        </w:rPr>
        <w:t>2019</w:t>
      </w:r>
      <w:r>
        <w:rPr>
          <w:sz w:val="20"/>
          <w:szCs w:val="20"/>
        </w:rPr>
        <w:t xml:space="preserve"> (“COVID-</w:t>
      </w:r>
      <w:r>
        <w:rPr>
          <w:rStyle w:val="a6"/>
          <w:sz w:val="20"/>
          <w:szCs w:val="20"/>
        </w:rPr>
        <w:t>19”</w:t>
      </w:r>
      <w:r>
        <w:rPr>
          <w:sz w:val="20"/>
          <w:szCs w:val="20"/>
        </w:rPr>
        <w:t>) was recognized as a pandemic by the World Health Organization ("WHO"). Shortly thereafter, the President of the United States declared a national emergency throughout the United States. The COVID-</w:t>
      </w:r>
      <w:r>
        <w:rPr>
          <w:rStyle w:val="a6"/>
          <w:sz w:val="20"/>
          <w:szCs w:val="20"/>
        </w:rPr>
        <w:t>19</w:t>
      </w:r>
      <w:r>
        <w:rPr>
          <w:sz w:val="20"/>
          <w:szCs w:val="20"/>
        </w:rPr>
        <w:t xml:space="preserve"> pandemic has resulte</w:t>
      </w:r>
      <w:r>
        <w:rPr>
          <w:sz w:val="20"/>
          <w:szCs w:val="20"/>
        </w:rPr>
        <w:t>d in a widespread health crisis that has adversely affected businesses, economies, and financial markets worldwide, and has caused significant volatility in U.S. and international debt and equity markets. The impact of COVID-</w:t>
      </w:r>
      <w:r>
        <w:rPr>
          <w:rStyle w:val="a6"/>
          <w:sz w:val="20"/>
          <w:szCs w:val="20"/>
        </w:rPr>
        <w:t>19</w:t>
      </w:r>
      <w:r>
        <w:rPr>
          <w:sz w:val="20"/>
          <w:szCs w:val="20"/>
        </w:rPr>
        <w:t xml:space="preserve"> on the retail industry for b</w:t>
      </w:r>
      <w:r>
        <w:rPr>
          <w:sz w:val="20"/>
          <w:szCs w:val="20"/>
        </w:rPr>
        <w:t xml:space="preserve">oth landlords and tenants has been wide ranging, including, but </w:t>
      </w:r>
      <w:r>
        <w:rPr>
          <w:rStyle w:val="a6"/>
          <w:sz w:val="20"/>
          <w:szCs w:val="20"/>
        </w:rPr>
        <w:t>not</w:t>
      </w:r>
      <w:r>
        <w:rPr>
          <w:sz w:val="20"/>
          <w:szCs w:val="20"/>
        </w:rPr>
        <w:t xml:space="preserve"> limited to, the temporary closures of many businesses, "shelter in place" orders, social distancing guidelines and other governmental, business and individual actions taken in response to </w:t>
      </w:r>
      <w:r>
        <w:rPr>
          <w:sz w:val="20"/>
          <w:szCs w:val="20"/>
        </w:rPr>
        <w:t>the COVID-</w:t>
      </w:r>
      <w:r>
        <w:rPr>
          <w:rStyle w:val="a6"/>
          <w:sz w:val="20"/>
          <w:szCs w:val="20"/>
        </w:rPr>
        <w:t>19</w:t>
      </w:r>
      <w:r>
        <w:rPr>
          <w:sz w:val="20"/>
          <w:szCs w:val="20"/>
        </w:rPr>
        <w:t xml:space="preserve"> pandemic. There has also been reduced consumer spending due to job losses, government restrictions in response to COVID-</w:t>
      </w:r>
      <w:r>
        <w:rPr>
          <w:rStyle w:val="a6"/>
          <w:sz w:val="20"/>
          <w:szCs w:val="20"/>
        </w:rPr>
        <w:t>19</w:t>
      </w:r>
      <w:r>
        <w:rPr>
          <w:sz w:val="20"/>
          <w:szCs w:val="20"/>
        </w:rPr>
        <w:t xml:space="preserve"> and other effects attributable to COVID-</w:t>
      </w:r>
      <w:r>
        <w:rPr>
          <w:rStyle w:val="a6"/>
          <w:sz w:val="20"/>
          <w:szCs w:val="20"/>
        </w:rPr>
        <w:t>19.</w:t>
      </w:r>
      <w:r>
        <w:rPr>
          <w:sz w:val="20"/>
          <w:szCs w:val="20"/>
        </w:rPr>
        <w:t> </w:t>
      </w:r>
    </w:p>
    <w:p w14:paraId="3792AF0D" w14:textId="77777777" w:rsidR="00000000" w:rsidRDefault="00322B34">
      <w:pPr>
        <w:pStyle w:val="a3"/>
        <w:spacing w:before="0" w:beforeAutospacing="0" w:after="0" w:afterAutospacing="0"/>
        <w:ind w:firstLine="360"/>
        <w:jc w:val="both"/>
        <w:rPr>
          <w:sz w:val="20"/>
          <w:szCs w:val="20"/>
        </w:rPr>
      </w:pPr>
      <w:r>
        <w:rPr>
          <w:sz w:val="20"/>
          <w:szCs w:val="20"/>
        </w:rPr>
        <w:t> </w:t>
      </w:r>
    </w:p>
    <w:p w14:paraId="11525227" w14:textId="77777777" w:rsidR="00000000" w:rsidRDefault="00322B34">
      <w:pPr>
        <w:pStyle w:val="a3"/>
        <w:spacing w:before="0" w:beforeAutospacing="0" w:after="0" w:afterAutospacing="0"/>
        <w:ind w:firstLine="360"/>
        <w:jc w:val="both"/>
        <w:rPr>
          <w:sz w:val="20"/>
          <w:szCs w:val="20"/>
        </w:rPr>
      </w:pPr>
      <w:r>
        <w:rPr>
          <w:sz w:val="20"/>
          <w:szCs w:val="20"/>
        </w:rPr>
        <w:t>The COVID-</w:t>
      </w:r>
      <w:r>
        <w:rPr>
          <w:rStyle w:val="a6"/>
          <w:sz w:val="20"/>
          <w:szCs w:val="20"/>
        </w:rPr>
        <w:t>19</w:t>
      </w:r>
      <w:r>
        <w:rPr>
          <w:sz w:val="20"/>
          <w:szCs w:val="20"/>
        </w:rPr>
        <w:t xml:space="preserve"> pandemic, while still unfolding, has significantly impacted </w:t>
      </w:r>
      <w:r>
        <w:rPr>
          <w:sz w:val="20"/>
          <w:szCs w:val="20"/>
        </w:rPr>
        <w:t>the Company’s stakeholders. The Company is aware of the critical role its shopping centers play in the communities they serve, often providing access to essential goods and services such as groceries, drug stores, and medical care. The Company’s shopping c</w:t>
      </w:r>
      <w:r>
        <w:rPr>
          <w:sz w:val="20"/>
          <w:szCs w:val="20"/>
        </w:rPr>
        <w:t>enters generally remain open to continue to provide access to these essential goods and services, and the Company has taken steps to protect the shoppers and tenants at its sites, following the guidance of the Centers for Disease Control and Prevention ("C</w:t>
      </w:r>
      <w:r>
        <w:rPr>
          <w:sz w:val="20"/>
          <w:szCs w:val="20"/>
        </w:rPr>
        <w:t>DC") and the WHO.</w:t>
      </w:r>
    </w:p>
    <w:p w14:paraId="1E266023" w14:textId="77777777" w:rsidR="00000000" w:rsidRDefault="00322B34">
      <w:pPr>
        <w:pStyle w:val="a3"/>
        <w:spacing w:before="0" w:beforeAutospacing="0" w:after="0" w:afterAutospacing="0"/>
        <w:ind w:firstLine="360"/>
        <w:jc w:val="both"/>
        <w:rPr>
          <w:sz w:val="20"/>
          <w:szCs w:val="20"/>
        </w:rPr>
      </w:pPr>
      <w:r>
        <w:rPr>
          <w:sz w:val="20"/>
          <w:szCs w:val="20"/>
        </w:rPr>
        <w:t> </w:t>
      </w:r>
    </w:p>
    <w:p w14:paraId="4142DA82" w14:textId="77777777" w:rsidR="00000000" w:rsidRDefault="00322B34">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March 2020, </w:t>
      </w:r>
      <w:r>
        <w:rPr>
          <w:sz w:val="20"/>
          <w:szCs w:val="20"/>
        </w:rPr>
        <w:t>the President of the United States signed into law the Coronavirus Aid, Relief, and Economic Security (“CARES”) Act, a substantial tax and spending package intended to provide additional economic stimulus to address the i</w:t>
      </w:r>
      <w:r>
        <w:rPr>
          <w:sz w:val="20"/>
          <w:szCs w:val="20"/>
        </w:rPr>
        <w:t>mpact of the COVID-</w:t>
      </w:r>
      <w:r>
        <w:rPr>
          <w:rStyle w:val="a6"/>
          <w:sz w:val="20"/>
          <w:szCs w:val="20"/>
        </w:rPr>
        <w:t>19</w:t>
      </w:r>
      <w:r>
        <w:rPr>
          <w:sz w:val="20"/>
          <w:szCs w:val="20"/>
        </w:rPr>
        <w:t> pandemic. The Company continues to monitor the impact of the COVID-</w:t>
      </w:r>
      <w:r>
        <w:rPr>
          <w:rStyle w:val="a6"/>
          <w:sz w:val="20"/>
          <w:szCs w:val="20"/>
        </w:rPr>
        <w:t>19</w:t>
      </w:r>
      <w:r>
        <w:rPr>
          <w:sz w:val="20"/>
          <w:szCs w:val="20"/>
        </w:rPr>
        <w:t xml:space="preserve"> pandemic closely, as well as any effects that </w:t>
      </w:r>
      <w:r>
        <w:rPr>
          <w:rStyle w:val="a6"/>
          <w:sz w:val="20"/>
          <w:szCs w:val="20"/>
        </w:rPr>
        <w:t xml:space="preserve">may </w:t>
      </w:r>
      <w:r>
        <w:rPr>
          <w:sz w:val="20"/>
          <w:szCs w:val="20"/>
        </w:rPr>
        <w:t>result from the CARES Act on the Company's tenants which would then indirectly affect the Company.</w:t>
      </w:r>
    </w:p>
    <w:p w14:paraId="3CC5851E" w14:textId="77777777" w:rsidR="00000000" w:rsidRDefault="00322B34">
      <w:pPr>
        <w:pStyle w:val="a3"/>
        <w:spacing w:before="0" w:beforeAutospacing="0" w:after="0" w:afterAutospacing="0"/>
        <w:ind w:firstLine="360"/>
        <w:jc w:val="both"/>
        <w:rPr>
          <w:sz w:val="20"/>
          <w:szCs w:val="20"/>
        </w:rPr>
      </w:pPr>
      <w:r>
        <w:rPr>
          <w:sz w:val="20"/>
          <w:szCs w:val="20"/>
        </w:rPr>
        <w:t> </w:t>
      </w:r>
    </w:p>
    <w:p w14:paraId="0090AC37" w14:textId="77777777" w:rsidR="00000000" w:rsidRDefault="00322B34">
      <w:pPr>
        <w:pStyle w:val="a3"/>
        <w:spacing w:before="0" w:beforeAutospacing="0" w:after="0" w:afterAutospacing="0"/>
        <w:ind w:firstLine="360"/>
        <w:jc w:val="both"/>
        <w:rPr>
          <w:sz w:val="20"/>
          <w:szCs w:val="20"/>
        </w:rPr>
      </w:pPr>
      <w:r>
        <w:rPr>
          <w:sz w:val="20"/>
          <w:szCs w:val="20"/>
        </w:rPr>
        <w:t>The COVID-</w:t>
      </w:r>
      <w:r>
        <w:rPr>
          <w:rStyle w:val="a6"/>
          <w:sz w:val="20"/>
          <w:szCs w:val="20"/>
        </w:rPr>
        <w:t>19</w:t>
      </w:r>
      <w:r>
        <w:rPr>
          <w:sz w:val="20"/>
          <w:szCs w:val="20"/>
        </w:rPr>
        <w:t xml:space="preserve"> </w:t>
      </w:r>
      <w:r>
        <w:rPr>
          <w:sz w:val="20"/>
          <w:szCs w:val="20"/>
        </w:rPr>
        <w:t>pandemic has created significant economic uncertainty and volatility. The extent to which the COVID-</w:t>
      </w:r>
      <w:r>
        <w:rPr>
          <w:rStyle w:val="a6"/>
          <w:sz w:val="20"/>
          <w:szCs w:val="20"/>
        </w:rPr>
        <w:t>19</w:t>
      </w:r>
      <w:r>
        <w:rPr>
          <w:sz w:val="20"/>
          <w:szCs w:val="20"/>
        </w:rPr>
        <w:t xml:space="preserve"> pandemic impacts the Company’s financial condition, results of operations and cash flows, in the near term, will depend on future developments, which are</w:t>
      </w:r>
      <w:r>
        <w:rPr>
          <w:sz w:val="20"/>
          <w:szCs w:val="20"/>
        </w:rPr>
        <w:t xml:space="preserve"> highly uncertain and cannot be predicted at this time. The Company’s business, operations and financial results will depend on numerous evolving factors that the Company is </w:t>
      </w:r>
      <w:r>
        <w:rPr>
          <w:rStyle w:val="a6"/>
          <w:sz w:val="20"/>
          <w:szCs w:val="20"/>
        </w:rPr>
        <w:t>not</w:t>
      </w:r>
      <w:r>
        <w:rPr>
          <w:sz w:val="20"/>
          <w:szCs w:val="20"/>
        </w:rPr>
        <w:t xml:space="preserve"> able to predict at this time, including the duration and scope of the pandemic</w:t>
      </w:r>
      <w:r>
        <w:rPr>
          <w:sz w:val="20"/>
          <w:szCs w:val="20"/>
        </w:rPr>
        <w:t>, governmental, business and individual actions that have been and continue to be, taken in response to the pandemic, the impact on economic activity from the pandemic and actions taken in response, the effect on the Company’s tenants and their businesses,</w:t>
      </w:r>
      <w:r>
        <w:rPr>
          <w:sz w:val="20"/>
          <w:szCs w:val="20"/>
        </w:rPr>
        <w:t> the ability of tenants to make their rental payments, additional closures of tenants’ businesses and the impact of opening and reclosing of communities in response to the resurgence of COVID-</w:t>
      </w:r>
      <w:r>
        <w:rPr>
          <w:rStyle w:val="a6"/>
          <w:sz w:val="20"/>
          <w:szCs w:val="20"/>
        </w:rPr>
        <w:t>19.</w:t>
      </w:r>
      <w:r>
        <w:rPr>
          <w:sz w:val="20"/>
          <w:szCs w:val="20"/>
        </w:rPr>
        <w:t xml:space="preserve"> Any of these events could materially adversely impact the Co</w:t>
      </w:r>
      <w:r>
        <w:rPr>
          <w:sz w:val="20"/>
          <w:szCs w:val="20"/>
        </w:rPr>
        <w:t>mpany’s business, financial condition, results of operations or stock price. The Company will continue to monitor the economic, financial, and social conditions resulting from the COVID-</w:t>
      </w:r>
      <w:r>
        <w:rPr>
          <w:rStyle w:val="a6"/>
          <w:sz w:val="20"/>
          <w:szCs w:val="20"/>
        </w:rPr>
        <w:t>19</w:t>
      </w:r>
      <w:r>
        <w:rPr>
          <w:sz w:val="20"/>
          <w:szCs w:val="20"/>
        </w:rPr>
        <w:t xml:space="preserve"> pandemic and will assess its asset portfolio for any impairment ind</w:t>
      </w:r>
      <w:r>
        <w:rPr>
          <w:sz w:val="20"/>
          <w:szCs w:val="20"/>
        </w:rPr>
        <w:t>icators. In addition, The Company will continue to monitor for any material or adverse effects resulting from the COVID-</w:t>
      </w:r>
      <w:r>
        <w:rPr>
          <w:rStyle w:val="a6"/>
          <w:sz w:val="20"/>
          <w:szCs w:val="20"/>
        </w:rPr>
        <w:t>19</w:t>
      </w:r>
      <w:r>
        <w:rPr>
          <w:sz w:val="20"/>
          <w:szCs w:val="20"/>
        </w:rPr>
        <w:t xml:space="preserve"> pandemic.</w:t>
      </w:r>
    </w:p>
    <w:p w14:paraId="492B6510" w14:textId="77777777" w:rsidR="00000000" w:rsidRDefault="00322B34">
      <w:pPr>
        <w:pStyle w:val="a3"/>
        <w:spacing w:before="0" w:beforeAutospacing="0" w:after="0" w:afterAutospacing="0"/>
        <w:ind w:firstLine="360"/>
        <w:jc w:val="both"/>
        <w:rPr>
          <w:sz w:val="20"/>
          <w:szCs w:val="20"/>
        </w:rPr>
      </w:pPr>
      <w:r>
        <w:rPr>
          <w:sz w:val="20"/>
          <w:szCs w:val="20"/>
        </w:rPr>
        <w:t> </w:t>
      </w:r>
    </w:p>
    <w:p w14:paraId="20D101AA" w14:textId="77777777" w:rsidR="00000000" w:rsidRDefault="00322B34">
      <w:pPr>
        <w:jc w:val="center"/>
        <w:divId w:val="1532189030"/>
        <w:rPr>
          <w:rFonts w:eastAsia="Times New Roman"/>
          <w:sz w:val="20"/>
          <w:szCs w:val="20"/>
        </w:rPr>
      </w:pPr>
      <w:r>
        <w:rPr>
          <w:rStyle w:val="a6"/>
          <w:rFonts w:eastAsia="Times New Roman"/>
          <w:sz w:val="20"/>
          <w:szCs w:val="20"/>
        </w:rPr>
        <w:t>8</w:t>
      </w:r>
      <w:r>
        <w:rPr>
          <w:rFonts w:eastAsia="Times New Roman"/>
          <w:sz w:val="20"/>
          <w:szCs w:val="20"/>
        </w:rPr>
        <w:t xml:space="preserve"> </w:t>
      </w:r>
    </w:p>
    <w:p w14:paraId="0D399673" w14:textId="77777777" w:rsidR="00000000" w:rsidRDefault="00322B34">
      <w:pPr>
        <w:rPr>
          <w:rFonts w:eastAsia="Times New Roman"/>
          <w:sz w:val="20"/>
          <w:szCs w:val="20"/>
        </w:rPr>
      </w:pPr>
      <w:r>
        <w:rPr>
          <w:rFonts w:eastAsia="Times New Roman"/>
          <w:sz w:val="20"/>
          <w:szCs w:val="20"/>
        </w:rPr>
        <w:pict w14:anchorId="5BFDBDD8">
          <v:rect id="_x0000_i1036" style="width:415.3pt;height:1.5pt" o:hralign="center" o:hrstd="t" o:hrnoshade="t" o:hr="t" fillcolor="black" stroked="f"/>
        </w:pict>
      </w:r>
    </w:p>
    <w:p w14:paraId="754D7C63" w14:textId="77777777" w:rsidR="00000000" w:rsidRDefault="00322B34">
      <w:pPr>
        <w:divId w:val="131557303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8A9CE29" w14:textId="77777777" w:rsidR="00000000" w:rsidRDefault="00322B34">
      <w:pPr>
        <w:rPr>
          <w:rFonts w:eastAsia="Times New Roman"/>
          <w:sz w:val="20"/>
          <w:szCs w:val="20"/>
        </w:rPr>
      </w:pPr>
      <w:r>
        <w:rPr>
          <w:rFonts w:eastAsia="Times New Roman"/>
          <w:sz w:val="20"/>
          <w:szCs w:val="20"/>
        </w:rPr>
        <w:t xml:space="preserve">  </w:t>
      </w:r>
    </w:p>
    <w:p w14:paraId="6556DFD2" w14:textId="77777777" w:rsidR="00000000" w:rsidRDefault="00322B34">
      <w:pPr>
        <w:pStyle w:val="a3"/>
        <w:spacing w:before="0" w:beforeAutospacing="0" w:after="0" w:afterAutospacing="0"/>
        <w:ind w:firstLine="360"/>
        <w:jc w:val="both"/>
        <w:rPr>
          <w:sz w:val="20"/>
          <w:szCs w:val="20"/>
        </w:rPr>
      </w:pPr>
      <w:r>
        <w:rPr>
          <w:sz w:val="20"/>
          <w:szCs w:val="20"/>
        </w:rPr>
        <w:t>The health and safety of the Company’s employees and their families is a top priority. The Company has taken the necessary steps to protect its employees and to empower them to</w:t>
      </w:r>
      <w:r>
        <w:rPr>
          <w:sz w:val="20"/>
          <w:szCs w:val="20"/>
        </w:rPr>
        <w:t xml:space="preserve"> work from home and care for their family members and children, whose lives have also been impacted.</w:t>
      </w:r>
    </w:p>
    <w:p w14:paraId="50D56ED4"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1DFA535" w14:textId="77777777">
        <w:trPr>
          <w:tblCellSpacing w:w="0" w:type="dxa"/>
        </w:trPr>
        <w:tc>
          <w:tcPr>
            <w:tcW w:w="360" w:type="dxa"/>
            <w:vAlign w:val="center"/>
            <w:hideMark/>
          </w:tcPr>
          <w:p w14:paraId="2709984E" w14:textId="77777777" w:rsidR="00000000" w:rsidRDefault="00322B34">
            <w:pPr>
              <w:rPr>
                <w:rFonts w:eastAsia="Times New Roman"/>
                <w:sz w:val="20"/>
                <w:szCs w:val="20"/>
              </w:rPr>
            </w:pPr>
            <w:r>
              <w:rPr>
                <w:rFonts w:eastAsia="Times New Roman"/>
                <w:sz w:val="20"/>
                <w:szCs w:val="20"/>
              </w:rPr>
              <w:t> </w:t>
            </w:r>
          </w:p>
        </w:tc>
        <w:tc>
          <w:tcPr>
            <w:tcW w:w="360" w:type="dxa"/>
            <w:hideMark/>
          </w:tcPr>
          <w:p w14:paraId="3624A148"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364C22CB" w14:textId="77777777" w:rsidR="00000000" w:rsidRDefault="00322B34">
            <w:pPr>
              <w:pStyle w:val="a3"/>
              <w:spacing w:before="0" w:beforeAutospacing="0" w:after="0" w:afterAutospacing="0"/>
              <w:jc w:val="both"/>
              <w:rPr>
                <w:sz w:val="20"/>
                <w:szCs w:val="20"/>
              </w:rPr>
            </w:pPr>
            <w:r>
              <w:rPr>
                <w:sz w:val="20"/>
                <w:szCs w:val="20"/>
              </w:rPr>
              <w:t xml:space="preserve">Beginning </w:t>
            </w:r>
            <w:r>
              <w:rPr>
                <w:rStyle w:val="a6"/>
                <w:sz w:val="20"/>
                <w:szCs w:val="20"/>
              </w:rPr>
              <w:t xml:space="preserve">March 11, 2020, </w:t>
            </w:r>
            <w:r>
              <w:rPr>
                <w:sz w:val="20"/>
                <w:szCs w:val="20"/>
              </w:rPr>
              <w:t xml:space="preserve">the Company transitioned nearly </w:t>
            </w:r>
            <w:r>
              <w:rPr>
                <w:rStyle w:val="a6"/>
                <w:sz w:val="20"/>
                <w:szCs w:val="20"/>
              </w:rPr>
              <w:t>100%</w:t>
            </w:r>
            <w:r>
              <w:rPr>
                <w:sz w:val="20"/>
                <w:szCs w:val="20"/>
              </w:rPr>
              <w:t xml:space="preserve"> of its workforce to work from home, ensuring they are safely situated during this crit</w:t>
            </w:r>
            <w:r>
              <w:rPr>
                <w:sz w:val="20"/>
                <w:szCs w:val="20"/>
              </w:rPr>
              <w:t>ical social distancing period.</w:t>
            </w:r>
          </w:p>
        </w:tc>
      </w:tr>
    </w:tbl>
    <w:p w14:paraId="1BD1A578"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67E74DB" w14:textId="77777777">
        <w:trPr>
          <w:tblCellSpacing w:w="0" w:type="dxa"/>
        </w:trPr>
        <w:tc>
          <w:tcPr>
            <w:tcW w:w="360" w:type="dxa"/>
            <w:vAlign w:val="center"/>
            <w:hideMark/>
          </w:tcPr>
          <w:p w14:paraId="54C59D72" w14:textId="77777777" w:rsidR="00000000" w:rsidRDefault="00322B34">
            <w:pPr>
              <w:rPr>
                <w:rFonts w:eastAsia="Times New Roman"/>
                <w:sz w:val="20"/>
                <w:szCs w:val="20"/>
              </w:rPr>
            </w:pPr>
            <w:r>
              <w:rPr>
                <w:rFonts w:eastAsia="Times New Roman"/>
                <w:sz w:val="20"/>
                <w:szCs w:val="20"/>
              </w:rPr>
              <w:t> </w:t>
            </w:r>
          </w:p>
        </w:tc>
        <w:tc>
          <w:tcPr>
            <w:tcW w:w="360" w:type="dxa"/>
            <w:hideMark/>
          </w:tcPr>
          <w:p w14:paraId="3C3608BD"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7FFA0AD4" w14:textId="77777777" w:rsidR="00000000" w:rsidRDefault="00322B34">
            <w:pPr>
              <w:pStyle w:val="a3"/>
              <w:spacing w:before="0" w:beforeAutospacing="0" w:after="0" w:afterAutospacing="0"/>
              <w:jc w:val="both"/>
              <w:rPr>
                <w:sz w:val="20"/>
                <w:szCs w:val="20"/>
              </w:rPr>
            </w:pPr>
            <w:r>
              <w:rPr>
                <w:sz w:val="20"/>
                <w:szCs w:val="20"/>
              </w:rPr>
              <w:t>All business travel has been stopped until further notice.</w:t>
            </w:r>
          </w:p>
        </w:tc>
      </w:tr>
    </w:tbl>
    <w:p w14:paraId="2C55C98E"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395EC10" w14:textId="77777777">
        <w:trPr>
          <w:tblCellSpacing w:w="0" w:type="dxa"/>
        </w:trPr>
        <w:tc>
          <w:tcPr>
            <w:tcW w:w="360" w:type="dxa"/>
            <w:vAlign w:val="center"/>
            <w:hideMark/>
          </w:tcPr>
          <w:p w14:paraId="722217D0" w14:textId="77777777" w:rsidR="00000000" w:rsidRDefault="00322B34">
            <w:pPr>
              <w:rPr>
                <w:rFonts w:eastAsia="Times New Roman"/>
                <w:sz w:val="20"/>
                <w:szCs w:val="20"/>
              </w:rPr>
            </w:pPr>
            <w:r>
              <w:rPr>
                <w:rFonts w:eastAsia="Times New Roman"/>
                <w:sz w:val="20"/>
                <w:szCs w:val="20"/>
              </w:rPr>
              <w:t> </w:t>
            </w:r>
          </w:p>
        </w:tc>
        <w:tc>
          <w:tcPr>
            <w:tcW w:w="360" w:type="dxa"/>
            <w:hideMark/>
          </w:tcPr>
          <w:p w14:paraId="20F86E7E"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75B388D9" w14:textId="77777777" w:rsidR="00000000" w:rsidRDefault="00322B34">
            <w:pPr>
              <w:pStyle w:val="a3"/>
              <w:spacing w:before="0" w:beforeAutospacing="0" w:after="0" w:afterAutospacing="0"/>
              <w:jc w:val="both"/>
              <w:rPr>
                <w:sz w:val="20"/>
                <w:szCs w:val="20"/>
              </w:rPr>
            </w:pPr>
            <w:r>
              <w:rPr>
                <w:sz w:val="20"/>
                <w:szCs w:val="20"/>
              </w:rPr>
              <w:t>The Company has benefited from recent investments in new technology and software over the last year, as its entire team is equipped with new laptops and cellular capability to enable them to work remotely.</w:t>
            </w:r>
          </w:p>
        </w:tc>
      </w:tr>
    </w:tbl>
    <w:p w14:paraId="298DE5C6"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E694B4B" w14:textId="77777777">
        <w:trPr>
          <w:tblCellSpacing w:w="0" w:type="dxa"/>
        </w:trPr>
        <w:tc>
          <w:tcPr>
            <w:tcW w:w="360" w:type="dxa"/>
            <w:vAlign w:val="center"/>
            <w:hideMark/>
          </w:tcPr>
          <w:p w14:paraId="43B4AD1A" w14:textId="77777777" w:rsidR="00000000" w:rsidRDefault="00322B34">
            <w:pPr>
              <w:rPr>
                <w:rFonts w:eastAsia="Times New Roman"/>
                <w:sz w:val="20"/>
                <w:szCs w:val="20"/>
              </w:rPr>
            </w:pPr>
            <w:r>
              <w:rPr>
                <w:rFonts w:eastAsia="Times New Roman"/>
                <w:sz w:val="20"/>
                <w:szCs w:val="20"/>
              </w:rPr>
              <w:t> </w:t>
            </w:r>
          </w:p>
        </w:tc>
        <w:tc>
          <w:tcPr>
            <w:tcW w:w="360" w:type="dxa"/>
            <w:hideMark/>
          </w:tcPr>
          <w:p w14:paraId="0561A5ED"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0E2722A8" w14:textId="77777777" w:rsidR="00000000" w:rsidRDefault="00322B34">
            <w:pPr>
              <w:pStyle w:val="a3"/>
              <w:spacing w:before="0" w:beforeAutospacing="0" w:after="0" w:afterAutospacing="0"/>
              <w:jc w:val="both"/>
              <w:rPr>
                <w:sz w:val="20"/>
                <w:szCs w:val="20"/>
              </w:rPr>
            </w:pPr>
            <w:r>
              <w:rPr>
                <w:sz w:val="20"/>
                <w:szCs w:val="20"/>
              </w:rPr>
              <w:t>Daily webinar training was provided to ensur</w:t>
            </w:r>
            <w:r>
              <w:rPr>
                <w:sz w:val="20"/>
                <w:szCs w:val="20"/>
              </w:rPr>
              <w:t xml:space="preserve">e associates are fully supported to work from home. The Company’s human resources and information technology teams are available to all employees to address any needs or concerns they </w:t>
            </w:r>
            <w:r>
              <w:rPr>
                <w:rStyle w:val="a6"/>
                <w:sz w:val="20"/>
                <w:szCs w:val="20"/>
              </w:rPr>
              <w:t xml:space="preserve">may </w:t>
            </w:r>
            <w:r>
              <w:rPr>
                <w:sz w:val="20"/>
                <w:szCs w:val="20"/>
              </w:rPr>
              <w:t>have.</w:t>
            </w:r>
          </w:p>
        </w:tc>
      </w:tr>
    </w:tbl>
    <w:p w14:paraId="787A41ED"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9DB8C4B" w14:textId="77777777">
        <w:trPr>
          <w:tblCellSpacing w:w="0" w:type="dxa"/>
        </w:trPr>
        <w:tc>
          <w:tcPr>
            <w:tcW w:w="360" w:type="dxa"/>
            <w:vAlign w:val="center"/>
            <w:hideMark/>
          </w:tcPr>
          <w:p w14:paraId="05401E75" w14:textId="77777777" w:rsidR="00000000" w:rsidRDefault="00322B34">
            <w:pPr>
              <w:rPr>
                <w:rFonts w:eastAsia="Times New Roman"/>
                <w:sz w:val="20"/>
                <w:szCs w:val="20"/>
              </w:rPr>
            </w:pPr>
            <w:r>
              <w:rPr>
                <w:rFonts w:eastAsia="Times New Roman"/>
                <w:sz w:val="20"/>
                <w:szCs w:val="20"/>
              </w:rPr>
              <w:t> </w:t>
            </w:r>
          </w:p>
        </w:tc>
        <w:tc>
          <w:tcPr>
            <w:tcW w:w="360" w:type="dxa"/>
            <w:hideMark/>
          </w:tcPr>
          <w:p w14:paraId="07DD1DA3"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48C6B35B" w14:textId="77777777" w:rsidR="00000000" w:rsidRDefault="00322B34">
            <w:pPr>
              <w:pStyle w:val="a3"/>
              <w:spacing w:before="0" w:beforeAutospacing="0" w:after="0" w:afterAutospacing="0"/>
              <w:jc w:val="both"/>
              <w:rPr>
                <w:sz w:val="20"/>
                <w:szCs w:val="20"/>
              </w:rPr>
            </w:pPr>
            <w:r>
              <w:rPr>
                <w:sz w:val="20"/>
                <w:szCs w:val="20"/>
              </w:rPr>
              <w:t>Associates will be provided paid time off to care for themselves or family members diagnosed with COVID-</w:t>
            </w:r>
            <w:r>
              <w:rPr>
                <w:rStyle w:val="a6"/>
                <w:sz w:val="20"/>
                <w:szCs w:val="20"/>
              </w:rPr>
              <w:t>19.</w:t>
            </w:r>
          </w:p>
        </w:tc>
      </w:tr>
    </w:tbl>
    <w:p w14:paraId="46A1D1BE"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B833E87" w14:textId="77777777">
        <w:trPr>
          <w:tblCellSpacing w:w="0" w:type="dxa"/>
        </w:trPr>
        <w:tc>
          <w:tcPr>
            <w:tcW w:w="360" w:type="dxa"/>
            <w:vAlign w:val="center"/>
            <w:hideMark/>
          </w:tcPr>
          <w:p w14:paraId="48F83E37" w14:textId="77777777" w:rsidR="00000000" w:rsidRDefault="00322B34">
            <w:pPr>
              <w:rPr>
                <w:rFonts w:eastAsia="Times New Roman"/>
                <w:sz w:val="20"/>
                <w:szCs w:val="20"/>
              </w:rPr>
            </w:pPr>
            <w:r>
              <w:rPr>
                <w:rFonts w:eastAsia="Times New Roman"/>
                <w:sz w:val="20"/>
                <w:szCs w:val="20"/>
              </w:rPr>
              <w:t> </w:t>
            </w:r>
          </w:p>
        </w:tc>
        <w:tc>
          <w:tcPr>
            <w:tcW w:w="360" w:type="dxa"/>
            <w:hideMark/>
          </w:tcPr>
          <w:p w14:paraId="767795CD"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64BAC0CC" w14:textId="77777777" w:rsidR="00000000" w:rsidRDefault="00322B34">
            <w:pPr>
              <w:pStyle w:val="a3"/>
              <w:spacing w:before="0" w:beforeAutospacing="0" w:after="0" w:afterAutospacing="0"/>
              <w:jc w:val="both"/>
              <w:rPr>
                <w:sz w:val="20"/>
                <w:szCs w:val="20"/>
              </w:rPr>
            </w:pPr>
            <w:r>
              <w:rPr>
                <w:sz w:val="20"/>
                <w:szCs w:val="20"/>
              </w:rPr>
              <w:t>The Company has ramped up communications at all levels and has initiated Company-wide virtual meetings such that executives are accessible, able to keep associates informed, and able to answer questions.</w:t>
            </w:r>
          </w:p>
        </w:tc>
      </w:tr>
    </w:tbl>
    <w:p w14:paraId="2502BAE1" w14:textId="77777777" w:rsidR="00000000" w:rsidRDefault="00322B34">
      <w:pPr>
        <w:pStyle w:val="a3"/>
        <w:spacing w:before="0" w:beforeAutospacing="0" w:after="0" w:afterAutospacing="0"/>
        <w:ind w:firstLine="360"/>
        <w:jc w:val="both"/>
        <w:rPr>
          <w:sz w:val="20"/>
          <w:szCs w:val="20"/>
        </w:rPr>
      </w:pPr>
      <w:r>
        <w:rPr>
          <w:sz w:val="20"/>
          <w:szCs w:val="20"/>
        </w:rPr>
        <w:t> </w:t>
      </w:r>
    </w:p>
    <w:p w14:paraId="74C80AB3" w14:textId="77777777" w:rsidR="00000000" w:rsidRDefault="00322B34">
      <w:pPr>
        <w:pStyle w:val="a3"/>
        <w:spacing w:before="0" w:beforeAutospacing="0" w:after="0" w:afterAutospacing="0"/>
        <w:ind w:firstLine="360"/>
        <w:jc w:val="both"/>
        <w:rPr>
          <w:sz w:val="20"/>
          <w:szCs w:val="20"/>
        </w:rPr>
      </w:pPr>
      <w:r>
        <w:rPr>
          <w:sz w:val="20"/>
          <w:szCs w:val="20"/>
        </w:rPr>
        <w:t xml:space="preserve">The Company will continue to evaluate individual </w:t>
      </w:r>
      <w:r>
        <w:rPr>
          <w:sz w:val="20"/>
          <w:szCs w:val="20"/>
        </w:rPr>
        <w:t>situations as they arise and adjust its approach as appropriate, with the goal to enable its employees to be as productive as possible while offering them the flexibility they need to care for themselves and their families.</w:t>
      </w:r>
    </w:p>
    <w:p w14:paraId="394F6160" w14:textId="77777777" w:rsidR="00000000" w:rsidRDefault="00322B34">
      <w:pPr>
        <w:pStyle w:val="a3"/>
        <w:spacing w:before="0" w:beforeAutospacing="0" w:after="0" w:afterAutospacing="0"/>
        <w:ind w:firstLine="360"/>
        <w:jc w:val="both"/>
        <w:rPr>
          <w:sz w:val="20"/>
          <w:szCs w:val="20"/>
        </w:rPr>
      </w:pPr>
      <w:r>
        <w:rPr>
          <w:sz w:val="20"/>
          <w:szCs w:val="20"/>
        </w:rPr>
        <w:t> </w:t>
      </w:r>
    </w:p>
    <w:p w14:paraId="35576C87" w14:textId="77777777" w:rsidR="00000000" w:rsidRDefault="00322B34">
      <w:pPr>
        <w:pStyle w:val="a3"/>
        <w:spacing w:before="0" w:beforeAutospacing="0" w:after="0" w:afterAutospacing="0"/>
        <w:ind w:firstLine="360"/>
        <w:jc w:val="both"/>
        <w:rPr>
          <w:sz w:val="20"/>
          <w:szCs w:val="20"/>
        </w:rPr>
      </w:pPr>
      <w:r>
        <w:rPr>
          <w:sz w:val="20"/>
          <w:szCs w:val="20"/>
        </w:rPr>
        <w:t>Since the outbreak of the COVI</w:t>
      </w:r>
      <w:r>
        <w:rPr>
          <w:sz w:val="20"/>
          <w:szCs w:val="20"/>
        </w:rPr>
        <w:t>D-</w:t>
      </w:r>
      <w:r>
        <w:rPr>
          <w:rStyle w:val="a6"/>
          <w:sz w:val="20"/>
          <w:szCs w:val="20"/>
        </w:rPr>
        <w:t>19</w:t>
      </w:r>
      <w:r>
        <w:rPr>
          <w:sz w:val="20"/>
          <w:szCs w:val="20"/>
        </w:rPr>
        <w:t xml:space="preserve"> pandemic, the Company’s shopping centers have remained open; however, a substantial number of tenants had or continue to have temporarily closed their businesses. Others had, or continue to have, shortened their operating hours or offered reduced serv</w:t>
      </w:r>
      <w:r>
        <w:rPr>
          <w:sz w:val="20"/>
          <w:szCs w:val="20"/>
        </w:rPr>
        <w:t>ices. The Company has also observed a substantial increase in the number of tenants that have made late or partial rent payments, requested a deferral of rent payments or defaulted on rent payments. The Company considered the effects COVID-</w:t>
      </w:r>
      <w:r>
        <w:rPr>
          <w:rStyle w:val="a6"/>
          <w:sz w:val="20"/>
          <w:szCs w:val="20"/>
        </w:rPr>
        <w:t>19</w:t>
      </w:r>
      <w:r>
        <w:rPr>
          <w:sz w:val="20"/>
          <w:szCs w:val="20"/>
        </w:rPr>
        <w:t xml:space="preserve"> has had on it</w:t>
      </w:r>
      <w:r>
        <w:rPr>
          <w:sz w:val="20"/>
          <w:szCs w:val="20"/>
        </w:rPr>
        <w:t xml:space="preserve">s tenants when evaluating the adequacy of the collectability of the lessee’s total accounts receivable balance, including the corresponding straight-line rent receivable. During the </w:t>
      </w:r>
      <w:r>
        <w:rPr>
          <w:rStyle w:val="a6"/>
          <w:sz w:val="20"/>
          <w:szCs w:val="20"/>
        </w:rPr>
        <w:t>six</w:t>
      </w:r>
      <w:r>
        <w:rPr>
          <w:sz w:val="20"/>
          <w:szCs w:val="20"/>
        </w:rPr>
        <w:t xml:space="preserve"> months ended </w:t>
      </w:r>
      <w:r>
        <w:rPr>
          <w:rStyle w:val="a6"/>
          <w:sz w:val="20"/>
          <w:szCs w:val="20"/>
        </w:rPr>
        <w:t>June 30,</w:t>
      </w:r>
      <w:r>
        <w:rPr>
          <w:sz w:val="20"/>
          <w:szCs w:val="20"/>
        </w:rPr>
        <w:t> </w:t>
      </w:r>
      <w:r>
        <w:rPr>
          <w:rStyle w:val="a6"/>
          <w:sz w:val="20"/>
          <w:szCs w:val="20"/>
        </w:rPr>
        <w:t>2020,</w:t>
      </w:r>
      <w:r>
        <w:rPr>
          <w:sz w:val="20"/>
          <w:szCs w:val="20"/>
        </w:rPr>
        <w:t xml:space="preserve"> the Company recorded a $50.5 million adjus</w:t>
      </w:r>
      <w:r>
        <w:rPr>
          <w:sz w:val="20"/>
          <w:szCs w:val="20"/>
        </w:rPr>
        <w:t>tment associated with potentially uncollectible revenues and disputed amounts, which includes $11.5 million for straight-line rent receivables, primarily attributable to the COVID-</w:t>
      </w:r>
      <w:r>
        <w:rPr>
          <w:rStyle w:val="a6"/>
          <w:sz w:val="20"/>
          <w:szCs w:val="20"/>
        </w:rPr>
        <w:t>19</w:t>
      </w:r>
      <w:r>
        <w:rPr>
          <w:sz w:val="20"/>
          <w:szCs w:val="20"/>
        </w:rPr>
        <w:t xml:space="preserve"> pandemic. Management’s estimate of the collectability of accrued rents an</w:t>
      </w:r>
      <w:r>
        <w:rPr>
          <w:sz w:val="20"/>
          <w:szCs w:val="20"/>
        </w:rPr>
        <w:t>d accounts receivable is based on the best information available to management at the time of evaluation.</w:t>
      </w:r>
    </w:p>
    <w:p w14:paraId="75EB49E9" w14:textId="77777777" w:rsidR="00000000" w:rsidRDefault="00322B34">
      <w:pPr>
        <w:pStyle w:val="a3"/>
        <w:spacing w:before="0" w:beforeAutospacing="0" w:after="0" w:afterAutospacing="0"/>
        <w:ind w:firstLine="360"/>
        <w:jc w:val="both"/>
        <w:rPr>
          <w:sz w:val="20"/>
          <w:szCs w:val="20"/>
        </w:rPr>
      </w:pPr>
      <w:r>
        <w:rPr>
          <w:sz w:val="20"/>
          <w:szCs w:val="20"/>
        </w:rPr>
        <w:t> </w:t>
      </w:r>
    </w:p>
    <w:p w14:paraId="5E7F6BCD" w14:textId="77777777" w:rsidR="00000000" w:rsidRDefault="00322B34">
      <w:pPr>
        <w:pStyle w:val="a3"/>
        <w:spacing w:before="0" w:beforeAutospacing="0" w:after="0" w:afterAutospacing="0"/>
        <w:ind w:firstLine="360"/>
        <w:jc w:val="both"/>
        <w:rPr>
          <w:sz w:val="20"/>
          <w:szCs w:val="20"/>
        </w:rPr>
      </w:pPr>
      <w:r>
        <w:rPr>
          <w:sz w:val="20"/>
          <w:szCs w:val="20"/>
        </w:rPr>
        <w:t xml:space="preserve">As a result of the current economic uncertainty and the impact to many of the Company's tenants, the Company has taken important steps to offer its </w:t>
      </w:r>
      <w:r>
        <w:rPr>
          <w:sz w:val="20"/>
          <w:szCs w:val="20"/>
        </w:rPr>
        <w:t>support, including:</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95DD022" w14:textId="77777777">
        <w:trPr>
          <w:tblCellSpacing w:w="0" w:type="dxa"/>
        </w:trPr>
        <w:tc>
          <w:tcPr>
            <w:tcW w:w="360" w:type="dxa"/>
            <w:vAlign w:val="center"/>
            <w:hideMark/>
          </w:tcPr>
          <w:p w14:paraId="59577090" w14:textId="77777777" w:rsidR="00000000" w:rsidRDefault="00322B34">
            <w:pPr>
              <w:rPr>
                <w:rFonts w:eastAsia="Times New Roman"/>
                <w:sz w:val="20"/>
                <w:szCs w:val="20"/>
              </w:rPr>
            </w:pPr>
            <w:r>
              <w:rPr>
                <w:rFonts w:eastAsia="Times New Roman"/>
                <w:sz w:val="20"/>
                <w:szCs w:val="20"/>
              </w:rPr>
              <w:t> </w:t>
            </w:r>
          </w:p>
        </w:tc>
        <w:tc>
          <w:tcPr>
            <w:tcW w:w="360" w:type="dxa"/>
            <w:hideMark/>
          </w:tcPr>
          <w:p w14:paraId="0A861D08"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14:paraId="561471C7" w14:textId="77777777" w:rsidR="00000000" w:rsidRDefault="00322B34">
            <w:pPr>
              <w:pStyle w:val="a3"/>
              <w:spacing w:before="0" w:beforeAutospacing="0" w:after="0" w:afterAutospacing="0"/>
              <w:jc w:val="both"/>
              <w:rPr>
                <w:sz w:val="20"/>
                <w:szCs w:val="20"/>
              </w:rPr>
            </w:pPr>
            <w:r>
              <w:rPr>
                <w:sz w:val="20"/>
                <w:szCs w:val="20"/>
              </w:rPr>
              <w:t xml:space="preserve">The Company has, and continues to have, worked with these tenants to grant rent deferrals on a tenant-by-tenant basis. The deferrals are anticipated to be paid within </w:t>
            </w:r>
            <w:r>
              <w:rPr>
                <w:rStyle w:val="a6"/>
                <w:sz w:val="20"/>
                <w:szCs w:val="20"/>
              </w:rPr>
              <w:t>six</w:t>
            </w:r>
            <w:r>
              <w:rPr>
                <w:sz w:val="20"/>
                <w:szCs w:val="20"/>
              </w:rPr>
              <w:t xml:space="preserve"> to </w:t>
            </w:r>
            <w:r>
              <w:rPr>
                <w:rStyle w:val="a6"/>
                <w:sz w:val="20"/>
                <w:szCs w:val="20"/>
              </w:rPr>
              <w:t>18</w:t>
            </w:r>
            <w:r>
              <w:rPr>
                <w:sz w:val="20"/>
                <w:szCs w:val="20"/>
              </w:rPr>
              <w:t xml:space="preserve"> months.</w:t>
            </w:r>
          </w:p>
        </w:tc>
      </w:tr>
    </w:tbl>
    <w:p w14:paraId="4F069752"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6D38DC3" w14:textId="77777777">
        <w:trPr>
          <w:tblCellSpacing w:w="0" w:type="dxa"/>
        </w:trPr>
        <w:tc>
          <w:tcPr>
            <w:tcW w:w="360" w:type="dxa"/>
            <w:vAlign w:val="center"/>
            <w:hideMark/>
          </w:tcPr>
          <w:p w14:paraId="4AE7FF01" w14:textId="77777777" w:rsidR="00000000" w:rsidRDefault="00322B34">
            <w:pPr>
              <w:rPr>
                <w:rFonts w:eastAsia="Times New Roman"/>
                <w:sz w:val="20"/>
                <w:szCs w:val="20"/>
              </w:rPr>
            </w:pPr>
            <w:r>
              <w:rPr>
                <w:rFonts w:eastAsia="Times New Roman"/>
                <w:sz w:val="20"/>
                <w:szCs w:val="20"/>
              </w:rPr>
              <w:t> </w:t>
            </w:r>
          </w:p>
        </w:tc>
        <w:tc>
          <w:tcPr>
            <w:tcW w:w="360" w:type="dxa"/>
            <w:hideMark/>
          </w:tcPr>
          <w:p w14:paraId="412E9784"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14:paraId="337767BD" w14:textId="77777777" w:rsidR="00000000" w:rsidRDefault="00322B34">
            <w:pPr>
              <w:pStyle w:val="a3"/>
              <w:spacing w:before="0" w:beforeAutospacing="0" w:after="0" w:afterAutospacing="0"/>
              <w:jc w:val="both"/>
              <w:rPr>
                <w:sz w:val="20"/>
                <w:szCs w:val="20"/>
              </w:rPr>
            </w:pPr>
            <w:r>
              <w:rPr>
                <w:sz w:val="20"/>
                <w:szCs w:val="20"/>
              </w:rPr>
              <w:t xml:space="preserve">During </w:t>
            </w:r>
            <w:r>
              <w:rPr>
                <w:rStyle w:val="a6"/>
                <w:sz w:val="20"/>
                <w:szCs w:val="20"/>
              </w:rPr>
              <w:t xml:space="preserve">April 2020, </w:t>
            </w:r>
            <w:r>
              <w:rPr>
                <w:sz w:val="20"/>
                <w:szCs w:val="20"/>
              </w:rPr>
              <w:t xml:space="preserve">the Company began </w:t>
            </w:r>
            <w:r>
              <w:rPr>
                <w:sz w:val="20"/>
                <w:szCs w:val="20"/>
              </w:rPr>
              <w:t>piloting a Tenant Assistance Program to assist small business tenants in identifying and applying for federal and state aid to help support their businesses during the COVID-</w:t>
            </w:r>
            <w:r>
              <w:rPr>
                <w:rStyle w:val="a6"/>
                <w:sz w:val="20"/>
                <w:szCs w:val="20"/>
              </w:rPr>
              <w:t>19</w:t>
            </w:r>
            <w:r>
              <w:rPr>
                <w:sz w:val="20"/>
                <w:szCs w:val="20"/>
              </w:rPr>
              <w:t xml:space="preserve"> pandemic. The Company is working in partnership with law firms to provide assis</w:t>
            </w:r>
            <w:r>
              <w:rPr>
                <w:sz w:val="20"/>
                <w:szCs w:val="20"/>
              </w:rPr>
              <w:t>tance with the application process at the Company’s expense. Legal professionals will assist tenants in identifying suitable loan programs, identifying potential lending institutions, and preparing and submitting applications.</w:t>
            </w:r>
          </w:p>
        </w:tc>
      </w:tr>
    </w:tbl>
    <w:p w14:paraId="7CF22BFB"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5DC8681" w14:textId="77777777">
        <w:trPr>
          <w:tblCellSpacing w:w="0" w:type="dxa"/>
        </w:trPr>
        <w:tc>
          <w:tcPr>
            <w:tcW w:w="360" w:type="dxa"/>
            <w:vAlign w:val="center"/>
            <w:hideMark/>
          </w:tcPr>
          <w:p w14:paraId="718E3A96" w14:textId="77777777" w:rsidR="00000000" w:rsidRDefault="00322B34">
            <w:pPr>
              <w:rPr>
                <w:rFonts w:eastAsia="Times New Roman"/>
                <w:sz w:val="20"/>
                <w:szCs w:val="20"/>
              </w:rPr>
            </w:pPr>
            <w:r>
              <w:rPr>
                <w:rFonts w:eastAsia="Times New Roman"/>
                <w:sz w:val="20"/>
                <w:szCs w:val="20"/>
              </w:rPr>
              <w:t> </w:t>
            </w:r>
          </w:p>
        </w:tc>
        <w:tc>
          <w:tcPr>
            <w:tcW w:w="360" w:type="dxa"/>
            <w:hideMark/>
          </w:tcPr>
          <w:p w14:paraId="786A76D0"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3</w:t>
            </w:r>
            <w:r>
              <w:rPr>
                <w:sz w:val="20"/>
                <w:szCs w:val="20"/>
              </w:rPr>
              <w:t>)</w:t>
            </w:r>
          </w:p>
        </w:tc>
        <w:tc>
          <w:tcPr>
            <w:tcW w:w="0" w:type="auto"/>
            <w:hideMark/>
          </w:tcPr>
          <w:p w14:paraId="275D002D" w14:textId="77777777" w:rsidR="00000000" w:rsidRDefault="00322B34">
            <w:pPr>
              <w:pStyle w:val="a3"/>
              <w:spacing w:before="0" w:beforeAutospacing="0" w:after="0" w:afterAutospacing="0"/>
              <w:jc w:val="both"/>
              <w:rPr>
                <w:sz w:val="20"/>
                <w:szCs w:val="20"/>
              </w:rPr>
            </w:pPr>
            <w:r>
              <w:rPr>
                <w:sz w:val="20"/>
                <w:szCs w:val="20"/>
              </w:rPr>
              <w:t>The Company is closely monitoring recommendations and mandates of federal, state and local governments, and health authorities.</w:t>
            </w:r>
          </w:p>
        </w:tc>
      </w:tr>
    </w:tbl>
    <w:p w14:paraId="6820D9A1"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CB26B86" w14:textId="77777777">
        <w:trPr>
          <w:tblCellSpacing w:w="0" w:type="dxa"/>
        </w:trPr>
        <w:tc>
          <w:tcPr>
            <w:tcW w:w="360" w:type="dxa"/>
            <w:vAlign w:val="center"/>
            <w:hideMark/>
          </w:tcPr>
          <w:p w14:paraId="4F49DC5D" w14:textId="77777777" w:rsidR="00000000" w:rsidRDefault="00322B34">
            <w:pPr>
              <w:rPr>
                <w:rFonts w:eastAsia="Times New Roman"/>
                <w:sz w:val="20"/>
                <w:szCs w:val="20"/>
              </w:rPr>
            </w:pPr>
            <w:r>
              <w:rPr>
                <w:rFonts w:eastAsia="Times New Roman"/>
                <w:sz w:val="20"/>
                <w:szCs w:val="20"/>
              </w:rPr>
              <w:t> </w:t>
            </w:r>
          </w:p>
        </w:tc>
        <w:tc>
          <w:tcPr>
            <w:tcW w:w="360" w:type="dxa"/>
            <w:hideMark/>
          </w:tcPr>
          <w:p w14:paraId="5F97C4AF"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4</w:t>
            </w:r>
            <w:r>
              <w:rPr>
                <w:sz w:val="20"/>
                <w:szCs w:val="20"/>
              </w:rPr>
              <w:t>)</w:t>
            </w:r>
          </w:p>
        </w:tc>
        <w:tc>
          <w:tcPr>
            <w:tcW w:w="0" w:type="auto"/>
            <w:hideMark/>
          </w:tcPr>
          <w:p w14:paraId="5C6152CD" w14:textId="77777777" w:rsidR="00000000" w:rsidRDefault="00322B34">
            <w:pPr>
              <w:pStyle w:val="a3"/>
              <w:spacing w:before="0" w:beforeAutospacing="0" w:after="0" w:afterAutospacing="0"/>
              <w:jc w:val="both"/>
              <w:rPr>
                <w:sz w:val="20"/>
                <w:szCs w:val="20"/>
              </w:rPr>
            </w:pPr>
            <w:r>
              <w:rPr>
                <w:sz w:val="20"/>
                <w:szCs w:val="20"/>
              </w:rPr>
              <w:t>At the onset of the COVID-</w:t>
            </w:r>
            <w:r>
              <w:rPr>
                <w:rStyle w:val="a6"/>
                <w:sz w:val="20"/>
                <w:szCs w:val="20"/>
              </w:rPr>
              <w:t>19</w:t>
            </w:r>
            <w:r>
              <w:rPr>
                <w:sz w:val="20"/>
                <w:szCs w:val="20"/>
              </w:rPr>
              <w:t xml:space="preserve"> pandemic in the U.S., the Company immediately increased the frequency and intensity of its </w:t>
            </w:r>
            <w:r>
              <w:rPr>
                <w:sz w:val="20"/>
                <w:szCs w:val="20"/>
              </w:rPr>
              <w:t>janitorial services to help prevent the spread of the virus. Areas such as public bathrooms, interior concourses and hallways, vestibules and shared doors, and elevators and escalators are being sanitized multiple times per day.</w:t>
            </w:r>
          </w:p>
        </w:tc>
      </w:tr>
    </w:tbl>
    <w:p w14:paraId="03D3C07C"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1C018F2" w14:textId="77777777">
        <w:trPr>
          <w:tblCellSpacing w:w="0" w:type="dxa"/>
        </w:trPr>
        <w:tc>
          <w:tcPr>
            <w:tcW w:w="360" w:type="dxa"/>
            <w:vAlign w:val="center"/>
            <w:hideMark/>
          </w:tcPr>
          <w:p w14:paraId="6D8C0F7D" w14:textId="77777777" w:rsidR="00000000" w:rsidRDefault="00322B34">
            <w:pPr>
              <w:rPr>
                <w:rFonts w:eastAsia="Times New Roman"/>
                <w:sz w:val="20"/>
                <w:szCs w:val="20"/>
              </w:rPr>
            </w:pPr>
            <w:r>
              <w:rPr>
                <w:rFonts w:eastAsia="Times New Roman"/>
                <w:sz w:val="20"/>
                <w:szCs w:val="20"/>
              </w:rPr>
              <w:t> </w:t>
            </w:r>
          </w:p>
        </w:tc>
        <w:tc>
          <w:tcPr>
            <w:tcW w:w="360" w:type="dxa"/>
            <w:hideMark/>
          </w:tcPr>
          <w:p w14:paraId="313B2253"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5</w:t>
            </w:r>
            <w:r>
              <w:rPr>
                <w:sz w:val="20"/>
                <w:szCs w:val="20"/>
              </w:rPr>
              <w:t>)</w:t>
            </w:r>
          </w:p>
        </w:tc>
        <w:tc>
          <w:tcPr>
            <w:tcW w:w="0" w:type="auto"/>
            <w:hideMark/>
          </w:tcPr>
          <w:p w14:paraId="44A0A3FE" w14:textId="77777777" w:rsidR="00000000" w:rsidRDefault="00322B34">
            <w:pPr>
              <w:pStyle w:val="a3"/>
              <w:spacing w:before="0" w:beforeAutospacing="0" w:after="0" w:afterAutospacing="0"/>
              <w:jc w:val="both"/>
              <w:rPr>
                <w:sz w:val="20"/>
                <w:szCs w:val="20"/>
              </w:rPr>
            </w:pPr>
            <w:r>
              <w:rPr>
                <w:sz w:val="20"/>
                <w:szCs w:val="20"/>
              </w:rPr>
              <w:t>The Company’s teams</w:t>
            </w:r>
            <w:r>
              <w:rPr>
                <w:sz w:val="20"/>
                <w:szCs w:val="20"/>
              </w:rPr>
              <w:t xml:space="preserve"> worked to provide additional assistance in the communities where it operates, finding creative ways to use its conveniently located shopping centers during this difficult time. The Company fast-tracked the approval of drive-thru testing centers, blood-dri</w:t>
            </w:r>
            <w:r>
              <w:rPr>
                <w:sz w:val="20"/>
                <w:szCs w:val="20"/>
              </w:rPr>
              <w:t>ve locations, and school lunch pick-ups.</w:t>
            </w:r>
          </w:p>
        </w:tc>
      </w:tr>
    </w:tbl>
    <w:p w14:paraId="2189D54E"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FB76C0C" w14:textId="77777777">
        <w:trPr>
          <w:tblCellSpacing w:w="0" w:type="dxa"/>
        </w:trPr>
        <w:tc>
          <w:tcPr>
            <w:tcW w:w="360" w:type="dxa"/>
            <w:vAlign w:val="center"/>
            <w:hideMark/>
          </w:tcPr>
          <w:p w14:paraId="3FC8DF90" w14:textId="77777777" w:rsidR="00000000" w:rsidRDefault="00322B34">
            <w:pPr>
              <w:rPr>
                <w:rFonts w:eastAsia="Times New Roman"/>
                <w:sz w:val="20"/>
                <w:szCs w:val="20"/>
              </w:rPr>
            </w:pPr>
            <w:r>
              <w:rPr>
                <w:rFonts w:eastAsia="Times New Roman"/>
                <w:sz w:val="20"/>
                <w:szCs w:val="20"/>
              </w:rPr>
              <w:t> </w:t>
            </w:r>
          </w:p>
        </w:tc>
        <w:tc>
          <w:tcPr>
            <w:tcW w:w="360" w:type="dxa"/>
            <w:hideMark/>
          </w:tcPr>
          <w:p w14:paraId="18356311"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6</w:t>
            </w:r>
            <w:r>
              <w:rPr>
                <w:sz w:val="20"/>
                <w:szCs w:val="20"/>
              </w:rPr>
              <w:t>)</w:t>
            </w:r>
          </w:p>
        </w:tc>
        <w:tc>
          <w:tcPr>
            <w:tcW w:w="0" w:type="auto"/>
            <w:hideMark/>
          </w:tcPr>
          <w:p w14:paraId="53264F27" w14:textId="77777777" w:rsidR="00000000" w:rsidRDefault="00322B34">
            <w:pPr>
              <w:pStyle w:val="a3"/>
              <w:spacing w:before="0" w:beforeAutospacing="0" w:after="0" w:afterAutospacing="0"/>
              <w:jc w:val="both"/>
              <w:rPr>
                <w:sz w:val="20"/>
                <w:szCs w:val="20"/>
              </w:rPr>
            </w:pPr>
            <w:r>
              <w:rPr>
                <w:sz w:val="20"/>
                <w:szCs w:val="20"/>
              </w:rPr>
              <w:t>The Company launched the Kimco Curbside Pickup™ program designating dedicated parking spots for curbside pickup at its centers for use by all tenants and their customers.</w:t>
            </w:r>
          </w:p>
        </w:tc>
      </w:tr>
    </w:tbl>
    <w:p w14:paraId="3AB9033E" w14:textId="77777777" w:rsidR="00000000" w:rsidRDefault="00322B34">
      <w:pPr>
        <w:pStyle w:val="a3"/>
        <w:spacing w:before="0" w:beforeAutospacing="0" w:after="0" w:afterAutospacing="0"/>
        <w:ind w:firstLine="360"/>
        <w:jc w:val="both"/>
        <w:rPr>
          <w:sz w:val="20"/>
          <w:szCs w:val="20"/>
        </w:rPr>
      </w:pPr>
      <w:r>
        <w:rPr>
          <w:sz w:val="20"/>
          <w:szCs w:val="20"/>
        </w:rPr>
        <w:t> </w:t>
      </w:r>
    </w:p>
    <w:p w14:paraId="66BE372A" w14:textId="77777777" w:rsidR="00000000" w:rsidRDefault="00322B34">
      <w:pPr>
        <w:divId w:val="1039010391"/>
        <w:rPr>
          <w:rFonts w:eastAsia="Times New Roman"/>
          <w:sz w:val="20"/>
          <w:szCs w:val="20"/>
        </w:rPr>
      </w:pPr>
      <w:r>
        <w:rPr>
          <w:rFonts w:eastAsia="Times New Roman"/>
          <w:sz w:val="20"/>
          <w:szCs w:val="20"/>
        </w:rPr>
        <w:t xml:space="preserve">  </w:t>
      </w:r>
    </w:p>
    <w:p w14:paraId="2A5737B3" w14:textId="77777777" w:rsidR="00000000" w:rsidRDefault="00322B34">
      <w:pPr>
        <w:pStyle w:val="a3"/>
        <w:spacing w:before="0" w:beforeAutospacing="0" w:after="0" w:afterAutospacing="0"/>
        <w:jc w:val="both"/>
        <w:rPr>
          <w:sz w:val="20"/>
          <w:szCs w:val="20"/>
        </w:rPr>
      </w:pPr>
      <w:r>
        <w:rPr>
          <w:rStyle w:val="a6"/>
          <w:sz w:val="20"/>
          <w:szCs w:val="20"/>
        </w:rPr>
        <w:t>2.</w:t>
      </w:r>
      <w:r>
        <w:rPr>
          <w:sz w:val="20"/>
          <w:szCs w:val="20"/>
        </w:rPr>
        <w:t xml:space="preserve"> </w:t>
      </w:r>
      <w:r>
        <w:rPr>
          <w:sz w:val="20"/>
          <w:szCs w:val="20"/>
          <w:u w:val="single"/>
        </w:rPr>
        <w:t>Summary of Significant Acco</w:t>
      </w:r>
      <w:r>
        <w:rPr>
          <w:sz w:val="20"/>
          <w:szCs w:val="20"/>
          <w:u w:val="single"/>
        </w:rPr>
        <w:t>unting Policies</w:t>
      </w:r>
    </w:p>
    <w:p w14:paraId="6F00A804" w14:textId="77777777" w:rsidR="00000000" w:rsidRDefault="00322B34">
      <w:pPr>
        <w:pStyle w:val="a3"/>
        <w:spacing w:before="0" w:beforeAutospacing="0" w:after="0" w:afterAutospacing="0"/>
        <w:jc w:val="both"/>
        <w:rPr>
          <w:sz w:val="20"/>
          <w:szCs w:val="20"/>
        </w:rPr>
      </w:pPr>
      <w:r>
        <w:rPr>
          <w:i/>
          <w:iCs/>
          <w:sz w:val="20"/>
          <w:szCs w:val="20"/>
        </w:rPr>
        <w:t> </w:t>
      </w:r>
    </w:p>
    <w:p w14:paraId="073A8111" w14:textId="77777777" w:rsidR="00000000" w:rsidRDefault="00322B34">
      <w:pPr>
        <w:pStyle w:val="a3"/>
        <w:spacing w:before="0" w:beforeAutospacing="0" w:after="0" w:afterAutospacing="0"/>
        <w:jc w:val="both"/>
        <w:rPr>
          <w:sz w:val="20"/>
          <w:szCs w:val="20"/>
        </w:rPr>
      </w:pPr>
      <w:r>
        <w:rPr>
          <w:i/>
          <w:iCs/>
          <w:sz w:val="20"/>
          <w:szCs w:val="20"/>
        </w:rPr>
        <w:t>Principles of Consolidation -</w:t>
      </w:r>
    </w:p>
    <w:p w14:paraId="6A7613F5" w14:textId="77777777" w:rsidR="00000000" w:rsidRDefault="00322B34">
      <w:pPr>
        <w:pStyle w:val="a3"/>
        <w:spacing w:before="0" w:beforeAutospacing="0" w:after="0" w:afterAutospacing="0"/>
        <w:jc w:val="both"/>
        <w:rPr>
          <w:sz w:val="20"/>
          <w:szCs w:val="20"/>
        </w:rPr>
      </w:pPr>
      <w:r>
        <w:rPr>
          <w:sz w:val="20"/>
          <w:szCs w:val="20"/>
        </w:rPr>
        <w:t> </w:t>
      </w:r>
    </w:p>
    <w:p w14:paraId="4EE89357" w14:textId="77777777" w:rsidR="00000000" w:rsidRDefault="00322B34">
      <w:pPr>
        <w:pStyle w:val="a3"/>
        <w:spacing w:before="0" w:beforeAutospacing="0" w:after="0" w:afterAutospacing="0"/>
        <w:ind w:firstLine="360"/>
        <w:jc w:val="both"/>
        <w:rPr>
          <w:sz w:val="20"/>
          <w:szCs w:val="20"/>
        </w:rPr>
      </w:pPr>
      <w:r>
        <w:rPr>
          <w:sz w:val="20"/>
          <w:szCs w:val="20"/>
        </w:rPr>
        <w:t>The accompanying Condensed Consolidated Financial Statements include the accounts of the Company. The Company’s subsidiaries include subsidiaries which are wholly-owned or which the Company has a controlling interest, including where the Company has been d</w:t>
      </w:r>
      <w:r>
        <w:rPr>
          <w:sz w:val="20"/>
          <w:szCs w:val="20"/>
        </w:rPr>
        <w:t>etermined to be a primary beneficiary of a variable interest entity (“VIE”) in accordance with the Consolidation guidance of the Financial Accounting Standards Board (“FASB”) Accounting Standards Codification (“ASC”). All inter-company balances and transac</w:t>
      </w:r>
      <w:r>
        <w:rPr>
          <w:sz w:val="20"/>
          <w:szCs w:val="20"/>
        </w:rPr>
        <w:t xml:space="preserve">tions have been eliminated in consolidation. The information presented in the accompanying Condensed Consolidated Financial Statements is unaudited and reflects all adjustments which are, in the opinion of management, necessary to reflect a fair statement </w:t>
      </w:r>
      <w:r>
        <w:rPr>
          <w:sz w:val="20"/>
          <w:szCs w:val="20"/>
        </w:rPr>
        <w:t xml:space="preserve">of the results for the interim periods presented, and all such adjustments are of a normal recurring nature.  These Condensed Consolidated Financial Statements should be read in conjunction with the Company's audited Annual Report on Form </w:t>
      </w:r>
      <w:r>
        <w:rPr>
          <w:rStyle w:val="a6"/>
          <w:sz w:val="20"/>
          <w:szCs w:val="20"/>
        </w:rPr>
        <w:t>10</w:t>
      </w:r>
      <w:r>
        <w:rPr>
          <w:sz w:val="20"/>
          <w:szCs w:val="20"/>
        </w:rPr>
        <w:t>-K for the year</w:t>
      </w:r>
      <w:r>
        <w:rPr>
          <w:sz w:val="20"/>
          <w:szCs w:val="20"/>
        </w:rPr>
        <w:t xml:space="preserve"> ended </w:t>
      </w:r>
      <w:r>
        <w:rPr>
          <w:rStyle w:val="a6"/>
          <w:sz w:val="20"/>
          <w:szCs w:val="20"/>
        </w:rPr>
        <w:t>December 31, 2019 (</w:t>
      </w:r>
      <w:r>
        <w:rPr>
          <w:sz w:val="20"/>
          <w:szCs w:val="20"/>
        </w:rPr>
        <w:t xml:space="preserve">the </w:t>
      </w:r>
      <w:r>
        <w:rPr>
          <w:rStyle w:val="a6"/>
          <w:sz w:val="20"/>
          <w:szCs w:val="20"/>
        </w:rPr>
        <w:t>“10</w:t>
      </w:r>
      <w:r>
        <w:rPr>
          <w:sz w:val="20"/>
          <w:szCs w:val="20"/>
        </w:rPr>
        <w:t xml:space="preserve">-K”), as certain disclosures in this Quarterly Report on Form </w:t>
      </w:r>
      <w:r>
        <w:rPr>
          <w:rStyle w:val="a6"/>
          <w:sz w:val="20"/>
          <w:szCs w:val="20"/>
        </w:rPr>
        <w:t>10</w:t>
      </w:r>
      <w:r>
        <w:rPr>
          <w:sz w:val="20"/>
          <w:szCs w:val="20"/>
        </w:rPr>
        <w:t xml:space="preserve">-Q for the quarterly period ended </w:t>
      </w:r>
      <w:r>
        <w:rPr>
          <w:rStyle w:val="a6"/>
          <w:sz w:val="20"/>
          <w:szCs w:val="20"/>
        </w:rPr>
        <w:t xml:space="preserve">June 30, 2020, </w:t>
      </w:r>
      <w:r>
        <w:rPr>
          <w:sz w:val="20"/>
          <w:szCs w:val="20"/>
        </w:rPr>
        <w:t xml:space="preserve">that would duplicate those included in the </w:t>
      </w:r>
      <w:r>
        <w:rPr>
          <w:rStyle w:val="a6"/>
          <w:sz w:val="20"/>
          <w:szCs w:val="20"/>
        </w:rPr>
        <w:t>10</w:t>
      </w:r>
      <w:r>
        <w:rPr>
          <w:sz w:val="20"/>
          <w:szCs w:val="20"/>
        </w:rPr>
        <w:t xml:space="preserve">-K are </w:t>
      </w:r>
      <w:r>
        <w:rPr>
          <w:rStyle w:val="a6"/>
          <w:sz w:val="20"/>
          <w:szCs w:val="20"/>
        </w:rPr>
        <w:t>not</w:t>
      </w:r>
      <w:r>
        <w:rPr>
          <w:sz w:val="20"/>
          <w:szCs w:val="20"/>
        </w:rPr>
        <w:t xml:space="preserve"> </w:t>
      </w:r>
      <w:r>
        <w:rPr>
          <w:sz w:val="20"/>
          <w:szCs w:val="20"/>
        </w:rPr>
        <w:t>included in these Condensed Consolidated Financial Statements.</w:t>
      </w:r>
    </w:p>
    <w:p w14:paraId="4B695BAD" w14:textId="77777777" w:rsidR="00000000" w:rsidRDefault="00322B34">
      <w:pPr>
        <w:pStyle w:val="a3"/>
        <w:spacing w:before="0" w:beforeAutospacing="0" w:after="0" w:afterAutospacing="0"/>
        <w:ind w:firstLine="360"/>
        <w:jc w:val="both"/>
        <w:rPr>
          <w:sz w:val="20"/>
          <w:szCs w:val="20"/>
        </w:rPr>
      </w:pPr>
      <w:r>
        <w:rPr>
          <w:sz w:val="20"/>
          <w:szCs w:val="20"/>
        </w:rPr>
        <w:t> </w:t>
      </w:r>
    </w:p>
    <w:p w14:paraId="23EEEB58" w14:textId="77777777" w:rsidR="00000000" w:rsidRDefault="00322B34">
      <w:pPr>
        <w:jc w:val="center"/>
        <w:divId w:val="1075669484"/>
        <w:rPr>
          <w:rFonts w:eastAsia="Times New Roman"/>
          <w:sz w:val="20"/>
          <w:szCs w:val="20"/>
        </w:rPr>
      </w:pPr>
      <w:r>
        <w:rPr>
          <w:rStyle w:val="a6"/>
          <w:rFonts w:eastAsia="Times New Roman"/>
          <w:sz w:val="20"/>
          <w:szCs w:val="20"/>
        </w:rPr>
        <w:t>9</w:t>
      </w:r>
      <w:r>
        <w:rPr>
          <w:rFonts w:eastAsia="Times New Roman"/>
          <w:sz w:val="20"/>
          <w:szCs w:val="20"/>
        </w:rPr>
        <w:t xml:space="preserve"> </w:t>
      </w:r>
    </w:p>
    <w:p w14:paraId="1FC74D3D" w14:textId="77777777" w:rsidR="00000000" w:rsidRDefault="00322B34">
      <w:pPr>
        <w:rPr>
          <w:rFonts w:eastAsia="Times New Roman"/>
          <w:sz w:val="20"/>
          <w:szCs w:val="20"/>
        </w:rPr>
      </w:pPr>
      <w:r>
        <w:rPr>
          <w:rFonts w:eastAsia="Times New Roman"/>
          <w:sz w:val="20"/>
          <w:szCs w:val="20"/>
        </w:rPr>
        <w:pict w14:anchorId="3068FCBC">
          <v:rect id="_x0000_i1037" style="width:415.3pt;height:1.5pt" o:hralign="center" o:hrstd="t" o:hrnoshade="t" o:hr="t" fillcolor="black" stroked="f"/>
        </w:pict>
      </w:r>
    </w:p>
    <w:p w14:paraId="3BEACE77" w14:textId="77777777" w:rsidR="00000000" w:rsidRDefault="00322B34">
      <w:pPr>
        <w:divId w:val="71554452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9FF72A3" w14:textId="77777777" w:rsidR="00000000" w:rsidRDefault="00322B34">
      <w:pPr>
        <w:rPr>
          <w:rFonts w:eastAsia="Times New Roman"/>
          <w:sz w:val="20"/>
          <w:szCs w:val="20"/>
        </w:rPr>
      </w:pPr>
      <w:r>
        <w:rPr>
          <w:rFonts w:eastAsia="Times New Roman"/>
          <w:sz w:val="20"/>
          <w:szCs w:val="20"/>
        </w:rPr>
        <w:t xml:space="preserve">  </w:t>
      </w:r>
    </w:p>
    <w:p w14:paraId="17DDB507" w14:textId="77777777" w:rsidR="00000000" w:rsidRDefault="00322B34">
      <w:pPr>
        <w:pStyle w:val="a3"/>
        <w:spacing w:before="0" w:beforeAutospacing="0" w:after="0" w:afterAutospacing="0"/>
        <w:rPr>
          <w:sz w:val="20"/>
          <w:szCs w:val="20"/>
        </w:rPr>
      </w:pPr>
      <w:r>
        <w:rPr>
          <w:i/>
          <w:iCs/>
          <w:sz w:val="20"/>
          <w:szCs w:val="20"/>
        </w:rPr>
        <w:t>Reclassifications -</w:t>
      </w:r>
      <w:r>
        <w:rPr>
          <w:sz w:val="20"/>
          <w:szCs w:val="20"/>
        </w:rPr>
        <w:t> </w:t>
      </w:r>
    </w:p>
    <w:p w14:paraId="2F7690E8" w14:textId="77777777" w:rsidR="00000000" w:rsidRDefault="00322B34">
      <w:pPr>
        <w:pStyle w:val="a3"/>
        <w:spacing w:before="0" w:beforeAutospacing="0" w:after="0" w:afterAutospacing="0"/>
        <w:ind w:left="144" w:right="144"/>
        <w:rPr>
          <w:sz w:val="20"/>
          <w:szCs w:val="20"/>
        </w:rPr>
      </w:pPr>
      <w:r>
        <w:rPr>
          <w:sz w:val="20"/>
          <w:szCs w:val="20"/>
        </w:rPr>
        <w:t> </w:t>
      </w:r>
    </w:p>
    <w:p w14:paraId="72A1D312" w14:textId="77777777" w:rsidR="00000000" w:rsidRDefault="00322B34">
      <w:pPr>
        <w:pStyle w:val="a3"/>
        <w:spacing w:before="0" w:beforeAutospacing="0" w:after="0" w:afterAutospacing="0"/>
        <w:ind w:firstLine="360"/>
        <w:jc w:val="both"/>
        <w:rPr>
          <w:sz w:val="20"/>
          <w:szCs w:val="20"/>
        </w:rPr>
      </w:pPr>
      <w:r>
        <w:rPr>
          <w:sz w:val="20"/>
          <w:szCs w:val="20"/>
        </w:rPr>
        <w:t xml:space="preserve">Certain amounts in the prior period have been reclassified in order to conform to the current period’s presentation.  For comparative purposes, the Company reclassified (i) $9.4 million of Marketable securities from Other assets on the Company’s Condensed </w:t>
      </w:r>
      <w:r>
        <w:rPr>
          <w:sz w:val="20"/>
          <w:szCs w:val="20"/>
        </w:rPr>
        <w:t xml:space="preserve">Consolidated Balance Sheets at </w:t>
      </w:r>
      <w:r>
        <w:rPr>
          <w:rStyle w:val="a6"/>
          <w:sz w:val="20"/>
          <w:szCs w:val="20"/>
        </w:rPr>
        <w:t xml:space="preserve">December 31, 2019 </w:t>
      </w:r>
      <w:r>
        <w:rPr>
          <w:sz w:val="20"/>
          <w:szCs w:val="20"/>
        </w:rPr>
        <w:t xml:space="preserve">and (ii) $0.1 million and $1.6 million of Gain on marketable securities, net from Other income, net on the Company’s Condensed Consolidated Statements of Income for the </w:t>
      </w:r>
      <w:r>
        <w:rPr>
          <w:rStyle w:val="a6"/>
          <w:sz w:val="20"/>
          <w:szCs w:val="20"/>
        </w:rPr>
        <w:t>three</w:t>
      </w:r>
      <w:r>
        <w:rPr>
          <w:sz w:val="20"/>
          <w:szCs w:val="20"/>
        </w:rPr>
        <w:t xml:space="preserve"> and </w:t>
      </w:r>
      <w:r>
        <w:rPr>
          <w:rStyle w:val="a6"/>
          <w:sz w:val="20"/>
          <w:szCs w:val="20"/>
        </w:rPr>
        <w:t>six</w:t>
      </w:r>
      <w:r>
        <w:rPr>
          <w:sz w:val="20"/>
          <w:szCs w:val="20"/>
        </w:rPr>
        <w:t xml:space="preserve"> months ended </w:t>
      </w:r>
      <w:r>
        <w:rPr>
          <w:rStyle w:val="a6"/>
          <w:sz w:val="20"/>
          <w:szCs w:val="20"/>
        </w:rPr>
        <w:t>June 30, 20</w:t>
      </w:r>
      <w:r>
        <w:rPr>
          <w:rStyle w:val="a6"/>
          <w:sz w:val="20"/>
          <w:szCs w:val="20"/>
        </w:rPr>
        <w:t xml:space="preserve">19, </w:t>
      </w:r>
      <w:r>
        <w:rPr>
          <w:sz w:val="20"/>
          <w:szCs w:val="20"/>
        </w:rPr>
        <w:t>respectively.</w:t>
      </w:r>
    </w:p>
    <w:p w14:paraId="452B3B9F" w14:textId="77777777" w:rsidR="00000000" w:rsidRDefault="00322B34">
      <w:pPr>
        <w:pStyle w:val="a3"/>
        <w:spacing w:before="0" w:beforeAutospacing="0" w:after="0" w:afterAutospacing="0"/>
        <w:rPr>
          <w:sz w:val="20"/>
          <w:szCs w:val="20"/>
        </w:rPr>
      </w:pPr>
      <w:r>
        <w:rPr>
          <w:sz w:val="20"/>
          <w:szCs w:val="20"/>
        </w:rPr>
        <w:t> </w:t>
      </w:r>
    </w:p>
    <w:p w14:paraId="269B13C3" w14:textId="77777777" w:rsidR="00000000" w:rsidRDefault="00322B34">
      <w:pPr>
        <w:pStyle w:val="a3"/>
        <w:spacing w:before="0" w:beforeAutospacing="0" w:after="0" w:afterAutospacing="0"/>
        <w:jc w:val="both"/>
        <w:rPr>
          <w:sz w:val="20"/>
          <w:szCs w:val="20"/>
        </w:rPr>
      </w:pPr>
      <w:r>
        <w:rPr>
          <w:i/>
          <w:iCs/>
          <w:sz w:val="20"/>
          <w:szCs w:val="20"/>
        </w:rPr>
        <w:t>Subsequent Events -</w:t>
      </w:r>
    </w:p>
    <w:p w14:paraId="2651E0E1" w14:textId="77777777" w:rsidR="00000000" w:rsidRDefault="00322B34">
      <w:pPr>
        <w:pStyle w:val="a3"/>
        <w:spacing w:before="0" w:beforeAutospacing="0" w:after="0" w:afterAutospacing="0"/>
        <w:jc w:val="both"/>
        <w:rPr>
          <w:sz w:val="20"/>
          <w:szCs w:val="20"/>
        </w:rPr>
      </w:pPr>
      <w:r>
        <w:rPr>
          <w:sz w:val="20"/>
          <w:szCs w:val="20"/>
        </w:rPr>
        <w:t> </w:t>
      </w:r>
    </w:p>
    <w:p w14:paraId="2E2CE4B1" w14:textId="77777777" w:rsidR="00000000" w:rsidRDefault="00322B34">
      <w:pPr>
        <w:pStyle w:val="a3"/>
        <w:spacing w:before="0" w:beforeAutospacing="0" w:after="0" w:afterAutospacing="0"/>
        <w:ind w:firstLine="360"/>
        <w:jc w:val="both"/>
        <w:rPr>
          <w:sz w:val="20"/>
          <w:szCs w:val="20"/>
        </w:rPr>
      </w:pPr>
      <w:r>
        <w:rPr>
          <w:sz w:val="20"/>
          <w:szCs w:val="20"/>
        </w:rPr>
        <w:t xml:space="preserve">The Company has evaluated subsequent events and transactions for potential recognition or disclosure in its condensed consolidated financial statements (See Footnotes </w:t>
      </w:r>
      <w:r>
        <w:rPr>
          <w:rStyle w:val="a6"/>
          <w:sz w:val="20"/>
          <w:szCs w:val="20"/>
        </w:rPr>
        <w:t>3,</w:t>
      </w:r>
      <w:r>
        <w:rPr>
          <w:sz w:val="20"/>
          <w:szCs w:val="20"/>
        </w:rPr>
        <w:t xml:space="preserve"> </w:t>
      </w:r>
      <w:r>
        <w:rPr>
          <w:rStyle w:val="a6"/>
          <w:sz w:val="20"/>
          <w:szCs w:val="20"/>
        </w:rPr>
        <w:t>8</w:t>
      </w:r>
      <w:r>
        <w:rPr>
          <w:sz w:val="20"/>
          <w:szCs w:val="20"/>
        </w:rPr>
        <w:t xml:space="preserve"> and </w:t>
      </w:r>
      <w:r>
        <w:rPr>
          <w:rStyle w:val="a6"/>
          <w:sz w:val="20"/>
          <w:szCs w:val="20"/>
        </w:rPr>
        <w:t>16</w:t>
      </w:r>
      <w:r>
        <w:rPr>
          <w:sz w:val="20"/>
          <w:szCs w:val="20"/>
        </w:rPr>
        <w:t xml:space="preserve"> to the Notes to the Company’s Conde</w:t>
      </w:r>
      <w:r>
        <w:rPr>
          <w:sz w:val="20"/>
          <w:szCs w:val="20"/>
        </w:rPr>
        <w:t>nsed Consolidated Financial Statements).</w:t>
      </w:r>
    </w:p>
    <w:p w14:paraId="0B4E22AF" w14:textId="77777777" w:rsidR="00000000" w:rsidRDefault="00322B34">
      <w:pPr>
        <w:pStyle w:val="a3"/>
        <w:spacing w:before="0" w:beforeAutospacing="0" w:after="0" w:afterAutospacing="0"/>
        <w:jc w:val="both"/>
        <w:rPr>
          <w:sz w:val="20"/>
          <w:szCs w:val="20"/>
        </w:rPr>
      </w:pPr>
      <w:r>
        <w:rPr>
          <w:sz w:val="20"/>
          <w:szCs w:val="20"/>
        </w:rPr>
        <w:t> </w:t>
      </w:r>
    </w:p>
    <w:p w14:paraId="4F9558E2" w14:textId="77777777" w:rsidR="00000000" w:rsidRDefault="00322B34">
      <w:pPr>
        <w:pStyle w:val="a3"/>
        <w:spacing w:before="0" w:beforeAutospacing="0" w:after="0" w:afterAutospacing="0"/>
        <w:rPr>
          <w:sz w:val="20"/>
          <w:szCs w:val="20"/>
        </w:rPr>
      </w:pPr>
      <w:r>
        <w:rPr>
          <w:i/>
          <w:iCs/>
          <w:sz w:val="20"/>
          <w:szCs w:val="20"/>
        </w:rPr>
        <w:t>New Accounting Pronouncements –</w:t>
      </w:r>
    </w:p>
    <w:p w14:paraId="2F7FB09E" w14:textId="77777777" w:rsidR="00000000" w:rsidRDefault="00322B34">
      <w:pPr>
        <w:pStyle w:val="a3"/>
        <w:spacing w:before="0" w:beforeAutospacing="0" w:after="0" w:afterAutospacing="0"/>
        <w:rPr>
          <w:sz w:val="20"/>
          <w:szCs w:val="20"/>
        </w:rPr>
      </w:pPr>
      <w:r>
        <w:rPr>
          <w:i/>
          <w:iCs/>
          <w:sz w:val="20"/>
          <w:szCs w:val="20"/>
        </w:rPr>
        <w:t> </w:t>
      </w:r>
    </w:p>
    <w:p w14:paraId="50A7610F" w14:textId="77777777" w:rsidR="00000000" w:rsidRDefault="00322B34">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April 2020, </w:t>
      </w:r>
      <w:r>
        <w:rPr>
          <w:sz w:val="20"/>
          <w:szCs w:val="20"/>
        </w:rPr>
        <w:t xml:space="preserve">the FASB staff developed a question-and-answer document, </w:t>
      </w:r>
      <w:r>
        <w:rPr>
          <w:i/>
          <w:iCs/>
          <w:sz w:val="20"/>
          <w:szCs w:val="20"/>
        </w:rPr>
        <w:t xml:space="preserve">Topic </w:t>
      </w:r>
      <w:r>
        <w:rPr>
          <w:rStyle w:val="a6"/>
          <w:sz w:val="20"/>
          <w:szCs w:val="20"/>
        </w:rPr>
        <w:t>842</w:t>
      </w:r>
      <w:r>
        <w:rPr>
          <w:i/>
          <w:iCs/>
          <w:sz w:val="20"/>
          <w:szCs w:val="20"/>
        </w:rPr>
        <w:t xml:space="preserve"> and Topic </w:t>
      </w:r>
      <w:r>
        <w:rPr>
          <w:rStyle w:val="a6"/>
          <w:sz w:val="20"/>
          <w:szCs w:val="20"/>
        </w:rPr>
        <w:t>840:</w:t>
      </w:r>
      <w:r>
        <w:rPr>
          <w:i/>
          <w:iCs/>
          <w:sz w:val="20"/>
          <w:szCs w:val="20"/>
        </w:rPr>
        <w:t xml:space="preserve"> Accounting for Lease Concessions related to the Effects of the COVID-</w:t>
      </w:r>
      <w:r>
        <w:rPr>
          <w:rStyle w:val="a6"/>
          <w:sz w:val="20"/>
          <w:szCs w:val="20"/>
        </w:rPr>
        <w:t>19</w:t>
      </w:r>
      <w:r>
        <w:rPr>
          <w:i/>
          <w:iCs/>
          <w:sz w:val="20"/>
          <w:szCs w:val="20"/>
        </w:rPr>
        <w:t xml:space="preserve"> Pandemic</w:t>
      </w:r>
      <w:r>
        <w:rPr>
          <w:sz w:val="20"/>
          <w:szCs w:val="20"/>
        </w:rPr>
        <w:t xml:space="preserve">, </w:t>
      </w:r>
      <w:r>
        <w:rPr>
          <w:sz w:val="20"/>
          <w:szCs w:val="20"/>
        </w:rPr>
        <w:t xml:space="preserve">which focuses on the application of the lease guidance in Topic </w:t>
      </w:r>
      <w:r>
        <w:rPr>
          <w:rStyle w:val="a6"/>
          <w:sz w:val="20"/>
          <w:szCs w:val="20"/>
        </w:rPr>
        <w:t>842,</w:t>
      </w:r>
      <w:r>
        <w:rPr>
          <w:sz w:val="20"/>
          <w:szCs w:val="20"/>
        </w:rPr>
        <w:t xml:space="preserve"> Leases, and Topic </w:t>
      </w:r>
      <w:r>
        <w:rPr>
          <w:rStyle w:val="a6"/>
          <w:sz w:val="20"/>
          <w:szCs w:val="20"/>
        </w:rPr>
        <w:t>840,</w:t>
      </w:r>
      <w:r>
        <w:rPr>
          <w:sz w:val="20"/>
          <w:szCs w:val="20"/>
        </w:rPr>
        <w:t xml:space="preserve"> Leases (if Topic </w:t>
      </w:r>
      <w:r>
        <w:rPr>
          <w:rStyle w:val="a6"/>
          <w:sz w:val="20"/>
          <w:szCs w:val="20"/>
        </w:rPr>
        <w:t>842</w:t>
      </w:r>
      <w:r>
        <w:rPr>
          <w:sz w:val="20"/>
          <w:szCs w:val="20"/>
        </w:rPr>
        <w:t xml:space="preserve"> has </w:t>
      </w:r>
      <w:r>
        <w:rPr>
          <w:rStyle w:val="a6"/>
          <w:sz w:val="20"/>
          <w:szCs w:val="20"/>
        </w:rPr>
        <w:t>not</w:t>
      </w:r>
      <w:r>
        <w:rPr>
          <w:sz w:val="20"/>
          <w:szCs w:val="20"/>
        </w:rPr>
        <w:t xml:space="preserve"> yet been adopted) for lease concessions related to the effects of the COVID-</w:t>
      </w:r>
      <w:r>
        <w:rPr>
          <w:rStyle w:val="a6"/>
          <w:sz w:val="20"/>
          <w:szCs w:val="20"/>
        </w:rPr>
        <w:t>19</w:t>
      </w:r>
      <w:r>
        <w:rPr>
          <w:sz w:val="20"/>
          <w:szCs w:val="20"/>
        </w:rPr>
        <w:t xml:space="preserve"> pandemic. The FASB staff has been made aware that, given</w:t>
      </w:r>
      <w:r>
        <w:rPr>
          <w:sz w:val="20"/>
          <w:szCs w:val="20"/>
        </w:rPr>
        <w:t xml:space="preserve"> the unprecedented and global nature of the COVID-</w:t>
      </w:r>
      <w:r>
        <w:rPr>
          <w:rStyle w:val="a6"/>
          <w:sz w:val="20"/>
          <w:szCs w:val="20"/>
        </w:rPr>
        <w:t>19</w:t>
      </w:r>
      <w:r>
        <w:rPr>
          <w:sz w:val="20"/>
          <w:szCs w:val="20"/>
        </w:rPr>
        <w:t xml:space="preserve"> pandemic, it </w:t>
      </w:r>
      <w:r>
        <w:rPr>
          <w:rStyle w:val="a6"/>
          <w:sz w:val="20"/>
          <w:szCs w:val="20"/>
        </w:rPr>
        <w:t xml:space="preserve">may </w:t>
      </w:r>
      <w:r>
        <w:rPr>
          <w:sz w:val="20"/>
          <w:szCs w:val="20"/>
        </w:rPr>
        <w:t>be exceedingly challenging for entities to determine whether existing contracts provide enforceable rights and obligations for lease concessions and, if so, whether those concessions are</w:t>
      </w:r>
      <w:r>
        <w:rPr>
          <w:sz w:val="20"/>
          <w:szCs w:val="20"/>
        </w:rPr>
        <w:t xml:space="preserve"> consistent with the terms of the contract or are modifications to a contract. As such, an entity can elect </w:t>
      </w:r>
      <w:r>
        <w:rPr>
          <w:rStyle w:val="a6"/>
          <w:sz w:val="20"/>
          <w:szCs w:val="20"/>
        </w:rPr>
        <w:t>not</w:t>
      </w:r>
      <w:r>
        <w:rPr>
          <w:sz w:val="20"/>
          <w:szCs w:val="20"/>
        </w:rPr>
        <w:t xml:space="preserve"> to evaluate whether certain relief provided by a lessor in response to the COVID-</w:t>
      </w:r>
      <w:r>
        <w:rPr>
          <w:rStyle w:val="a6"/>
          <w:sz w:val="20"/>
          <w:szCs w:val="20"/>
        </w:rPr>
        <w:t>19</w:t>
      </w:r>
      <w:r>
        <w:rPr>
          <w:sz w:val="20"/>
          <w:szCs w:val="20"/>
        </w:rPr>
        <w:t xml:space="preserve"> pandemic is a lease modification. An entity that makes this </w:t>
      </w:r>
      <w:r>
        <w:rPr>
          <w:sz w:val="20"/>
          <w:szCs w:val="20"/>
        </w:rPr>
        <w:t>election can then elect to apply the modification guidance to that relief or account for the concession as if it were contemplated as part of the existing contract. This election is available for concessions related to the effects of the COVID-</w:t>
      </w:r>
      <w:r>
        <w:rPr>
          <w:rStyle w:val="a6"/>
          <w:sz w:val="20"/>
          <w:szCs w:val="20"/>
        </w:rPr>
        <w:t>19</w:t>
      </w:r>
      <w:r>
        <w:rPr>
          <w:sz w:val="20"/>
          <w:szCs w:val="20"/>
        </w:rPr>
        <w:t xml:space="preserve"> pandemic </w:t>
      </w:r>
      <w:r>
        <w:rPr>
          <w:sz w:val="20"/>
          <w:szCs w:val="20"/>
        </w:rPr>
        <w:t xml:space="preserve">that do </w:t>
      </w:r>
      <w:r>
        <w:rPr>
          <w:rStyle w:val="a6"/>
          <w:sz w:val="20"/>
          <w:szCs w:val="20"/>
        </w:rPr>
        <w:t>not</w:t>
      </w:r>
      <w:r>
        <w:rPr>
          <w:sz w:val="20"/>
          <w:szCs w:val="20"/>
        </w:rPr>
        <w:t xml:space="preserve"> result in a substantial increase in the rights of the lessor or the obligations of the lessee. For example, this election is available for concessions that result in the total payments required by the modified contract being substantially the s</w:t>
      </w:r>
      <w:r>
        <w:rPr>
          <w:sz w:val="20"/>
          <w:szCs w:val="20"/>
        </w:rPr>
        <w:t>ame as or less than total payments required by the original contract.</w:t>
      </w:r>
    </w:p>
    <w:p w14:paraId="4043571D" w14:textId="77777777" w:rsidR="00000000" w:rsidRDefault="00322B34">
      <w:pPr>
        <w:pStyle w:val="a3"/>
        <w:spacing w:before="0" w:beforeAutospacing="0" w:after="0" w:afterAutospacing="0"/>
        <w:ind w:firstLine="360"/>
        <w:jc w:val="both"/>
        <w:rPr>
          <w:sz w:val="20"/>
          <w:szCs w:val="20"/>
        </w:rPr>
      </w:pPr>
      <w:r>
        <w:rPr>
          <w:sz w:val="20"/>
          <w:szCs w:val="20"/>
        </w:rPr>
        <w:t> </w:t>
      </w:r>
    </w:p>
    <w:p w14:paraId="7271C521" w14:textId="77777777" w:rsidR="00000000" w:rsidRDefault="00322B34">
      <w:pPr>
        <w:pStyle w:val="a3"/>
        <w:spacing w:before="0" w:beforeAutospacing="0" w:after="0" w:afterAutospacing="0"/>
        <w:ind w:firstLine="360"/>
        <w:jc w:val="both"/>
        <w:rPr>
          <w:sz w:val="20"/>
          <w:szCs w:val="20"/>
        </w:rPr>
      </w:pPr>
      <w:r>
        <w:rPr>
          <w:sz w:val="20"/>
          <w:szCs w:val="20"/>
        </w:rPr>
        <w:t xml:space="preserve">Some concessions will provide a deferral of payments with </w:t>
      </w:r>
      <w:r>
        <w:rPr>
          <w:rStyle w:val="a6"/>
          <w:sz w:val="20"/>
          <w:szCs w:val="20"/>
        </w:rPr>
        <w:t>no</w:t>
      </w:r>
      <w:r>
        <w:rPr>
          <w:sz w:val="20"/>
          <w:szCs w:val="20"/>
        </w:rPr>
        <w:t xml:space="preserve"> substantive changes to the consideration in the original contract. A deferral affects the timing of cash receipts, but the </w:t>
      </w:r>
      <w:r>
        <w:rPr>
          <w:sz w:val="20"/>
          <w:szCs w:val="20"/>
        </w:rPr>
        <w:t xml:space="preserve">amount of the consideration is substantially the same as that required by the original contract. The FASB staff expects that there will be multiple ways to account for those deferrals, </w:t>
      </w:r>
      <w:r>
        <w:rPr>
          <w:rStyle w:val="a6"/>
          <w:sz w:val="20"/>
          <w:szCs w:val="20"/>
        </w:rPr>
        <w:t>none</w:t>
      </w:r>
      <w:r>
        <w:rPr>
          <w:sz w:val="20"/>
          <w:szCs w:val="20"/>
        </w:rPr>
        <w:t xml:space="preserve"> of which the FASB staff believes are preferable to the others. Two</w:t>
      </w:r>
      <w:r>
        <w:rPr>
          <w:sz w:val="20"/>
          <w:szCs w:val="20"/>
        </w:rPr>
        <w:t xml:space="preserve"> of those methods are:</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BC20FA2" w14:textId="77777777">
        <w:trPr>
          <w:tblCellSpacing w:w="0" w:type="dxa"/>
        </w:trPr>
        <w:tc>
          <w:tcPr>
            <w:tcW w:w="360" w:type="dxa"/>
            <w:vAlign w:val="center"/>
            <w:hideMark/>
          </w:tcPr>
          <w:p w14:paraId="11A47BC7" w14:textId="77777777" w:rsidR="00000000" w:rsidRDefault="00322B34">
            <w:pPr>
              <w:rPr>
                <w:rFonts w:eastAsia="Times New Roman"/>
                <w:sz w:val="20"/>
                <w:szCs w:val="20"/>
              </w:rPr>
            </w:pPr>
            <w:r>
              <w:rPr>
                <w:rFonts w:eastAsia="Times New Roman"/>
                <w:sz w:val="20"/>
                <w:szCs w:val="20"/>
              </w:rPr>
              <w:t> </w:t>
            </w:r>
          </w:p>
        </w:tc>
        <w:tc>
          <w:tcPr>
            <w:tcW w:w="360" w:type="dxa"/>
            <w:hideMark/>
          </w:tcPr>
          <w:p w14:paraId="6E2D2D46" w14:textId="77777777" w:rsidR="00000000" w:rsidRDefault="00322B34">
            <w:pPr>
              <w:pStyle w:val="a3"/>
              <w:spacing w:before="0" w:beforeAutospacing="0" w:after="0" w:afterAutospacing="0"/>
              <w:jc w:val="both"/>
              <w:rPr>
                <w:sz w:val="20"/>
                <w:szCs w:val="20"/>
              </w:rPr>
            </w:pPr>
            <w:r>
              <w:rPr>
                <w:sz w:val="20"/>
                <w:szCs w:val="20"/>
              </w:rPr>
              <w:t>(i)</w:t>
            </w:r>
          </w:p>
        </w:tc>
        <w:tc>
          <w:tcPr>
            <w:tcW w:w="0" w:type="auto"/>
            <w:hideMark/>
          </w:tcPr>
          <w:p w14:paraId="562EC82B" w14:textId="77777777" w:rsidR="00000000" w:rsidRDefault="00322B34">
            <w:pPr>
              <w:pStyle w:val="a3"/>
              <w:spacing w:before="0" w:beforeAutospacing="0" w:after="0" w:afterAutospacing="0"/>
              <w:jc w:val="both"/>
              <w:rPr>
                <w:sz w:val="20"/>
                <w:szCs w:val="20"/>
              </w:rPr>
            </w:pPr>
            <w:r>
              <w:rPr>
                <w:sz w:val="20"/>
                <w:szCs w:val="20"/>
              </w:rPr>
              <w:t xml:space="preserve">Account for the concessions as if </w:t>
            </w:r>
            <w:r>
              <w:rPr>
                <w:rStyle w:val="a6"/>
                <w:sz w:val="20"/>
                <w:szCs w:val="20"/>
              </w:rPr>
              <w:t>no</w:t>
            </w:r>
            <w:r>
              <w:rPr>
                <w:sz w:val="20"/>
                <w:szCs w:val="20"/>
              </w:rPr>
              <w:t xml:space="preserve"> </w:t>
            </w:r>
            <w:r>
              <w:rPr>
                <w:sz w:val="20"/>
                <w:szCs w:val="20"/>
              </w:rPr>
              <w:t>changes to the lease contract were made. Under that accounting, a lessor would increase its lease receivable, and a lessee would increase its accounts payable as receivables/payments accrue. In its income statement, a lessor would continue to recognize inc</w:t>
            </w:r>
            <w:r>
              <w:rPr>
                <w:sz w:val="20"/>
                <w:szCs w:val="20"/>
              </w:rPr>
              <w:t>ome, and a lessee would continue to recognize expense during the deferral period.</w:t>
            </w:r>
          </w:p>
        </w:tc>
      </w:tr>
    </w:tbl>
    <w:p w14:paraId="3EDE96EA"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51B4613" w14:textId="77777777">
        <w:trPr>
          <w:tblCellSpacing w:w="0" w:type="dxa"/>
        </w:trPr>
        <w:tc>
          <w:tcPr>
            <w:tcW w:w="360" w:type="dxa"/>
            <w:vAlign w:val="center"/>
            <w:hideMark/>
          </w:tcPr>
          <w:p w14:paraId="7C505969" w14:textId="77777777" w:rsidR="00000000" w:rsidRDefault="00322B34">
            <w:pPr>
              <w:rPr>
                <w:rFonts w:eastAsia="Times New Roman"/>
                <w:sz w:val="20"/>
                <w:szCs w:val="20"/>
              </w:rPr>
            </w:pPr>
            <w:r>
              <w:rPr>
                <w:rFonts w:eastAsia="Times New Roman"/>
                <w:sz w:val="20"/>
                <w:szCs w:val="20"/>
              </w:rPr>
              <w:t> </w:t>
            </w:r>
          </w:p>
        </w:tc>
        <w:tc>
          <w:tcPr>
            <w:tcW w:w="360" w:type="dxa"/>
            <w:hideMark/>
          </w:tcPr>
          <w:p w14:paraId="3182F925" w14:textId="77777777" w:rsidR="00000000" w:rsidRDefault="00322B34">
            <w:pPr>
              <w:pStyle w:val="a3"/>
              <w:spacing w:before="0" w:beforeAutospacing="0" w:after="0" w:afterAutospacing="0"/>
              <w:jc w:val="both"/>
              <w:rPr>
                <w:sz w:val="20"/>
                <w:szCs w:val="20"/>
              </w:rPr>
            </w:pPr>
            <w:r>
              <w:rPr>
                <w:sz w:val="20"/>
                <w:szCs w:val="20"/>
              </w:rPr>
              <w:t>(ii)</w:t>
            </w:r>
          </w:p>
        </w:tc>
        <w:tc>
          <w:tcPr>
            <w:tcW w:w="0" w:type="auto"/>
            <w:hideMark/>
          </w:tcPr>
          <w:p w14:paraId="089CDEC8" w14:textId="77777777" w:rsidR="00000000" w:rsidRDefault="00322B34">
            <w:pPr>
              <w:pStyle w:val="a3"/>
              <w:spacing w:before="0" w:beforeAutospacing="0" w:after="0" w:afterAutospacing="0"/>
              <w:jc w:val="both"/>
              <w:rPr>
                <w:sz w:val="20"/>
                <w:szCs w:val="20"/>
              </w:rPr>
            </w:pPr>
            <w:r>
              <w:rPr>
                <w:sz w:val="20"/>
                <w:szCs w:val="20"/>
              </w:rPr>
              <w:t>Account for the deferred payments as variable lease payments.</w:t>
            </w:r>
          </w:p>
        </w:tc>
      </w:tr>
    </w:tbl>
    <w:p w14:paraId="025BE8D9" w14:textId="77777777" w:rsidR="00000000" w:rsidRDefault="00322B34">
      <w:pPr>
        <w:pStyle w:val="a3"/>
        <w:spacing w:before="0" w:beforeAutospacing="0" w:after="0" w:afterAutospacing="0"/>
        <w:jc w:val="both"/>
        <w:rPr>
          <w:sz w:val="20"/>
          <w:szCs w:val="20"/>
        </w:rPr>
      </w:pPr>
      <w:r>
        <w:rPr>
          <w:sz w:val="20"/>
          <w:szCs w:val="20"/>
        </w:rPr>
        <w:t> </w:t>
      </w:r>
    </w:p>
    <w:p w14:paraId="1B008B2D" w14:textId="77777777" w:rsidR="00000000" w:rsidRDefault="00322B34">
      <w:pPr>
        <w:pStyle w:val="a3"/>
        <w:spacing w:before="0" w:beforeAutospacing="0" w:after="0" w:afterAutospacing="0"/>
        <w:ind w:firstLine="360"/>
        <w:jc w:val="both"/>
        <w:rPr>
          <w:sz w:val="20"/>
          <w:szCs w:val="20"/>
        </w:rPr>
      </w:pPr>
      <w:r>
        <w:rPr>
          <w:sz w:val="20"/>
          <w:szCs w:val="20"/>
        </w:rPr>
        <w:t>The Company has elected to apply the modification relief as mentioned in (i) above to the lease conc</w:t>
      </w:r>
      <w:r>
        <w:rPr>
          <w:sz w:val="20"/>
          <w:szCs w:val="20"/>
        </w:rPr>
        <w:t xml:space="preserve">essions it has entered into during the </w:t>
      </w:r>
      <w:r>
        <w:rPr>
          <w:rStyle w:val="a6"/>
          <w:sz w:val="20"/>
          <w:szCs w:val="20"/>
        </w:rPr>
        <w:t>six</w:t>
      </w:r>
      <w:r>
        <w:rPr>
          <w:sz w:val="20"/>
          <w:szCs w:val="20"/>
        </w:rPr>
        <w:t xml:space="preserve"> months ended </w:t>
      </w:r>
      <w:r>
        <w:rPr>
          <w:rStyle w:val="a6"/>
          <w:sz w:val="20"/>
          <w:szCs w:val="20"/>
        </w:rPr>
        <w:t xml:space="preserve">June 30, 2020 </w:t>
      </w:r>
      <w:r>
        <w:rPr>
          <w:sz w:val="20"/>
          <w:szCs w:val="20"/>
        </w:rPr>
        <w:t>related to the COVID-</w:t>
      </w:r>
      <w:r>
        <w:rPr>
          <w:rStyle w:val="a6"/>
          <w:sz w:val="20"/>
          <w:szCs w:val="20"/>
        </w:rPr>
        <w:t>19</w:t>
      </w:r>
      <w:r>
        <w:rPr>
          <w:sz w:val="20"/>
          <w:szCs w:val="20"/>
        </w:rPr>
        <w:t xml:space="preserve"> pandemic as a lessor related to rental income recognized.</w:t>
      </w:r>
    </w:p>
    <w:p w14:paraId="7EE7F59E" w14:textId="77777777" w:rsidR="00000000" w:rsidRDefault="00322B34">
      <w:pPr>
        <w:pStyle w:val="a3"/>
        <w:spacing w:before="0" w:beforeAutospacing="0" w:after="0" w:afterAutospacing="0"/>
        <w:rPr>
          <w:sz w:val="20"/>
          <w:szCs w:val="20"/>
        </w:rPr>
      </w:pPr>
      <w:r>
        <w:rPr>
          <w:i/>
          <w:iCs/>
          <w:sz w:val="20"/>
          <w:szCs w:val="20"/>
        </w:rPr>
        <w:t> </w:t>
      </w:r>
    </w:p>
    <w:p w14:paraId="23C6AF0D" w14:textId="77777777" w:rsidR="00000000" w:rsidRDefault="00322B34">
      <w:pPr>
        <w:pStyle w:val="a3"/>
        <w:spacing w:before="0" w:beforeAutospacing="0" w:after="0" w:afterAutospacing="0"/>
        <w:jc w:val="both"/>
        <w:rPr>
          <w:sz w:val="20"/>
          <w:szCs w:val="20"/>
        </w:rPr>
      </w:pPr>
      <w:r>
        <w:rPr>
          <w:sz w:val="20"/>
          <w:szCs w:val="20"/>
        </w:rPr>
        <w:t xml:space="preserve">       The following table represents ASUs to the FASB’s ASC that, as of </w:t>
      </w:r>
      <w:r>
        <w:rPr>
          <w:rStyle w:val="a6"/>
          <w:sz w:val="20"/>
          <w:szCs w:val="20"/>
        </w:rPr>
        <w:t xml:space="preserve">June 30, 2020, </w:t>
      </w:r>
      <w:r>
        <w:rPr>
          <w:sz w:val="20"/>
          <w:szCs w:val="20"/>
        </w:rPr>
        <w:t xml:space="preserve">are </w:t>
      </w:r>
      <w:r>
        <w:rPr>
          <w:rStyle w:val="a6"/>
          <w:sz w:val="20"/>
          <w:szCs w:val="20"/>
        </w:rPr>
        <w:t>not</w:t>
      </w:r>
      <w:r>
        <w:rPr>
          <w:sz w:val="20"/>
          <w:szCs w:val="20"/>
        </w:rPr>
        <w:t xml:space="preserve"> yet ef</w:t>
      </w:r>
      <w:r>
        <w:rPr>
          <w:sz w:val="20"/>
          <w:szCs w:val="20"/>
        </w:rPr>
        <w:t xml:space="preserve">fective for the Company and for which the Company has </w:t>
      </w:r>
      <w:r>
        <w:rPr>
          <w:rStyle w:val="a6"/>
          <w:sz w:val="20"/>
          <w:szCs w:val="20"/>
        </w:rPr>
        <w:t>not</w:t>
      </w:r>
      <w:r>
        <w:rPr>
          <w:sz w:val="20"/>
          <w:szCs w:val="20"/>
        </w:rPr>
        <w:t xml:space="preserve"> elected early adoption, where permitted:</w:t>
      </w:r>
    </w:p>
    <w:p w14:paraId="18365AEB" w14:textId="77777777" w:rsidR="00000000" w:rsidRDefault="00322B34">
      <w:pPr>
        <w:pStyle w:val="a3"/>
        <w:spacing w:before="0" w:beforeAutospacing="0" w:after="0" w:afterAutospacing="0"/>
        <w:jc w:val="both"/>
        <w:rPr>
          <w:sz w:val="20"/>
          <w:szCs w:val="20"/>
        </w:rPr>
      </w:pPr>
      <w:r>
        <w:rPr>
          <w:sz w:val="20"/>
          <w:szCs w:val="20"/>
        </w:rPr>
        <w:t> </w:t>
      </w:r>
    </w:p>
    <w:tbl>
      <w:tblPr>
        <w:tblW w:w="4995" w:type="pct"/>
        <w:tblCellSpacing w:w="0" w:type="dxa"/>
        <w:tblCellMar>
          <w:top w:w="36" w:type="dxa"/>
          <w:left w:w="36" w:type="dxa"/>
          <w:bottom w:w="36" w:type="dxa"/>
          <w:right w:w="36" w:type="dxa"/>
        </w:tblCellMar>
        <w:tblLook w:val="04A0" w:firstRow="1" w:lastRow="0" w:firstColumn="1" w:lastColumn="0" w:noHBand="0" w:noVBand="1"/>
      </w:tblPr>
      <w:tblGrid>
        <w:gridCol w:w="1855"/>
        <w:gridCol w:w="3628"/>
        <w:gridCol w:w="944"/>
        <w:gridCol w:w="1855"/>
      </w:tblGrid>
      <w:tr w:rsidR="00000000" w14:paraId="7BEA42B2" w14:textId="77777777">
        <w:trPr>
          <w:tblCellSpacing w:w="0" w:type="dxa"/>
        </w:trPr>
        <w:tc>
          <w:tcPr>
            <w:tcW w:w="1120" w:type="pct"/>
            <w:tcBorders>
              <w:top w:val="single" w:sz="6" w:space="0" w:color="000000"/>
              <w:left w:val="single" w:sz="6" w:space="0" w:color="000000"/>
              <w:bottom w:val="single" w:sz="6" w:space="0" w:color="000000"/>
            </w:tcBorders>
            <w:vAlign w:val="bottom"/>
            <w:hideMark/>
          </w:tcPr>
          <w:p w14:paraId="784AB100" w14:textId="77777777" w:rsidR="00000000" w:rsidRDefault="00322B34">
            <w:pPr>
              <w:pStyle w:val="a3"/>
              <w:spacing w:before="0" w:beforeAutospacing="0" w:after="0" w:afterAutospacing="0"/>
              <w:jc w:val="center"/>
              <w:rPr>
                <w:sz w:val="20"/>
                <w:szCs w:val="20"/>
              </w:rPr>
            </w:pPr>
            <w:r>
              <w:rPr>
                <w:b/>
                <w:bCs/>
                <w:sz w:val="20"/>
                <w:szCs w:val="20"/>
              </w:rPr>
              <w:t>ASU</w:t>
            </w:r>
          </w:p>
        </w:tc>
        <w:tc>
          <w:tcPr>
            <w:tcW w:w="2190" w:type="pct"/>
            <w:tcBorders>
              <w:top w:val="single" w:sz="6" w:space="0" w:color="000000"/>
              <w:left w:val="single" w:sz="6" w:space="0" w:color="000000"/>
              <w:bottom w:val="single" w:sz="6" w:space="0" w:color="000000"/>
            </w:tcBorders>
            <w:vAlign w:val="bottom"/>
            <w:hideMark/>
          </w:tcPr>
          <w:p w14:paraId="64753FB7" w14:textId="77777777" w:rsidR="00000000" w:rsidRDefault="00322B34">
            <w:pPr>
              <w:pStyle w:val="a3"/>
              <w:spacing w:before="0" w:beforeAutospacing="0" w:after="0" w:afterAutospacing="0"/>
              <w:jc w:val="center"/>
              <w:rPr>
                <w:sz w:val="20"/>
                <w:szCs w:val="20"/>
              </w:rPr>
            </w:pPr>
            <w:r>
              <w:rPr>
                <w:b/>
                <w:bCs/>
                <w:sz w:val="20"/>
                <w:szCs w:val="20"/>
              </w:rPr>
              <w:t>Description</w:t>
            </w:r>
          </w:p>
        </w:tc>
        <w:tc>
          <w:tcPr>
            <w:tcW w:w="570" w:type="pct"/>
            <w:tcBorders>
              <w:top w:val="single" w:sz="6" w:space="0" w:color="000000"/>
              <w:left w:val="single" w:sz="6" w:space="0" w:color="000000"/>
              <w:bottom w:val="single" w:sz="6" w:space="0" w:color="000000"/>
            </w:tcBorders>
            <w:vAlign w:val="bottom"/>
            <w:hideMark/>
          </w:tcPr>
          <w:p w14:paraId="011A2CEC" w14:textId="77777777" w:rsidR="00000000" w:rsidRDefault="00322B34">
            <w:pPr>
              <w:pStyle w:val="a3"/>
              <w:spacing w:before="0" w:beforeAutospacing="0" w:after="0" w:afterAutospacing="0"/>
              <w:jc w:val="center"/>
              <w:rPr>
                <w:sz w:val="20"/>
                <w:szCs w:val="20"/>
              </w:rPr>
            </w:pPr>
            <w:r>
              <w:rPr>
                <w:b/>
                <w:bCs/>
                <w:sz w:val="20"/>
                <w:szCs w:val="20"/>
              </w:rPr>
              <w:t xml:space="preserve">Effective </w:t>
            </w:r>
          </w:p>
          <w:p w14:paraId="6439FA40" w14:textId="77777777" w:rsidR="00000000" w:rsidRDefault="00322B34">
            <w:pPr>
              <w:pStyle w:val="a3"/>
              <w:spacing w:before="0" w:beforeAutospacing="0" w:after="0" w:afterAutospacing="0"/>
              <w:jc w:val="center"/>
              <w:rPr>
                <w:sz w:val="20"/>
                <w:szCs w:val="20"/>
              </w:rPr>
            </w:pPr>
            <w:r>
              <w:rPr>
                <w:b/>
                <w:bCs/>
                <w:sz w:val="20"/>
                <w:szCs w:val="20"/>
              </w:rPr>
              <w:t>Date</w:t>
            </w:r>
          </w:p>
        </w:tc>
        <w:tc>
          <w:tcPr>
            <w:tcW w:w="1120" w:type="pct"/>
            <w:tcBorders>
              <w:top w:val="single" w:sz="6" w:space="0" w:color="000000"/>
              <w:left w:val="single" w:sz="6" w:space="0" w:color="000000"/>
              <w:bottom w:val="single" w:sz="6" w:space="0" w:color="000000"/>
              <w:right w:val="single" w:sz="6" w:space="0" w:color="000000"/>
            </w:tcBorders>
            <w:vAlign w:val="bottom"/>
            <w:hideMark/>
          </w:tcPr>
          <w:p w14:paraId="1F426303" w14:textId="77777777" w:rsidR="00000000" w:rsidRDefault="00322B34">
            <w:pPr>
              <w:pStyle w:val="a3"/>
              <w:spacing w:before="0" w:beforeAutospacing="0" w:after="0" w:afterAutospacing="0"/>
              <w:jc w:val="center"/>
              <w:rPr>
                <w:sz w:val="20"/>
                <w:szCs w:val="20"/>
              </w:rPr>
            </w:pPr>
            <w:r>
              <w:rPr>
                <w:b/>
                <w:bCs/>
                <w:sz w:val="20"/>
                <w:szCs w:val="20"/>
              </w:rPr>
              <w:t xml:space="preserve">Effect on the financial </w:t>
            </w:r>
          </w:p>
          <w:p w14:paraId="50DD2F66" w14:textId="77777777" w:rsidR="00000000" w:rsidRDefault="00322B34">
            <w:pPr>
              <w:pStyle w:val="a3"/>
              <w:spacing w:before="0" w:beforeAutospacing="0" w:after="0" w:afterAutospacing="0"/>
              <w:jc w:val="center"/>
              <w:rPr>
                <w:sz w:val="20"/>
                <w:szCs w:val="20"/>
              </w:rPr>
            </w:pPr>
            <w:r>
              <w:rPr>
                <w:b/>
                <w:bCs/>
                <w:sz w:val="20"/>
                <w:szCs w:val="20"/>
              </w:rPr>
              <w:t>statements or other significant</w:t>
            </w:r>
          </w:p>
          <w:p w14:paraId="50703691" w14:textId="77777777" w:rsidR="00000000" w:rsidRDefault="00322B34">
            <w:pPr>
              <w:pStyle w:val="a3"/>
              <w:spacing w:before="0" w:beforeAutospacing="0" w:after="0" w:afterAutospacing="0"/>
              <w:jc w:val="center"/>
              <w:rPr>
                <w:sz w:val="20"/>
                <w:szCs w:val="20"/>
              </w:rPr>
            </w:pPr>
            <w:r>
              <w:rPr>
                <w:b/>
                <w:bCs/>
                <w:sz w:val="20"/>
                <w:szCs w:val="20"/>
              </w:rPr>
              <w:t>matters</w:t>
            </w:r>
          </w:p>
        </w:tc>
      </w:tr>
      <w:tr w:rsidR="00000000" w14:paraId="6415073C" w14:textId="77777777">
        <w:trPr>
          <w:tblCellSpacing w:w="0" w:type="dxa"/>
        </w:trPr>
        <w:tc>
          <w:tcPr>
            <w:tcW w:w="1120" w:type="pct"/>
            <w:tcBorders>
              <w:left w:val="single" w:sz="6" w:space="0" w:color="000000"/>
              <w:bottom w:val="single" w:sz="6" w:space="0" w:color="000000"/>
            </w:tcBorders>
            <w:shd w:val="clear" w:color="auto" w:fill="CCEEFF"/>
            <w:hideMark/>
          </w:tcPr>
          <w:p w14:paraId="650DA7B0" w14:textId="77777777" w:rsidR="00000000" w:rsidRDefault="00322B34">
            <w:pPr>
              <w:pStyle w:val="a3"/>
              <w:spacing w:before="0" w:beforeAutospacing="0" w:after="0" w:afterAutospacing="0"/>
              <w:rPr>
                <w:sz w:val="20"/>
                <w:szCs w:val="20"/>
              </w:rPr>
            </w:pPr>
            <w:r>
              <w:rPr>
                <w:sz w:val="20"/>
                <w:szCs w:val="20"/>
              </w:rPr>
              <w:t xml:space="preserve">ASU </w:t>
            </w:r>
            <w:r>
              <w:rPr>
                <w:rStyle w:val="a6"/>
                <w:sz w:val="20"/>
                <w:szCs w:val="20"/>
              </w:rPr>
              <w:t>2020</w:t>
            </w:r>
            <w:r>
              <w:rPr>
                <w:sz w:val="20"/>
                <w:szCs w:val="20"/>
              </w:rPr>
              <w:t>-</w:t>
            </w:r>
            <w:r>
              <w:rPr>
                <w:rStyle w:val="a6"/>
                <w:sz w:val="20"/>
                <w:szCs w:val="20"/>
              </w:rPr>
              <w:t>01,</w:t>
            </w:r>
            <w:r>
              <w:rPr>
                <w:sz w:val="20"/>
                <w:szCs w:val="20"/>
              </w:rPr>
              <w:t xml:space="preserve"> Investments – </w:t>
            </w:r>
            <w:r>
              <w:rPr>
                <w:sz w:val="20"/>
                <w:szCs w:val="20"/>
              </w:rPr>
              <w:t xml:space="preserve">Equity Securities (Topic </w:t>
            </w:r>
            <w:r>
              <w:rPr>
                <w:rStyle w:val="a6"/>
                <w:sz w:val="20"/>
                <w:szCs w:val="20"/>
              </w:rPr>
              <w:t>321</w:t>
            </w:r>
            <w:r>
              <w:rPr>
                <w:sz w:val="20"/>
                <w:szCs w:val="20"/>
              </w:rPr>
              <w:t xml:space="preserve">), Investments – 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 xml:space="preserve">)—Clarifying the Interactions between 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(a consensus of the Emerging Issues Task Force)</w:t>
            </w:r>
          </w:p>
          <w:p w14:paraId="57E7030C" w14:textId="77777777" w:rsidR="00000000" w:rsidRDefault="00322B34">
            <w:pPr>
              <w:pStyle w:val="a3"/>
              <w:spacing w:before="0" w:beforeAutospacing="0" w:after="0" w:afterAutospacing="0"/>
              <w:rPr>
                <w:sz w:val="20"/>
                <w:szCs w:val="20"/>
              </w:rPr>
            </w:pPr>
            <w:r>
              <w:rPr>
                <w:sz w:val="20"/>
                <w:szCs w:val="20"/>
              </w:rPr>
              <w:t> </w:t>
            </w:r>
          </w:p>
        </w:tc>
        <w:tc>
          <w:tcPr>
            <w:tcW w:w="2190" w:type="pct"/>
            <w:tcBorders>
              <w:left w:val="single" w:sz="6" w:space="0" w:color="000000"/>
              <w:bottom w:val="single" w:sz="6" w:space="0" w:color="000000"/>
            </w:tcBorders>
            <w:shd w:val="clear" w:color="auto" w:fill="CCEEFF"/>
            <w:hideMark/>
          </w:tcPr>
          <w:p w14:paraId="546CC3B7" w14:textId="77777777" w:rsidR="00000000" w:rsidRDefault="00322B34">
            <w:pPr>
              <w:pStyle w:val="a3"/>
              <w:spacing w:before="0" w:beforeAutospacing="0" w:after="0" w:afterAutospacing="0"/>
              <w:jc w:val="both"/>
              <w:rPr>
                <w:sz w:val="20"/>
                <w:szCs w:val="20"/>
              </w:rPr>
            </w:pPr>
            <w:r>
              <w:rPr>
                <w:sz w:val="20"/>
                <w:szCs w:val="20"/>
              </w:rPr>
              <w:t>The</w:t>
            </w:r>
            <w:r>
              <w:rPr>
                <w:sz w:val="20"/>
                <w:szCs w:val="20"/>
              </w:rPr>
              <w:t xml:space="preserve"> amendments clarify the interaction between the accounting for equity securities, equity method investments, and certain derivative instruments. This ASU, among other things, clarifies that an entity should consider observable transactions that require a c</w:t>
            </w:r>
            <w:r>
              <w:rPr>
                <w:sz w:val="20"/>
                <w:szCs w:val="20"/>
              </w:rPr>
              <w:t xml:space="preserve">ompany to either apply or discontinue the equity method of accounting under Topic </w:t>
            </w:r>
            <w:r>
              <w:rPr>
                <w:rStyle w:val="a6"/>
                <w:sz w:val="20"/>
                <w:szCs w:val="20"/>
              </w:rPr>
              <w:t>323</w:t>
            </w:r>
            <w:r>
              <w:rPr>
                <w:sz w:val="20"/>
                <w:szCs w:val="20"/>
              </w:rPr>
              <w:t xml:space="preserve"> for the purposes of applying the measurement alternative in accordance with Topic </w:t>
            </w:r>
            <w:r>
              <w:rPr>
                <w:rStyle w:val="a6"/>
                <w:sz w:val="20"/>
                <w:szCs w:val="20"/>
              </w:rPr>
              <w:t>321</w:t>
            </w:r>
            <w:r>
              <w:rPr>
                <w:sz w:val="20"/>
                <w:szCs w:val="20"/>
              </w:rPr>
              <w:t xml:space="preserve"> immediately before applying or upon discontinuing the equity method.</w:t>
            </w:r>
          </w:p>
        </w:tc>
        <w:tc>
          <w:tcPr>
            <w:tcW w:w="570" w:type="pct"/>
            <w:tcBorders>
              <w:left w:val="single" w:sz="6" w:space="0" w:color="000000"/>
              <w:bottom w:val="single" w:sz="6" w:space="0" w:color="000000"/>
            </w:tcBorders>
            <w:shd w:val="clear" w:color="auto" w:fill="CCEEFF"/>
            <w:hideMark/>
          </w:tcPr>
          <w:p w14:paraId="6B9D33F2" w14:textId="77777777" w:rsidR="00000000" w:rsidRDefault="00322B34">
            <w:pPr>
              <w:pStyle w:val="a3"/>
              <w:spacing w:before="0" w:beforeAutospacing="0" w:after="0" w:afterAutospacing="0"/>
              <w:jc w:val="center"/>
              <w:rPr>
                <w:sz w:val="20"/>
                <w:szCs w:val="20"/>
              </w:rPr>
            </w:pPr>
            <w:r>
              <w:rPr>
                <w:rStyle w:val="a6"/>
                <w:sz w:val="20"/>
                <w:szCs w:val="20"/>
              </w:rPr>
              <w:t>January 1, 2021</w:t>
            </w:r>
            <w:r>
              <w:rPr>
                <w:rStyle w:val="a6"/>
                <w:sz w:val="20"/>
                <w:szCs w:val="20"/>
              </w:rPr>
              <w:t xml:space="preserve">; </w:t>
            </w:r>
            <w:r>
              <w:rPr>
                <w:sz w:val="20"/>
                <w:szCs w:val="20"/>
              </w:rPr>
              <w:t>Early adoption permitted</w:t>
            </w:r>
          </w:p>
        </w:tc>
        <w:tc>
          <w:tcPr>
            <w:tcW w:w="1120" w:type="pct"/>
            <w:tcBorders>
              <w:left w:val="single" w:sz="6" w:space="0" w:color="000000"/>
              <w:bottom w:val="single" w:sz="6" w:space="0" w:color="000000"/>
              <w:right w:val="single" w:sz="6" w:space="0" w:color="000000"/>
            </w:tcBorders>
            <w:shd w:val="clear" w:color="auto" w:fill="CCEEFF"/>
            <w:hideMark/>
          </w:tcPr>
          <w:p w14:paraId="08DEBD68" w14:textId="77777777" w:rsidR="00000000" w:rsidRDefault="00322B34">
            <w:pPr>
              <w:pStyle w:val="a3"/>
              <w:spacing w:before="0" w:beforeAutospacing="0" w:after="0" w:afterAutospacing="0"/>
              <w:rPr>
                <w:sz w:val="20"/>
                <w:szCs w:val="20"/>
              </w:rPr>
            </w:pPr>
            <w:r>
              <w:rPr>
                <w:sz w:val="20"/>
                <w:szCs w:val="20"/>
              </w:rPr>
              <w:t xml:space="preserve">The adoption of this ASU is </w:t>
            </w:r>
            <w:r>
              <w:rPr>
                <w:rStyle w:val="a6"/>
                <w:sz w:val="20"/>
                <w:szCs w:val="20"/>
              </w:rPr>
              <w:t>not</w:t>
            </w:r>
            <w:r>
              <w:rPr>
                <w:sz w:val="20"/>
                <w:szCs w:val="20"/>
              </w:rPr>
              <w:t xml:space="preserve"> expected to have a material impact on the Company’s financial position and/or results of operations.</w:t>
            </w:r>
          </w:p>
        </w:tc>
      </w:tr>
    </w:tbl>
    <w:p w14:paraId="15C37B71" w14:textId="77777777" w:rsidR="00000000" w:rsidRDefault="00322B34">
      <w:pPr>
        <w:pStyle w:val="a3"/>
        <w:spacing w:before="0" w:beforeAutospacing="0" w:after="0" w:afterAutospacing="0"/>
        <w:ind w:firstLine="360"/>
        <w:jc w:val="both"/>
        <w:rPr>
          <w:sz w:val="20"/>
          <w:szCs w:val="20"/>
        </w:rPr>
      </w:pPr>
      <w:r>
        <w:rPr>
          <w:sz w:val="20"/>
          <w:szCs w:val="20"/>
        </w:rPr>
        <w:t> </w:t>
      </w:r>
    </w:p>
    <w:p w14:paraId="07634E15" w14:textId="77777777" w:rsidR="00000000" w:rsidRDefault="00322B34">
      <w:pPr>
        <w:pStyle w:val="a3"/>
        <w:spacing w:before="0" w:beforeAutospacing="0" w:after="0" w:afterAutospacing="0"/>
        <w:ind w:left="360"/>
        <w:jc w:val="both"/>
        <w:rPr>
          <w:sz w:val="20"/>
          <w:szCs w:val="20"/>
        </w:rPr>
      </w:pPr>
      <w:r>
        <w:rPr>
          <w:sz w:val="20"/>
          <w:szCs w:val="20"/>
        </w:rPr>
        <w:t>The following ASUs to the FASB’s ASC have been adopted by the Company as of the date listed:</w:t>
      </w:r>
    </w:p>
    <w:p w14:paraId="07B73FAB" w14:textId="77777777" w:rsidR="00000000" w:rsidRDefault="00322B34">
      <w:pPr>
        <w:pStyle w:val="a3"/>
        <w:spacing w:before="0" w:beforeAutospacing="0" w:after="0" w:afterAutospacing="0"/>
        <w:rPr>
          <w:sz w:val="20"/>
          <w:szCs w:val="20"/>
        </w:rPr>
      </w:pPr>
      <w:r>
        <w:rPr>
          <w:i/>
          <w:iCs/>
          <w:sz w:val="20"/>
          <w:szCs w:val="20"/>
        </w:rPr>
        <w:t> </w:t>
      </w:r>
    </w:p>
    <w:tbl>
      <w:tblPr>
        <w:tblW w:w="5000" w:type="pct"/>
        <w:tblCellSpacing w:w="0" w:type="dxa"/>
        <w:tblCellMar>
          <w:top w:w="36" w:type="dxa"/>
          <w:left w:w="36" w:type="dxa"/>
          <w:bottom w:w="36" w:type="dxa"/>
          <w:right w:w="36" w:type="dxa"/>
        </w:tblCellMar>
        <w:tblLook w:val="04A0" w:firstRow="1" w:lastRow="0" w:firstColumn="1" w:lastColumn="0" w:noHBand="0" w:noVBand="1"/>
      </w:tblPr>
      <w:tblGrid>
        <w:gridCol w:w="1781"/>
        <w:gridCol w:w="3563"/>
        <w:gridCol w:w="1165"/>
        <w:gridCol w:w="1781"/>
      </w:tblGrid>
      <w:tr w:rsidR="00000000" w14:paraId="682C32D3" w14:textId="77777777">
        <w:trPr>
          <w:tblCellSpacing w:w="0" w:type="dxa"/>
        </w:trPr>
        <w:tc>
          <w:tcPr>
            <w:tcW w:w="1115" w:type="pct"/>
            <w:tcBorders>
              <w:top w:val="single" w:sz="6" w:space="0" w:color="000000"/>
              <w:left w:val="single" w:sz="6" w:space="0" w:color="000000"/>
              <w:bottom w:val="single" w:sz="6" w:space="0" w:color="000000"/>
            </w:tcBorders>
            <w:vAlign w:val="bottom"/>
            <w:hideMark/>
          </w:tcPr>
          <w:p w14:paraId="1C1233E7" w14:textId="77777777" w:rsidR="00000000" w:rsidRDefault="00322B34">
            <w:pPr>
              <w:pStyle w:val="a3"/>
              <w:spacing w:before="0" w:beforeAutospacing="0" w:after="0" w:afterAutospacing="0"/>
              <w:jc w:val="center"/>
              <w:rPr>
                <w:sz w:val="20"/>
                <w:szCs w:val="20"/>
              </w:rPr>
            </w:pPr>
            <w:r>
              <w:rPr>
                <w:b/>
                <w:bCs/>
                <w:sz w:val="20"/>
                <w:szCs w:val="20"/>
              </w:rPr>
              <w:t>ASU</w:t>
            </w:r>
          </w:p>
        </w:tc>
        <w:tc>
          <w:tcPr>
            <w:tcW w:w="2190" w:type="pct"/>
            <w:tcBorders>
              <w:top w:val="single" w:sz="6" w:space="0" w:color="000000"/>
              <w:left w:val="single" w:sz="6" w:space="0" w:color="000000"/>
              <w:bottom w:val="single" w:sz="6" w:space="0" w:color="000000"/>
            </w:tcBorders>
            <w:vAlign w:val="bottom"/>
            <w:hideMark/>
          </w:tcPr>
          <w:p w14:paraId="015DE1EA" w14:textId="77777777" w:rsidR="00000000" w:rsidRDefault="00322B34">
            <w:pPr>
              <w:pStyle w:val="a3"/>
              <w:spacing w:before="0" w:beforeAutospacing="0" w:after="0" w:afterAutospacing="0"/>
              <w:jc w:val="center"/>
              <w:rPr>
                <w:sz w:val="20"/>
                <w:szCs w:val="20"/>
              </w:rPr>
            </w:pPr>
            <w:r>
              <w:rPr>
                <w:b/>
                <w:bCs/>
                <w:sz w:val="20"/>
                <w:szCs w:val="20"/>
              </w:rPr>
              <w:t>Description</w:t>
            </w:r>
          </w:p>
        </w:tc>
        <w:tc>
          <w:tcPr>
            <w:tcW w:w="580" w:type="pct"/>
            <w:tcBorders>
              <w:top w:val="single" w:sz="6" w:space="0" w:color="000000"/>
              <w:left w:val="single" w:sz="6" w:space="0" w:color="000000"/>
              <w:bottom w:val="single" w:sz="6" w:space="0" w:color="000000"/>
            </w:tcBorders>
            <w:vAlign w:val="bottom"/>
            <w:hideMark/>
          </w:tcPr>
          <w:p w14:paraId="09B07BF1" w14:textId="77777777" w:rsidR="00000000" w:rsidRDefault="00322B34">
            <w:pPr>
              <w:pStyle w:val="a3"/>
              <w:spacing w:before="0" w:beforeAutospacing="0" w:after="0" w:afterAutospacing="0"/>
              <w:jc w:val="center"/>
              <w:rPr>
                <w:sz w:val="20"/>
                <w:szCs w:val="20"/>
              </w:rPr>
            </w:pPr>
            <w:r>
              <w:rPr>
                <w:b/>
                <w:bCs/>
                <w:sz w:val="20"/>
                <w:szCs w:val="20"/>
              </w:rPr>
              <w:t>Adoption Date</w:t>
            </w:r>
          </w:p>
        </w:tc>
        <w:tc>
          <w:tcPr>
            <w:tcW w:w="1115" w:type="pct"/>
            <w:tcBorders>
              <w:top w:val="single" w:sz="6" w:space="0" w:color="000000"/>
              <w:left w:val="single" w:sz="6" w:space="0" w:color="000000"/>
              <w:bottom w:val="single" w:sz="6" w:space="0" w:color="000000"/>
              <w:right w:val="single" w:sz="6" w:space="0" w:color="000000"/>
            </w:tcBorders>
            <w:vAlign w:val="bottom"/>
            <w:hideMark/>
          </w:tcPr>
          <w:p w14:paraId="528F8D4A" w14:textId="77777777" w:rsidR="00000000" w:rsidRDefault="00322B34">
            <w:pPr>
              <w:pStyle w:val="a3"/>
              <w:spacing w:before="0" w:beforeAutospacing="0" w:after="0" w:afterAutospacing="0"/>
              <w:jc w:val="center"/>
              <w:rPr>
                <w:sz w:val="20"/>
                <w:szCs w:val="20"/>
              </w:rPr>
            </w:pPr>
            <w:r>
              <w:rPr>
                <w:b/>
                <w:bCs/>
                <w:sz w:val="20"/>
                <w:szCs w:val="20"/>
              </w:rPr>
              <w:t>Effect on the financial statements or other significant matters</w:t>
            </w:r>
          </w:p>
        </w:tc>
      </w:tr>
      <w:tr w:rsidR="00000000" w14:paraId="20297BB5" w14:textId="77777777">
        <w:trPr>
          <w:tblCellSpacing w:w="0" w:type="dxa"/>
        </w:trPr>
        <w:tc>
          <w:tcPr>
            <w:tcW w:w="1115" w:type="pct"/>
            <w:tcBorders>
              <w:left w:val="single" w:sz="6" w:space="0" w:color="000000"/>
              <w:bottom w:val="single" w:sz="6" w:space="0" w:color="000000"/>
            </w:tcBorders>
            <w:shd w:val="clear" w:color="auto" w:fill="CCEEFF"/>
            <w:hideMark/>
          </w:tcPr>
          <w:p w14:paraId="02A6B035" w14:textId="77777777" w:rsidR="00000000" w:rsidRDefault="00322B34">
            <w:pPr>
              <w:pStyle w:val="a3"/>
              <w:spacing w:before="0" w:beforeAutospacing="0" w:after="0" w:afterAutospacing="0"/>
              <w:rPr>
                <w:sz w:val="20"/>
                <w:szCs w:val="20"/>
              </w:rPr>
            </w:pPr>
            <w:r>
              <w:rPr>
                <w:sz w:val="20"/>
                <w:szCs w:val="20"/>
              </w:rPr>
              <w:t xml:space="preserve">ASU </w:t>
            </w:r>
            <w:r>
              <w:rPr>
                <w:rStyle w:val="a6"/>
                <w:sz w:val="20"/>
                <w:szCs w:val="20"/>
              </w:rPr>
              <w:t>2020</w:t>
            </w:r>
            <w:r>
              <w:rPr>
                <w:sz w:val="20"/>
                <w:szCs w:val="20"/>
              </w:rPr>
              <w:t>-</w:t>
            </w:r>
            <w:r>
              <w:rPr>
                <w:rStyle w:val="a6"/>
                <w:sz w:val="20"/>
                <w:szCs w:val="20"/>
              </w:rPr>
              <w:t>04,</w:t>
            </w:r>
            <w:r>
              <w:rPr>
                <w:sz w:val="20"/>
                <w:szCs w:val="20"/>
              </w:rPr>
              <w:t xml:space="preserve"> Reference Rate Reform (Topic </w:t>
            </w:r>
            <w:r>
              <w:rPr>
                <w:rStyle w:val="a6"/>
                <w:sz w:val="20"/>
                <w:szCs w:val="20"/>
              </w:rPr>
              <w:t>848</w:t>
            </w:r>
            <w:r>
              <w:rPr>
                <w:sz w:val="20"/>
                <w:szCs w:val="20"/>
              </w:rPr>
              <w:t xml:space="preserve">) – </w:t>
            </w:r>
            <w:r>
              <w:rPr>
                <w:sz w:val="20"/>
                <w:szCs w:val="20"/>
              </w:rPr>
              <w:t>Facilitation of the Effects of Reference Rate Reform on Financial Reporting</w:t>
            </w:r>
          </w:p>
        </w:tc>
        <w:tc>
          <w:tcPr>
            <w:tcW w:w="2190" w:type="pct"/>
            <w:tcBorders>
              <w:left w:val="single" w:sz="6" w:space="0" w:color="000000"/>
              <w:bottom w:val="single" w:sz="6" w:space="0" w:color="000000"/>
            </w:tcBorders>
            <w:shd w:val="clear" w:color="auto" w:fill="CCEEFF"/>
            <w:hideMark/>
          </w:tcPr>
          <w:p w14:paraId="4FC295C7" w14:textId="77777777" w:rsidR="00000000" w:rsidRDefault="00322B34">
            <w:pPr>
              <w:pStyle w:val="a3"/>
              <w:spacing w:before="0" w:beforeAutospacing="0" w:after="0" w:afterAutospacing="0"/>
              <w:jc w:val="both"/>
              <w:rPr>
                <w:sz w:val="20"/>
                <w:szCs w:val="20"/>
              </w:rPr>
            </w:pPr>
            <w:r>
              <w:rPr>
                <w:sz w:val="20"/>
                <w:szCs w:val="20"/>
              </w:rPr>
              <w:t xml:space="preserve">This ASU is intended to provide temporary optional expedients and exceptions to the US GAAP guidance on contract modifications and hedge accounting to ease the financial reporting </w:t>
            </w:r>
            <w:r>
              <w:rPr>
                <w:sz w:val="20"/>
                <w:szCs w:val="20"/>
              </w:rPr>
              <w:t>burdens related to the expected market transition from the London Interbank Offered Rate (LIBOR) and other interbank offered rates to alternative reference rates.</w:t>
            </w:r>
          </w:p>
        </w:tc>
        <w:tc>
          <w:tcPr>
            <w:tcW w:w="580" w:type="pct"/>
            <w:tcBorders>
              <w:left w:val="single" w:sz="6" w:space="0" w:color="000000"/>
              <w:bottom w:val="single" w:sz="6" w:space="0" w:color="000000"/>
            </w:tcBorders>
            <w:shd w:val="clear" w:color="auto" w:fill="CCEEFF"/>
            <w:hideMark/>
          </w:tcPr>
          <w:p w14:paraId="76F8D9CB" w14:textId="77777777" w:rsidR="00000000" w:rsidRDefault="00322B34">
            <w:pPr>
              <w:pStyle w:val="a3"/>
              <w:spacing w:before="0" w:beforeAutospacing="0" w:after="0" w:afterAutospacing="0"/>
              <w:jc w:val="center"/>
              <w:rPr>
                <w:sz w:val="20"/>
                <w:szCs w:val="20"/>
              </w:rPr>
            </w:pPr>
            <w:r>
              <w:rPr>
                <w:sz w:val="20"/>
                <w:szCs w:val="20"/>
              </w:rPr>
              <w:t xml:space="preserve">This guidance is effective immediately, and the Company </w:t>
            </w:r>
            <w:r>
              <w:rPr>
                <w:rStyle w:val="a6"/>
                <w:sz w:val="20"/>
                <w:szCs w:val="20"/>
              </w:rPr>
              <w:t xml:space="preserve">may </w:t>
            </w:r>
            <w:r>
              <w:rPr>
                <w:sz w:val="20"/>
                <w:szCs w:val="20"/>
              </w:rPr>
              <w:t>elect to apply the amendments pro</w:t>
            </w:r>
            <w:r>
              <w:rPr>
                <w:sz w:val="20"/>
                <w:szCs w:val="20"/>
              </w:rPr>
              <w:t xml:space="preserve">spectively through </w:t>
            </w:r>
            <w:r>
              <w:rPr>
                <w:rStyle w:val="a6"/>
                <w:sz w:val="20"/>
                <w:szCs w:val="20"/>
              </w:rPr>
              <w:t>December 31, 2022.</w:t>
            </w:r>
          </w:p>
          <w:p w14:paraId="43C8442C" w14:textId="77777777" w:rsidR="00000000" w:rsidRDefault="00322B34">
            <w:pPr>
              <w:pStyle w:val="a3"/>
              <w:spacing w:before="0" w:beforeAutospacing="0" w:after="0" w:afterAutospacing="0"/>
              <w:jc w:val="center"/>
              <w:rPr>
                <w:sz w:val="20"/>
                <w:szCs w:val="20"/>
              </w:rPr>
            </w:pPr>
            <w:r>
              <w:rPr>
                <w:sz w:val="20"/>
                <w:szCs w:val="20"/>
              </w:rPr>
              <w:t> </w:t>
            </w:r>
          </w:p>
        </w:tc>
        <w:tc>
          <w:tcPr>
            <w:tcW w:w="1115" w:type="pct"/>
            <w:tcBorders>
              <w:left w:val="single" w:sz="6" w:space="0" w:color="000000"/>
              <w:bottom w:val="single" w:sz="6" w:space="0" w:color="000000"/>
              <w:right w:val="single" w:sz="6" w:space="0" w:color="000000"/>
            </w:tcBorders>
            <w:shd w:val="clear" w:color="auto" w:fill="CCEEFF"/>
            <w:hideMark/>
          </w:tcPr>
          <w:p w14:paraId="74EC1689" w14:textId="77777777" w:rsidR="00000000" w:rsidRDefault="00322B34">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have a material impact on the Company’s financial position and/or results of operations.</w:t>
            </w:r>
          </w:p>
        </w:tc>
      </w:tr>
    </w:tbl>
    <w:p w14:paraId="727BA4FE" w14:textId="77777777" w:rsidR="00000000" w:rsidRDefault="00322B34">
      <w:pPr>
        <w:pStyle w:val="a3"/>
        <w:spacing w:before="0" w:beforeAutospacing="0" w:after="0" w:afterAutospacing="0"/>
        <w:rPr>
          <w:sz w:val="20"/>
          <w:szCs w:val="20"/>
        </w:rPr>
      </w:pPr>
      <w:r>
        <w:rPr>
          <w:sz w:val="20"/>
          <w:szCs w:val="20"/>
        </w:rPr>
        <w:t> </w:t>
      </w:r>
    </w:p>
    <w:p w14:paraId="0C75A71A" w14:textId="77777777" w:rsidR="00000000" w:rsidRDefault="00322B34">
      <w:pPr>
        <w:jc w:val="center"/>
        <w:divId w:val="926961579"/>
        <w:rPr>
          <w:rFonts w:eastAsia="Times New Roman"/>
          <w:sz w:val="20"/>
          <w:szCs w:val="20"/>
        </w:rPr>
      </w:pPr>
      <w:r>
        <w:rPr>
          <w:rStyle w:val="a6"/>
          <w:rFonts w:eastAsia="Times New Roman"/>
          <w:sz w:val="20"/>
          <w:szCs w:val="20"/>
        </w:rPr>
        <w:t>10</w:t>
      </w:r>
      <w:r>
        <w:rPr>
          <w:rFonts w:eastAsia="Times New Roman"/>
          <w:sz w:val="20"/>
          <w:szCs w:val="20"/>
        </w:rPr>
        <w:t xml:space="preserve"> </w:t>
      </w:r>
    </w:p>
    <w:p w14:paraId="1898499E" w14:textId="77777777" w:rsidR="00000000" w:rsidRDefault="00322B34">
      <w:pPr>
        <w:rPr>
          <w:rFonts w:eastAsia="Times New Roman"/>
          <w:sz w:val="20"/>
          <w:szCs w:val="20"/>
        </w:rPr>
      </w:pPr>
      <w:r>
        <w:rPr>
          <w:rFonts w:eastAsia="Times New Roman"/>
          <w:sz w:val="20"/>
          <w:szCs w:val="20"/>
        </w:rPr>
        <w:pict w14:anchorId="46B4760A">
          <v:rect id="_x0000_i1038" style="width:415.3pt;height:1.5pt" o:hralign="center" o:hrstd="t" o:hrnoshade="t" o:hr="t" fillcolor="black" stroked="f"/>
        </w:pict>
      </w:r>
    </w:p>
    <w:p w14:paraId="254CFC94" w14:textId="77777777" w:rsidR="00000000" w:rsidRDefault="00322B34">
      <w:pPr>
        <w:divId w:val="161489623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5828CDD" w14:textId="77777777" w:rsidR="00000000" w:rsidRDefault="00322B34">
      <w:pPr>
        <w:rPr>
          <w:rFonts w:eastAsia="Times New Roman"/>
          <w:sz w:val="20"/>
          <w:szCs w:val="20"/>
        </w:rPr>
      </w:pPr>
      <w:r>
        <w:rPr>
          <w:rFonts w:eastAsia="Times New Roman"/>
          <w:sz w:val="20"/>
          <w:szCs w:val="20"/>
        </w:rPr>
        <w:t xml:space="preserve">  </w:t>
      </w:r>
    </w:p>
    <w:tbl>
      <w:tblPr>
        <w:tblW w:w="5000" w:type="pct"/>
        <w:tblCellSpacing w:w="0" w:type="dxa"/>
        <w:tblCellMar>
          <w:top w:w="36" w:type="dxa"/>
          <w:left w:w="36" w:type="dxa"/>
          <w:bottom w:w="36" w:type="dxa"/>
          <w:right w:w="36" w:type="dxa"/>
        </w:tblCellMar>
        <w:tblLook w:val="04A0" w:firstRow="1" w:lastRow="0" w:firstColumn="1" w:lastColumn="0" w:noHBand="0" w:noVBand="1"/>
      </w:tblPr>
      <w:tblGrid>
        <w:gridCol w:w="1932"/>
        <w:gridCol w:w="3559"/>
        <w:gridCol w:w="1021"/>
        <w:gridCol w:w="1778"/>
      </w:tblGrid>
      <w:tr w:rsidR="00000000" w14:paraId="4F2EF0CE" w14:textId="77777777">
        <w:trPr>
          <w:tblCellSpacing w:w="0" w:type="dxa"/>
        </w:trPr>
        <w:tc>
          <w:tcPr>
            <w:tcW w:w="1115" w:type="pct"/>
            <w:tcBorders>
              <w:top w:val="single" w:sz="6" w:space="0" w:color="000000"/>
              <w:left w:val="single" w:sz="6" w:space="0" w:color="000000"/>
              <w:bottom w:val="single" w:sz="6" w:space="0" w:color="000000"/>
            </w:tcBorders>
            <w:hideMark/>
          </w:tcPr>
          <w:p w14:paraId="4C62BE9F" w14:textId="77777777" w:rsidR="00000000" w:rsidRDefault="00322B34">
            <w:pPr>
              <w:pStyle w:val="a3"/>
              <w:spacing w:before="0" w:beforeAutospacing="0" w:after="0" w:afterAutospacing="0"/>
              <w:rPr>
                <w:sz w:val="20"/>
                <w:szCs w:val="20"/>
              </w:rPr>
            </w:pPr>
            <w:r>
              <w:rPr>
                <w:sz w:val="20"/>
                <w:szCs w:val="20"/>
              </w:rPr>
              <w:t xml:space="preserve">ASU </w:t>
            </w:r>
            <w:r>
              <w:rPr>
                <w:rStyle w:val="a6"/>
                <w:sz w:val="20"/>
                <w:szCs w:val="20"/>
              </w:rPr>
              <w:t>2020</w:t>
            </w:r>
            <w:r>
              <w:rPr>
                <w:sz w:val="20"/>
                <w:szCs w:val="20"/>
              </w:rPr>
              <w:t>-</w:t>
            </w:r>
            <w:r>
              <w:rPr>
                <w:rStyle w:val="a6"/>
                <w:sz w:val="20"/>
                <w:szCs w:val="20"/>
              </w:rPr>
              <w:t>03,</w:t>
            </w:r>
            <w:r>
              <w:rPr>
                <w:sz w:val="20"/>
                <w:szCs w:val="20"/>
              </w:rPr>
              <w:t xml:space="preserve"> Codification Improvements to Financial Instruments</w:t>
            </w:r>
          </w:p>
        </w:tc>
        <w:tc>
          <w:tcPr>
            <w:tcW w:w="2190" w:type="pct"/>
            <w:tcBorders>
              <w:top w:val="single" w:sz="6" w:space="0" w:color="000000"/>
              <w:left w:val="single" w:sz="6" w:space="0" w:color="000000"/>
              <w:bottom w:val="single" w:sz="6" w:space="0" w:color="000000"/>
            </w:tcBorders>
            <w:hideMark/>
          </w:tcPr>
          <w:p w14:paraId="0337A66B" w14:textId="77777777" w:rsidR="00000000" w:rsidRDefault="00322B34">
            <w:pPr>
              <w:pStyle w:val="a3"/>
              <w:spacing w:before="0" w:beforeAutospacing="0" w:after="0" w:afterAutospacing="0"/>
              <w:jc w:val="both"/>
              <w:rPr>
                <w:sz w:val="20"/>
                <w:szCs w:val="20"/>
              </w:rPr>
            </w:pPr>
            <w:r>
              <w:rPr>
                <w:sz w:val="20"/>
                <w:szCs w:val="20"/>
              </w:rPr>
              <w:t xml:space="preserve">This ASU improves and clarifies various financial instruments topics. The ASU includes </w:t>
            </w:r>
            <w:r>
              <w:rPr>
                <w:rStyle w:val="a6"/>
                <w:sz w:val="20"/>
                <w:szCs w:val="20"/>
              </w:rPr>
              <w:t>seven</w:t>
            </w:r>
            <w:r>
              <w:rPr>
                <w:sz w:val="20"/>
                <w:szCs w:val="20"/>
              </w:rPr>
              <w:t xml:space="preserve"> different issues that describe the areas of improvement and the related amendments to GAAP, intended to make the standards easier to understand and apply by elimin</w:t>
            </w:r>
            <w:r>
              <w:rPr>
                <w:sz w:val="20"/>
                <w:szCs w:val="20"/>
              </w:rPr>
              <w:t>ating inconsistencies and providing clarifications.</w:t>
            </w:r>
          </w:p>
        </w:tc>
        <w:tc>
          <w:tcPr>
            <w:tcW w:w="580" w:type="pct"/>
            <w:tcBorders>
              <w:top w:val="single" w:sz="6" w:space="0" w:color="000000"/>
              <w:left w:val="single" w:sz="6" w:space="0" w:color="000000"/>
              <w:bottom w:val="single" w:sz="6" w:space="0" w:color="000000"/>
            </w:tcBorders>
            <w:hideMark/>
          </w:tcPr>
          <w:p w14:paraId="08F80362" w14:textId="77777777" w:rsidR="00000000" w:rsidRDefault="00322B34">
            <w:pPr>
              <w:pStyle w:val="a3"/>
              <w:spacing w:before="0" w:beforeAutospacing="0" w:after="0" w:afterAutospacing="0"/>
              <w:jc w:val="center"/>
              <w:rPr>
                <w:sz w:val="20"/>
                <w:szCs w:val="20"/>
              </w:rPr>
            </w:pPr>
            <w:r>
              <w:rPr>
                <w:sz w:val="20"/>
                <w:szCs w:val="20"/>
              </w:rPr>
              <w:t xml:space="preserve">The amendment is divided into issues </w:t>
            </w:r>
            <w:r>
              <w:rPr>
                <w:rStyle w:val="a6"/>
                <w:sz w:val="20"/>
                <w:szCs w:val="20"/>
              </w:rPr>
              <w:t>1</w:t>
            </w:r>
            <w:r>
              <w:rPr>
                <w:sz w:val="20"/>
                <w:szCs w:val="20"/>
              </w:rPr>
              <w:t xml:space="preserve"> to </w:t>
            </w:r>
            <w:r>
              <w:rPr>
                <w:rStyle w:val="a6"/>
                <w:sz w:val="20"/>
                <w:szCs w:val="20"/>
              </w:rPr>
              <w:t>7</w:t>
            </w:r>
            <w:r>
              <w:rPr>
                <w:sz w:val="20"/>
                <w:szCs w:val="20"/>
              </w:rPr>
              <w:t xml:space="preserve"> with different effective dates.</w:t>
            </w:r>
          </w:p>
        </w:tc>
        <w:tc>
          <w:tcPr>
            <w:tcW w:w="1115" w:type="pct"/>
            <w:tcBorders>
              <w:top w:val="single" w:sz="6" w:space="0" w:color="000000"/>
              <w:left w:val="single" w:sz="6" w:space="0" w:color="000000"/>
              <w:bottom w:val="single" w:sz="6" w:space="0" w:color="000000"/>
              <w:right w:val="single" w:sz="6" w:space="0" w:color="000000"/>
            </w:tcBorders>
            <w:hideMark/>
          </w:tcPr>
          <w:p w14:paraId="2DA67609" w14:textId="77777777" w:rsidR="00000000" w:rsidRDefault="00322B34">
            <w:pPr>
              <w:pStyle w:val="a3"/>
              <w:spacing w:before="0" w:beforeAutospacing="0" w:after="0" w:afterAutospacing="0"/>
              <w:rPr>
                <w:sz w:val="20"/>
                <w:szCs w:val="20"/>
              </w:rPr>
            </w:pPr>
            <w:r>
              <w:rPr>
                <w:sz w:val="20"/>
                <w:szCs w:val="20"/>
              </w:rPr>
              <w:t xml:space="preserve">The Company adopted issues </w:t>
            </w:r>
            <w:r>
              <w:rPr>
                <w:rStyle w:val="a6"/>
                <w:sz w:val="20"/>
                <w:szCs w:val="20"/>
              </w:rPr>
              <w:t>1</w:t>
            </w:r>
            <w:r>
              <w:rPr>
                <w:sz w:val="20"/>
                <w:szCs w:val="20"/>
              </w:rPr>
              <w:t>-</w:t>
            </w:r>
            <w:r>
              <w:rPr>
                <w:rStyle w:val="a6"/>
                <w:sz w:val="20"/>
                <w:szCs w:val="20"/>
              </w:rPr>
              <w:t>7</w:t>
            </w:r>
            <w:r>
              <w:rPr>
                <w:sz w:val="20"/>
                <w:szCs w:val="20"/>
              </w:rPr>
              <w:t xml:space="preserve"> of this ASU, the adoption did </w:t>
            </w:r>
            <w:r>
              <w:rPr>
                <w:rStyle w:val="a6"/>
                <w:sz w:val="20"/>
                <w:szCs w:val="20"/>
              </w:rPr>
              <w:t>not</w:t>
            </w:r>
            <w:r>
              <w:rPr>
                <w:sz w:val="20"/>
                <w:szCs w:val="20"/>
              </w:rPr>
              <w:t xml:space="preserve"> have a material impact on the Company’s financial position and/</w:t>
            </w:r>
            <w:r>
              <w:rPr>
                <w:sz w:val="20"/>
                <w:szCs w:val="20"/>
              </w:rPr>
              <w:t>or results of operations.</w:t>
            </w:r>
          </w:p>
          <w:p w14:paraId="660B00EA" w14:textId="77777777" w:rsidR="00000000" w:rsidRDefault="00322B34">
            <w:pPr>
              <w:pStyle w:val="a3"/>
              <w:spacing w:before="0" w:beforeAutospacing="0" w:after="0" w:afterAutospacing="0"/>
              <w:rPr>
                <w:sz w:val="20"/>
                <w:szCs w:val="20"/>
              </w:rPr>
            </w:pPr>
            <w:r>
              <w:rPr>
                <w:sz w:val="20"/>
                <w:szCs w:val="20"/>
              </w:rPr>
              <w:t> </w:t>
            </w:r>
          </w:p>
        </w:tc>
      </w:tr>
      <w:tr w:rsidR="00000000" w14:paraId="6E05A310" w14:textId="77777777">
        <w:trPr>
          <w:tblCellSpacing w:w="0" w:type="dxa"/>
        </w:trPr>
        <w:tc>
          <w:tcPr>
            <w:tcW w:w="1115" w:type="pct"/>
            <w:tcBorders>
              <w:left w:val="single" w:sz="6" w:space="0" w:color="000000"/>
              <w:bottom w:val="single" w:sz="6" w:space="0" w:color="000000"/>
            </w:tcBorders>
            <w:shd w:val="clear" w:color="auto" w:fill="CCEEFF"/>
            <w:hideMark/>
          </w:tcPr>
          <w:p w14:paraId="56D8DE42" w14:textId="77777777" w:rsidR="00000000" w:rsidRDefault="00322B34">
            <w:pPr>
              <w:pStyle w:val="a3"/>
              <w:spacing w:before="0" w:beforeAutospacing="0" w:after="0" w:afterAutospacing="0"/>
              <w:rPr>
                <w:sz w:val="20"/>
                <w:szCs w:val="20"/>
              </w:rPr>
            </w:pPr>
            <w:r>
              <w:rPr>
                <w:sz w:val="20"/>
                <w:szCs w:val="20"/>
              </w:rPr>
              <w:t xml:space="preserve">ASU </w:t>
            </w:r>
            <w:r>
              <w:rPr>
                <w:rStyle w:val="a6"/>
                <w:sz w:val="20"/>
                <w:szCs w:val="20"/>
              </w:rPr>
              <w:t>2018</w:t>
            </w:r>
            <w:r>
              <w:rPr>
                <w:sz w:val="20"/>
                <w:szCs w:val="20"/>
              </w:rPr>
              <w:t>-</w:t>
            </w:r>
            <w:r>
              <w:rPr>
                <w:rStyle w:val="a6"/>
                <w:sz w:val="20"/>
                <w:szCs w:val="20"/>
              </w:rPr>
              <w:t>17,</w:t>
            </w:r>
            <w:r>
              <w:rPr>
                <w:sz w:val="20"/>
                <w:szCs w:val="20"/>
              </w:rPr>
              <w:t xml:space="preserve"> Consolidation (Topic </w:t>
            </w:r>
            <w:r>
              <w:rPr>
                <w:rStyle w:val="a6"/>
                <w:sz w:val="20"/>
                <w:szCs w:val="20"/>
              </w:rPr>
              <w:t>810</w:t>
            </w:r>
            <w:r>
              <w:rPr>
                <w:sz w:val="20"/>
                <w:szCs w:val="20"/>
              </w:rPr>
              <w:t>) – Targeted Improvements to Related Party Guidance for Variable Interest Entities</w:t>
            </w:r>
          </w:p>
        </w:tc>
        <w:tc>
          <w:tcPr>
            <w:tcW w:w="2190" w:type="pct"/>
            <w:tcBorders>
              <w:left w:val="single" w:sz="6" w:space="0" w:color="000000"/>
              <w:bottom w:val="single" w:sz="6" w:space="0" w:color="000000"/>
            </w:tcBorders>
            <w:shd w:val="clear" w:color="auto" w:fill="CCEEFF"/>
            <w:hideMark/>
          </w:tcPr>
          <w:p w14:paraId="58D3787F" w14:textId="77777777" w:rsidR="00000000" w:rsidRDefault="00322B34">
            <w:pPr>
              <w:pStyle w:val="a3"/>
              <w:spacing w:before="0" w:beforeAutospacing="0" w:after="0" w:afterAutospacing="0"/>
              <w:jc w:val="both"/>
              <w:rPr>
                <w:sz w:val="20"/>
                <w:szCs w:val="20"/>
              </w:rPr>
            </w:pPr>
            <w:r>
              <w:rPr>
                <w:sz w:val="20"/>
                <w:szCs w:val="20"/>
              </w:rPr>
              <w:t xml:space="preserve">The amendment to Topic </w:t>
            </w:r>
            <w:r>
              <w:rPr>
                <w:rStyle w:val="a6"/>
                <w:sz w:val="20"/>
                <w:szCs w:val="20"/>
              </w:rPr>
              <w:t>810</w:t>
            </w:r>
            <w:r>
              <w:rPr>
                <w:sz w:val="20"/>
                <w:szCs w:val="20"/>
              </w:rPr>
              <w:t xml:space="preserve"> clarifies the following areas:</w:t>
            </w:r>
          </w:p>
          <w:p w14:paraId="43C276E7" w14:textId="77777777" w:rsidR="00000000" w:rsidRDefault="00322B34">
            <w:pPr>
              <w:pStyle w:val="a3"/>
              <w:spacing w:before="0" w:beforeAutospacing="0" w:after="0" w:afterAutospacing="0"/>
              <w:ind w:left="360" w:hanging="360"/>
              <w:jc w:val="both"/>
              <w:rPr>
                <w:sz w:val="20"/>
                <w:szCs w:val="20"/>
              </w:rPr>
            </w:pPr>
            <w:r>
              <w:rPr>
                <w:sz w:val="20"/>
                <w:szCs w:val="20"/>
              </w:rPr>
              <w:t>(i)   </w:t>
            </w:r>
            <w:r>
              <w:rPr>
                <w:sz w:val="20"/>
                <w:szCs w:val="20"/>
              </w:rPr>
              <w:t>Applying the variable interest entity (VIE) guidance to private companies under common control, and</w:t>
            </w:r>
          </w:p>
          <w:p w14:paraId="165862CC" w14:textId="77777777" w:rsidR="00000000" w:rsidRDefault="00322B34">
            <w:pPr>
              <w:pStyle w:val="a3"/>
              <w:spacing w:before="0" w:beforeAutospacing="0" w:after="0" w:afterAutospacing="0"/>
              <w:ind w:left="360" w:hanging="360"/>
              <w:jc w:val="both"/>
              <w:rPr>
                <w:sz w:val="20"/>
                <w:szCs w:val="20"/>
              </w:rPr>
            </w:pPr>
            <w:r>
              <w:rPr>
                <w:sz w:val="20"/>
                <w:szCs w:val="20"/>
              </w:rPr>
              <w:t>(ii)  Considering indirect interests held through related parties under common control, for determining whether fees paid to decision makers and service pro</w:t>
            </w:r>
            <w:r>
              <w:rPr>
                <w:sz w:val="20"/>
                <w:szCs w:val="20"/>
              </w:rPr>
              <w:t>viders are variable interests.</w:t>
            </w:r>
          </w:p>
          <w:p w14:paraId="57D2EEA5" w14:textId="77777777" w:rsidR="00000000" w:rsidRDefault="00322B34">
            <w:pPr>
              <w:pStyle w:val="a3"/>
              <w:spacing w:before="0" w:beforeAutospacing="0" w:after="0" w:afterAutospacing="0"/>
              <w:jc w:val="both"/>
              <w:rPr>
                <w:sz w:val="20"/>
                <w:szCs w:val="20"/>
              </w:rPr>
            </w:pPr>
            <w:r>
              <w:rPr>
                <w:sz w:val="20"/>
                <w:szCs w:val="20"/>
              </w:rPr>
              <w:t> </w:t>
            </w:r>
          </w:p>
          <w:p w14:paraId="521A152B" w14:textId="77777777" w:rsidR="00000000" w:rsidRDefault="00322B34">
            <w:pPr>
              <w:pStyle w:val="a3"/>
              <w:spacing w:before="0" w:beforeAutospacing="0" w:after="0" w:afterAutospacing="0"/>
              <w:jc w:val="both"/>
              <w:rPr>
                <w:sz w:val="20"/>
                <w:szCs w:val="20"/>
              </w:rPr>
            </w:pPr>
            <w:r>
              <w:rPr>
                <w:sz w:val="20"/>
                <w:szCs w:val="20"/>
              </w:rPr>
              <w:t>This update improves the accounting for those areas, thereby improving general purpose financial reporting. Retrospective adoption is required.</w:t>
            </w:r>
          </w:p>
          <w:p w14:paraId="4DAAFBAC" w14:textId="77777777" w:rsidR="00000000" w:rsidRDefault="00322B34">
            <w:pPr>
              <w:pStyle w:val="a3"/>
              <w:spacing w:before="0" w:beforeAutospacing="0" w:after="0" w:afterAutospacing="0"/>
              <w:jc w:val="both"/>
              <w:rPr>
                <w:sz w:val="20"/>
                <w:szCs w:val="20"/>
              </w:rPr>
            </w:pPr>
            <w:r>
              <w:rPr>
                <w:sz w:val="20"/>
                <w:szCs w:val="20"/>
              </w:rPr>
              <w:t> </w:t>
            </w:r>
          </w:p>
        </w:tc>
        <w:tc>
          <w:tcPr>
            <w:tcW w:w="580" w:type="pct"/>
            <w:tcBorders>
              <w:left w:val="single" w:sz="6" w:space="0" w:color="000000"/>
              <w:bottom w:val="single" w:sz="6" w:space="0" w:color="000000"/>
            </w:tcBorders>
            <w:shd w:val="clear" w:color="auto" w:fill="CCEEFF"/>
            <w:hideMark/>
          </w:tcPr>
          <w:p w14:paraId="3385C249" w14:textId="77777777" w:rsidR="00000000" w:rsidRDefault="00322B34">
            <w:pPr>
              <w:pStyle w:val="a3"/>
              <w:spacing w:before="0" w:beforeAutospacing="0" w:after="0" w:afterAutospacing="0"/>
              <w:jc w:val="center"/>
              <w:rPr>
                <w:sz w:val="20"/>
                <w:szCs w:val="20"/>
              </w:rPr>
            </w:pPr>
            <w:r>
              <w:rPr>
                <w:rStyle w:val="a6"/>
                <w:sz w:val="20"/>
                <w:szCs w:val="20"/>
              </w:rPr>
              <w:t xml:space="preserve">January 1, 2020; </w:t>
            </w:r>
            <w:r>
              <w:rPr>
                <w:sz w:val="20"/>
                <w:szCs w:val="20"/>
              </w:rPr>
              <w:t>Early adoption permitted</w:t>
            </w:r>
          </w:p>
        </w:tc>
        <w:tc>
          <w:tcPr>
            <w:tcW w:w="1115" w:type="pct"/>
            <w:tcBorders>
              <w:left w:val="single" w:sz="6" w:space="0" w:color="000000"/>
              <w:bottom w:val="single" w:sz="6" w:space="0" w:color="000000"/>
              <w:right w:val="single" w:sz="6" w:space="0" w:color="000000"/>
            </w:tcBorders>
            <w:shd w:val="clear" w:color="auto" w:fill="CCEEFF"/>
            <w:hideMark/>
          </w:tcPr>
          <w:p w14:paraId="2D7B4B54" w14:textId="77777777" w:rsidR="00000000" w:rsidRDefault="00322B34">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ha</w:t>
            </w:r>
            <w:r>
              <w:rPr>
                <w:sz w:val="20"/>
                <w:szCs w:val="20"/>
              </w:rPr>
              <w:t>ve a material impact on the Company’s financial position and/or results of operations</w:t>
            </w:r>
          </w:p>
        </w:tc>
      </w:tr>
      <w:tr w:rsidR="00000000" w14:paraId="5B18AD8A" w14:textId="77777777">
        <w:trPr>
          <w:tblCellSpacing w:w="0" w:type="dxa"/>
        </w:trPr>
        <w:tc>
          <w:tcPr>
            <w:tcW w:w="1115" w:type="pct"/>
            <w:tcBorders>
              <w:left w:val="single" w:sz="6" w:space="0" w:color="000000"/>
              <w:bottom w:val="single" w:sz="6" w:space="0" w:color="000000"/>
            </w:tcBorders>
            <w:shd w:val="clear" w:color="auto" w:fill="FFFFFF"/>
            <w:hideMark/>
          </w:tcPr>
          <w:p w14:paraId="694D9CF0" w14:textId="77777777" w:rsidR="00000000" w:rsidRDefault="00322B34">
            <w:pPr>
              <w:pStyle w:val="a3"/>
              <w:spacing w:before="0" w:beforeAutospacing="0" w:after="0" w:afterAutospacing="0"/>
              <w:rPr>
                <w:sz w:val="20"/>
                <w:szCs w:val="20"/>
              </w:rPr>
            </w:pPr>
            <w:r>
              <w:rPr>
                <w:sz w:val="20"/>
                <w:szCs w:val="20"/>
              </w:rPr>
              <w:t xml:space="preserve">ASU </w:t>
            </w:r>
            <w:r>
              <w:rPr>
                <w:rStyle w:val="a6"/>
                <w:sz w:val="20"/>
                <w:szCs w:val="20"/>
              </w:rPr>
              <w:t>2018</w:t>
            </w:r>
            <w:r>
              <w:rPr>
                <w:sz w:val="20"/>
                <w:szCs w:val="20"/>
              </w:rPr>
              <w:t>-</w:t>
            </w:r>
            <w:r>
              <w:rPr>
                <w:rStyle w:val="a6"/>
                <w:sz w:val="20"/>
                <w:szCs w:val="20"/>
              </w:rPr>
              <w:t>15,</w:t>
            </w:r>
            <w:r>
              <w:rPr>
                <w:sz w:val="20"/>
                <w:szCs w:val="20"/>
              </w:rPr>
              <w:t xml:space="preserve"> Intangibles – Goodwill and Other – Internal-Use Software (Subtopic </w:t>
            </w:r>
            <w:r>
              <w:rPr>
                <w:rStyle w:val="a6"/>
                <w:sz w:val="20"/>
                <w:szCs w:val="20"/>
              </w:rPr>
              <w:t>350</w:t>
            </w:r>
            <w:r>
              <w:rPr>
                <w:sz w:val="20"/>
                <w:szCs w:val="20"/>
              </w:rPr>
              <w:t>-</w:t>
            </w:r>
            <w:r>
              <w:rPr>
                <w:rStyle w:val="a6"/>
                <w:sz w:val="20"/>
                <w:szCs w:val="20"/>
              </w:rPr>
              <w:t>40</w:t>
            </w:r>
            <w:r>
              <w:rPr>
                <w:sz w:val="20"/>
                <w:szCs w:val="20"/>
              </w:rPr>
              <w:t>): Customer’</w:t>
            </w:r>
            <w:r>
              <w:rPr>
                <w:sz w:val="20"/>
                <w:szCs w:val="20"/>
              </w:rPr>
              <w:t>s Accounting for Implementation Costs Incurred in a Cloud Computing Arrangement that is a Service Contract</w:t>
            </w:r>
          </w:p>
          <w:p w14:paraId="618A9467" w14:textId="77777777" w:rsidR="00000000" w:rsidRDefault="00322B34">
            <w:pPr>
              <w:pStyle w:val="a3"/>
              <w:spacing w:before="0" w:beforeAutospacing="0" w:after="0" w:afterAutospacing="0"/>
              <w:rPr>
                <w:sz w:val="20"/>
                <w:szCs w:val="20"/>
              </w:rPr>
            </w:pPr>
            <w:r>
              <w:rPr>
                <w:sz w:val="20"/>
                <w:szCs w:val="20"/>
              </w:rPr>
              <w:t> </w:t>
            </w:r>
          </w:p>
        </w:tc>
        <w:tc>
          <w:tcPr>
            <w:tcW w:w="2190" w:type="pct"/>
            <w:tcBorders>
              <w:left w:val="single" w:sz="6" w:space="0" w:color="000000"/>
              <w:bottom w:val="single" w:sz="6" w:space="0" w:color="000000"/>
            </w:tcBorders>
            <w:shd w:val="clear" w:color="auto" w:fill="FFFFFF"/>
            <w:hideMark/>
          </w:tcPr>
          <w:p w14:paraId="1C6C1EDE" w14:textId="77777777" w:rsidR="00000000" w:rsidRDefault="00322B34">
            <w:pPr>
              <w:pStyle w:val="a3"/>
              <w:spacing w:before="0" w:beforeAutospacing="0" w:after="0" w:afterAutospacing="0"/>
              <w:jc w:val="both"/>
              <w:rPr>
                <w:sz w:val="20"/>
                <w:szCs w:val="20"/>
              </w:rPr>
            </w:pPr>
            <w:r>
              <w:rPr>
                <w:sz w:val="20"/>
                <w:szCs w:val="20"/>
              </w:rPr>
              <w:t>The amendment aligns the requirements for capitalizing implementation costs incurred in a hosting arrangement that is a service contract with the r</w:t>
            </w:r>
            <w:r>
              <w:rPr>
                <w:sz w:val="20"/>
                <w:szCs w:val="20"/>
              </w:rPr>
              <w:t>equirements for capitalizing implementation costs incurred to develop or obtain internal-use software.</w:t>
            </w:r>
          </w:p>
        </w:tc>
        <w:tc>
          <w:tcPr>
            <w:tcW w:w="580" w:type="pct"/>
            <w:tcBorders>
              <w:left w:val="single" w:sz="6" w:space="0" w:color="000000"/>
              <w:bottom w:val="single" w:sz="6" w:space="0" w:color="000000"/>
            </w:tcBorders>
            <w:shd w:val="clear" w:color="auto" w:fill="FFFFFF"/>
            <w:hideMark/>
          </w:tcPr>
          <w:p w14:paraId="7AE8F041" w14:textId="77777777" w:rsidR="00000000" w:rsidRDefault="00322B34">
            <w:pPr>
              <w:pStyle w:val="a3"/>
              <w:spacing w:before="0" w:beforeAutospacing="0" w:after="0" w:afterAutospacing="0"/>
              <w:jc w:val="center"/>
              <w:rPr>
                <w:sz w:val="20"/>
                <w:szCs w:val="20"/>
              </w:rPr>
            </w:pPr>
            <w:r>
              <w:rPr>
                <w:rStyle w:val="a6"/>
                <w:sz w:val="20"/>
                <w:szCs w:val="20"/>
              </w:rPr>
              <w:t xml:space="preserve">January 1, 2020; </w:t>
            </w:r>
            <w:r>
              <w:rPr>
                <w:sz w:val="20"/>
                <w:szCs w:val="20"/>
              </w:rPr>
              <w:t>Early adoption permitted</w:t>
            </w:r>
          </w:p>
        </w:tc>
        <w:tc>
          <w:tcPr>
            <w:tcW w:w="1115" w:type="pct"/>
            <w:tcBorders>
              <w:left w:val="single" w:sz="6" w:space="0" w:color="000000"/>
              <w:bottom w:val="single" w:sz="6" w:space="0" w:color="000000"/>
              <w:right w:val="single" w:sz="6" w:space="0" w:color="000000"/>
            </w:tcBorders>
            <w:shd w:val="clear" w:color="auto" w:fill="FFFFFF"/>
            <w:hideMark/>
          </w:tcPr>
          <w:p w14:paraId="5555E400" w14:textId="77777777" w:rsidR="00000000" w:rsidRDefault="00322B34">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have a material impact on the Company’s financial position and/or results of o</w:t>
            </w:r>
            <w:r>
              <w:rPr>
                <w:sz w:val="20"/>
                <w:szCs w:val="20"/>
              </w:rPr>
              <w:t>perations</w:t>
            </w:r>
          </w:p>
        </w:tc>
      </w:tr>
      <w:tr w:rsidR="00000000" w14:paraId="56DAB19F" w14:textId="77777777">
        <w:trPr>
          <w:tblCellSpacing w:w="0" w:type="dxa"/>
        </w:trPr>
        <w:tc>
          <w:tcPr>
            <w:tcW w:w="1115" w:type="pct"/>
            <w:tcBorders>
              <w:left w:val="single" w:sz="6" w:space="0" w:color="000000"/>
              <w:bottom w:val="single" w:sz="6" w:space="0" w:color="000000"/>
            </w:tcBorders>
            <w:shd w:val="clear" w:color="auto" w:fill="CCEEFF"/>
            <w:hideMark/>
          </w:tcPr>
          <w:p w14:paraId="5CC6634B" w14:textId="77777777" w:rsidR="00000000" w:rsidRDefault="00322B34">
            <w:pPr>
              <w:pStyle w:val="a3"/>
              <w:spacing w:before="0" w:beforeAutospacing="0" w:after="0" w:afterAutospacing="0"/>
              <w:rPr>
                <w:sz w:val="20"/>
                <w:szCs w:val="20"/>
              </w:rPr>
            </w:pPr>
            <w:r>
              <w:rPr>
                <w:sz w:val="20"/>
                <w:szCs w:val="20"/>
              </w:rPr>
              <w:t xml:space="preserve">ASU </w:t>
            </w:r>
            <w:r>
              <w:rPr>
                <w:rStyle w:val="a6"/>
                <w:sz w:val="20"/>
                <w:szCs w:val="20"/>
              </w:rPr>
              <w:t>2018</w:t>
            </w:r>
            <w:r>
              <w:rPr>
                <w:sz w:val="20"/>
                <w:szCs w:val="20"/>
              </w:rPr>
              <w:t>-</w:t>
            </w:r>
            <w:r>
              <w:rPr>
                <w:rStyle w:val="a6"/>
                <w:sz w:val="20"/>
                <w:szCs w:val="20"/>
              </w:rPr>
              <w:t>13,</w:t>
            </w:r>
            <w:r>
              <w:rPr>
                <w:sz w:val="20"/>
                <w:szCs w:val="20"/>
              </w:rPr>
              <w:t xml:space="preserve"> Fair Value Measurement (Topic </w:t>
            </w:r>
            <w:r>
              <w:rPr>
                <w:rStyle w:val="a6"/>
                <w:sz w:val="20"/>
                <w:szCs w:val="20"/>
              </w:rPr>
              <w:t>820</w:t>
            </w:r>
            <w:r>
              <w:rPr>
                <w:sz w:val="20"/>
                <w:szCs w:val="20"/>
              </w:rPr>
              <w:t>): Disclosure Framework – Changes to the Disclosure Requirements for Fair Value Measurement</w:t>
            </w:r>
          </w:p>
          <w:p w14:paraId="41DC1E1F" w14:textId="77777777" w:rsidR="00000000" w:rsidRDefault="00322B34">
            <w:pPr>
              <w:pStyle w:val="a3"/>
              <w:spacing w:before="0" w:beforeAutospacing="0" w:after="0" w:afterAutospacing="0"/>
              <w:rPr>
                <w:sz w:val="20"/>
                <w:szCs w:val="20"/>
              </w:rPr>
            </w:pPr>
            <w:r>
              <w:rPr>
                <w:sz w:val="20"/>
                <w:szCs w:val="20"/>
              </w:rPr>
              <w:t> </w:t>
            </w:r>
          </w:p>
        </w:tc>
        <w:tc>
          <w:tcPr>
            <w:tcW w:w="2190" w:type="pct"/>
            <w:tcBorders>
              <w:left w:val="single" w:sz="6" w:space="0" w:color="000000"/>
              <w:bottom w:val="single" w:sz="6" w:space="0" w:color="000000"/>
            </w:tcBorders>
            <w:shd w:val="clear" w:color="auto" w:fill="CCEEFF"/>
            <w:hideMark/>
          </w:tcPr>
          <w:p w14:paraId="347C57FD" w14:textId="77777777" w:rsidR="00000000" w:rsidRDefault="00322B34">
            <w:pPr>
              <w:pStyle w:val="a3"/>
              <w:spacing w:before="0" w:beforeAutospacing="0" w:after="0" w:afterAutospacing="0"/>
              <w:jc w:val="both"/>
              <w:rPr>
                <w:sz w:val="20"/>
                <w:szCs w:val="20"/>
              </w:rPr>
            </w:pPr>
            <w:r>
              <w:rPr>
                <w:sz w:val="20"/>
                <w:szCs w:val="20"/>
              </w:rPr>
              <w:t xml:space="preserve">The amendment modifies the disclosure requirements for fair value measurements in Topic </w:t>
            </w:r>
            <w:r>
              <w:rPr>
                <w:rStyle w:val="a6"/>
                <w:sz w:val="20"/>
                <w:szCs w:val="20"/>
              </w:rPr>
              <w:t>820,</w:t>
            </w:r>
            <w:r>
              <w:rPr>
                <w:sz w:val="20"/>
                <w:szCs w:val="20"/>
              </w:rPr>
              <w:t xml:space="preserve"> based on the</w:t>
            </w:r>
            <w:r>
              <w:rPr>
                <w:sz w:val="20"/>
                <w:szCs w:val="20"/>
              </w:rPr>
              <w:t xml:space="preserve"> concepts in the FASB Concepts Statement, </w:t>
            </w:r>
            <w:r>
              <w:rPr>
                <w:i/>
                <w:iCs/>
                <w:sz w:val="20"/>
                <w:szCs w:val="20"/>
              </w:rPr>
              <w:t xml:space="preserve">Conceptual Framework for Financial Reporting – Chapter </w:t>
            </w:r>
            <w:r>
              <w:rPr>
                <w:rStyle w:val="a6"/>
                <w:sz w:val="20"/>
                <w:szCs w:val="20"/>
              </w:rPr>
              <w:t>8:</w:t>
            </w:r>
            <w:r>
              <w:rPr>
                <w:i/>
                <w:iCs/>
                <w:sz w:val="20"/>
                <w:szCs w:val="20"/>
              </w:rPr>
              <w:t xml:space="preserve"> Notes to Financial Statements</w:t>
            </w:r>
            <w:r>
              <w:rPr>
                <w:sz w:val="20"/>
                <w:szCs w:val="20"/>
              </w:rPr>
              <w:t>, including the consideration of costs and benefits.</w:t>
            </w:r>
          </w:p>
        </w:tc>
        <w:tc>
          <w:tcPr>
            <w:tcW w:w="580" w:type="pct"/>
            <w:tcBorders>
              <w:left w:val="single" w:sz="6" w:space="0" w:color="000000"/>
              <w:bottom w:val="single" w:sz="6" w:space="0" w:color="000000"/>
            </w:tcBorders>
            <w:shd w:val="clear" w:color="auto" w:fill="CCEEFF"/>
            <w:hideMark/>
          </w:tcPr>
          <w:p w14:paraId="21485EC0" w14:textId="77777777" w:rsidR="00000000" w:rsidRDefault="00322B34">
            <w:pPr>
              <w:pStyle w:val="a3"/>
              <w:spacing w:before="0" w:beforeAutospacing="0" w:after="0" w:afterAutospacing="0"/>
              <w:jc w:val="center"/>
              <w:rPr>
                <w:sz w:val="20"/>
                <w:szCs w:val="20"/>
              </w:rPr>
            </w:pPr>
            <w:r>
              <w:rPr>
                <w:rStyle w:val="a6"/>
                <w:sz w:val="20"/>
                <w:szCs w:val="20"/>
              </w:rPr>
              <w:t xml:space="preserve">January 1, 2020; </w:t>
            </w:r>
            <w:r>
              <w:rPr>
                <w:sz w:val="20"/>
                <w:szCs w:val="20"/>
              </w:rPr>
              <w:t>Early adoption permitted</w:t>
            </w:r>
          </w:p>
        </w:tc>
        <w:tc>
          <w:tcPr>
            <w:tcW w:w="1115" w:type="pct"/>
            <w:tcBorders>
              <w:left w:val="single" w:sz="6" w:space="0" w:color="000000"/>
              <w:bottom w:val="single" w:sz="6" w:space="0" w:color="000000"/>
              <w:right w:val="single" w:sz="6" w:space="0" w:color="000000"/>
            </w:tcBorders>
            <w:shd w:val="clear" w:color="auto" w:fill="CCEEFF"/>
            <w:hideMark/>
          </w:tcPr>
          <w:p w14:paraId="7067BD6B" w14:textId="77777777" w:rsidR="00000000" w:rsidRDefault="00322B34">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have a material impact on the Company’s financial position and/or results of operations.</w:t>
            </w:r>
          </w:p>
        </w:tc>
      </w:tr>
      <w:tr w:rsidR="00000000" w14:paraId="273E1DC3" w14:textId="77777777">
        <w:trPr>
          <w:tblCellSpacing w:w="0" w:type="dxa"/>
        </w:trPr>
        <w:tc>
          <w:tcPr>
            <w:tcW w:w="1115" w:type="pct"/>
            <w:tcBorders>
              <w:left w:val="single" w:sz="6" w:space="0" w:color="000000"/>
              <w:bottom w:val="single" w:sz="6" w:space="0" w:color="000000"/>
            </w:tcBorders>
            <w:shd w:val="clear" w:color="auto" w:fill="FFFFFF"/>
            <w:hideMark/>
          </w:tcPr>
          <w:p w14:paraId="1EDD156D" w14:textId="77777777" w:rsidR="00000000" w:rsidRDefault="00322B34">
            <w:pPr>
              <w:pStyle w:val="a3"/>
              <w:spacing w:before="0" w:beforeAutospacing="0" w:after="0" w:afterAutospacing="0"/>
              <w:rPr>
                <w:sz w:val="20"/>
                <w:szCs w:val="20"/>
              </w:rPr>
            </w:pPr>
            <w:r>
              <w:rPr>
                <w:sz w:val="20"/>
                <w:szCs w:val="20"/>
              </w:rPr>
              <w:t xml:space="preserve">ASU </w:t>
            </w:r>
            <w:r>
              <w:rPr>
                <w:rStyle w:val="a6"/>
                <w:sz w:val="20"/>
                <w:szCs w:val="20"/>
              </w:rPr>
              <w:t>2016</w:t>
            </w:r>
            <w:r>
              <w:rPr>
                <w:sz w:val="20"/>
                <w:szCs w:val="20"/>
              </w:rPr>
              <w:t>-</w:t>
            </w:r>
            <w:r>
              <w:rPr>
                <w:rStyle w:val="a6"/>
                <w:sz w:val="20"/>
                <w:szCs w:val="20"/>
              </w:rPr>
              <w:t>13,</w:t>
            </w:r>
            <w:r>
              <w:rPr>
                <w:sz w:val="20"/>
                <w:szCs w:val="20"/>
              </w:rPr>
              <w:t xml:space="preserve"> Financial Instruments – Credit Losses (Topic </w:t>
            </w:r>
            <w:r>
              <w:rPr>
                <w:rStyle w:val="a6"/>
                <w:sz w:val="20"/>
                <w:szCs w:val="20"/>
              </w:rPr>
              <w:t>326</w:t>
            </w:r>
            <w:r>
              <w:rPr>
                <w:sz w:val="20"/>
                <w:szCs w:val="20"/>
              </w:rPr>
              <w:t>): Measurement of Credit Losses on Financial Instruments</w:t>
            </w:r>
          </w:p>
          <w:p w14:paraId="228BC952" w14:textId="77777777" w:rsidR="00000000" w:rsidRDefault="00322B34">
            <w:pPr>
              <w:pStyle w:val="a3"/>
              <w:spacing w:before="0" w:beforeAutospacing="0" w:after="0" w:afterAutospacing="0"/>
              <w:rPr>
                <w:sz w:val="20"/>
                <w:szCs w:val="20"/>
              </w:rPr>
            </w:pPr>
            <w:r>
              <w:rPr>
                <w:sz w:val="20"/>
                <w:szCs w:val="20"/>
              </w:rPr>
              <w:t> </w:t>
            </w:r>
          </w:p>
          <w:p w14:paraId="67B716A5" w14:textId="77777777" w:rsidR="00000000" w:rsidRDefault="00322B34">
            <w:pPr>
              <w:pStyle w:val="a3"/>
              <w:spacing w:before="0" w:beforeAutospacing="0" w:after="0" w:afterAutospacing="0"/>
              <w:rPr>
                <w:sz w:val="20"/>
                <w:szCs w:val="20"/>
              </w:rPr>
            </w:pPr>
            <w:r>
              <w:rPr>
                <w:sz w:val="20"/>
                <w:szCs w:val="20"/>
              </w:rPr>
              <w:t xml:space="preserve">ASU </w:t>
            </w:r>
            <w:r>
              <w:rPr>
                <w:rStyle w:val="a6"/>
                <w:sz w:val="20"/>
                <w:szCs w:val="20"/>
              </w:rPr>
              <w:t>2018</w:t>
            </w:r>
            <w:r>
              <w:rPr>
                <w:sz w:val="20"/>
                <w:szCs w:val="20"/>
              </w:rPr>
              <w:t>-</w:t>
            </w:r>
            <w:r>
              <w:rPr>
                <w:rStyle w:val="a6"/>
                <w:sz w:val="20"/>
                <w:szCs w:val="20"/>
              </w:rPr>
              <w:t>19,</w:t>
            </w:r>
            <w:r>
              <w:rPr>
                <w:sz w:val="20"/>
                <w:szCs w:val="20"/>
              </w:rPr>
              <w:t xml:space="preserve"> Codification Improvements to Top</w:t>
            </w:r>
            <w:r>
              <w:rPr>
                <w:sz w:val="20"/>
                <w:szCs w:val="20"/>
              </w:rPr>
              <w:t xml:space="preserve">ic </w:t>
            </w:r>
            <w:r>
              <w:rPr>
                <w:rStyle w:val="a6"/>
                <w:sz w:val="20"/>
                <w:szCs w:val="20"/>
              </w:rPr>
              <w:t>326,</w:t>
            </w:r>
            <w:r>
              <w:rPr>
                <w:sz w:val="20"/>
                <w:szCs w:val="20"/>
              </w:rPr>
              <w:t> Financial Instruments – Credit Losses</w:t>
            </w:r>
          </w:p>
          <w:p w14:paraId="75EC9932" w14:textId="77777777" w:rsidR="00000000" w:rsidRDefault="00322B34">
            <w:pPr>
              <w:pStyle w:val="a3"/>
              <w:spacing w:before="0" w:beforeAutospacing="0" w:after="0" w:afterAutospacing="0"/>
              <w:rPr>
                <w:sz w:val="20"/>
                <w:szCs w:val="20"/>
              </w:rPr>
            </w:pPr>
            <w:r>
              <w:rPr>
                <w:sz w:val="20"/>
                <w:szCs w:val="20"/>
              </w:rPr>
              <w:t> </w:t>
            </w:r>
          </w:p>
          <w:p w14:paraId="10BE0A87" w14:textId="77777777" w:rsidR="00000000" w:rsidRDefault="00322B34">
            <w:pPr>
              <w:pStyle w:val="a3"/>
              <w:spacing w:before="0" w:beforeAutospacing="0" w:after="0" w:afterAutospacing="0"/>
              <w:rPr>
                <w:sz w:val="20"/>
                <w:szCs w:val="20"/>
              </w:rPr>
            </w:pPr>
            <w:r>
              <w:rPr>
                <w:sz w:val="20"/>
                <w:szCs w:val="20"/>
              </w:rPr>
              <w:t xml:space="preserve">ASU </w:t>
            </w:r>
            <w:r>
              <w:rPr>
                <w:rStyle w:val="a6"/>
                <w:sz w:val="20"/>
                <w:szCs w:val="20"/>
              </w:rPr>
              <w:t>2019</w:t>
            </w:r>
            <w:r>
              <w:rPr>
                <w:sz w:val="20"/>
                <w:szCs w:val="20"/>
              </w:rPr>
              <w:t>-</w:t>
            </w:r>
            <w:r>
              <w:rPr>
                <w:rStyle w:val="a6"/>
                <w:sz w:val="20"/>
                <w:szCs w:val="20"/>
              </w:rPr>
              <w:t>05,</w:t>
            </w:r>
            <w:r>
              <w:rPr>
                <w:sz w:val="20"/>
                <w:szCs w:val="20"/>
              </w:rPr>
              <w:t xml:space="preserve"> Financial Instruments – Credit Losses (Topic </w:t>
            </w:r>
            <w:r>
              <w:rPr>
                <w:rStyle w:val="a6"/>
                <w:sz w:val="20"/>
                <w:szCs w:val="20"/>
              </w:rPr>
              <w:t>326</w:t>
            </w:r>
            <w:r>
              <w:rPr>
                <w:sz w:val="20"/>
                <w:szCs w:val="20"/>
              </w:rPr>
              <w:t>), Targeted Transition Relief</w:t>
            </w:r>
          </w:p>
          <w:p w14:paraId="65A69E27" w14:textId="77777777" w:rsidR="00000000" w:rsidRDefault="00322B34">
            <w:pPr>
              <w:pStyle w:val="a3"/>
              <w:spacing w:before="0" w:beforeAutospacing="0" w:after="0" w:afterAutospacing="0"/>
              <w:rPr>
                <w:sz w:val="20"/>
                <w:szCs w:val="20"/>
              </w:rPr>
            </w:pPr>
            <w:r>
              <w:rPr>
                <w:sz w:val="20"/>
                <w:szCs w:val="20"/>
              </w:rPr>
              <w:t> </w:t>
            </w:r>
          </w:p>
          <w:p w14:paraId="440E3873" w14:textId="77777777" w:rsidR="00000000" w:rsidRDefault="00322B34">
            <w:pPr>
              <w:pStyle w:val="a3"/>
              <w:spacing w:before="0" w:beforeAutospacing="0" w:after="0" w:afterAutospacing="0"/>
              <w:rPr>
                <w:sz w:val="20"/>
                <w:szCs w:val="20"/>
              </w:rPr>
            </w:pPr>
            <w:r>
              <w:rPr>
                <w:sz w:val="20"/>
                <w:szCs w:val="20"/>
              </w:rPr>
              <w:t xml:space="preserve">ASU </w:t>
            </w:r>
            <w:r>
              <w:rPr>
                <w:rStyle w:val="a6"/>
                <w:sz w:val="20"/>
                <w:szCs w:val="20"/>
              </w:rPr>
              <w:t>2019</w:t>
            </w:r>
            <w:r>
              <w:rPr>
                <w:sz w:val="20"/>
                <w:szCs w:val="20"/>
              </w:rPr>
              <w:t>-</w:t>
            </w:r>
            <w:r>
              <w:rPr>
                <w:rStyle w:val="a6"/>
                <w:sz w:val="20"/>
                <w:szCs w:val="20"/>
              </w:rPr>
              <w:t>11,</w:t>
            </w:r>
            <w:r>
              <w:rPr>
                <w:sz w:val="20"/>
                <w:szCs w:val="20"/>
              </w:rPr>
              <w:t xml:space="preserve"> Codification Improvements to Topic </w:t>
            </w:r>
            <w:r>
              <w:rPr>
                <w:rStyle w:val="a6"/>
                <w:sz w:val="20"/>
                <w:szCs w:val="20"/>
              </w:rPr>
              <w:t>326,</w:t>
            </w:r>
            <w:r>
              <w:rPr>
                <w:sz w:val="20"/>
                <w:szCs w:val="20"/>
              </w:rPr>
              <w:t xml:space="preserve"> Financial Instruments – Credit Losses</w:t>
            </w:r>
          </w:p>
        </w:tc>
        <w:tc>
          <w:tcPr>
            <w:tcW w:w="2190" w:type="pct"/>
            <w:tcBorders>
              <w:left w:val="single" w:sz="6" w:space="0" w:color="000000"/>
              <w:bottom w:val="single" w:sz="6" w:space="0" w:color="000000"/>
            </w:tcBorders>
            <w:shd w:val="clear" w:color="auto" w:fill="FFFFFF"/>
            <w:hideMark/>
          </w:tcPr>
          <w:p w14:paraId="70987E66" w14:textId="77777777" w:rsidR="00000000" w:rsidRDefault="00322B34">
            <w:pPr>
              <w:pStyle w:val="a3"/>
              <w:spacing w:before="0" w:beforeAutospacing="0" w:after="0" w:afterAutospacing="0"/>
              <w:jc w:val="both"/>
              <w:rPr>
                <w:sz w:val="20"/>
                <w:szCs w:val="20"/>
              </w:rPr>
            </w:pPr>
            <w:r>
              <w:rPr>
                <w:sz w:val="20"/>
                <w:szCs w:val="20"/>
              </w:rPr>
              <w:t>The new guidance introdu</w:t>
            </w:r>
            <w:r>
              <w:rPr>
                <w:sz w:val="20"/>
                <w:szCs w:val="20"/>
              </w:rPr>
              <w:t xml:space="preserve">ces a new model for estimating credit losses for certain types of financial instruments, including loans receivable, held-to-maturity debt securities, and net investments in direct financing leases, amongst other financial instruments. ASU </w:t>
            </w:r>
            <w:r>
              <w:rPr>
                <w:rStyle w:val="a6"/>
                <w:sz w:val="20"/>
                <w:szCs w:val="20"/>
              </w:rPr>
              <w:t>2016</w:t>
            </w:r>
            <w:r>
              <w:rPr>
                <w:sz w:val="20"/>
                <w:szCs w:val="20"/>
              </w:rPr>
              <w:t>-</w:t>
            </w:r>
            <w:r>
              <w:rPr>
                <w:rStyle w:val="a6"/>
                <w:sz w:val="20"/>
                <w:szCs w:val="20"/>
              </w:rPr>
              <w:t>13</w:t>
            </w:r>
            <w:r>
              <w:rPr>
                <w:sz w:val="20"/>
                <w:szCs w:val="20"/>
              </w:rPr>
              <w:t xml:space="preserve"> also mod</w:t>
            </w:r>
            <w:r>
              <w:rPr>
                <w:sz w:val="20"/>
                <w:szCs w:val="20"/>
              </w:rPr>
              <w:t>ifies the impairment model for available-for-sale debt securities and expands the disclosure requirements regarding an entity’s assumptions, models, and methods for estimating the allowance for losses.</w:t>
            </w:r>
          </w:p>
          <w:p w14:paraId="2535FB1A" w14:textId="77777777" w:rsidR="00000000" w:rsidRDefault="00322B34">
            <w:pPr>
              <w:pStyle w:val="a3"/>
              <w:spacing w:before="0" w:beforeAutospacing="0" w:after="0" w:afterAutospacing="0"/>
              <w:jc w:val="both"/>
              <w:rPr>
                <w:sz w:val="20"/>
                <w:szCs w:val="20"/>
              </w:rPr>
            </w:pPr>
            <w:r>
              <w:rPr>
                <w:sz w:val="20"/>
                <w:szCs w:val="20"/>
              </w:rPr>
              <w:t> </w:t>
            </w:r>
          </w:p>
          <w:p w14:paraId="22EEEB97" w14:textId="77777777" w:rsidR="00000000" w:rsidRDefault="00322B34">
            <w:pPr>
              <w:pStyle w:val="a3"/>
              <w:spacing w:before="0" w:beforeAutospacing="0" w:after="0" w:afterAutospacing="0"/>
              <w:jc w:val="both"/>
              <w:rPr>
                <w:sz w:val="20"/>
                <w:szCs w:val="20"/>
              </w:rPr>
            </w:pPr>
            <w:r>
              <w:rPr>
                <w:sz w:val="20"/>
                <w:szCs w:val="20"/>
              </w:rPr>
              <w:t xml:space="preserve">In </w:t>
            </w:r>
            <w:r>
              <w:rPr>
                <w:rStyle w:val="a6"/>
                <w:sz w:val="20"/>
                <w:szCs w:val="20"/>
              </w:rPr>
              <w:t xml:space="preserve">November 2018, </w:t>
            </w:r>
            <w:r>
              <w:rPr>
                <w:sz w:val="20"/>
                <w:szCs w:val="20"/>
              </w:rPr>
              <w:t xml:space="preserve">the FASB issued ASU </w:t>
            </w:r>
            <w:r>
              <w:rPr>
                <w:rStyle w:val="a6"/>
                <w:sz w:val="20"/>
                <w:szCs w:val="20"/>
              </w:rPr>
              <w:t>2018</w:t>
            </w:r>
            <w:r>
              <w:rPr>
                <w:sz w:val="20"/>
                <w:szCs w:val="20"/>
              </w:rPr>
              <w:t>-</w:t>
            </w:r>
            <w:r>
              <w:rPr>
                <w:rStyle w:val="a6"/>
                <w:sz w:val="20"/>
                <w:szCs w:val="20"/>
              </w:rPr>
              <w:t>19,</w:t>
            </w:r>
            <w:r>
              <w:rPr>
                <w:sz w:val="20"/>
                <w:szCs w:val="20"/>
              </w:rPr>
              <w:t xml:space="preserve"> which</w:t>
            </w:r>
            <w:r>
              <w:rPr>
                <w:sz w:val="20"/>
                <w:szCs w:val="20"/>
              </w:rPr>
              <w:t xml:space="preserve"> includes amendments to (i) clarify receivables arising from operating leases are within the scope of the new leasing standard (Topic </w:t>
            </w:r>
            <w:r>
              <w:rPr>
                <w:rStyle w:val="a6"/>
                <w:sz w:val="20"/>
                <w:szCs w:val="20"/>
              </w:rPr>
              <w:t>842</w:t>
            </w:r>
            <w:r>
              <w:rPr>
                <w:sz w:val="20"/>
                <w:szCs w:val="20"/>
              </w:rPr>
              <w:t>) discussed below and (ii) align the implementation date for nonpublic entities’ annual financial statements with the i</w:t>
            </w:r>
            <w:r>
              <w:rPr>
                <w:sz w:val="20"/>
                <w:szCs w:val="20"/>
              </w:rPr>
              <w:t>mplementation date for their interim financial statements. Early adoption is permitted as of the original effective date.</w:t>
            </w:r>
          </w:p>
          <w:p w14:paraId="42D0BCD9" w14:textId="77777777" w:rsidR="00000000" w:rsidRDefault="00322B34">
            <w:pPr>
              <w:pStyle w:val="a3"/>
              <w:spacing w:before="0" w:beforeAutospacing="0" w:after="0" w:afterAutospacing="0"/>
              <w:jc w:val="both"/>
              <w:rPr>
                <w:sz w:val="20"/>
                <w:szCs w:val="20"/>
              </w:rPr>
            </w:pPr>
            <w:r>
              <w:rPr>
                <w:sz w:val="20"/>
                <w:szCs w:val="20"/>
              </w:rPr>
              <w:t> </w:t>
            </w:r>
          </w:p>
          <w:p w14:paraId="5CE9A520" w14:textId="77777777" w:rsidR="00000000" w:rsidRDefault="00322B34">
            <w:pPr>
              <w:pStyle w:val="a3"/>
              <w:spacing w:before="0" w:beforeAutospacing="0" w:after="0" w:afterAutospacing="0"/>
              <w:jc w:val="both"/>
              <w:rPr>
                <w:sz w:val="20"/>
                <w:szCs w:val="20"/>
              </w:rPr>
            </w:pPr>
            <w:r>
              <w:rPr>
                <w:sz w:val="20"/>
                <w:szCs w:val="20"/>
              </w:rPr>
              <w:t>In </w:t>
            </w:r>
            <w:r>
              <w:rPr>
                <w:rStyle w:val="a6"/>
                <w:sz w:val="20"/>
                <w:szCs w:val="20"/>
              </w:rPr>
              <w:t xml:space="preserve"> May 2019,</w:t>
            </w:r>
            <w:r>
              <w:rPr>
                <w:sz w:val="20"/>
                <w:szCs w:val="20"/>
              </w:rPr>
              <w:t xml:space="preserve"> the FASB issued ASU </w:t>
            </w:r>
            <w:r>
              <w:rPr>
                <w:rStyle w:val="a6"/>
                <w:sz w:val="20"/>
                <w:szCs w:val="20"/>
              </w:rPr>
              <w:t>2019</w:t>
            </w:r>
            <w:r>
              <w:rPr>
                <w:sz w:val="20"/>
                <w:szCs w:val="20"/>
              </w:rPr>
              <w:t>-</w:t>
            </w:r>
            <w:r>
              <w:rPr>
                <w:rStyle w:val="a6"/>
                <w:sz w:val="20"/>
                <w:szCs w:val="20"/>
              </w:rPr>
              <w:t>05,</w:t>
            </w:r>
            <w:r>
              <w:rPr>
                <w:sz w:val="20"/>
                <w:szCs w:val="20"/>
              </w:rPr>
              <w:t xml:space="preserve"> which amends ASU </w:t>
            </w:r>
            <w:r>
              <w:rPr>
                <w:rStyle w:val="a6"/>
                <w:sz w:val="20"/>
                <w:szCs w:val="20"/>
              </w:rPr>
              <w:t>2016</w:t>
            </w:r>
            <w:r>
              <w:rPr>
                <w:sz w:val="20"/>
                <w:szCs w:val="20"/>
              </w:rPr>
              <w:t>-</w:t>
            </w:r>
            <w:r>
              <w:rPr>
                <w:rStyle w:val="a6"/>
                <w:sz w:val="20"/>
                <w:szCs w:val="20"/>
              </w:rPr>
              <w:t>13</w:t>
            </w:r>
            <w:r>
              <w:rPr>
                <w:sz w:val="20"/>
                <w:szCs w:val="20"/>
              </w:rPr>
              <w:t xml:space="preserve"> </w:t>
            </w:r>
            <w:r>
              <w:rPr>
                <w:sz w:val="20"/>
                <w:szCs w:val="20"/>
              </w:rPr>
              <w:t xml:space="preserve">to allow companies to irrevocably elect, upon adoption of ASU </w:t>
            </w:r>
            <w:r>
              <w:rPr>
                <w:rStyle w:val="a6"/>
                <w:sz w:val="20"/>
                <w:szCs w:val="20"/>
              </w:rPr>
              <w:t>2016</w:t>
            </w:r>
            <w:r>
              <w:rPr>
                <w:sz w:val="20"/>
                <w:szCs w:val="20"/>
              </w:rPr>
              <w:t>-</w:t>
            </w:r>
            <w:r>
              <w:rPr>
                <w:rStyle w:val="a6"/>
                <w:sz w:val="20"/>
                <w:szCs w:val="20"/>
              </w:rPr>
              <w:t>13,</w:t>
            </w:r>
            <w:r>
              <w:rPr>
                <w:sz w:val="20"/>
                <w:szCs w:val="20"/>
              </w:rPr>
              <w:t xml:space="preserve"> </w:t>
            </w:r>
            <w:r>
              <w:rPr>
                <w:sz w:val="20"/>
                <w:szCs w:val="20"/>
              </w:rPr>
              <w:t xml:space="preserve">the fair value option on financial instruments that (i) were previously recorded at amortized cost and (ii) are within the scope of ASC </w:t>
            </w:r>
            <w:r>
              <w:rPr>
                <w:rStyle w:val="a6"/>
                <w:sz w:val="20"/>
                <w:szCs w:val="20"/>
              </w:rPr>
              <w:t>326</w:t>
            </w:r>
            <w:r>
              <w:rPr>
                <w:sz w:val="20"/>
                <w:szCs w:val="20"/>
              </w:rPr>
              <w:t>-</w:t>
            </w:r>
            <w:r>
              <w:rPr>
                <w:rStyle w:val="a6"/>
                <w:sz w:val="20"/>
                <w:szCs w:val="20"/>
              </w:rPr>
              <w:t>203</w:t>
            </w:r>
            <w:r>
              <w:rPr>
                <w:sz w:val="20"/>
                <w:szCs w:val="20"/>
              </w:rPr>
              <w:t xml:space="preserve"> if the instruments are eligible for the fair value option under ASC </w:t>
            </w:r>
            <w:r>
              <w:rPr>
                <w:rStyle w:val="a6"/>
                <w:sz w:val="20"/>
                <w:szCs w:val="20"/>
              </w:rPr>
              <w:t>825</w:t>
            </w:r>
            <w:r>
              <w:rPr>
                <w:sz w:val="20"/>
                <w:szCs w:val="20"/>
              </w:rPr>
              <w:t>-</w:t>
            </w:r>
            <w:r>
              <w:rPr>
                <w:rStyle w:val="a6"/>
                <w:sz w:val="20"/>
                <w:szCs w:val="20"/>
              </w:rPr>
              <w:t>10.4.</w:t>
            </w:r>
            <w:r>
              <w:rPr>
                <w:sz w:val="20"/>
                <w:szCs w:val="20"/>
              </w:rPr>
              <w:t xml:space="preserve"> The fair value option election doe</w:t>
            </w:r>
            <w:r>
              <w:rPr>
                <w:sz w:val="20"/>
                <w:szCs w:val="20"/>
              </w:rPr>
              <w:t xml:space="preserve">s </w:t>
            </w:r>
            <w:r>
              <w:rPr>
                <w:rStyle w:val="a6"/>
                <w:sz w:val="20"/>
                <w:szCs w:val="20"/>
              </w:rPr>
              <w:t>not</w:t>
            </w:r>
            <w:r>
              <w:rPr>
                <w:sz w:val="20"/>
                <w:szCs w:val="20"/>
              </w:rPr>
              <w:t xml:space="preserve"> apply to held-to-maturity debt securities. Entities are required to make this election on an instrument-by-instrument basis. These amendments should be applied on a modified-retrospective basis by means of a cumulative-effect adjustment to the openin</w:t>
            </w:r>
            <w:r>
              <w:rPr>
                <w:sz w:val="20"/>
                <w:szCs w:val="20"/>
              </w:rPr>
              <w:t xml:space="preserve">g balance of retained earnings balance in the statement of financial position as of the date that an entity adopted the amendments in ASU </w:t>
            </w:r>
            <w:r>
              <w:rPr>
                <w:rStyle w:val="a6"/>
                <w:sz w:val="20"/>
                <w:szCs w:val="20"/>
              </w:rPr>
              <w:t>2016</w:t>
            </w:r>
            <w:r>
              <w:rPr>
                <w:sz w:val="20"/>
                <w:szCs w:val="20"/>
              </w:rPr>
              <w:t>-</w:t>
            </w:r>
            <w:r>
              <w:rPr>
                <w:rStyle w:val="a6"/>
                <w:sz w:val="20"/>
                <w:szCs w:val="20"/>
              </w:rPr>
              <w:t>13.</w:t>
            </w:r>
            <w:r>
              <w:rPr>
                <w:sz w:val="20"/>
                <w:szCs w:val="20"/>
              </w:rPr>
              <w:t xml:space="preserve"> Certain disclosures are required. The effective date will be the same as the effective date in ASU </w:t>
            </w:r>
            <w:r>
              <w:rPr>
                <w:rStyle w:val="a6"/>
                <w:sz w:val="20"/>
                <w:szCs w:val="20"/>
              </w:rPr>
              <w:t>2016</w:t>
            </w:r>
            <w:r>
              <w:rPr>
                <w:sz w:val="20"/>
                <w:szCs w:val="20"/>
              </w:rPr>
              <w:t>-</w:t>
            </w:r>
            <w:r>
              <w:rPr>
                <w:rStyle w:val="a6"/>
                <w:sz w:val="20"/>
                <w:szCs w:val="20"/>
              </w:rPr>
              <w:t>13.</w:t>
            </w:r>
            <w:r>
              <w:rPr>
                <w:sz w:val="20"/>
                <w:szCs w:val="20"/>
              </w:rPr>
              <w:t> </w:t>
            </w:r>
          </w:p>
          <w:p w14:paraId="0A70A3BB" w14:textId="77777777" w:rsidR="00000000" w:rsidRDefault="00322B34">
            <w:pPr>
              <w:pStyle w:val="a3"/>
              <w:spacing w:before="0" w:beforeAutospacing="0" w:after="0" w:afterAutospacing="0"/>
              <w:jc w:val="both"/>
              <w:rPr>
                <w:sz w:val="20"/>
                <w:szCs w:val="20"/>
              </w:rPr>
            </w:pPr>
            <w:r>
              <w:rPr>
                <w:sz w:val="20"/>
                <w:szCs w:val="20"/>
              </w:rPr>
              <w:t> </w:t>
            </w:r>
          </w:p>
          <w:p w14:paraId="1E45EE04" w14:textId="77777777" w:rsidR="00000000" w:rsidRDefault="00322B34">
            <w:pPr>
              <w:pStyle w:val="a3"/>
              <w:spacing w:before="0" w:beforeAutospacing="0" w:after="0" w:afterAutospacing="0"/>
              <w:rPr>
                <w:sz w:val="20"/>
                <w:szCs w:val="20"/>
              </w:rPr>
            </w:pPr>
            <w:r>
              <w:rPr>
                <w:sz w:val="20"/>
                <w:szCs w:val="20"/>
              </w:rPr>
              <w:t xml:space="preserve">In </w:t>
            </w:r>
            <w:r>
              <w:rPr>
                <w:rStyle w:val="a6"/>
                <w:sz w:val="20"/>
                <w:szCs w:val="20"/>
              </w:rPr>
              <w:t xml:space="preserve">November 2019, </w:t>
            </w:r>
            <w:r>
              <w:rPr>
                <w:sz w:val="20"/>
                <w:szCs w:val="20"/>
              </w:rPr>
              <w:t xml:space="preserve">the FASB issued ASU </w:t>
            </w:r>
            <w:r>
              <w:rPr>
                <w:rStyle w:val="a6"/>
                <w:sz w:val="20"/>
                <w:szCs w:val="20"/>
              </w:rPr>
              <w:t>2019</w:t>
            </w:r>
            <w:r>
              <w:rPr>
                <w:sz w:val="20"/>
                <w:szCs w:val="20"/>
              </w:rPr>
              <w:t>-</w:t>
            </w:r>
            <w:r>
              <w:rPr>
                <w:rStyle w:val="a6"/>
                <w:sz w:val="20"/>
                <w:szCs w:val="20"/>
              </w:rPr>
              <w:t>11,</w:t>
            </w:r>
            <w:r>
              <w:rPr>
                <w:sz w:val="20"/>
                <w:szCs w:val="20"/>
              </w:rPr>
              <w:t xml:space="preserve"> which clarifies treatment of certain credit losses and disclosure requirements.</w:t>
            </w:r>
          </w:p>
          <w:p w14:paraId="7BC8C1F4" w14:textId="77777777" w:rsidR="00000000" w:rsidRDefault="00322B34">
            <w:pPr>
              <w:pStyle w:val="a3"/>
              <w:spacing w:before="0" w:beforeAutospacing="0" w:after="0" w:afterAutospacing="0"/>
              <w:rPr>
                <w:sz w:val="20"/>
                <w:szCs w:val="20"/>
              </w:rPr>
            </w:pPr>
            <w:r>
              <w:rPr>
                <w:sz w:val="20"/>
                <w:szCs w:val="20"/>
              </w:rPr>
              <w:t> </w:t>
            </w:r>
          </w:p>
        </w:tc>
        <w:tc>
          <w:tcPr>
            <w:tcW w:w="580" w:type="pct"/>
            <w:tcBorders>
              <w:left w:val="single" w:sz="6" w:space="0" w:color="000000"/>
              <w:bottom w:val="single" w:sz="6" w:space="0" w:color="000000"/>
            </w:tcBorders>
            <w:shd w:val="clear" w:color="auto" w:fill="FFFFFF"/>
            <w:hideMark/>
          </w:tcPr>
          <w:p w14:paraId="5FC597D0" w14:textId="77777777" w:rsidR="00000000" w:rsidRDefault="00322B34">
            <w:pPr>
              <w:pStyle w:val="a3"/>
              <w:spacing w:before="0" w:beforeAutospacing="0" w:after="0" w:afterAutospacing="0"/>
              <w:jc w:val="center"/>
              <w:rPr>
                <w:sz w:val="20"/>
                <w:szCs w:val="20"/>
              </w:rPr>
            </w:pPr>
            <w:r>
              <w:rPr>
                <w:rStyle w:val="a6"/>
                <w:sz w:val="20"/>
                <w:szCs w:val="20"/>
              </w:rPr>
              <w:t xml:space="preserve">January 1, 2020; </w:t>
            </w:r>
            <w:r>
              <w:rPr>
                <w:sz w:val="20"/>
                <w:szCs w:val="20"/>
              </w:rPr>
              <w:t>Early adoption permitted</w:t>
            </w:r>
          </w:p>
        </w:tc>
        <w:tc>
          <w:tcPr>
            <w:tcW w:w="1115" w:type="pct"/>
            <w:tcBorders>
              <w:left w:val="single" w:sz="6" w:space="0" w:color="000000"/>
              <w:bottom w:val="single" w:sz="6" w:space="0" w:color="000000"/>
              <w:right w:val="single" w:sz="6" w:space="0" w:color="000000"/>
            </w:tcBorders>
            <w:shd w:val="clear" w:color="auto" w:fill="FFFFFF"/>
            <w:hideMark/>
          </w:tcPr>
          <w:p w14:paraId="3A5DEF3D" w14:textId="77777777" w:rsidR="00000000" w:rsidRDefault="00322B34">
            <w:pPr>
              <w:pStyle w:val="a3"/>
              <w:spacing w:before="0" w:beforeAutospacing="0" w:after="0" w:afterAutospacing="0"/>
              <w:rPr>
                <w:sz w:val="20"/>
                <w:szCs w:val="20"/>
              </w:rPr>
            </w:pPr>
            <w:r>
              <w:rPr>
                <w:sz w:val="20"/>
                <w:szCs w:val="20"/>
              </w:rPr>
              <w:t>The Company adopted this standard using the modified retrospective method.</w:t>
            </w:r>
          </w:p>
          <w:p w14:paraId="40AFC77C" w14:textId="77777777" w:rsidR="00000000" w:rsidRDefault="00322B34">
            <w:pPr>
              <w:pStyle w:val="a3"/>
              <w:spacing w:before="0" w:beforeAutospacing="0" w:after="0" w:afterAutospacing="0"/>
              <w:rPr>
                <w:sz w:val="20"/>
                <w:szCs w:val="20"/>
              </w:rPr>
            </w:pPr>
            <w:r>
              <w:rPr>
                <w:sz w:val="20"/>
                <w:szCs w:val="20"/>
              </w:rPr>
              <w:t> </w:t>
            </w:r>
          </w:p>
          <w:p w14:paraId="3284AF19" w14:textId="77777777" w:rsidR="00000000" w:rsidRDefault="00322B34">
            <w:pPr>
              <w:pStyle w:val="a3"/>
              <w:spacing w:before="0" w:beforeAutospacing="0" w:after="0" w:afterAutospacing="0"/>
              <w:rPr>
                <w:sz w:val="20"/>
                <w:szCs w:val="20"/>
              </w:rPr>
            </w:pPr>
            <w:r>
              <w:rPr>
                <w:sz w:val="20"/>
                <w:szCs w:val="20"/>
              </w:rPr>
              <w:t xml:space="preserve">While </w:t>
            </w:r>
            <w:r>
              <w:rPr>
                <w:sz w:val="20"/>
                <w:szCs w:val="20"/>
              </w:rPr>
              <w:t xml:space="preserve">the Company’s mortgages and other financing receivables are impacted by this ASU, the adoption did </w:t>
            </w:r>
            <w:r>
              <w:rPr>
                <w:rStyle w:val="a6"/>
                <w:sz w:val="20"/>
                <w:szCs w:val="20"/>
              </w:rPr>
              <w:t>not</w:t>
            </w:r>
            <w:r>
              <w:rPr>
                <w:sz w:val="20"/>
                <w:szCs w:val="20"/>
              </w:rPr>
              <w:t xml:space="preserve"> have a material impact to the Company’s Condensed Consolidated Financial Statements.</w:t>
            </w:r>
          </w:p>
        </w:tc>
      </w:tr>
    </w:tbl>
    <w:p w14:paraId="150886DA" w14:textId="77777777" w:rsidR="00000000" w:rsidRDefault="00322B34">
      <w:pPr>
        <w:pStyle w:val="a3"/>
        <w:spacing w:before="0" w:beforeAutospacing="0" w:after="0" w:afterAutospacing="0"/>
        <w:jc w:val="both"/>
        <w:rPr>
          <w:sz w:val="20"/>
          <w:szCs w:val="20"/>
        </w:rPr>
      </w:pPr>
      <w:r>
        <w:rPr>
          <w:sz w:val="20"/>
          <w:szCs w:val="20"/>
        </w:rPr>
        <w:t> </w:t>
      </w:r>
    </w:p>
    <w:p w14:paraId="032A17D7" w14:textId="77777777" w:rsidR="00000000" w:rsidRDefault="00322B34">
      <w:pPr>
        <w:jc w:val="center"/>
        <w:divId w:val="1725523274"/>
        <w:rPr>
          <w:rFonts w:eastAsia="Times New Roman"/>
          <w:sz w:val="20"/>
          <w:szCs w:val="20"/>
        </w:rPr>
      </w:pPr>
      <w:r>
        <w:rPr>
          <w:rStyle w:val="a6"/>
          <w:rFonts w:eastAsia="Times New Roman"/>
          <w:sz w:val="20"/>
          <w:szCs w:val="20"/>
        </w:rPr>
        <w:t>11</w:t>
      </w:r>
      <w:r>
        <w:rPr>
          <w:rFonts w:eastAsia="Times New Roman"/>
          <w:sz w:val="20"/>
          <w:szCs w:val="20"/>
        </w:rPr>
        <w:t xml:space="preserve"> </w:t>
      </w:r>
    </w:p>
    <w:p w14:paraId="00E140E4" w14:textId="77777777" w:rsidR="00000000" w:rsidRDefault="00322B34">
      <w:pPr>
        <w:rPr>
          <w:rFonts w:eastAsia="Times New Roman"/>
          <w:sz w:val="20"/>
          <w:szCs w:val="20"/>
        </w:rPr>
      </w:pPr>
      <w:r>
        <w:rPr>
          <w:rFonts w:eastAsia="Times New Roman"/>
          <w:sz w:val="20"/>
          <w:szCs w:val="20"/>
        </w:rPr>
        <w:pict w14:anchorId="14212AE3">
          <v:rect id="_x0000_i1039" style="width:415.3pt;height:1.5pt" o:hralign="center" o:hrstd="t" o:hrnoshade="t" o:hr="t" fillcolor="black" stroked="f"/>
        </w:pict>
      </w:r>
    </w:p>
    <w:p w14:paraId="5C831DA1" w14:textId="77777777" w:rsidR="00000000" w:rsidRDefault="00322B34">
      <w:pPr>
        <w:divId w:val="205011072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D14A02C" w14:textId="77777777" w:rsidR="00000000" w:rsidRDefault="00322B34">
      <w:pPr>
        <w:pStyle w:val="a3"/>
        <w:spacing w:before="0" w:beforeAutospacing="0" w:after="0" w:afterAutospacing="0"/>
        <w:rPr>
          <w:sz w:val="20"/>
          <w:szCs w:val="20"/>
        </w:rPr>
      </w:pPr>
      <w:r>
        <w:rPr>
          <w:sz w:val="20"/>
          <w:szCs w:val="20"/>
        </w:rPr>
        <w:t> </w:t>
      </w:r>
    </w:p>
    <w:p w14:paraId="0B5173EE" w14:textId="77777777" w:rsidR="00000000" w:rsidRDefault="00322B34">
      <w:pPr>
        <w:divId w:val="34695423"/>
        <w:rPr>
          <w:rFonts w:eastAsia="Times New Roman"/>
          <w:sz w:val="20"/>
          <w:szCs w:val="20"/>
        </w:rPr>
      </w:pPr>
      <w:r>
        <w:rPr>
          <w:rFonts w:eastAsia="Times New Roman"/>
          <w:sz w:val="20"/>
          <w:szCs w:val="20"/>
        </w:rPr>
        <w:t xml:space="preserve">  </w:t>
      </w:r>
    </w:p>
    <w:p w14:paraId="4ED930ED" w14:textId="77777777" w:rsidR="00000000" w:rsidRDefault="00322B34">
      <w:pPr>
        <w:pStyle w:val="a3"/>
        <w:spacing w:before="0" w:beforeAutospacing="0" w:after="0" w:afterAutospacing="0"/>
        <w:jc w:val="both"/>
        <w:rPr>
          <w:sz w:val="20"/>
          <w:szCs w:val="20"/>
        </w:rPr>
      </w:pPr>
      <w:r>
        <w:rPr>
          <w:rStyle w:val="a6"/>
          <w:sz w:val="20"/>
          <w:szCs w:val="20"/>
        </w:rPr>
        <w:t>3.</w:t>
      </w:r>
      <w:r>
        <w:rPr>
          <w:sz w:val="20"/>
          <w:szCs w:val="20"/>
        </w:rPr>
        <w:t xml:space="preserve"> </w:t>
      </w:r>
      <w:r>
        <w:rPr>
          <w:sz w:val="20"/>
          <w:szCs w:val="20"/>
          <w:u w:val="single"/>
        </w:rPr>
        <w:t>Real Estate</w:t>
      </w:r>
    </w:p>
    <w:p w14:paraId="7D36C82A" w14:textId="77777777" w:rsidR="00000000" w:rsidRDefault="00322B34">
      <w:pPr>
        <w:pStyle w:val="a3"/>
        <w:spacing w:before="0" w:beforeAutospacing="0" w:after="0" w:afterAutospacing="0"/>
        <w:jc w:val="both"/>
        <w:rPr>
          <w:sz w:val="20"/>
          <w:szCs w:val="20"/>
        </w:rPr>
      </w:pPr>
      <w:r>
        <w:rPr>
          <w:sz w:val="20"/>
          <w:szCs w:val="20"/>
        </w:rPr>
        <w:t> </w:t>
      </w:r>
    </w:p>
    <w:p w14:paraId="39A9EBD1" w14:textId="77777777" w:rsidR="00000000" w:rsidRDefault="00322B34">
      <w:pPr>
        <w:pStyle w:val="a3"/>
        <w:spacing w:before="0" w:beforeAutospacing="0" w:after="0" w:afterAutospacing="0"/>
        <w:jc w:val="both"/>
        <w:rPr>
          <w:sz w:val="20"/>
          <w:szCs w:val="20"/>
        </w:rPr>
      </w:pPr>
      <w:r>
        <w:rPr>
          <w:i/>
          <w:iCs/>
          <w:sz w:val="20"/>
          <w:szCs w:val="20"/>
        </w:rPr>
        <w:t>Acquisitions of Operating Properties -</w:t>
      </w:r>
    </w:p>
    <w:p w14:paraId="46C894CE" w14:textId="77777777" w:rsidR="00000000" w:rsidRDefault="00322B34">
      <w:pPr>
        <w:pStyle w:val="a3"/>
        <w:spacing w:before="0" w:beforeAutospacing="0" w:after="0" w:afterAutospacing="0"/>
        <w:jc w:val="both"/>
        <w:rPr>
          <w:sz w:val="20"/>
          <w:szCs w:val="20"/>
        </w:rPr>
      </w:pPr>
      <w:r>
        <w:rPr>
          <w:sz w:val="20"/>
          <w:szCs w:val="20"/>
        </w:rPr>
        <w:t> </w:t>
      </w:r>
    </w:p>
    <w:p w14:paraId="1801818C" w14:textId="77777777" w:rsidR="00000000" w:rsidRDefault="00322B34">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2020, </w:t>
      </w:r>
      <w:r>
        <w:rPr>
          <w:sz w:val="20"/>
          <w:szCs w:val="20"/>
        </w:rPr>
        <w:t>the Company acquired the followin</w:t>
      </w:r>
      <w:r>
        <w:rPr>
          <w:sz w:val="20"/>
          <w:szCs w:val="20"/>
        </w:rPr>
        <w:t>g operating property, through a direct asset purchase (in thousands):</w:t>
      </w:r>
    </w:p>
    <w:p w14:paraId="0CD3A21E"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4250" w:type="pct"/>
        <w:tblCellSpacing w:w="0" w:type="dxa"/>
        <w:tblInd w:w="1080" w:type="dxa"/>
        <w:tblCellMar>
          <w:left w:w="0" w:type="dxa"/>
          <w:right w:w="0" w:type="dxa"/>
        </w:tblCellMar>
        <w:tblLook w:val="04A0" w:firstRow="1" w:lastRow="0" w:firstColumn="1" w:lastColumn="0" w:noHBand="0" w:noVBand="1"/>
      </w:tblPr>
      <w:tblGrid>
        <w:gridCol w:w="1973"/>
        <w:gridCol w:w="1076"/>
        <w:gridCol w:w="1465"/>
        <w:gridCol w:w="68"/>
        <w:gridCol w:w="101"/>
        <w:gridCol w:w="1056"/>
        <w:gridCol w:w="68"/>
        <w:gridCol w:w="68"/>
        <w:gridCol w:w="68"/>
        <w:gridCol w:w="1056"/>
        <w:gridCol w:w="61"/>
      </w:tblGrid>
      <w:tr w:rsidR="00000000" w14:paraId="4198893B" w14:textId="77777777">
        <w:trPr>
          <w:tblCellSpacing w:w="0" w:type="dxa"/>
        </w:trPr>
        <w:tc>
          <w:tcPr>
            <w:tcW w:w="0" w:type="auto"/>
            <w:vAlign w:val="bottom"/>
            <w:hideMark/>
          </w:tcPr>
          <w:p w14:paraId="2DFF0C9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C933029"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5AB61EC"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AD86A16"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B6A8F2F" w14:textId="77777777" w:rsidR="00000000" w:rsidRDefault="00322B34">
            <w:pPr>
              <w:pStyle w:val="a3"/>
              <w:spacing w:before="0" w:beforeAutospacing="0" w:after="0" w:afterAutospacing="0"/>
              <w:jc w:val="center"/>
              <w:rPr>
                <w:sz w:val="20"/>
                <w:szCs w:val="20"/>
              </w:rPr>
            </w:pPr>
            <w:r>
              <w:rPr>
                <w:b/>
                <w:bCs/>
                <w:sz w:val="20"/>
                <w:szCs w:val="20"/>
              </w:rPr>
              <w:t>Purchase Price</w:t>
            </w:r>
          </w:p>
        </w:tc>
        <w:tc>
          <w:tcPr>
            <w:tcW w:w="0" w:type="auto"/>
            <w:tcMar>
              <w:top w:w="0" w:type="dxa"/>
              <w:left w:w="0" w:type="dxa"/>
              <w:bottom w:w="15" w:type="dxa"/>
              <w:right w:w="0" w:type="dxa"/>
            </w:tcMar>
            <w:vAlign w:val="bottom"/>
            <w:hideMark/>
          </w:tcPr>
          <w:p w14:paraId="6203B299"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2E77E1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5DCD80D" w14:textId="77777777" w:rsidR="00000000" w:rsidRDefault="00322B34">
            <w:pPr>
              <w:rPr>
                <w:rFonts w:eastAsia="Times New Roman"/>
                <w:sz w:val="20"/>
                <w:szCs w:val="20"/>
              </w:rPr>
            </w:pPr>
            <w:r>
              <w:rPr>
                <w:rFonts w:eastAsia="Times New Roman"/>
                <w:b/>
                <w:bCs/>
                <w:sz w:val="20"/>
                <w:szCs w:val="20"/>
              </w:rPr>
              <w:t> </w:t>
            </w:r>
          </w:p>
        </w:tc>
        <w:tc>
          <w:tcPr>
            <w:tcW w:w="0" w:type="auto"/>
            <w:vAlign w:val="bottom"/>
            <w:hideMark/>
          </w:tcPr>
          <w:p w14:paraId="44593E31" w14:textId="77777777" w:rsidR="00000000" w:rsidRDefault="00322B34">
            <w:pPr>
              <w:jc w:val="center"/>
              <w:rPr>
                <w:rFonts w:eastAsia="Times New Roman"/>
                <w:sz w:val="20"/>
                <w:szCs w:val="20"/>
              </w:rPr>
            </w:pPr>
            <w:r>
              <w:rPr>
                <w:rFonts w:eastAsia="Times New Roman"/>
                <w:b/>
                <w:bCs/>
                <w:sz w:val="20"/>
                <w:szCs w:val="20"/>
              </w:rPr>
              <w:t> </w:t>
            </w:r>
          </w:p>
        </w:tc>
        <w:tc>
          <w:tcPr>
            <w:tcW w:w="0" w:type="auto"/>
            <w:vAlign w:val="bottom"/>
            <w:hideMark/>
          </w:tcPr>
          <w:p w14:paraId="2EB3C4FA" w14:textId="77777777" w:rsidR="00000000" w:rsidRDefault="00322B34">
            <w:pPr>
              <w:rPr>
                <w:rFonts w:eastAsia="Times New Roman"/>
                <w:sz w:val="20"/>
                <w:szCs w:val="20"/>
              </w:rPr>
            </w:pPr>
            <w:r>
              <w:rPr>
                <w:rFonts w:eastAsia="Times New Roman"/>
                <w:b/>
                <w:bCs/>
                <w:sz w:val="20"/>
                <w:szCs w:val="20"/>
              </w:rPr>
              <w:t> </w:t>
            </w:r>
          </w:p>
        </w:tc>
      </w:tr>
      <w:tr w:rsidR="00000000" w14:paraId="731364E2" w14:textId="77777777">
        <w:trPr>
          <w:tblCellSpacing w:w="0" w:type="dxa"/>
        </w:trPr>
        <w:tc>
          <w:tcPr>
            <w:tcW w:w="1400" w:type="pct"/>
            <w:tcBorders>
              <w:bottom w:val="single" w:sz="6" w:space="0" w:color="000000"/>
            </w:tcBorders>
            <w:vAlign w:val="bottom"/>
            <w:hideMark/>
          </w:tcPr>
          <w:p w14:paraId="13D5712E" w14:textId="77777777" w:rsidR="00000000" w:rsidRDefault="00322B34">
            <w:pPr>
              <w:pStyle w:val="a3"/>
              <w:spacing w:before="0" w:beforeAutospacing="0" w:after="0" w:afterAutospacing="0"/>
              <w:jc w:val="center"/>
              <w:rPr>
                <w:sz w:val="20"/>
                <w:szCs w:val="20"/>
              </w:rPr>
            </w:pPr>
            <w:r>
              <w:rPr>
                <w:b/>
                <w:bCs/>
                <w:sz w:val="20"/>
                <w:szCs w:val="20"/>
              </w:rPr>
              <w:t>Property Name</w:t>
            </w:r>
          </w:p>
        </w:tc>
        <w:tc>
          <w:tcPr>
            <w:tcW w:w="765" w:type="pct"/>
            <w:tcBorders>
              <w:bottom w:val="single" w:sz="6" w:space="0" w:color="000000"/>
            </w:tcBorders>
            <w:vAlign w:val="bottom"/>
            <w:hideMark/>
          </w:tcPr>
          <w:p w14:paraId="7E63B5E4" w14:textId="77777777" w:rsidR="00000000" w:rsidRDefault="00322B34">
            <w:pPr>
              <w:pStyle w:val="a3"/>
              <w:spacing w:before="0" w:beforeAutospacing="0" w:after="0" w:afterAutospacing="0"/>
              <w:jc w:val="center"/>
              <w:rPr>
                <w:sz w:val="20"/>
                <w:szCs w:val="20"/>
              </w:rPr>
            </w:pPr>
            <w:r>
              <w:rPr>
                <w:b/>
                <w:bCs/>
                <w:sz w:val="20"/>
                <w:szCs w:val="20"/>
              </w:rPr>
              <w:t>Location</w:t>
            </w:r>
          </w:p>
        </w:tc>
        <w:tc>
          <w:tcPr>
            <w:tcW w:w="1040" w:type="pct"/>
            <w:tcBorders>
              <w:bottom w:val="single" w:sz="6" w:space="0" w:color="000000"/>
            </w:tcBorders>
            <w:vAlign w:val="bottom"/>
            <w:hideMark/>
          </w:tcPr>
          <w:p w14:paraId="5245F745" w14:textId="77777777" w:rsidR="00000000" w:rsidRDefault="00322B34">
            <w:pPr>
              <w:pStyle w:val="a3"/>
              <w:spacing w:before="0" w:beforeAutospacing="0" w:after="0" w:afterAutospacing="0"/>
              <w:jc w:val="center"/>
              <w:rPr>
                <w:sz w:val="20"/>
                <w:szCs w:val="20"/>
              </w:rPr>
            </w:pPr>
            <w:r>
              <w:rPr>
                <w:b/>
                <w:bCs/>
                <w:sz w:val="20"/>
                <w:szCs w:val="20"/>
              </w:rPr>
              <w:t>Month Acquired</w:t>
            </w:r>
          </w:p>
        </w:tc>
        <w:tc>
          <w:tcPr>
            <w:tcW w:w="0" w:type="auto"/>
            <w:tcBorders>
              <w:bottom w:val="single" w:sz="6" w:space="0" w:color="000000"/>
            </w:tcBorders>
            <w:vAlign w:val="bottom"/>
            <w:hideMark/>
          </w:tcPr>
          <w:p w14:paraId="612BED41"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D39B29F" w14:textId="77777777" w:rsidR="00000000" w:rsidRDefault="00322B34">
            <w:pPr>
              <w:pStyle w:val="a3"/>
              <w:spacing w:before="0" w:beforeAutospacing="0" w:after="0" w:afterAutospacing="0"/>
              <w:jc w:val="center"/>
              <w:rPr>
                <w:sz w:val="20"/>
                <w:szCs w:val="20"/>
              </w:rPr>
            </w:pPr>
            <w:r>
              <w:rPr>
                <w:b/>
                <w:bCs/>
                <w:sz w:val="20"/>
                <w:szCs w:val="20"/>
              </w:rPr>
              <w:t>Cash</w:t>
            </w:r>
          </w:p>
        </w:tc>
        <w:tc>
          <w:tcPr>
            <w:tcW w:w="0" w:type="auto"/>
            <w:vAlign w:val="bottom"/>
            <w:hideMark/>
          </w:tcPr>
          <w:p w14:paraId="59868010"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7EBBADC"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96C439E" w14:textId="77777777" w:rsidR="00000000" w:rsidRDefault="00322B34">
            <w:pPr>
              <w:pStyle w:val="a3"/>
              <w:spacing w:before="0" w:beforeAutospacing="0" w:after="0" w:afterAutospacing="0"/>
              <w:jc w:val="center"/>
              <w:rPr>
                <w:sz w:val="20"/>
                <w:szCs w:val="20"/>
              </w:rPr>
            </w:pPr>
            <w:r>
              <w:rPr>
                <w:b/>
                <w:bCs/>
                <w:sz w:val="20"/>
                <w:szCs w:val="20"/>
              </w:rPr>
              <w:t>GLA*</w:t>
            </w:r>
          </w:p>
        </w:tc>
        <w:tc>
          <w:tcPr>
            <w:tcW w:w="0" w:type="auto"/>
            <w:tcMar>
              <w:top w:w="0" w:type="dxa"/>
              <w:left w:w="0" w:type="dxa"/>
              <w:bottom w:w="15" w:type="dxa"/>
              <w:right w:w="0" w:type="dxa"/>
            </w:tcMar>
            <w:vAlign w:val="bottom"/>
            <w:hideMark/>
          </w:tcPr>
          <w:p w14:paraId="596AD8FE" w14:textId="77777777" w:rsidR="00000000" w:rsidRDefault="00322B34">
            <w:pPr>
              <w:rPr>
                <w:rFonts w:eastAsia="Times New Roman"/>
                <w:sz w:val="20"/>
                <w:szCs w:val="20"/>
              </w:rPr>
            </w:pPr>
            <w:r>
              <w:rPr>
                <w:rFonts w:eastAsia="Times New Roman"/>
                <w:sz w:val="20"/>
                <w:szCs w:val="20"/>
              </w:rPr>
              <w:t> </w:t>
            </w:r>
          </w:p>
        </w:tc>
      </w:tr>
      <w:tr w:rsidR="00000000" w14:paraId="0116FCAE" w14:textId="77777777">
        <w:trPr>
          <w:tblCellSpacing w:w="0" w:type="dxa"/>
        </w:trPr>
        <w:tc>
          <w:tcPr>
            <w:tcW w:w="0" w:type="auto"/>
            <w:shd w:val="clear" w:color="auto" w:fill="CCEEFF"/>
            <w:vAlign w:val="bottom"/>
            <w:hideMark/>
          </w:tcPr>
          <w:p w14:paraId="4A121F6C" w14:textId="77777777" w:rsidR="00000000" w:rsidRDefault="00322B34">
            <w:pPr>
              <w:pStyle w:val="a3"/>
              <w:spacing w:before="0" w:beforeAutospacing="0" w:after="0" w:afterAutospacing="0"/>
              <w:rPr>
                <w:sz w:val="20"/>
                <w:szCs w:val="20"/>
              </w:rPr>
            </w:pPr>
            <w:r>
              <w:rPr>
                <w:sz w:val="20"/>
                <w:szCs w:val="20"/>
              </w:rPr>
              <w:t>North Valley Parcel</w:t>
            </w:r>
          </w:p>
        </w:tc>
        <w:tc>
          <w:tcPr>
            <w:tcW w:w="0" w:type="auto"/>
            <w:shd w:val="clear" w:color="auto" w:fill="CCEEFF"/>
            <w:vAlign w:val="bottom"/>
            <w:hideMark/>
          </w:tcPr>
          <w:p w14:paraId="344C4CAD" w14:textId="77777777" w:rsidR="00000000" w:rsidRDefault="00322B34">
            <w:pPr>
              <w:pStyle w:val="a3"/>
              <w:spacing w:before="0" w:beforeAutospacing="0" w:after="0" w:afterAutospacing="0"/>
              <w:rPr>
                <w:sz w:val="20"/>
                <w:szCs w:val="20"/>
              </w:rPr>
            </w:pPr>
            <w:r>
              <w:rPr>
                <w:rStyle w:val="a6"/>
                <w:sz w:val="20"/>
                <w:szCs w:val="20"/>
              </w:rPr>
              <w:t>Peoria, AZ</w:t>
            </w:r>
          </w:p>
        </w:tc>
        <w:tc>
          <w:tcPr>
            <w:tcW w:w="0" w:type="auto"/>
            <w:shd w:val="clear" w:color="auto" w:fill="CCEEFF"/>
            <w:vAlign w:val="bottom"/>
            <w:hideMark/>
          </w:tcPr>
          <w:p w14:paraId="6E264589" w14:textId="77777777" w:rsidR="00000000" w:rsidRDefault="00322B34">
            <w:pPr>
              <w:pStyle w:val="a3"/>
              <w:spacing w:before="0" w:beforeAutospacing="0" w:after="0" w:afterAutospacing="0"/>
              <w:jc w:val="center"/>
              <w:rPr>
                <w:sz w:val="20"/>
                <w:szCs w:val="20"/>
              </w:rPr>
            </w:pPr>
            <w:r>
              <w:rPr>
                <w:rStyle w:val="a6"/>
                <w:sz w:val="20"/>
                <w:szCs w:val="20"/>
              </w:rPr>
              <w:t>Feb-20</w:t>
            </w:r>
          </w:p>
        </w:tc>
        <w:tc>
          <w:tcPr>
            <w:tcW w:w="50" w:type="pct"/>
            <w:shd w:val="clear" w:color="auto" w:fill="CCEEFF"/>
            <w:vAlign w:val="bottom"/>
            <w:hideMark/>
          </w:tcPr>
          <w:p w14:paraId="4D469DE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2511AC" w14:textId="77777777" w:rsidR="00000000" w:rsidRDefault="00322B34">
            <w:pPr>
              <w:rPr>
                <w:rFonts w:eastAsia="Times New Roman"/>
                <w:sz w:val="20"/>
                <w:szCs w:val="20"/>
              </w:rPr>
            </w:pPr>
            <w:r>
              <w:rPr>
                <w:rFonts w:eastAsia="Times New Roman"/>
                <w:sz w:val="20"/>
                <w:szCs w:val="20"/>
              </w:rPr>
              <w:t>$</w:t>
            </w:r>
          </w:p>
        </w:tc>
        <w:tc>
          <w:tcPr>
            <w:tcW w:w="750" w:type="pct"/>
            <w:shd w:val="clear" w:color="auto" w:fill="CCEEFF"/>
            <w:vAlign w:val="bottom"/>
            <w:hideMark/>
          </w:tcPr>
          <w:p w14:paraId="0E23AA09" w14:textId="77777777" w:rsidR="00000000" w:rsidRDefault="00322B34">
            <w:pPr>
              <w:jc w:val="right"/>
              <w:rPr>
                <w:rFonts w:eastAsia="Times New Roman"/>
                <w:sz w:val="20"/>
                <w:szCs w:val="20"/>
              </w:rPr>
            </w:pPr>
            <w:r>
              <w:rPr>
                <w:rFonts w:eastAsia="Times New Roman"/>
                <w:sz w:val="20"/>
                <w:szCs w:val="20"/>
              </w:rPr>
              <w:t>7,073</w:t>
            </w:r>
          </w:p>
        </w:tc>
        <w:tc>
          <w:tcPr>
            <w:tcW w:w="50" w:type="pct"/>
            <w:shd w:val="clear" w:color="auto" w:fill="CCEEFF"/>
            <w:vAlign w:val="bottom"/>
            <w:hideMark/>
          </w:tcPr>
          <w:p w14:paraId="093ED7B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E7378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4A86B8" w14:textId="77777777" w:rsidR="00000000" w:rsidRDefault="00322B3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7D1F15A9" w14:textId="77777777" w:rsidR="00000000" w:rsidRDefault="00322B34">
            <w:pPr>
              <w:jc w:val="right"/>
              <w:rPr>
                <w:rFonts w:eastAsia="Times New Roman"/>
                <w:sz w:val="20"/>
                <w:szCs w:val="20"/>
              </w:rPr>
            </w:pPr>
            <w:r>
              <w:rPr>
                <w:rFonts w:eastAsia="Times New Roman"/>
                <w:sz w:val="20"/>
                <w:szCs w:val="20"/>
              </w:rPr>
              <w:t>9</w:t>
            </w:r>
          </w:p>
        </w:tc>
        <w:tc>
          <w:tcPr>
            <w:tcW w:w="50" w:type="pct"/>
            <w:shd w:val="clear" w:color="auto" w:fill="CCEEFF"/>
            <w:vAlign w:val="bottom"/>
            <w:hideMark/>
          </w:tcPr>
          <w:p w14:paraId="2C8EE5EA" w14:textId="77777777" w:rsidR="00000000" w:rsidRDefault="00322B34">
            <w:pPr>
              <w:rPr>
                <w:rFonts w:eastAsia="Times New Roman"/>
                <w:sz w:val="20"/>
                <w:szCs w:val="20"/>
              </w:rPr>
            </w:pPr>
            <w:r>
              <w:rPr>
                <w:rFonts w:eastAsia="Times New Roman"/>
                <w:sz w:val="20"/>
                <w:szCs w:val="20"/>
              </w:rPr>
              <w:t> </w:t>
            </w:r>
          </w:p>
        </w:tc>
      </w:tr>
    </w:tbl>
    <w:p w14:paraId="69E85B4D" w14:textId="77777777" w:rsidR="00000000" w:rsidRDefault="00322B34">
      <w:pPr>
        <w:pStyle w:val="a3"/>
        <w:spacing w:before="0" w:beforeAutospacing="0" w:after="0" w:afterAutospacing="0"/>
        <w:rPr>
          <w:sz w:val="20"/>
          <w:szCs w:val="20"/>
        </w:rPr>
      </w:pPr>
      <w:r>
        <w:rPr>
          <w:sz w:val="20"/>
          <w:szCs w:val="20"/>
        </w:rPr>
        <w:br/>
      </w:r>
      <w:r>
        <w:rPr>
          <w:sz w:val="20"/>
          <w:szCs w:val="20"/>
        </w:rPr>
        <w:t>* Gross leasable area ("GLA")</w:t>
      </w:r>
    </w:p>
    <w:p w14:paraId="12038CBE" w14:textId="77777777" w:rsidR="00000000" w:rsidRDefault="00322B34">
      <w:pPr>
        <w:pStyle w:val="a3"/>
        <w:spacing w:before="0" w:beforeAutospacing="0" w:after="0" w:afterAutospacing="0"/>
        <w:jc w:val="both"/>
        <w:rPr>
          <w:sz w:val="20"/>
          <w:szCs w:val="20"/>
        </w:rPr>
      </w:pPr>
      <w:r>
        <w:rPr>
          <w:sz w:val="20"/>
          <w:szCs w:val="20"/>
        </w:rPr>
        <w:t> </w:t>
      </w:r>
    </w:p>
    <w:p w14:paraId="2D3B05F4" w14:textId="77777777" w:rsidR="00000000" w:rsidRDefault="00322B34">
      <w:pPr>
        <w:pStyle w:val="a3"/>
        <w:spacing w:before="0" w:beforeAutospacing="0" w:after="0" w:afterAutospacing="0"/>
        <w:jc w:val="both"/>
        <w:rPr>
          <w:sz w:val="20"/>
          <w:szCs w:val="20"/>
        </w:rPr>
      </w:pPr>
      <w:r>
        <w:rPr>
          <w:i/>
          <w:iCs/>
          <w:sz w:val="20"/>
          <w:szCs w:val="20"/>
        </w:rPr>
        <w:t>Purchase Price Allocation -</w:t>
      </w:r>
    </w:p>
    <w:p w14:paraId="4C602C92" w14:textId="77777777" w:rsidR="00000000" w:rsidRDefault="00322B34">
      <w:pPr>
        <w:pStyle w:val="a3"/>
        <w:spacing w:before="0" w:beforeAutospacing="0" w:after="0" w:afterAutospacing="0"/>
        <w:ind w:firstLine="360"/>
        <w:jc w:val="both"/>
        <w:rPr>
          <w:sz w:val="20"/>
          <w:szCs w:val="20"/>
        </w:rPr>
      </w:pPr>
      <w:r>
        <w:rPr>
          <w:sz w:val="20"/>
          <w:szCs w:val="20"/>
        </w:rPr>
        <w:t> </w:t>
      </w:r>
    </w:p>
    <w:p w14:paraId="209AA918" w14:textId="77777777" w:rsidR="00000000" w:rsidRDefault="00322B34">
      <w:pPr>
        <w:pStyle w:val="a3"/>
        <w:spacing w:before="0" w:beforeAutospacing="0" w:after="0" w:afterAutospacing="0"/>
        <w:ind w:firstLine="360"/>
        <w:jc w:val="both"/>
        <w:rPr>
          <w:sz w:val="20"/>
          <w:szCs w:val="20"/>
        </w:rPr>
      </w:pPr>
      <w:r>
        <w:rPr>
          <w:sz w:val="20"/>
          <w:szCs w:val="20"/>
        </w:rPr>
        <w:t>The purchase price for this acquisition is allocated to real estate and related intangible assets acquired, as applicable, in accordance with our accounting policies for asset acquisitions. The purchase price allocation for the property acquired during the</w:t>
      </w:r>
      <w:r>
        <w:rPr>
          <w:sz w:val="20"/>
          <w:szCs w:val="20"/>
        </w:rPr>
        <w:t xml:space="preserve"> </w:t>
      </w:r>
      <w:r>
        <w:rPr>
          <w:rStyle w:val="a6"/>
          <w:sz w:val="20"/>
          <w:szCs w:val="20"/>
        </w:rPr>
        <w:t>six</w:t>
      </w:r>
      <w:r>
        <w:rPr>
          <w:sz w:val="20"/>
          <w:szCs w:val="20"/>
        </w:rPr>
        <w:t xml:space="preserve"> months ended </w:t>
      </w:r>
      <w:r>
        <w:rPr>
          <w:rStyle w:val="a6"/>
          <w:sz w:val="20"/>
          <w:szCs w:val="20"/>
        </w:rPr>
        <w:t xml:space="preserve">June 30, 2020, </w:t>
      </w:r>
      <w:r>
        <w:rPr>
          <w:sz w:val="20"/>
          <w:szCs w:val="20"/>
        </w:rPr>
        <w:t>is as follows (in thousands): </w:t>
      </w:r>
    </w:p>
    <w:p w14:paraId="6855BF34"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440" w:type="dxa"/>
        <w:tblCellMar>
          <w:left w:w="0" w:type="dxa"/>
          <w:right w:w="0" w:type="dxa"/>
        </w:tblCellMar>
        <w:tblLook w:val="04A0" w:firstRow="1" w:lastRow="0" w:firstColumn="1" w:lastColumn="0" w:noHBand="0" w:noVBand="1"/>
      </w:tblPr>
      <w:tblGrid>
        <w:gridCol w:w="2920"/>
        <w:gridCol w:w="62"/>
        <w:gridCol w:w="101"/>
        <w:gridCol w:w="1657"/>
        <w:gridCol w:w="62"/>
        <w:gridCol w:w="62"/>
        <w:gridCol w:w="62"/>
        <w:gridCol w:w="1657"/>
        <w:gridCol w:w="62"/>
      </w:tblGrid>
      <w:tr w:rsidR="00000000" w14:paraId="575FE6FE" w14:textId="77777777">
        <w:trPr>
          <w:tblCellSpacing w:w="0" w:type="dxa"/>
        </w:trPr>
        <w:tc>
          <w:tcPr>
            <w:tcW w:w="2200" w:type="pct"/>
            <w:vAlign w:val="bottom"/>
            <w:hideMark/>
          </w:tcPr>
          <w:p w14:paraId="3C9524A7"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40ABF0B0"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F3D577F" w14:textId="77777777" w:rsidR="00000000" w:rsidRDefault="00322B34">
            <w:pPr>
              <w:pStyle w:val="a3"/>
              <w:spacing w:before="0" w:beforeAutospacing="0" w:after="0" w:afterAutospacing="0"/>
              <w:jc w:val="center"/>
              <w:rPr>
                <w:sz w:val="20"/>
                <w:szCs w:val="20"/>
              </w:rPr>
            </w:pPr>
            <w:r>
              <w:rPr>
                <w:b/>
                <w:bCs/>
                <w:sz w:val="20"/>
                <w:szCs w:val="20"/>
              </w:rPr>
              <w:t>Allocation as of</w:t>
            </w:r>
          </w:p>
          <w:p w14:paraId="0F526886" w14:textId="77777777" w:rsidR="00000000" w:rsidRDefault="00322B34">
            <w:pPr>
              <w:pStyle w:val="a3"/>
              <w:spacing w:before="0" w:beforeAutospacing="0" w:after="0" w:afterAutospacing="0"/>
              <w:jc w:val="center"/>
              <w:rPr>
                <w:sz w:val="20"/>
                <w:szCs w:val="20"/>
              </w:rPr>
            </w:pPr>
            <w:r>
              <w:rPr>
                <w:b/>
                <w:bCs/>
                <w:sz w:val="20"/>
                <w:szCs w:val="20"/>
              </w:rPr>
              <w:t>June 30, 2020</w:t>
            </w:r>
          </w:p>
        </w:tc>
        <w:tc>
          <w:tcPr>
            <w:tcW w:w="50" w:type="pct"/>
            <w:tcMar>
              <w:top w:w="0" w:type="dxa"/>
              <w:left w:w="0" w:type="dxa"/>
              <w:bottom w:w="15" w:type="dxa"/>
              <w:right w:w="0" w:type="dxa"/>
            </w:tcMar>
            <w:vAlign w:val="bottom"/>
            <w:hideMark/>
          </w:tcPr>
          <w:p w14:paraId="678097CC"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4B4C5303"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A197521" w14:textId="77777777" w:rsidR="00000000" w:rsidRDefault="00322B34">
            <w:pPr>
              <w:pStyle w:val="a3"/>
              <w:spacing w:before="0" w:beforeAutospacing="0" w:after="0" w:afterAutospacing="0"/>
              <w:jc w:val="center"/>
              <w:rPr>
                <w:sz w:val="20"/>
                <w:szCs w:val="20"/>
              </w:rPr>
            </w:pPr>
            <w:r>
              <w:rPr>
                <w:b/>
                <w:bCs/>
                <w:sz w:val="20"/>
                <w:szCs w:val="20"/>
              </w:rPr>
              <w:t>Weighted Average</w:t>
            </w:r>
            <w:r>
              <w:rPr>
                <w:b/>
                <w:bCs/>
                <w:sz w:val="20"/>
                <w:szCs w:val="20"/>
              </w:rPr>
              <w:br/>
              <w:t>Amortization Period (in Years)</w:t>
            </w:r>
          </w:p>
        </w:tc>
        <w:tc>
          <w:tcPr>
            <w:tcW w:w="50" w:type="pct"/>
            <w:tcMar>
              <w:top w:w="0" w:type="dxa"/>
              <w:left w:w="0" w:type="dxa"/>
              <w:bottom w:w="15" w:type="dxa"/>
              <w:right w:w="0" w:type="dxa"/>
            </w:tcMar>
            <w:vAlign w:val="bottom"/>
            <w:hideMark/>
          </w:tcPr>
          <w:p w14:paraId="4DAF4110" w14:textId="77777777" w:rsidR="00000000" w:rsidRDefault="00322B34">
            <w:pPr>
              <w:rPr>
                <w:rFonts w:eastAsia="Times New Roman"/>
                <w:sz w:val="20"/>
                <w:szCs w:val="20"/>
              </w:rPr>
            </w:pPr>
            <w:r>
              <w:rPr>
                <w:rFonts w:eastAsia="Times New Roman"/>
                <w:sz w:val="20"/>
                <w:szCs w:val="20"/>
              </w:rPr>
              <w:t> </w:t>
            </w:r>
          </w:p>
        </w:tc>
      </w:tr>
      <w:tr w:rsidR="00000000" w14:paraId="373D4B2E" w14:textId="77777777">
        <w:trPr>
          <w:tblCellSpacing w:w="0" w:type="dxa"/>
        </w:trPr>
        <w:tc>
          <w:tcPr>
            <w:tcW w:w="2200" w:type="pct"/>
            <w:shd w:val="clear" w:color="auto" w:fill="CCEEFF"/>
            <w:vAlign w:val="bottom"/>
            <w:hideMark/>
          </w:tcPr>
          <w:p w14:paraId="152D727F" w14:textId="77777777" w:rsidR="00000000" w:rsidRDefault="00322B34">
            <w:pPr>
              <w:pStyle w:val="a3"/>
              <w:spacing w:before="0" w:beforeAutospacing="0" w:after="0" w:afterAutospacing="0"/>
              <w:rPr>
                <w:sz w:val="20"/>
                <w:szCs w:val="20"/>
              </w:rPr>
            </w:pPr>
            <w:r>
              <w:rPr>
                <w:sz w:val="20"/>
                <w:szCs w:val="20"/>
              </w:rPr>
              <w:t>Land</w:t>
            </w:r>
          </w:p>
        </w:tc>
        <w:tc>
          <w:tcPr>
            <w:tcW w:w="50" w:type="pct"/>
            <w:tcBorders>
              <w:bottom w:val="nil"/>
            </w:tcBorders>
            <w:shd w:val="clear" w:color="auto" w:fill="CCEEFF"/>
            <w:vAlign w:val="bottom"/>
            <w:hideMark/>
          </w:tcPr>
          <w:p w14:paraId="0B8E2BE9"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8373ED7" w14:textId="77777777" w:rsidR="00000000" w:rsidRDefault="00322B34">
            <w:pPr>
              <w:rPr>
                <w:rFonts w:eastAsia="Times New Roman"/>
                <w:sz w:val="20"/>
                <w:szCs w:val="20"/>
              </w:rPr>
            </w:pPr>
            <w:r>
              <w:rPr>
                <w:rFonts w:eastAsia="Times New Roman"/>
                <w:sz w:val="20"/>
                <w:szCs w:val="20"/>
              </w:rPr>
              <w:t>$</w:t>
            </w:r>
          </w:p>
        </w:tc>
        <w:tc>
          <w:tcPr>
            <w:tcW w:w="1250" w:type="pct"/>
            <w:tcBorders>
              <w:bottom w:val="nil"/>
            </w:tcBorders>
            <w:shd w:val="clear" w:color="auto" w:fill="CCEEFF"/>
            <w:vAlign w:val="bottom"/>
            <w:hideMark/>
          </w:tcPr>
          <w:p w14:paraId="2A72BCF6" w14:textId="77777777" w:rsidR="00000000" w:rsidRDefault="00322B34">
            <w:pPr>
              <w:jc w:val="right"/>
              <w:rPr>
                <w:rFonts w:eastAsia="Times New Roman"/>
                <w:sz w:val="20"/>
                <w:szCs w:val="20"/>
              </w:rPr>
            </w:pPr>
            <w:r>
              <w:rPr>
                <w:rFonts w:eastAsia="Times New Roman"/>
                <w:sz w:val="20"/>
                <w:szCs w:val="20"/>
              </w:rPr>
              <w:t>935</w:t>
            </w:r>
          </w:p>
        </w:tc>
        <w:tc>
          <w:tcPr>
            <w:tcW w:w="50" w:type="pct"/>
            <w:tcBorders>
              <w:bottom w:val="nil"/>
            </w:tcBorders>
            <w:shd w:val="clear" w:color="auto" w:fill="CCEEFF"/>
            <w:vAlign w:val="bottom"/>
            <w:hideMark/>
          </w:tcPr>
          <w:p w14:paraId="0EC7F0B4"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769D9DF"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2D8077F" w14:textId="77777777" w:rsidR="00000000" w:rsidRDefault="00322B34">
            <w:pPr>
              <w:rPr>
                <w:rFonts w:eastAsia="Times New Roman"/>
                <w:sz w:val="20"/>
                <w:szCs w:val="20"/>
              </w:rPr>
            </w:pPr>
            <w:r>
              <w:rPr>
                <w:rFonts w:eastAsia="Times New Roman"/>
                <w:sz w:val="20"/>
                <w:szCs w:val="20"/>
              </w:rPr>
              <w:t> </w:t>
            </w:r>
          </w:p>
        </w:tc>
        <w:tc>
          <w:tcPr>
            <w:tcW w:w="1250" w:type="pct"/>
            <w:tcBorders>
              <w:bottom w:val="nil"/>
            </w:tcBorders>
            <w:shd w:val="clear" w:color="auto" w:fill="CCEEFF"/>
            <w:vAlign w:val="bottom"/>
            <w:hideMark/>
          </w:tcPr>
          <w:p w14:paraId="54A4518D" w14:textId="77777777" w:rsidR="00000000" w:rsidRDefault="00322B34">
            <w:pPr>
              <w:jc w:val="center"/>
              <w:rPr>
                <w:rFonts w:eastAsia="Times New Roman"/>
                <w:sz w:val="20"/>
                <w:szCs w:val="20"/>
              </w:rPr>
            </w:pPr>
            <w:r>
              <w:rPr>
                <w:rStyle w:val="a6"/>
                <w:rFonts w:eastAsia="Times New Roman"/>
                <w:sz w:val="20"/>
                <w:szCs w:val="20"/>
              </w:rPr>
              <w:t>n/a</w:t>
            </w:r>
          </w:p>
        </w:tc>
        <w:tc>
          <w:tcPr>
            <w:tcW w:w="50" w:type="pct"/>
            <w:tcBorders>
              <w:bottom w:val="nil"/>
            </w:tcBorders>
            <w:shd w:val="clear" w:color="auto" w:fill="CCEEFF"/>
            <w:vAlign w:val="bottom"/>
            <w:hideMark/>
          </w:tcPr>
          <w:p w14:paraId="3ED973D3" w14:textId="77777777" w:rsidR="00000000" w:rsidRDefault="00322B34">
            <w:pPr>
              <w:rPr>
                <w:rFonts w:eastAsia="Times New Roman"/>
                <w:sz w:val="20"/>
                <w:szCs w:val="20"/>
              </w:rPr>
            </w:pPr>
            <w:r>
              <w:rPr>
                <w:rFonts w:eastAsia="Times New Roman"/>
                <w:sz w:val="20"/>
                <w:szCs w:val="20"/>
              </w:rPr>
              <w:t> </w:t>
            </w:r>
          </w:p>
        </w:tc>
      </w:tr>
      <w:tr w:rsidR="00000000" w14:paraId="4309327F" w14:textId="77777777">
        <w:trPr>
          <w:tblCellSpacing w:w="0" w:type="dxa"/>
        </w:trPr>
        <w:tc>
          <w:tcPr>
            <w:tcW w:w="2200" w:type="pct"/>
            <w:shd w:val="clear" w:color="auto" w:fill="FFFFFF"/>
            <w:vAlign w:val="bottom"/>
            <w:hideMark/>
          </w:tcPr>
          <w:p w14:paraId="457A0245" w14:textId="77777777" w:rsidR="00000000" w:rsidRDefault="00322B34">
            <w:pPr>
              <w:pStyle w:val="a3"/>
              <w:spacing w:before="0" w:beforeAutospacing="0" w:after="0" w:afterAutospacing="0"/>
              <w:rPr>
                <w:sz w:val="20"/>
                <w:szCs w:val="20"/>
              </w:rPr>
            </w:pPr>
            <w:r>
              <w:rPr>
                <w:sz w:val="20"/>
                <w:szCs w:val="20"/>
              </w:rPr>
              <w:t>Building</w:t>
            </w:r>
          </w:p>
        </w:tc>
        <w:tc>
          <w:tcPr>
            <w:tcW w:w="50" w:type="pct"/>
            <w:shd w:val="clear" w:color="auto" w:fill="FFFFFF"/>
            <w:vAlign w:val="bottom"/>
            <w:hideMark/>
          </w:tcPr>
          <w:p w14:paraId="74B5F3B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54C8B2" w14:textId="77777777" w:rsidR="00000000" w:rsidRDefault="00322B34">
            <w:pPr>
              <w:rPr>
                <w:rFonts w:eastAsia="Times New Roman"/>
                <w:sz w:val="20"/>
                <w:szCs w:val="20"/>
              </w:rPr>
            </w:pPr>
            <w:r>
              <w:rPr>
                <w:rFonts w:eastAsia="Times New Roman"/>
                <w:sz w:val="20"/>
                <w:szCs w:val="20"/>
              </w:rPr>
              <w:t> </w:t>
            </w:r>
          </w:p>
        </w:tc>
        <w:tc>
          <w:tcPr>
            <w:tcW w:w="1250" w:type="pct"/>
            <w:shd w:val="clear" w:color="auto" w:fill="FFFFFF"/>
            <w:vAlign w:val="bottom"/>
            <w:hideMark/>
          </w:tcPr>
          <w:p w14:paraId="66A41420" w14:textId="77777777" w:rsidR="00000000" w:rsidRDefault="00322B34">
            <w:pPr>
              <w:jc w:val="right"/>
              <w:rPr>
                <w:rFonts w:eastAsia="Times New Roman"/>
                <w:sz w:val="20"/>
                <w:szCs w:val="20"/>
              </w:rPr>
            </w:pPr>
            <w:r>
              <w:rPr>
                <w:rFonts w:eastAsia="Times New Roman"/>
                <w:sz w:val="20"/>
                <w:szCs w:val="20"/>
              </w:rPr>
              <w:t>4,610</w:t>
            </w:r>
          </w:p>
        </w:tc>
        <w:tc>
          <w:tcPr>
            <w:tcW w:w="50" w:type="pct"/>
            <w:shd w:val="clear" w:color="auto" w:fill="FFFFFF"/>
            <w:vAlign w:val="bottom"/>
            <w:hideMark/>
          </w:tcPr>
          <w:p w14:paraId="3FA50A0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7FCAA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8E1D0A" w14:textId="77777777" w:rsidR="00000000" w:rsidRDefault="00322B34">
            <w:pPr>
              <w:rPr>
                <w:rFonts w:eastAsia="Times New Roman"/>
                <w:sz w:val="20"/>
                <w:szCs w:val="20"/>
              </w:rPr>
            </w:pPr>
            <w:r>
              <w:rPr>
                <w:rFonts w:eastAsia="Times New Roman"/>
                <w:sz w:val="20"/>
                <w:szCs w:val="20"/>
              </w:rPr>
              <w:t> </w:t>
            </w:r>
          </w:p>
        </w:tc>
        <w:tc>
          <w:tcPr>
            <w:tcW w:w="1250" w:type="pct"/>
            <w:shd w:val="clear" w:color="auto" w:fill="FFFFFF"/>
            <w:vAlign w:val="bottom"/>
            <w:hideMark/>
          </w:tcPr>
          <w:p w14:paraId="44FD0790" w14:textId="77777777" w:rsidR="00000000" w:rsidRDefault="00322B34">
            <w:pPr>
              <w:jc w:val="center"/>
              <w:rPr>
                <w:rFonts w:eastAsia="Times New Roman"/>
                <w:sz w:val="20"/>
                <w:szCs w:val="20"/>
              </w:rPr>
            </w:pPr>
            <w:r>
              <w:rPr>
                <w:rFonts w:eastAsia="Times New Roman"/>
                <w:sz w:val="20"/>
                <w:szCs w:val="20"/>
              </w:rPr>
              <w:t>50.0</w:t>
            </w:r>
          </w:p>
        </w:tc>
        <w:tc>
          <w:tcPr>
            <w:tcW w:w="50" w:type="pct"/>
            <w:shd w:val="clear" w:color="auto" w:fill="FFFFFF"/>
            <w:vAlign w:val="bottom"/>
            <w:hideMark/>
          </w:tcPr>
          <w:p w14:paraId="3A17EDC3" w14:textId="77777777" w:rsidR="00000000" w:rsidRDefault="00322B34">
            <w:pPr>
              <w:rPr>
                <w:rFonts w:eastAsia="Times New Roman"/>
                <w:sz w:val="20"/>
                <w:szCs w:val="20"/>
              </w:rPr>
            </w:pPr>
            <w:r>
              <w:rPr>
                <w:rFonts w:eastAsia="Times New Roman"/>
                <w:sz w:val="20"/>
                <w:szCs w:val="20"/>
              </w:rPr>
              <w:t> </w:t>
            </w:r>
          </w:p>
        </w:tc>
      </w:tr>
      <w:tr w:rsidR="00000000" w14:paraId="4005F12B" w14:textId="77777777">
        <w:trPr>
          <w:tblCellSpacing w:w="0" w:type="dxa"/>
        </w:trPr>
        <w:tc>
          <w:tcPr>
            <w:tcW w:w="2200" w:type="pct"/>
            <w:shd w:val="clear" w:color="auto" w:fill="CCEEFF"/>
            <w:vAlign w:val="bottom"/>
            <w:hideMark/>
          </w:tcPr>
          <w:p w14:paraId="52E3181D" w14:textId="77777777" w:rsidR="00000000" w:rsidRDefault="00322B34">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14:paraId="6D20F28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058874" w14:textId="77777777" w:rsidR="00000000" w:rsidRDefault="00322B34">
            <w:pPr>
              <w:rPr>
                <w:rFonts w:eastAsia="Times New Roman"/>
                <w:sz w:val="20"/>
                <w:szCs w:val="20"/>
              </w:rPr>
            </w:pPr>
            <w:r>
              <w:rPr>
                <w:rFonts w:eastAsia="Times New Roman"/>
                <w:sz w:val="20"/>
                <w:szCs w:val="20"/>
              </w:rPr>
              <w:t> </w:t>
            </w:r>
          </w:p>
        </w:tc>
        <w:tc>
          <w:tcPr>
            <w:tcW w:w="1250" w:type="pct"/>
            <w:shd w:val="clear" w:color="auto" w:fill="CCEEFF"/>
            <w:vAlign w:val="bottom"/>
            <w:hideMark/>
          </w:tcPr>
          <w:p w14:paraId="03508869" w14:textId="77777777" w:rsidR="00000000" w:rsidRDefault="00322B34">
            <w:pPr>
              <w:jc w:val="right"/>
              <w:rPr>
                <w:rFonts w:eastAsia="Times New Roman"/>
                <w:sz w:val="20"/>
                <w:szCs w:val="20"/>
              </w:rPr>
            </w:pPr>
            <w:r>
              <w:rPr>
                <w:rFonts w:eastAsia="Times New Roman"/>
                <w:sz w:val="20"/>
                <w:szCs w:val="20"/>
              </w:rPr>
              <w:t>221</w:t>
            </w:r>
          </w:p>
        </w:tc>
        <w:tc>
          <w:tcPr>
            <w:tcW w:w="50" w:type="pct"/>
            <w:shd w:val="clear" w:color="auto" w:fill="CCEEFF"/>
            <w:vAlign w:val="bottom"/>
            <w:hideMark/>
          </w:tcPr>
          <w:p w14:paraId="438DD57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42643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0A53E4" w14:textId="77777777" w:rsidR="00000000" w:rsidRDefault="00322B34">
            <w:pPr>
              <w:rPr>
                <w:rFonts w:eastAsia="Times New Roman"/>
                <w:sz w:val="20"/>
                <w:szCs w:val="20"/>
              </w:rPr>
            </w:pPr>
            <w:r>
              <w:rPr>
                <w:rFonts w:eastAsia="Times New Roman"/>
                <w:sz w:val="20"/>
                <w:szCs w:val="20"/>
              </w:rPr>
              <w:t> </w:t>
            </w:r>
          </w:p>
        </w:tc>
        <w:tc>
          <w:tcPr>
            <w:tcW w:w="1250" w:type="pct"/>
            <w:shd w:val="clear" w:color="auto" w:fill="CCEEFF"/>
            <w:vAlign w:val="bottom"/>
            <w:hideMark/>
          </w:tcPr>
          <w:p w14:paraId="48410C1F" w14:textId="77777777" w:rsidR="00000000" w:rsidRDefault="00322B34">
            <w:pPr>
              <w:jc w:val="center"/>
              <w:rPr>
                <w:rFonts w:eastAsia="Times New Roman"/>
                <w:sz w:val="20"/>
                <w:szCs w:val="20"/>
              </w:rPr>
            </w:pPr>
            <w:r>
              <w:rPr>
                <w:rFonts w:eastAsia="Times New Roman"/>
                <w:sz w:val="20"/>
                <w:szCs w:val="20"/>
              </w:rPr>
              <w:t>45.0</w:t>
            </w:r>
          </w:p>
        </w:tc>
        <w:tc>
          <w:tcPr>
            <w:tcW w:w="50" w:type="pct"/>
            <w:shd w:val="clear" w:color="auto" w:fill="CCEEFF"/>
            <w:vAlign w:val="bottom"/>
            <w:hideMark/>
          </w:tcPr>
          <w:p w14:paraId="027AE73E" w14:textId="77777777" w:rsidR="00000000" w:rsidRDefault="00322B34">
            <w:pPr>
              <w:rPr>
                <w:rFonts w:eastAsia="Times New Roman"/>
                <w:sz w:val="20"/>
                <w:szCs w:val="20"/>
              </w:rPr>
            </w:pPr>
            <w:r>
              <w:rPr>
                <w:rFonts w:eastAsia="Times New Roman"/>
                <w:sz w:val="20"/>
                <w:szCs w:val="20"/>
              </w:rPr>
              <w:t> </w:t>
            </w:r>
          </w:p>
        </w:tc>
      </w:tr>
      <w:tr w:rsidR="00000000" w14:paraId="08C1042E" w14:textId="77777777">
        <w:trPr>
          <w:tblCellSpacing w:w="0" w:type="dxa"/>
        </w:trPr>
        <w:tc>
          <w:tcPr>
            <w:tcW w:w="2200" w:type="pct"/>
            <w:shd w:val="clear" w:color="auto" w:fill="FFFFFF"/>
            <w:vAlign w:val="bottom"/>
            <w:hideMark/>
          </w:tcPr>
          <w:p w14:paraId="3F01C894" w14:textId="77777777" w:rsidR="00000000" w:rsidRDefault="00322B34">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14:paraId="4278AAF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436700" w14:textId="77777777" w:rsidR="00000000" w:rsidRDefault="00322B34">
            <w:pPr>
              <w:rPr>
                <w:rFonts w:eastAsia="Times New Roman"/>
                <w:sz w:val="20"/>
                <w:szCs w:val="20"/>
              </w:rPr>
            </w:pPr>
            <w:r>
              <w:rPr>
                <w:rFonts w:eastAsia="Times New Roman"/>
                <w:sz w:val="20"/>
                <w:szCs w:val="20"/>
              </w:rPr>
              <w:t> </w:t>
            </w:r>
          </w:p>
        </w:tc>
        <w:tc>
          <w:tcPr>
            <w:tcW w:w="1250" w:type="pct"/>
            <w:shd w:val="clear" w:color="auto" w:fill="FFFFFF"/>
            <w:vAlign w:val="bottom"/>
            <w:hideMark/>
          </w:tcPr>
          <w:p w14:paraId="76D33759" w14:textId="77777777" w:rsidR="00000000" w:rsidRDefault="00322B34">
            <w:pPr>
              <w:jc w:val="right"/>
              <w:rPr>
                <w:rFonts w:eastAsia="Times New Roman"/>
                <w:sz w:val="20"/>
                <w:szCs w:val="20"/>
              </w:rPr>
            </w:pPr>
            <w:r>
              <w:rPr>
                <w:rFonts w:eastAsia="Times New Roman"/>
                <w:sz w:val="20"/>
                <w:szCs w:val="20"/>
              </w:rPr>
              <w:t>382</w:t>
            </w:r>
          </w:p>
        </w:tc>
        <w:tc>
          <w:tcPr>
            <w:tcW w:w="50" w:type="pct"/>
            <w:shd w:val="clear" w:color="auto" w:fill="FFFFFF"/>
            <w:vAlign w:val="bottom"/>
            <w:hideMark/>
          </w:tcPr>
          <w:p w14:paraId="1FFF550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6EE08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A7E70B" w14:textId="77777777" w:rsidR="00000000" w:rsidRDefault="00322B34">
            <w:pPr>
              <w:rPr>
                <w:rFonts w:eastAsia="Times New Roman"/>
                <w:sz w:val="20"/>
                <w:szCs w:val="20"/>
              </w:rPr>
            </w:pPr>
            <w:r>
              <w:rPr>
                <w:rFonts w:eastAsia="Times New Roman"/>
                <w:sz w:val="20"/>
                <w:szCs w:val="20"/>
              </w:rPr>
              <w:t> </w:t>
            </w:r>
          </w:p>
        </w:tc>
        <w:tc>
          <w:tcPr>
            <w:tcW w:w="1250" w:type="pct"/>
            <w:shd w:val="clear" w:color="auto" w:fill="FFFFFF"/>
            <w:vAlign w:val="bottom"/>
            <w:hideMark/>
          </w:tcPr>
          <w:p w14:paraId="05576897" w14:textId="77777777" w:rsidR="00000000" w:rsidRDefault="00322B34">
            <w:pPr>
              <w:jc w:val="center"/>
              <w:rPr>
                <w:rFonts w:eastAsia="Times New Roman"/>
                <w:sz w:val="20"/>
                <w:szCs w:val="20"/>
              </w:rPr>
            </w:pPr>
            <w:r>
              <w:rPr>
                <w:rFonts w:eastAsia="Times New Roman"/>
                <w:sz w:val="20"/>
                <w:szCs w:val="20"/>
              </w:rPr>
              <w:t>19.4</w:t>
            </w:r>
          </w:p>
        </w:tc>
        <w:tc>
          <w:tcPr>
            <w:tcW w:w="50" w:type="pct"/>
            <w:shd w:val="clear" w:color="auto" w:fill="FFFFFF"/>
            <w:vAlign w:val="bottom"/>
            <w:hideMark/>
          </w:tcPr>
          <w:p w14:paraId="0554294C" w14:textId="77777777" w:rsidR="00000000" w:rsidRDefault="00322B34">
            <w:pPr>
              <w:rPr>
                <w:rFonts w:eastAsia="Times New Roman"/>
                <w:sz w:val="20"/>
                <w:szCs w:val="20"/>
              </w:rPr>
            </w:pPr>
            <w:r>
              <w:rPr>
                <w:rFonts w:eastAsia="Times New Roman"/>
                <w:sz w:val="20"/>
                <w:szCs w:val="20"/>
              </w:rPr>
              <w:t> </w:t>
            </w:r>
          </w:p>
        </w:tc>
      </w:tr>
      <w:tr w:rsidR="00000000" w14:paraId="5EDCCB72" w14:textId="77777777">
        <w:trPr>
          <w:tblCellSpacing w:w="0" w:type="dxa"/>
        </w:trPr>
        <w:tc>
          <w:tcPr>
            <w:tcW w:w="2200" w:type="pct"/>
            <w:shd w:val="clear" w:color="auto" w:fill="CCEEFF"/>
            <w:vAlign w:val="bottom"/>
            <w:hideMark/>
          </w:tcPr>
          <w:p w14:paraId="6FCA1BB2" w14:textId="77777777" w:rsidR="00000000" w:rsidRDefault="00322B34">
            <w:pPr>
              <w:pStyle w:val="a3"/>
              <w:spacing w:before="0" w:beforeAutospacing="0" w:after="0" w:afterAutospacing="0"/>
              <w:rPr>
                <w:sz w:val="20"/>
                <w:szCs w:val="20"/>
              </w:rPr>
            </w:pPr>
            <w:r>
              <w:rPr>
                <w:sz w:val="20"/>
                <w:szCs w:val="20"/>
              </w:rPr>
              <w:t>In-place leases</w:t>
            </w:r>
          </w:p>
        </w:tc>
        <w:tc>
          <w:tcPr>
            <w:tcW w:w="50" w:type="pct"/>
            <w:shd w:val="clear" w:color="auto" w:fill="CCEEFF"/>
            <w:vAlign w:val="bottom"/>
            <w:hideMark/>
          </w:tcPr>
          <w:p w14:paraId="3795645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9372E00" w14:textId="77777777" w:rsidR="00000000" w:rsidRDefault="00322B34">
            <w:pPr>
              <w:rPr>
                <w:rFonts w:eastAsia="Times New Roman"/>
                <w:sz w:val="20"/>
                <w:szCs w:val="20"/>
              </w:rPr>
            </w:pPr>
            <w:r>
              <w:rPr>
                <w:rFonts w:eastAsia="Times New Roman"/>
                <w:sz w:val="20"/>
                <w:szCs w:val="20"/>
              </w:rPr>
              <w:t> </w:t>
            </w:r>
          </w:p>
        </w:tc>
        <w:tc>
          <w:tcPr>
            <w:tcW w:w="1250" w:type="pct"/>
            <w:tcBorders>
              <w:bottom w:val="single" w:sz="6" w:space="0" w:color="000000"/>
            </w:tcBorders>
            <w:shd w:val="clear" w:color="auto" w:fill="CCEEFF"/>
            <w:vAlign w:val="bottom"/>
            <w:hideMark/>
          </w:tcPr>
          <w:p w14:paraId="54ECB261" w14:textId="77777777" w:rsidR="00000000" w:rsidRDefault="00322B34">
            <w:pPr>
              <w:jc w:val="right"/>
              <w:rPr>
                <w:rFonts w:eastAsia="Times New Roman"/>
                <w:sz w:val="20"/>
                <w:szCs w:val="20"/>
              </w:rPr>
            </w:pPr>
            <w:r>
              <w:rPr>
                <w:rFonts w:eastAsia="Times New Roman"/>
                <w:sz w:val="20"/>
                <w:szCs w:val="20"/>
              </w:rPr>
              <w:t>925</w:t>
            </w:r>
          </w:p>
        </w:tc>
        <w:tc>
          <w:tcPr>
            <w:tcW w:w="50" w:type="pct"/>
            <w:shd w:val="clear" w:color="auto" w:fill="CCEEFF"/>
            <w:tcMar>
              <w:top w:w="0" w:type="dxa"/>
              <w:left w:w="0" w:type="dxa"/>
              <w:bottom w:w="15" w:type="dxa"/>
              <w:right w:w="0" w:type="dxa"/>
            </w:tcMar>
            <w:vAlign w:val="bottom"/>
            <w:hideMark/>
          </w:tcPr>
          <w:p w14:paraId="1784212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F8E74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CD7046" w14:textId="77777777" w:rsidR="00000000" w:rsidRDefault="00322B34">
            <w:pPr>
              <w:rPr>
                <w:rFonts w:eastAsia="Times New Roman"/>
                <w:sz w:val="20"/>
                <w:szCs w:val="20"/>
              </w:rPr>
            </w:pPr>
            <w:r>
              <w:rPr>
                <w:rFonts w:eastAsia="Times New Roman"/>
                <w:sz w:val="20"/>
                <w:szCs w:val="20"/>
              </w:rPr>
              <w:t> </w:t>
            </w:r>
          </w:p>
        </w:tc>
        <w:tc>
          <w:tcPr>
            <w:tcW w:w="1250" w:type="pct"/>
            <w:shd w:val="clear" w:color="auto" w:fill="CCEEFF"/>
            <w:vAlign w:val="bottom"/>
            <w:hideMark/>
          </w:tcPr>
          <w:p w14:paraId="21591356" w14:textId="77777777" w:rsidR="00000000" w:rsidRDefault="00322B34">
            <w:pPr>
              <w:jc w:val="center"/>
              <w:rPr>
                <w:rFonts w:eastAsia="Times New Roman"/>
                <w:sz w:val="20"/>
                <w:szCs w:val="20"/>
              </w:rPr>
            </w:pPr>
            <w:r>
              <w:rPr>
                <w:rFonts w:eastAsia="Times New Roman"/>
                <w:sz w:val="20"/>
                <w:szCs w:val="20"/>
              </w:rPr>
              <w:t>19.4</w:t>
            </w:r>
          </w:p>
        </w:tc>
        <w:tc>
          <w:tcPr>
            <w:tcW w:w="50" w:type="pct"/>
            <w:shd w:val="clear" w:color="auto" w:fill="CCEEFF"/>
            <w:vAlign w:val="bottom"/>
            <w:hideMark/>
          </w:tcPr>
          <w:p w14:paraId="71477EEA" w14:textId="77777777" w:rsidR="00000000" w:rsidRDefault="00322B34">
            <w:pPr>
              <w:rPr>
                <w:rFonts w:eastAsia="Times New Roman"/>
                <w:sz w:val="20"/>
                <w:szCs w:val="20"/>
              </w:rPr>
            </w:pPr>
            <w:r>
              <w:rPr>
                <w:rFonts w:eastAsia="Times New Roman"/>
                <w:sz w:val="20"/>
                <w:szCs w:val="20"/>
              </w:rPr>
              <w:t> </w:t>
            </w:r>
          </w:p>
        </w:tc>
      </w:tr>
      <w:tr w:rsidR="00000000" w14:paraId="7385B55A" w14:textId="77777777">
        <w:trPr>
          <w:tblCellSpacing w:w="0" w:type="dxa"/>
        </w:trPr>
        <w:tc>
          <w:tcPr>
            <w:tcW w:w="2200" w:type="pct"/>
            <w:shd w:val="clear" w:color="auto" w:fill="FFFFFF"/>
            <w:vAlign w:val="bottom"/>
            <w:hideMark/>
          </w:tcPr>
          <w:p w14:paraId="5775B8BE" w14:textId="77777777" w:rsidR="00000000" w:rsidRDefault="00322B34">
            <w:pPr>
              <w:pStyle w:val="a3"/>
              <w:spacing w:before="0" w:beforeAutospacing="0" w:after="0" w:afterAutospacing="0"/>
              <w:rPr>
                <w:sz w:val="20"/>
                <w:szCs w:val="20"/>
              </w:rPr>
            </w:pPr>
            <w:r>
              <w:rPr>
                <w:b/>
                <w:bCs/>
                <w:sz w:val="20"/>
                <w:szCs w:val="20"/>
              </w:rPr>
              <w:t>Net assets acquired</w:t>
            </w:r>
          </w:p>
        </w:tc>
        <w:tc>
          <w:tcPr>
            <w:tcW w:w="50" w:type="pct"/>
            <w:shd w:val="clear" w:color="auto" w:fill="FFFFFF"/>
            <w:vAlign w:val="bottom"/>
            <w:hideMark/>
          </w:tcPr>
          <w:p w14:paraId="5A3D332E"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8E14399" w14:textId="77777777" w:rsidR="00000000" w:rsidRDefault="00322B34">
            <w:pPr>
              <w:rPr>
                <w:rFonts w:eastAsia="Times New Roman"/>
                <w:sz w:val="20"/>
                <w:szCs w:val="20"/>
              </w:rPr>
            </w:pPr>
            <w:r>
              <w:rPr>
                <w:rFonts w:eastAsia="Times New Roman"/>
                <w:b/>
                <w:bCs/>
                <w:sz w:val="20"/>
                <w:szCs w:val="20"/>
              </w:rPr>
              <w:t>$</w:t>
            </w:r>
          </w:p>
        </w:tc>
        <w:tc>
          <w:tcPr>
            <w:tcW w:w="1250" w:type="pct"/>
            <w:tcBorders>
              <w:bottom w:val="double" w:sz="6" w:space="0" w:color="000000"/>
            </w:tcBorders>
            <w:shd w:val="clear" w:color="auto" w:fill="FFFFFF"/>
            <w:vAlign w:val="bottom"/>
            <w:hideMark/>
          </w:tcPr>
          <w:p w14:paraId="74EB4741" w14:textId="77777777" w:rsidR="00000000" w:rsidRDefault="00322B34">
            <w:pPr>
              <w:jc w:val="right"/>
              <w:rPr>
                <w:rFonts w:eastAsia="Times New Roman"/>
                <w:sz w:val="20"/>
                <w:szCs w:val="20"/>
              </w:rPr>
            </w:pPr>
            <w:r>
              <w:rPr>
                <w:rFonts w:eastAsia="Times New Roman"/>
                <w:b/>
                <w:bCs/>
                <w:sz w:val="20"/>
                <w:szCs w:val="20"/>
              </w:rPr>
              <w:t>7,073</w:t>
            </w:r>
          </w:p>
        </w:tc>
        <w:tc>
          <w:tcPr>
            <w:tcW w:w="50" w:type="pct"/>
            <w:shd w:val="clear" w:color="auto" w:fill="FFFFFF"/>
            <w:tcMar>
              <w:top w:w="0" w:type="dxa"/>
              <w:left w:w="0" w:type="dxa"/>
              <w:bottom w:w="45" w:type="dxa"/>
              <w:right w:w="0" w:type="dxa"/>
            </w:tcMar>
            <w:vAlign w:val="bottom"/>
            <w:hideMark/>
          </w:tcPr>
          <w:p w14:paraId="0119806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609A2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06D216" w14:textId="77777777" w:rsidR="00000000" w:rsidRDefault="00322B34">
            <w:pPr>
              <w:rPr>
                <w:rFonts w:eastAsia="Times New Roman"/>
                <w:sz w:val="20"/>
                <w:szCs w:val="20"/>
              </w:rPr>
            </w:pPr>
            <w:r>
              <w:rPr>
                <w:rFonts w:eastAsia="Times New Roman"/>
                <w:b/>
                <w:bCs/>
                <w:sz w:val="20"/>
                <w:szCs w:val="20"/>
              </w:rPr>
              <w:t> </w:t>
            </w:r>
          </w:p>
        </w:tc>
        <w:tc>
          <w:tcPr>
            <w:tcW w:w="1250" w:type="pct"/>
            <w:shd w:val="clear" w:color="auto" w:fill="FFFFFF"/>
            <w:vAlign w:val="bottom"/>
            <w:hideMark/>
          </w:tcPr>
          <w:p w14:paraId="5BB68E53" w14:textId="77777777" w:rsidR="00000000" w:rsidRDefault="00322B34">
            <w:pPr>
              <w:jc w:val="right"/>
              <w:rPr>
                <w:rFonts w:eastAsia="Times New Roman"/>
                <w:sz w:val="20"/>
                <w:szCs w:val="20"/>
              </w:rPr>
            </w:pPr>
            <w:r>
              <w:rPr>
                <w:rStyle w:val="a6"/>
                <w:rFonts w:eastAsia="Times New Roman"/>
                <w:b/>
                <w:bCs/>
                <w:sz w:val="20"/>
                <w:szCs w:val="20"/>
              </w:rPr>
              <w:t> </w:t>
            </w:r>
          </w:p>
        </w:tc>
        <w:tc>
          <w:tcPr>
            <w:tcW w:w="50" w:type="pct"/>
            <w:shd w:val="clear" w:color="auto" w:fill="FFFFFF"/>
            <w:vAlign w:val="bottom"/>
            <w:hideMark/>
          </w:tcPr>
          <w:p w14:paraId="057EFB92" w14:textId="77777777" w:rsidR="00000000" w:rsidRDefault="00322B34">
            <w:pPr>
              <w:rPr>
                <w:rFonts w:eastAsia="Times New Roman"/>
                <w:sz w:val="20"/>
                <w:szCs w:val="20"/>
              </w:rPr>
            </w:pPr>
            <w:r>
              <w:rPr>
                <w:rFonts w:eastAsia="Times New Roman"/>
                <w:b/>
                <w:bCs/>
                <w:sz w:val="20"/>
                <w:szCs w:val="20"/>
              </w:rPr>
              <w:t> </w:t>
            </w:r>
          </w:p>
        </w:tc>
      </w:tr>
    </w:tbl>
    <w:p w14:paraId="6B8B2911" w14:textId="77777777" w:rsidR="00000000" w:rsidRDefault="00322B34">
      <w:pPr>
        <w:pStyle w:val="a3"/>
        <w:spacing w:before="0" w:beforeAutospacing="0" w:after="0" w:afterAutospacing="0"/>
        <w:jc w:val="both"/>
        <w:rPr>
          <w:sz w:val="20"/>
          <w:szCs w:val="20"/>
        </w:rPr>
      </w:pPr>
      <w:r>
        <w:rPr>
          <w:i/>
          <w:iCs/>
          <w:sz w:val="20"/>
          <w:szCs w:val="20"/>
        </w:rPr>
        <w:t> </w:t>
      </w:r>
    </w:p>
    <w:p w14:paraId="54B35641" w14:textId="77777777" w:rsidR="00000000" w:rsidRDefault="00322B34">
      <w:pPr>
        <w:pStyle w:val="a3"/>
        <w:spacing w:before="0" w:beforeAutospacing="0" w:after="0" w:afterAutospacing="0"/>
        <w:jc w:val="both"/>
        <w:rPr>
          <w:sz w:val="20"/>
          <w:szCs w:val="20"/>
        </w:rPr>
      </w:pPr>
      <w:r>
        <w:rPr>
          <w:i/>
          <w:iCs/>
          <w:sz w:val="20"/>
          <w:szCs w:val="20"/>
        </w:rPr>
        <w:t>Real Estate Under Development –</w:t>
      </w:r>
    </w:p>
    <w:p w14:paraId="7F00D6CC" w14:textId="77777777" w:rsidR="00000000" w:rsidRDefault="00322B34">
      <w:pPr>
        <w:pStyle w:val="a3"/>
        <w:spacing w:before="0" w:beforeAutospacing="0" w:after="0" w:afterAutospacing="0"/>
        <w:jc w:val="both"/>
        <w:rPr>
          <w:sz w:val="20"/>
          <w:szCs w:val="20"/>
        </w:rPr>
      </w:pPr>
      <w:r>
        <w:rPr>
          <w:sz w:val="20"/>
          <w:szCs w:val="20"/>
        </w:rPr>
        <w:t> </w:t>
      </w:r>
    </w:p>
    <w:p w14:paraId="5E3D527C" w14:textId="77777777" w:rsidR="00000000" w:rsidRDefault="00322B34">
      <w:pPr>
        <w:pStyle w:val="a3"/>
        <w:spacing w:before="0" w:beforeAutospacing="0" w:after="0" w:afterAutospacing="0"/>
        <w:ind w:firstLine="360"/>
        <w:jc w:val="both"/>
        <w:rPr>
          <w:sz w:val="20"/>
          <w:szCs w:val="20"/>
        </w:rPr>
      </w:pPr>
      <w:r>
        <w:rPr>
          <w:sz w:val="20"/>
          <w:szCs w:val="20"/>
        </w:rPr>
        <w:t xml:space="preserve">The Company had a real estate development project located in Dania Beach, FL for long-term investment. During </w:t>
      </w:r>
      <w:r>
        <w:rPr>
          <w:rStyle w:val="a6"/>
          <w:sz w:val="20"/>
          <w:szCs w:val="20"/>
        </w:rPr>
        <w:t xml:space="preserve">June 2020, </w:t>
      </w:r>
      <w:r>
        <w:rPr>
          <w:sz w:val="20"/>
          <w:szCs w:val="20"/>
        </w:rPr>
        <w:t>this real estate development project, aggregating $229.9 million (including internal capitalized costs of $31.2 million), was placed in</w:t>
      </w:r>
      <w:r>
        <w:rPr>
          <w:sz w:val="20"/>
          <w:szCs w:val="20"/>
        </w:rPr>
        <w:t xml:space="preserve"> service and reclassified $228.8 million to Operating real estate, net and $1.1 million to Other assets on the Company’s Condensed Consolidated Balance Sheets. The Company capitalized (i) interest of $4.0 million and $3.1 million, (ii) real estate taxes, i</w:t>
      </w:r>
      <w:r>
        <w:rPr>
          <w:sz w:val="20"/>
          <w:szCs w:val="20"/>
        </w:rPr>
        <w:t xml:space="preserve">nsurance and legal costs of $0.6 million and $0.4 million and (iii) payroll of $1.0 million and $0.3 million during the </w:t>
      </w:r>
      <w:r>
        <w:rPr>
          <w:rStyle w:val="a6"/>
          <w:sz w:val="20"/>
          <w:szCs w:val="20"/>
        </w:rPr>
        <w:t>six</w:t>
      </w:r>
      <w:r>
        <w:rPr>
          <w:sz w:val="20"/>
          <w:szCs w:val="20"/>
        </w:rPr>
        <w:t xml:space="preserve"> months ended </w:t>
      </w:r>
      <w:r>
        <w:rPr>
          <w:rStyle w:val="a6"/>
          <w:sz w:val="20"/>
          <w:szCs w:val="20"/>
        </w:rPr>
        <w:t xml:space="preserve">June 30, 2020 </w:t>
      </w:r>
      <w:r>
        <w:rPr>
          <w:sz w:val="20"/>
          <w:szCs w:val="20"/>
        </w:rPr>
        <w:t xml:space="preserve">and </w:t>
      </w:r>
      <w:r>
        <w:rPr>
          <w:rStyle w:val="a6"/>
          <w:sz w:val="20"/>
          <w:szCs w:val="20"/>
        </w:rPr>
        <w:t>2019,</w:t>
      </w:r>
      <w:r>
        <w:rPr>
          <w:sz w:val="20"/>
          <w:szCs w:val="20"/>
        </w:rPr>
        <w:t xml:space="preserve"> respectively, in connection with this real estate development project. As of </w:t>
      </w:r>
      <w:r>
        <w:rPr>
          <w:rStyle w:val="a6"/>
          <w:sz w:val="20"/>
          <w:szCs w:val="20"/>
        </w:rPr>
        <w:t xml:space="preserve">June 30, 2020, </w:t>
      </w:r>
      <w:r>
        <w:rPr>
          <w:sz w:val="20"/>
          <w:szCs w:val="20"/>
        </w:rPr>
        <w:t>the</w:t>
      </w:r>
      <w:r>
        <w:rPr>
          <w:sz w:val="20"/>
          <w:szCs w:val="20"/>
        </w:rPr>
        <w:t xml:space="preserve"> Company had </w:t>
      </w:r>
      <w:r>
        <w:rPr>
          <w:rStyle w:val="a6"/>
          <w:sz w:val="20"/>
          <w:szCs w:val="20"/>
        </w:rPr>
        <w:t>one</w:t>
      </w:r>
      <w:r>
        <w:rPr>
          <w:sz w:val="20"/>
          <w:szCs w:val="20"/>
        </w:rPr>
        <w:t xml:space="preserve"> land parcel located in Dania Beach, FL which is held for future development included in Real estate under development on the Company’s Condensed Consolidated Balance Sheets.</w:t>
      </w:r>
    </w:p>
    <w:p w14:paraId="71923AFB" w14:textId="77777777" w:rsidR="00000000" w:rsidRDefault="00322B34">
      <w:pPr>
        <w:pStyle w:val="a3"/>
        <w:spacing w:before="0" w:beforeAutospacing="0" w:after="0" w:afterAutospacing="0"/>
        <w:jc w:val="both"/>
        <w:rPr>
          <w:sz w:val="20"/>
          <w:szCs w:val="20"/>
        </w:rPr>
      </w:pPr>
      <w:r>
        <w:rPr>
          <w:sz w:val="20"/>
          <w:szCs w:val="20"/>
        </w:rPr>
        <w:t> </w:t>
      </w:r>
    </w:p>
    <w:p w14:paraId="11EDAA85" w14:textId="77777777" w:rsidR="00000000" w:rsidRDefault="00322B34">
      <w:pPr>
        <w:pStyle w:val="a3"/>
        <w:spacing w:before="0" w:beforeAutospacing="0" w:after="0" w:afterAutospacing="0"/>
        <w:jc w:val="both"/>
        <w:rPr>
          <w:sz w:val="20"/>
          <w:szCs w:val="20"/>
        </w:rPr>
      </w:pPr>
      <w:r>
        <w:rPr>
          <w:i/>
          <w:iCs/>
          <w:sz w:val="20"/>
          <w:szCs w:val="20"/>
        </w:rPr>
        <w:t>Redevelopment</w:t>
      </w:r>
      <w:r>
        <w:rPr>
          <w:sz w:val="20"/>
          <w:szCs w:val="20"/>
        </w:rPr>
        <w:t xml:space="preserve"> –</w:t>
      </w:r>
    </w:p>
    <w:p w14:paraId="65B36331" w14:textId="77777777" w:rsidR="00000000" w:rsidRDefault="00322B34">
      <w:pPr>
        <w:pStyle w:val="a3"/>
        <w:spacing w:before="0" w:beforeAutospacing="0" w:after="0" w:afterAutospacing="0"/>
        <w:jc w:val="both"/>
        <w:rPr>
          <w:sz w:val="20"/>
          <w:szCs w:val="20"/>
        </w:rPr>
      </w:pPr>
      <w:r>
        <w:rPr>
          <w:sz w:val="20"/>
          <w:szCs w:val="20"/>
        </w:rPr>
        <w:t> </w:t>
      </w:r>
    </w:p>
    <w:p w14:paraId="2DF13574" w14:textId="77777777" w:rsidR="00000000" w:rsidRDefault="00322B34">
      <w:pPr>
        <w:pStyle w:val="a3"/>
        <w:spacing w:before="0" w:beforeAutospacing="0" w:after="0" w:afterAutospacing="0"/>
        <w:ind w:firstLine="360"/>
        <w:jc w:val="both"/>
        <w:rPr>
          <w:sz w:val="20"/>
          <w:szCs w:val="20"/>
        </w:rPr>
      </w:pPr>
      <w:r>
        <w:rPr>
          <w:sz w:val="20"/>
          <w:szCs w:val="20"/>
        </w:rPr>
        <w:t>As a result of the COVID-</w:t>
      </w:r>
      <w:r>
        <w:rPr>
          <w:rStyle w:val="a6"/>
          <w:sz w:val="20"/>
          <w:szCs w:val="20"/>
        </w:rPr>
        <w:t>19</w:t>
      </w:r>
      <w:r>
        <w:rPr>
          <w:sz w:val="20"/>
          <w:szCs w:val="20"/>
        </w:rPr>
        <w:t xml:space="preserve"> pandemic, the Com</w:t>
      </w:r>
      <w:r>
        <w:rPr>
          <w:sz w:val="20"/>
          <w:szCs w:val="20"/>
        </w:rPr>
        <w:t>pany continues to evaluate its current redevelopment and re-tenanting projects and is moving forward with the projects it feels are necessary.</w:t>
      </w:r>
    </w:p>
    <w:p w14:paraId="199C7723" w14:textId="77777777" w:rsidR="00000000" w:rsidRDefault="00322B34">
      <w:pPr>
        <w:pStyle w:val="a3"/>
        <w:spacing w:before="0" w:beforeAutospacing="0" w:after="0" w:afterAutospacing="0"/>
        <w:jc w:val="both"/>
        <w:rPr>
          <w:sz w:val="20"/>
          <w:szCs w:val="20"/>
        </w:rPr>
      </w:pPr>
      <w:r>
        <w:rPr>
          <w:i/>
          <w:iCs/>
          <w:sz w:val="20"/>
          <w:szCs w:val="20"/>
        </w:rPr>
        <w:t> </w:t>
      </w:r>
    </w:p>
    <w:p w14:paraId="229344F2" w14:textId="77777777" w:rsidR="00000000" w:rsidRDefault="00322B34">
      <w:pPr>
        <w:jc w:val="center"/>
        <w:divId w:val="35590974"/>
        <w:rPr>
          <w:rFonts w:eastAsia="Times New Roman"/>
          <w:sz w:val="20"/>
          <w:szCs w:val="20"/>
        </w:rPr>
      </w:pPr>
      <w:r>
        <w:rPr>
          <w:rStyle w:val="a6"/>
          <w:rFonts w:eastAsia="Times New Roman"/>
          <w:sz w:val="20"/>
          <w:szCs w:val="20"/>
        </w:rPr>
        <w:t>12</w:t>
      </w:r>
      <w:r>
        <w:rPr>
          <w:rFonts w:eastAsia="Times New Roman"/>
          <w:sz w:val="20"/>
          <w:szCs w:val="20"/>
        </w:rPr>
        <w:t xml:space="preserve"> </w:t>
      </w:r>
    </w:p>
    <w:p w14:paraId="06C8B97B" w14:textId="77777777" w:rsidR="00000000" w:rsidRDefault="00322B34">
      <w:pPr>
        <w:rPr>
          <w:rFonts w:eastAsia="Times New Roman"/>
          <w:sz w:val="20"/>
          <w:szCs w:val="20"/>
        </w:rPr>
      </w:pPr>
      <w:r>
        <w:rPr>
          <w:rFonts w:eastAsia="Times New Roman"/>
          <w:sz w:val="20"/>
          <w:szCs w:val="20"/>
        </w:rPr>
        <w:pict w14:anchorId="5777045B">
          <v:rect id="_x0000_i1040" style="width:415.3pt;height:1.5pt" o:hralign="center" o:hrstd="t" o:hrnoshade="t" o:hr="t" fillcolor="black" stroked="f"/>
        </w:pict>
      </w:r>
    </w:p>
    <w:p w14:paraId="5D8054AF" w14:textId="77777777" w:rsidR="00000000" w:rsidRDefault="00322B34">
      <w:pPr>
        <w:divId w:val="80524460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F3DB5D6" w14:textId="77777777" w:rsidR="00000000" w:rsidRDefault="00322B34">
      <w:pPr>
        <w:rPr>
          <w:rFonts w:eastAsia="Times New Roman"/>
          <w:sz w:val="20"/>
          <w:szCs w:val="20"/>
        </w:rPr>
      </w:pPr>
      <w:r>
        <w:rPr>
          <w:rFonts w:eastAsia="Times New Roman"/>
          <w:sz w:val="20"/>
          <w:szCs w:val="20"/>
        </w:rPr>
        <w:t xml:space="preserve">  </w:t>
      </w:r>
    </w:p>
    <w:p w14:paraId="1D759AAD" w14:textId="77777777" w:rsidR="00000000" w:rsidRDefault="00322B34">
      <w:pPr>
        <w:pStyle w:val="a3"/>
        <w:spacing w:before="0" w:beforeAutospacing="0" w:after="0" w:afterAutospacing="0"/>
        <w:jc w:val="both"/>
        <w:rPr>
          <w:sz w:val="20"/>
          <w:szCs w:val="20"/>
        </w:rPr>
      </w:pPr>
      <w:r>
        <w:rPr>
          <w:i/>
          <w:iCs/>
          <w:sz w:val="20"/>
          <w:szCs w:val="20"/>
        </w:rPr>
        <w:t>Dispositions -</w:t>
      </w:r>
    </w:p>
    <w:p w14:paraId="43BBA0B6" w14:textId="77777777" w:rsidR="00000000" w:rsidRDefault="00322B34">
      <w:pPr>
        <w:pStyle w:val="a3"/>
        <w:spacing w:before="0" w:beforeAutospacing="0" w:after="0" w:afterAutospacing="0"/>
        <w:ind w:firstLine="360"/>
        <w:jc w:val="both"/>
        <w:rPr>
          <w:sz w:val="20"/>
          <w:szCs w:val="20"/>
        </w:rPr>
      </w:pPr>
      <w:r>
        <w:rPr>
          <w:sz w:val="20"/>
          <w:szCs w:val="20"/>
        </w:rPr>
        <w:t> </w:t>
      </w:r>
    </w:p>
    <w:p w14:paraId="101132FF" w14:textId="77777777" w:rsidR="00000000" w:rsidRDefault="00322B34">
      <w:pPr>
        <w:pStyle w:val="a3"/>
        <w:spacing w:before="0" w:beforeAutospacing="0" w:after="0" w:afterAutospacing="0"/>
        <w:ind w:firstLine="360"/>
        <w:jc w:val="both"/>
        <w:rPr>
          <w:sz w:val="20"/>
          <w:szCs w:val="20"/>
        </w:rPr>
      </w:pPr>
      <w:r>
        <w:rPr>
          <w:sz w:val="20"/>
          <w:szCs w:val="20"/>
        </w:rPr>
        <w:t>The table below summarizes the Company’s disposition activity relating to consolidated operating properties and parcels (do</w:t>
      </w:r>
      <w:r>
        <w:rPr>
          <w:sz w:val="20"/>
          <w:szCs w:val="20"/>
        </w:rPr>
        <w:t>llars in millions):</w:t>
      </w:r>
    </w:p>
    <w:p w14:paraId="7EDE220C"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26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0ABC7C74" w14:textId="77777777">
        <w:trPr>
          <w:tblCellSpacing w:w="0" w:type="dxa"/>
        </w:trPr>
        <w:tc>
          <w:tcPr>
            <w:tcW w:w="0" w:type="auto"/>
            <w:vAlign w:val="bottom"/>
            <w:hideMark/>
          </w:tcPr>
          <w:p w14:paraId="2ACD162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8D7B04F"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25938DE2" w14:textId="77777777" w:rsidR="00000000" w:rsidRDefault="00322B34">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28B6E002" w14:textId="77777777" w:rsidR="00000000" w:rsidRDefault="00322B34">
            <w:pPr>
              <w:rPr>
                <w:rFonts w:eastAsia="Times New Roman"/>
                <w:sz w:val="20"/>
                <w:szCs w:val="20"/>
              </w:rPr>
            </w:pPr>
            <w:r>
              <w:rPr>
                <w:rFonts w:eastAsia="Times New Roman"/>
                <w:sz w:val="20"/>
                <w:szCs w:val="20"/>
              </w:rPr>
              <w:t> </w:t>
            </w:r>
          </w:p>
        </w:tc>
      </w:tr>
      <w:tr w:rsidR="00000000" w14:paraId="3DA47E9D" w14:textId="77777777">
        <w:trPr>
          <w:tblCellSpacing w:w="0" w:type="dxa"/>
        </w:trPr>
        <w:tc>
          <w:tcPr>
            <w:tcW w:w="0" w:type="auto"/>
            <w:vAlign w:val="bottom"/>
            <w:hideMark/>
          </w:tcPr>
          <w:p w14:paraId="7BFF2BC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7406A7C"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D41D935"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7236AF00"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6E490A8"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98E4808"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26E544A" w14:textId="77777777" w:rsidR="00000000" w:rsidRDefault="00322B34">
            <w:pPr>
              <w:rPr>
                <w:rFonts w:eastAsia="Times New Roman"/>
                <w:sz w:val="20"/>
                <w:szCs w:val="20"/>
              </w:rPr>
            </w:pPr>
            <w:r>
              <w:rPr>
                <w:rFonts w:eastAsia="Times New Roman"/>
                <w:sz w:val="20"/>
                <w:szCs w:val="20"/>
              </w:rPr>
              <w:t> </w:t>
            </w:r>
          </w:p>
        </w:tc>
      </w:tr>
      <w:tr w:rsidR="00000000" w14:paraId="0334AA88" w14:textId="77777777">
        <w:trPr>
          <w:tblCellSpacing w:w="0" w:type="dxa"/>
        </w:trPr>
        <w:tc>
          <w:tcPr>
            <w:tcW w:w="3100" w:type="pct"/>
            <w:shd w:val="clear" w:color="auto" w:fill="CCEEFF"/>
            <w:vAlign w:val="bottom"/>
            <w:hideMark/>
          </w:tcPr>
          <w:p w14:paraId="6A9A1DCE" w14:textId="77777777" w:rsidR="00000000" w:rsidRDefault="00322B34">
            <w:pPr>
              <w:pStyle w:val="a3"/>
              <w:spacing w:before="0" w:beforeAutospacing="0" w:after="0" w:afterAutospacing="0"/>
              <w:rPr>
                <w:sz w:val="20"/>
                <w:szCs w:val="20"/>
              </w:rPr>
            </w:pPr>
            <w:r>
              <w:rPr>
                <w:sz w:val="20"/>
                <w:szCs w:val="20"/>
              </w:rPr>
              <w:t>Aggregate sales price (1)</w:t>
            </w:r>
          </w:p>
        </w:tc>
        <w:tc>
          <w:tcPr>
            <w:tcW w:w="50" w:type="pct"/>
            <w:tcBorders>
              <w:bottom w:val="nil"/>
            </w:tcBorders>
            <w:shd w:val="clear" w:color="auto" w:fill="CCEEFF"/>
            <w:vAlign w:val="bottom"/>
            <w:hideMark/>
          </w:tcPr>
          <w:p w14:paraId="357660B2"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96865FB" w14:textId="77777777" w:rsidR="00000000" w:rsidRDefault="00322B34">
            <w:pPr>
              <w:rPr>
                <w:rFonts w:eastAsia="Times New Roman"/>
                <w:sz w:val="20"/>
                <w:szCs w:val="20"/>
              </w:rPr>
            </w:pPr>
            <w:r>
              <w:rPr>
                <w:rFonts w:eastAsia="Times New Roman"/>
                <w:sz w:val="20"/>
                <w:szCs w:val="20"/>
              </w:rPr>
              <w:t>$</w:t>
            </w:r>
          </w:p>
        </w:tc>
        <w:tc>
          <w:tcPr>
            <w:tcW w:w="800" w:type="pct"/>
            <w:tcBorders>
              <w:bottom w:val="nil"/>
            </w:tcBorders>
            <w:shd w:val="clear" w:color="auto" w:fill="CCEEFF"/>
            <w:vAlign w:val="bottom"/>
            <w:hideMark/>
          </w:tcPr>
          <w:p w14:paraId="551D1570" w14:textId="77777777" w:rsidR="00000000" w:rsidRDefault="00322B34">
            <w:pPr>
              <w:jc w:val="right"/>
              <w:rPr>
                <w:rFonts w:eastAsia="Times New Roman"/>
                <w:sz w:val="20"/>
                <w:szCs w:val="20"/>
              </w:rPr>
            </w:pPr>
            <w:r>
              <w:rPr>
                <w:rFonts w:eastAsia="Times New Roman"/>
                <w:sz w:val="20"/>
                <w:szCs w:val="20"/>
              </w:rPr>
              <w:t>17.2</w:t>
            </w:r>
          </w:p>
        </w:tc>
        <w:tc>
          <w:tcPr>
            <w:tcW w:w="50" w:type="pct"/>
            <w:tcBorders>
              <w:bottom w:val="nil"/>
            </w:tcBorders>
            <w:shd w:val="clear" w:color="auto" w:fill="CCEEFF"/>
            <w:vAlign w:val="bottom"/>
            <w:hideMark/>
          </w:tcPr>
          <w:p w14:paraId="57CC5FEC"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688D2B3"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A08016E" w14:textId="77777777" w:rsidR="00000000" w:rsidRDefault="00322B34">
            <w:pPr>
              <w:rPr>
                <w:rFonts w:eastAsia="Times New Roman"/>
                <w:sz w:val="20"/>
                <w:szCs w:val="20"/>
              </w:rPr>
            </w:pPr>
            <w:r>
              <w:rPr>
                <w:rFonts w:eastAsia="Times New Roman"/>
                <w:sz w:val="20"/>
                <w:szCs w:val="20"/>
              </w:rPr>
              <w:t>$</w:t>
            </w:r>
          </w:p>
        </w:tc>
        <w:tc>
          <w:tcPr>
            <w:tcW w:w="800" w:type="pct"/>
            <w:tcBorders>
              <w:bottom w:val="nil"/>
            </w:tcBorders>
            <w:shd w:val="clear" w:color="auto" w:fill="CCEEFF"/>
            <w:vAlign w:val="bottom"/>
            <w:hideMark/>
          </w:tcPr>
          <w:p w14:paraId="002BC217" w14:textId="77777777" w:rsidR="00000000" w:rsidRDefault="00322B34">
            <w:pPr>
              <w:jc w:val="right"/>
              <w:rPr>
                <w:rFonts w:eastAsia="Times New Roman"/>
                <w:sz w:val="20"/>
                <w:szCs w:val="20"/>
              </w:rPr>
            </w:pPr>
            <w:r>
              <w:rPr>
                <w:rFonts w:eastAsia="Times New Roman"/>
                <w:sz w:val="20"/>
                <w:szCs w:val="20"/>
              </w:rPr>
              <w:t>110.1</w:t>
            </w:r>
          </w:p>
        </w:tc>
        <w:tc>
          <w:tcPr>
            <w:tcW w:w="50" w:type="pct"/>
            <w:tcBorders>
              <w:bottom w:val="nil"/>
            </w:tcBorders>
            <w:shd w:val="clear" w:color="auto" w:fill="CCEEFF"/>
            <w:vAlign w:val="bottom"/>
            <w:hideMark/>
          </w:tcPr>
          <w:p w14:paraId="29C199C4" w14:textId="77777777" w:rsidR="00000000" w:rsidRDefault="00322B34">
            <w:pPr>
              <w:rPr>
                <w:rFonts w:eastAsia="Times New Roman"/>
                <w:sz w:val="20"/>
                <w:szCs w:val="20"/>
              </w:rPr>
            </w:pPr>
            <w:r>
              <w:rPr>
                <w:rFonts w:eastAsia="Times New Roman"/>
                <w:sz w:val="20"/>
                <w:szCs w:val="20"/>
              </w:rPr>
              <w:t> </w:t>
            </w:r>
          </w:p>
        </w:tc>
      </w:tr>
      <w:tr w:rsidR="00000000" w14:paraId="48823A4E" w14:textId="77777777">
        <w:trPr>
          <w:tblCellSpacing w:w="0" w:type="dxa"/>
        </w:trPr>
        <w:tc>
          <w:tcPr>
            <w:tcW w:w="0" w:type="auto"/>
            <w:shd w:val="clear" w:color="auto" w:fill="FFFFFF"/>
            <w:vAlign w:val="bottom"/>
            <w:hideMark/>
          </w:tcPr>
          <w:p w14:paraId="167ED95C" w14:textId="77777777" w:rsidR="00000000" w:rsidRDefault="00322B34">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14:paraId="1B65498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C1DBB7" w14:textId="77777777" w:rsidR="00000000" w:rsidRDefault="00322B34">
            <w:pPr>
              <w:rPr>
                <w:rFonts w:eastAsia="Times New Roman"/>
                <w:sz w:val="20"/>
                <w:szCs w:val="20"/>
              </w:rPr>
            </w:pPr>
            <w:r>
              <w:rPr>
                <w:rFonts w:eastAsia="Times New Roman"/>
                <w:sz w:val="20"/>
                <w:szCs w:val="20"/>
              </w:rPr>
              <w:t>$</w:t>
            </w:r>
          </w:p>
        </w:tc>
        <w:tc>
          <w:tcPr>
            <w:tcW w:w="800" w:type="pct"/>
            <w:shd w:val="clear" w:color="auto" w:fill="FFFFFF"/>
            <w:vAlign w:val="bottom"/>
            <w:hideMark/>
          </w:tcPr>
          <w:p w14:paraId="0316CD02" w14:textId="77777777" w:rsidR="00000000" w:rsidRDefault="00322B34">
            <w:pPr>
              <w:jc w:val="right"/>
              <w:rPr>
                <w:rFonts w:eastAsia="Times New Roman"/>
                <w:sz w:val="20"/>
                <w:szCs w:val="20"/>
              </w:rPr>
            </w:pPr>
            <w:r>
              <w:rPr>
                <w:rFonts w:eastAsia="Times New Roman"/>
                <w:sz w:val="20"/>
                <w:szCs w:val="20"/>
              </w:rPr>
              <w:t>5.7</w:t>
            </w:r>
          </w:p>
        </w:tc>
        <w:tc>
          <w:tcPr>
            <w:tcW w:w="50" w:type="pct"/>
            <w:shd w:val="clear" w:color="auto" w:fill="FFFFFF"/>
            <w:vAlign w:val="bottom"/>
            <w:hideMark/>
          </w:tcPr>
          <w:p w14:paraId="1CC36AD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E5AA6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C6C6B2" w14:textId="77777777" w:rsidR="00000000" w:rsidRDefault="00322B34">
            <w:pPr>
              <w:rPr>
                <w:rFonts w:eastAsia="Times New Roman"/>
                <w:sz w:val="20"/>
                <w:szCs w:val="20"/>
              </w:rPr>
            </w:pPr>
            <w:r>
              <w:rPr>
                <w:rFonts w:eastAsia="Times New Roman"/>
                <w:sz w:val="20"/>
                <w:szCs w:val="20"/>
              </w:rPr>
              <w:t>$</w:t>
            </w:r>
          </w:p>
        </w:tc>
        <w:tc>
          <w:tcPr>
            <w:tcW w:w="800" w:type="pct"/>
            <w:shd w:val="clear" w:color="auto" w:fill="FFFFFF"/>
            <w:vAlign w:val="bottom"/>
            <w:hideMark/>
          </w:tcPr>
          <w:p w14:paraId="7CC18AFA" w14:textId="77777777" w:rsidR="00000000" w:rsidRDefault="00322B34">
            <w:pPr>
              <w:jc w:val="right"/>
              <w:rPr>
                <w:rFonts w:eastAsia="Times New Roman"/>
                <w:sz w:val="20"/>
                <w:szCs w:val="20"/>
              </w:rPr>
            </w:pPr>
            <w:r>
              <w:rPr>
                <w:rFonts w:eastAsia="Times New Roman"/>
                <w:sz w:val="20"/>
                <w:szCs w:val="20"/>
              </w:rPr>
              <w:t>38.4</w:t>
            </w:r>
          </w:p>
        </w:tc>
        <w:tc>
          <w:tcPr>
            <w:tcW w:w="50" w:type="pct"/>
            <w:shd w:val="clear" w:color="auto" w:fill="FFFFFF"/>
            <w:vAlign w:val="bottom"/>
            <w:hideMark/>
          </w:tcPr>
          <w:p w14:paraId="27FDA3D0" w14:textId="77777777" w:rsidR="00000000" w:rsidRDefault="00322B34">
            <w:pPr>
              <w:rPr>
                <w:rFonts w:eastAsia="Times New Roman"/>
                <w:sz w:val="20"/>
                <w:szCs w:val="20"/>
              </w:rPr>
            </w:pPr>
            <w:r>
              <w:rPr>
                <w:rFonts w:eastAsia="Times New Roman"/>
                <w:sz w:val="20"/>
                <w:szCs w:val="20"/>
              </w:rPr>
              <w:t> </w:t>
            </w:r>
          </w:p>
        </w:tc>
      </w:tr>
      <w:tr w:rsidR="00000000" w14:paraId="713A6A1C" w14:textId="77777777">
        <w:trPr>
          <w:tblCellSpacing w:w="0" w:type="dxa"/>
        </w:trPr>
        <w:tc>
          <w:tcPr>
            <w:tcW w:w="0" w:type="auto"/>
            <w:shd w:val="clear" w:color="auto" w:fill="CCEEFF"/>
            <w:vAlign w:val="bottom"/>
            <w:hideMark/>
          </w:tcPr>
          <w:p w14:paraId="470390B6" w14:textId="77777777" w:rsidR="00000000" w:rsidRDefault="00322B34">
            <w:pPr>
              <w:pStyle w:val="a3"/>
              <w:spacing w:before="0" w:beforeAutospacing="0" w:after="0" w:afterAutospacing="0"/>
              <w:rPr>
                <w:sz w:val="20"/>
                <w:szCs w:val="20"/>
              </w:rPr>
            </w:pPr>
            <w:r>
              <w:rPr>
                <w:sz w:val="20"/>
                <w:szCs w:val="20"/>
              </w:rPr>
              <w:t>Number of properties sold</w:t>
            </w:r>
          </w:p>
        </w:tc>
        <w:tc>
          <w:tcPr>
            <w:tcW w:w="50" w:type="pct"/>
            <w:shd w:val="clear" w:color="auto" w:fill="CCEEFF"/>
            <w:vAlign w:val="bottom"/>
            <w:hideMark/>
          </w:tcPr>
          <w:p w14:paraId="6ED36FC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751BEF" w14:textId="77777777" w:rsidR="00000000" w:rsidRDefault="00322B3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67BD8174" w14:textId="77777777" w:rsidR="00000000" w:rsidRDefault="00322B34">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14:paraId="6C1C32F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DC99F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0C0114" w14:textId="77777777" w:rsidR="00000000" w:rsidRDefault="00322B3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99266BC" w14:textId="77777777" w:rsidR="00000000" w:rsidRDefault="00322B34">
            <w:pPr>
              <w:jc w:val="right"/>
              <w:rPr>
                <w:rFonts w:eastAsia="Times New Roman"/>
                <w:sz w:val="20"/>
                <w:szCs w:val="20"/>
              </w:rPr>
            </w:pPr>
            <w:r>
              <w:rPr>
                <w:rFonts w:eastAsia="Times New Roman"/>
                <w:sz w:val="20"/>
                <w:szCs w:val="20"/>
              </w:rPr>
              <w:t>7</w:t>
            </w:r>
          </w:p>
        </w:tc>
        <w:tc>
          <w:tcPr>
            <w:tcW w:w="50" w:type="pct"/>
            <w:shd w:val="clear" w:color="auto" w:fill="CCEEFF"/>
            <w:vAlign w:val="bottom"/>
            <w:hideMark/>
          </w:tcPr>
          <w:p w14:paraId="407C078C" w14:textId="77777777" w:rsidR="00000000" w:rsidRDefault="00322B34">
            <w:pPr>
              <w:rPr>
                <w:rFonts w:eastAsia="Times New Roman"/>
                <w:sz w:val="20"/>
                <w:szCs w:val="20"/>
              </w:rPr>
            </w:pPr>
            <w:r>
              <w:rPr>
                <w:rFonts w:eastAsia="Times New Roman"/>
                <w:sz w:val="20"/>
                <w:szCs w:val="20"/>
              </w:rPr>
              <w:t> </w:t>
            </w:r>
          </w:p>
        </w:tc>
      </w:tr>
      <w:tr w:rsidR="00000000" w14:paraId="5EF1ADE8" w14:textId="77777777">
        <w:trPr>
          <w:tblCellSpacing w:w="0" w:type="dxa"/>
        </w:trPr>
        <w:tc>
          <w:tcPr>
            <w:tcW w:w="0" w:type="auto"/>
            <w:shd w:val="clear" w:color="auto" w:fill="FFFFFF"/>
            <w:vAlign w:val="bottom"/>
            <w:hideMark/>
          </w:tcPr>
          <w:p w14:paraId="6905B5B9" w14:textId="77777777" w:rsidR="00000000" w:rsidRDefault="00322B34">
            <w:pPr>
              <w:pStyle w:val="a3"/>
              <w:spacing w:before="0" w:beforeAutospacing="0" w:after="0" w:afterAutospacing="0"/>
              <w:rPr>
                <w:sz w:val="20"/>
                <w:szCs w:val="20"/>
              </w:rPr>
            </w:pPr>
            <w:r>
              <w:rPr>
                <w:sz w:val="20"/>
                <w:szCs w:val="20"/>
              </w:rPr>
              <w:t>Number of out-parcels sold</w:t>
            </w:r>
          </w:p>
        </w:tc>
        <w:tc>
          <w:tcPr>
            <w:tcW w:w="50" w:type="pct"/>
            <w:shd w:val="clear" w:color="auto" w:fill="FFFFFF"/>
            <w:vAlign w:val="bottom"/>
            <w:hideMark/>
          </w:tcPr>
          <w:p w14:paraId="1B19564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105E27" w14:textId="77777777" w:rsidR="00000000" w:rsidRDefault="00322B3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2CF8CF04"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02AA5E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2BFD9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AB6B4F" w14:textId="77777777" w:rsidR="00000000" w:rsidRDefault="00322B3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0C40820E" w14:textId="77777777" w:rsidR="00000000" w:rsidRDefault="00322B34">
            <w:pPr>
              <w:jc w:val="right"/>
              <w:rPr>
                <w:rFonts w:eastAsia="Times New Roman"/>
                <w:sz w:val="20"/>
                <w:szCs w:val="20"/>
              </w:rPr>
            </w:pPr>
            <w:r>
              <w:rPr>
                <w:rFonts w:eastAsia="Times New Roman"/>
                <w:sz w:val="20"/>
                <w:szCs w:val="20"/>
              </w:rPr>
              <w:t>5</w:t>
            </w:r>
          </w:p>
        </w:tc>
        <w:tc>
          <w:tcPr>
            <w:tcW w:w="50" w:type="pct"/>
            <w:shd w:val="clear" w:color="auto" w:fill="FFFFFF"/>
            <w:vAlign w:val="bottom"/>
            <w:hideMark/>
          </w:tcPr>
          <w:p w14:paraId="21CA0A16" w14:textId="77777777" w:rsidR="00000000" w:rsidRDefault="00322B34">
            <w:pPr>
              <w:rPr>
                <w:rFonts w:eastAsia="Times New Roman"/>
                <w:sz w:val="20"/>
                <w:szCs w:val="20"/>
              </w:rPr>
            </w:pPr>
            <w:r>
              <w:rPr>
                <w:rFonts w:eastAsia="Times New Roman"/>
                <w:sz w:val="20"/>
                <w:szCs w:val="20"/>
              </w:rPr>
              <w:t> </w:t>
            </w:r>
          </w:p>
        </w:tc>
      </w:tr>
    </w:tbl>
    <w:p w14:paraId="78A974CB" w14:textId="77777777" w:rsidR="00000000" w:rsidRDefault="00322B34">
      <w:pPr>
        <w:pStyle w:val="a3"/>
        <w:spacing w:before="0" w:beforeAutospacing="0" w:after="0" w:afterAutospacing="0"/>
        <w:ind w:left="27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9"/>
        <w:gridCol w:w="307"/>
        <w:gridCol w:w="7840"/>
      </w:tblGrid>
      <w:tr w:rsidR="00000000" w14:paraId="4DC85D75" w14:textId="77777777">
        <w:trPr>
          <w:tblCellSpacing w:w="0" w:type="dxa"/>
        </w:trPr>
        <w:tc>
          <w:tcPr>
            <w:tcW w:w="345" w:type="dxa"/>
            <w:vAlign w:val="center"/>
            <w:hideMark/>
          </w:tcPr>
          <w:p w14:paraId="17F295F2" w14:textId="77777777" w:rsidR="00000000" w:rsidRDefault="00322B34">
            <w:pPr>
              <w:rPr>
                <w:rFonts w:eastAsia="Times New Roman"/>
                <w:sz w:val="20"/>
                <w:szCs w:val="20"/>
              </w:rPr>
            </w:pPr>
            <w:r>
              <w:rPr>
                <w:rFonts w:eastAsia="Times New Roman"/>
                <w:sz w:val="20"/>
                <w:szCs w:val="20"/>
              </w:rPr>
              <w:t> </w:t>
            </w:r>
          </w:p>
        </w:tc>
        <w:tc>
          <w:tcPr>
            <w:tcW w:w="345" w:type="dxa"/>
            <w:hideMark/>
          </w:tcPr>
          <w:p w14:paraId="506F24AD" w14:textId="77777777" w:rsidR="00000000" w:rsidRDefault="00322B34">
            <w:pPr>
              <w:rPr>
                <w:rFonts w:eastAsia="Times New Roman"/>
                <w:sz w:val="20"/>
                <w:szCs w:val="20"/>
              </w:rPr>
            </w:pPr>
            <w:r>
              <w:rPr>
                <w:rFonts w:eastAsia="Times New Roman"/>
                <w:sz w:val="20"/>
                <w:szCs w:val="20"/>
              </w:rPr>
              <w:t>(</w:t>
            </w:r>
            <w:r>
              <w:rPr>
                <w:rStyle w:val="a6"/>
                <w:rFonts w:eastAsia="Times New Roman"/>
                <w:sz w:val="20"/>
                <w:szCs w:val="20"/>
              </w:rPr>
              <w:t>1</w:t>
            </w:r>
            <w:r>
              <w:rPr>
                <w:rFonts w:eastAsia="Times New Roman"/>
                <w:sz w:val="20"/>
                <w:szCs w:val="20"/>
              </w:rPr>
              <w:t>) </w:t>
            </w:r>
          </w:p>
        </w:tc>
        <w:tc>
          <w:tcPr>
            <w:tcW w:w="19650" w:type="dxa"/>
            <w:hideMark/>
          </w:tcPr>
          <w:p w14:paraId="52DEF0CA" w14:textId="77777777" w:rsidR="00000000" w:rsidRDefault="00322B34">
            <w:pPr>
              <w:rPr>
                <w:rFonts w:eastAsia="Times New Roman"/>
                <w:sz w:val="20"/>
                <w:szCs w:val="20"/>
              </w:rPr>
            </w:pPr>
            <w:r>
              <w:rPr>
                <w:rFonts w:eastAsia="Times New Roman"/>
                <w:sz w:val="20"/>
                <w:szCs w:val="20"/>
              </w:rPr>
              <w:t xml:space="preserve">During the </w:t>
            </w:r>
            <w:r>
              <w:rPr>
                <w:rStyle w:val="a6"/>
                <w:rFonts w:eastAsia="Times New Roman"/>
                <w:sz w:val="20"/>
                <w:szCs w:val="20"/>
              </w:rPr>
              <w:t>six</w:t>
            </w:r>
            <w:r>
              <w:rPr>
                <w:rFonts w:eastAsia="Times New Roman"/>
                <w:sz w:val="20"/>
                <w:szCs w:val="20"/>
              </w:rPr>
              <w:t xml:space="preserve"> months ended </w:t>
            </w:r>
            <w:r>
              <w:rPr>
                <w:rStyle w:val="a6"/>
                <w:rFonts w:eastAsia="Times New Roman"/>
                <w:sz w:val="20"/>
                <w:szCs w:val="20"/>
              </w:rPr>
              <w:t xml:space="preserve">June 30, 2020, </w:t>
            </w:r>
            <w:r>
              <w:rPr>
                <w:rFonts w:eastAsia="Times New Roman"/>
                <w:sz w:val="20"/>
                <w:szCs w:val="20"/>
              </w:rPr>
              <w:t xml:space="preserve">the Company held in escrow an aggregate of $3.2 </w:t>
            </w:r>
            <w:r>
              <w:rPr>
                <w:rFonts w:eastAsia="Times New Roman"/>
                <w:sz w:val="20"/>
                <w:szCs w:val="20"/>
              </w:rPr>
              <w:t xml:space="preserve">million of net proceeds in connection with these sales associated with a reverse exchange in accordance with Internal Revenue Code </w:t>
            </w:r>
            <w:r>
              <w:rPr>
                <w:rStyle w:val="a6"/>
                <w:rFonts w:eastAsia="Times New Roman"/>
                <w:sz w:val="20"/>
                <w:szCs w:val="20"/>
              </w:rPr>
              <w:t>26</w:t>
            </w:r>
            <w:r>
              <w:rPr>
                <w:rFonts w:eastAsia="Times New Roman"/>
                <w:sz w:val="20"/>
                <w:szCs w:val="20"/>
              </w:rPr>
              <w:t xml:space="preserve"> U.S.C. </w:t>
            </w:r>
            <w:r>
              <w:rPr>
                <w:rStyle w:val="a6"/>
                <w:rFonts w:eastAsia="Times New Roman"/>
                <w:sz w:val="20"/>
                <w:szCs w:val="20"/>
              </w:rPr>
              <w:t>§1031,</w:t>
            </w:r>
            <w:r>
              <w:rPr>
                <w:rFonts w:eastAsia="Times New Roman"/>
                <w:sz w:val="20"/>
                <w:szCs w:val="20"/>
              </w:rPr>
              <w:t xml:space="preserve"> which was returned to the Company in </w:t>
            </w:r>
            <w:r>
              <w:rPr>
                <w:rStyle w:val="a6"/>
                <w:rFonts w:eastAsia="Times New Roman"/>
                <w:sz w:val="20"/>
                <w:szCs w:val="20"/>
              </w:rPr>
              <w:t>July 2020.</w:t>
            </w:r>
          </w:p>
        </w:tc>
      </w:tr>
    </w:tbl>
    <w:p w14:paraId="1AB636CF" w14:textId="77777777" w:rsidR="00000000" w:rsidRDefault="00322B34">
      <w:pPr>
        <w:pStyle w:val="a3"/>
        <w:spacing w:before="0" w:beforeAutospacing="0" w:after="0" w:afterAutospacing="0"/>
        <w:ind w:left="270"/>
        <w:rPr>
          <w:sz w:val="20"/>
          <w:szCs w:val="20"/>
        </w:rPr>
      </w:pPr>
      <w:r>
        <w:rPr>
          <w:sz w:val="20"/>
          <w:szCs w:val="20"/>
        </w:rPr>
        <w:t> </w:t>
      </w:r>
    </w:p>
    <w:p w14:paraId="5B616CDA" w14:textId="77777777" w:rsidR="00000000" w:rsidRDefault="00322B34">
      <w:pPr>
        <w:pStyle w:val="a3"/>
        <w:spacing w:before="0" w:beforeAutospacing="0" w:after="0" w:afterAutospacing="0"/>
        <w:jc w:val="both"/>
        <w:rPr>
          <w:sz w:val="20"/>
          <w:szCs w:val="20"/>
        </w:rPr>
      </w:pPr>
      <w:r>
        <w:rPr>
          <w:i/>
          <w:iCs/>
          <w:sz w:val="20"/>
          <w:szCs w:val="20"/>
        </w:rPr>
        <w:t>Impairments -</w:t>
      </w:r>
    </w:p>
    <w:p w14:paraId="4399D63D" w14:textId="77777777" w:rsidR="00000000" w:rsidRDefault="00322B34">
      <w:pPr>
        <w:pStyle w:val="a3"/>
        <w:spacing w:before="0" w:beforeAutospacing="0" w:after="0" w:afterAutospacing="0"/>
        <w:jc w:val="both"/>
        <w:rPr>
          <w:sz w:val="20"/>
          <w:szCs w:val="20"/>
        </w:rPr>
      </w:pPr>
      <w:r>
        <w:rPr>
          <w:sz w:val="20"/>
          <w:szCs w:val="20"/>
        </w:rPr>
        <w:t> </w:t>
      </w:r>
    </w:p>
    <w:p w14:paraId="7FBCC357" w14:textId="77777777" w:rsidR="00000000" w:rsidRDefault="00322B34">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June 30, 2020</w:t>
      </w:r>
      <w:r>
        <w:rPr>
          <w:rStyle w:val="a6"/>
          <w:sz w:val="20"/>
          <w:szCs w:val="20"/>
        </w:rPr>
        <w:t xml:space="preserve"> </w:t>
      </w:r>
      <w:r>
        <w:rPr>
          <w:sz w:val="20"/>
          <w:szCs w:val="20"/>
        </w:rPr>
        <w:t xml:space="preserve">and </w:t>
      </w:r>
      <w:r>
        <w:rPr>
          <w:rStyle w:val="a6"/>
          <w:sz w:val="20"/>
          <w:szCs w:val="20"/>
        </w:rPr>
        <w:t>2019,</w:t>
      </w:r>
      <w:r>
        <w:rPr>
          <w:sz w:val="20"/>
          <w:szCs w:val="20"/>
        </w:rPr>
        <w:t xml:space="preserve"> the Company recognized aggregate impairment charges of $3.1 million and $21.6 million, respectively, related to adjustments to property carrying values for properties which the Company has sold or marketed for sale as part of its active capital </w:t>
      </w:r>
      <w:r>
        <w:rPr>
          <w:sz w:val="20"/>
          <w:szCs w:val="20"/>
        </w:rPr>
        <w:t xml:space="preserve">recycling program and as such has adjusted the anticipated hold period for such properties. The Company’s estimated fair values of these properties were primarily based upon estimated sales prices from signed contracts or letters of intent from </w:t>
      </w:r>
      <w:r>
        <w:rPr>
          <w:rStyle w:val="a6"/>
          <w:sz w:val="20"/>
          <w:szCs w:val="20"/>
        </w:rPr>
        <w:t>third</w:t>
      </w:r>
      <w:r>
        <w:rPr>
          <w:sz w:val="20"/>
          <w:szCs w:val="20"/>
        </w:rPr>
        <w:t xml:space="preserve"> party</w:t>
      </w:r>
      <w:r>
        <w:rPr>
          <w:sz w:val="20"/>
          <w:szCs w:val="20"/>
        </w:rPr>
        <w:t xml:space="preserve"> offers. See Footnote </w:t>
      </w:r>
      <w:r>
        <w:rPr>
          <w:rStyle w:val="a6"/>
          <w:sz w:val="20"/>
          <w:szCs w:val="20"/>
        </w:rPr>
        <w:t>11</w:t>
      </w:r>
      <w:r>
        <w:rPr>
          <w:sz w:val="20"/>
          <w:szCs w:val="20"/>
        </w:rPr>
        <w:t xml:space="preserve"> to the Notes to the Company’s Condensed Consolidated Financial Statements for fair value disclosure.</w:t>
      </w:r>
    </w:p>
    <w:p w14:paraId="079ED100" w14:textId="77777777" w:rsidR="00000000" w:rsidRDefault="00322B34">
      <w:pPr>
        <w:pStyle w:val="a3"/>
        <w:spacing w:before="0" w:beforeAutospacing="0" w:after="0" w:afterAutospacing="0"/>
        <w:ind w:firstLine="360"/>
        <w:jc w:val="both"/>
        <w:rPr>
          <w:sz w:val="20"/>
          <w:szCs w:val="20"/>
        </w:rPr>
      </w:pPr>
      <w:r>
        <w:rPr>
          <w:sz w:val="20"/>
          <w:szCs w:val="20"/>
        </w:rPr>
        <w:t> </w:t>
      </w:r>
    </w:p>
    <w:p w14:paraId="72C4B228" w14:textId="77777777" w:rsidR="00000000" w:rsidRDefault="00322B34">
      <w:pPr>
        <w:pStyle w:val="a3"/>
        <w:spacing w:before="0" w:beforeAutospacing="0" w:after="0" w:afterAutospacing="0"/>
        <w:ind w:firstLine="360"/>
        <w:jc w:val="both"/>
        <w:rPr>
          <w:sz w:val="20"/>
          <w:szCs w:val="20"/>
        </w:rPr>
      </w:pPr>
      <w:r>
        <w:rPr>
          <w:sz w:val="20"/>
          <w:szCs w:val="20"/>
        </w:rPr>
        <w:t>The COVID-</w:t>
      </w:r>
      <w:r>
        <w:rPr>
          <w:rStyle w:val="a6"/>
          <w:sz w:val="20"/>
          <w:szCs w:val="20"/>
        </w:rPr>
        <w:t>19</w:t>
      </w:r>
      <w:r>
        <w:rPr>
          <w:sz w:val="20"/>
          <w:szCs w:val="20"/>
        </w:rPr>
        <w:t xml:space="preserve"> </w:t>
      </w:r>
      <w:r>
        <w:rPr>
          <w:sz w:val="20"/>
          <w:szCs w:val="20"/>
        </w:rPr>
        <w:t>pandemic has significantly impacted the retail sector in which the Company operates and if the effects of the pandemic are prolonged, it could have a significant adverse impact to the underlying industries of many of the Company’s tenants. Management canno</w:t>
      </w:r>
      <w:r>
        <w:rPr>
          <w:sz w:val="20"/>
          <w:szCs w:val="20"/>
        </w:rPr>
        <w:t>t, at this point, estimate ultimate losses related to the COVID-</w:t>
      </w:r>
      <w:r>
        <w:rPr>
          <w:rStyle w:val="a6"/>
          <w:sz w:val="20"/>
          <w:szCs w:val="20"/>
        </w:rPr>
        <w:t>19</w:t>
      </w:r>
      <w:r>
        <w:rPr>
          <w:sz w:val="20"/>
          <w:szCs w:val="20"/>
        </w:rPr>
        <w:t> pandemic. The Company will continue to monitor the economic, financial, and social conditions resulting from this pandemic and will assess its asset portfolio for any impairment indicators.</w:t>
      </w:r>
      <w:r>
        <w:rPr>
          <w:sz w:val="20"/>
          <w:szCs w:val="20"/>
        </w:rPr>
        <w:t xml:space="preserve"> If the Company has determined that any of its assets are impaired the Company would be required to take impairment charges, and such amounts could be material.</w:t>
      </w:r>
    </w:p>
    <w:p w14:paraId="7EF39B78" w14:textId="77777777" w:rsidR="00000000" w:rsidRDefault="00322B34">
      <w:pPr>
        <w:pStyle w:val="a3"/>
        <w:spacing w:before="0" w:beforeAutospacing="0" w:after="0" w:afterAutospacing="0"/>
        <w:ind w:firstLine="360"/>
        <w:jc w:val="both"/>
        <w:rPr>
          <w:sz w:val="20"/>
          <w:szCs w:val="20"/>
        </w:rPr>
      </w:pPr>
      <w:r>
        <w:rPr>
          <w:sz w:val="20"/>
          <w:szCs w:val="20"/>
        </w:rPr>
        <w:t> </w:t>
      </w:r>
    </w:p>
    <w:p w14:paraId="62A03D02" w14:textId="77777777" w:rsidR="00000000" w:rsidRDefault="00322B34">
      <w:pPr>
        <w:divId w:val="846555125"/>
        <w:rPr>
          <w:rFonts w:eastAsia="Times New Roman"/>
          <w:sz w:val="20"/>
          <w:szCs w:val="20"/>
        </w:rPr>
      </w:pPr>
      <w:r>
        <w:rPr>
          <w:rFonts w:eastAsia="Times New Roman"/>
          <w:sz w:val="20"/>
          <w:szCs w:val="20"/>
        </w:rPr>
        <w:t xml:space="preserve">  </w:t>
      </w:r>
    </w:p>
    <w:p w14:paraId="38515DA7" w14:textId="77777777" w:rsidR="00000000" w:rsidRDefault="00322B34">
      <w:pPr>
        <w:pStyle w:val="a3"/>
        <w:spacing w:before="0" w:beforeAutospacing="0" w:after="0" w:afterAutospacing="0"/>
        <w:jc w:val="both"/>
        <w:rPr>
          <w:sz w:val="20"/>
          <w:szCs w:val="20"/>
        </w:rPr>
      </w:pPr>
      <w:r>
        <w:rPr>
          <w:rStyle w:val="a6"/>
          <w:sz w:val="20"/>
          <w:szCs w:val="20"/>
        </w:rPr>
        <w:t>4.</w:t>
      </w:r>
      <w:r>
        <w:rPr>
          <w:sz w:val="20"/>
          <w:szCs w:val="20"/>
        </w:rPr>
        <w:t xml:space="preserve"> </w:t>
      </w:r>
      <w:r>
        <w:rPr>
          <w:sz w:val="20"/>
          <w:szCs w:val="20"/>
          <w:u w:val="single"/>
        </w:rPr>
        <w:t>Investments in and Advances to Real Estate Joint Ventures</w:t>
      </w:r>
    </w:p>
    <w:p w14:paraId="2482A709" w14:textId="77777777" w:rsidR="00000000" w:rsidRDefault="00322B34">
      <w:pPr>
        <w:pStyle w:val="a3"/>
        <w:spacing w:before="0" w:beforeAutospacing="0" w:after="0" w:afterAutospacing="0"/>
        <w:jc w:val="both"/>
        <w:rPr>
          <w:sz w:val="20"/>
          <w:szCs w:val="20"/>
        </w:rPr>
      </w:pPr>
      <w:r>
        <w:rPr>
          <w:sz w:val="20"/>
          <w:szCs w:val="20"/>
        </w:rPr>
        <w:t> </w:t>
      </w:r>
    </w:p>
    <w:p w14:paraId="434ED62B" w14:textId="77777777" w:rsidR="00000000" w:rsidRDefault="00322B34">
      <w:pPr>
        <w:pStyle w:val="a3"/>
        <w:spacing w:before="0" w:beforeAutospacing="0" w:after="0" w:afterAutospacing="0"/>
        <w:ind w:firstLine="360"/>
        <w:jc w:val="both"/>
        <w:rPr>
          <w:sz w:val="20"/>
          <w:szCs w:val="20"/>
        </w:rPr>
      </w:pPr>
      <w:r>
        <w:rPr>
          <w:sz w:val="20"/>
          <w:szCs w:val="20"/>
        </w:rPr>
        <w:t>The Company has investments</w:t>
      </w:r>
      <w:r>
        <w:rPr>
          <w:sz w:val="20"/>
          <w:szCs w:val="20"/>
        </w:rPr>
        <w:t xml:space="preserve"> in and advances to various real estate joint ventures. These joint ventures are engaged primarily in the operation of shopping centers which are either owned or held under long-term operating leases. The Company and the joint venture partners have joint a</w:t>
      </w:r>
      <w:r>
        <w:rPr>
          <w:sz w:val="20"/>
          <w:szCs w:val="20"/>
        </w:rPr>
        <w:t>pproval rights for major decisions, including those regarding property operations. As such, the Company holds noncontrolling interests in these joint ventures and accounts for them under the equity method of accounting.</w:t>
      </w:r>
    </w:p>
    <w:p w14:paraId="427AF78D" w14:textId="77777777" w:rsidR="00000000" w:rsidRDefault="00322B34">
      <w:pPr>
        <w:pStyle w:val="a3"/>
        <w:spacing w:before="0" w:beforeAutospacing="0" w:after="0" w:afterAutospacing="0"/>
        <w:ind w:left="360"/>
        <w:jc w:val="both"/>
        <w:rPr>
          <w:sz w:val="20"/>
          <w:szCs w:val="20"/>
        </w:rPr>
      </w:pPr>
      <w:r>
        <w:rPr>
          <w:sz w:val="20"/>
          <w:szCs w:val="20"/>
        </w:rPr>
        <w:t> </w:t>
      </w:r>
    </w:p>
    <w:p w14:paraId="0277C474" w14:textId="77777777" w:rsidR="00000000" w:rsidRDefault="00322B34">
      <w:pPr>
        <w:pStyle w:val="a3"/>
        <w:spacing w:before="0" w:beforeAutospacing="0" w:after="0" w:afterAutospacing="0"/>
        <w:ind w:firstLine="360"/>
        <w:jc w:val="both"/>
        <w:rPr>
          <w:sz w:val="20"/>
          <w:szCs w:val="20"/>
        </w:rPr>
      </w:pPr>
      <w:r>
        <w:rPr>
          <w:sz w:val="20"/>
          <w:szCs w:val="20"/>
        </w:rPr>
        <w:t>The table below presents joint ven</w:t>
      </w:r>
      <w:r>
        <w:rPr>
          <w:sz w:val="20"/>
          <w:szCs w:val="20"/>
        </w:rPr>
        <w:t xml:space="preserve">ture investments for which the Company held an ownership interest at </w:t>
      </w:r>
      <w:r>
        <w:rPr>
          <w:rStyle w:val="a6"/>
          <w:sz w:val="20"/>
          <w:szCs w:val="20"/>
        </w:rPr>
        <w:t xml:space="preserve">June 30, 2020 </w:t>
      </w:r>
      <w:r>
        <w:rPr>
          <w:sz w:val="20"/>
          <w:szCs w:val="20"/>
        </w:rPr>
        <w:t xml:space="preserve">and </w:t>
      </w:r>
      <w:r>
        <w:rPr>
          <w:rStyle w:val="a6"/>
          <w:sz w:val="20"/>
          <w:szCs w:val="20"/>
        </w:rPr>
        <w:t>December 31, 2019 (</w:t>
      </w:r>
      <w:r>
        <w:rPr>
          <w:sz w:val="20"/>
          <w:szCs w:val="20"/>
        </w:rPr>
        <w:t>dollars in millions):</w:t>
      </w:r>
    </w:p>
    <w:p w14:paraId="47B83CA7"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44"/>
        <w:gridCol w:w="59"/>
        <w:gridCol w:w="73"/>
        <w:gridCol w:w="959"/>
        <w:gridCol w:w="59"/>
        <w:gridCol w:w="59"/>
        <w:gridCol w:w="214"/>
        <w:gridCol w:w="973"/>
        <w:gridCol w:w="59"/>
        <w:gridCol w:w="59"/>
        <w:gridCol w:w="215"/>
        <w:gridCol w:w="973"/>
        <w:gridCol w:w="60"/>
      </w:tblGrid>
      <w:tr w:rsidR="00000000" w14:paraId="56F9CB77" w14:textId="77777777">
        <w:trPr>
          <w:tblCellSpacing w:w="0" w:type="dxa"/>
        </w:trPr>
        <w:tc>
          <w:tcPr>
            <w:tcW w:w="0" w:type="auto"/>
            <w:vAlign w:val="bottom"/>
            <w:hideMark/>
          </w:tcPr>
          <w:p w14:paraId="01FBBA7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12C87D9" w14:textId="77777777" w:rsidR="00000000" w:rsidRDefault="00322B34">
            <w:pPr>
              <w:rPr>
                <w:rFonts w:eastAsia="Times New Roman"/>
                <w:sz w:val="20"/>
                <w:szCs w:val="20"/>
              </w:rPr>
            </w:pPr>
            <w:r>
              <w:rPr>
                <w:rFonts w:eastAsia="Times New Roman"/>
                <w:sz w:val="20"/>
                <w:szCs w:val="20"/>
              </w:rPr>
              <w:t> </w:t>
            </w:r>
          </w:p>
        </w:tc>
        <w:tc>
          <w:tcPr>
            <w:tcW w:w="0" w:type="auto"/>
            <w:gridSpan w:val="2"/>
            <w:vAlign w:val="bottom"/>
            <w:hideMark/>
          </w:tcPr>
          <w:p w14:paraId="146460E9" w14:textId="77777777" w:rsidR="00000000" w:rsidRDefault="00322B34">
            <w:pPr>
              <w:pStyle w:val="a3"/>
              <w:spacing w:before="0" w:beforeAutospacing="0" w:after="0" w:afterAutospacing="0"/>
              <w:jc w:val="center"/>
              <w:rPr>
                <w:sz w:val="20"/>
                <w:szCs w:val="20"/>
              </w:rPr>
            </w:pPr>
            <w:r>
              <w:rPr>
                <w:b/>
                <w:bCs/>
                <w:sz w:val="20"/>
                <w:szCs w:val="20"/>
              </w:rPr>
              <w:t>Ownership</w:t>
            </w:r>
          </w:p>
        </w:tc>
        <w:tc>
          <w:tcPr>
            <w:tcW w:w="0" w:type="auto"/>
            <w:vAlign w:val="bottom"/>
            <w:hideMark/>
          </w:tcPr>
          <w:p w14:paraId="69E6834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B479402"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140600AC" w14:textId="77777777" w:rsidR="00000000" w:rsidRDefault="00322B34">
            <w:pPr>
              <w:pStyle w:val="a3"/>
              <w:spacing w:before="0" w:beforeAutospacing="0" w:after="0" w:afterAutospacing="0"/>
              <w:jc w:val="center"/>
              <w:rPr>
                <w:sz w:val="20"/>
                <w:szCs w:val="20"/>
              </w:rPr>
            </w:pPr>
            <w:r>
              <w:rPr>
                <w:b/>
                <w:bCs/>
                <w:sz w:val="20"/>
                <w:szCs w:val="20"/>
              </w:rPr>
              <w:t>The Company’s Investment</w:t>
            </w:r>
          </w:p>
        </w:tc>
        <w:tc>
          <w:tcPr>
            <w:tcW w:w="0" w:type="auto"/>
            <w:vAlign w:val="bottom"/>
            <w:hideMark/>
          </w:tcPr>
          <w:p w14:paraId="45548832" w14:textId="77777777" w:rsidR="00000000" w:rsidRDefault="00322B34">
            <w:pPr>
              <w:rPr>
                <w:rFonts w:eastAsia="Times New Roman"/>
                <w:sz w:val="20"/>
                <w:szCs w:val="20"/>
              </w:rPr>
            </w:pPr>
            <w:r>
              <w:rPr>
                <w:rFonts w:eastAsia="Times New Roman"/>
                <w:sz w:val="20"/>
                <w:szCs w:val="20"/>
              </w:rPr>
              <w:t> </w:t>
            </w:r>
          </w:p>
        </w:tc>
      </w:tr>
      <w:tr w:rsidR="00000000" w14:paraId="65F17009" w14:textId="77777777">
        <w:trPr>
          <w:tblCellSpacing w:w="0" w:type="dxa"/>
        </w:trPr>
        <w:tc>
          <w:tcPr>
            <w:tcW w:w="2750" w:type="pct"/>
            <w:tcBorders>
              <w:bottom w:val="single" w:sz="6" w:space="0" w:color="000000"/>
            </w:tcBorders>
            <w:vAlign w:val="bottom"/>
            <w:hideMark/>
          </w:tcPr>
          <w:p w14:paraId="47FF8440" w14:textId="77777777" w:rsidR="00000000" w:rsidRDefault="00322B34">
            <w:pPr>
              <w:pStyle w:val="a3"/>
              <w:spacing w:before="0" w:beforeAutospacing="0" w:after="0" w:afterAutospacing="0"/>
              <w:rPr>
                <w:sz w:val="20"/>
                <w:szCs w:val="20"/>
              </w:rPr>
            </w:pPr>
            <w:r>
              <w:rPr>
                <w:b/>
                <w:bCs/>
                <w:sz w:val="20"/>
                <w:szCs w:val="20"/>
              </w:rPr>
              <w:t>Joint Venture</w:t>
            </w:r>
          </w:p>
        </w:tc>
        <w:tc>
          <w:tcPr>
            <w:tcW w:w="0" w:type="auto"/>
            <w:vAlign w:val="bottom"/>
            <w:hideMark/>
          </w:tcPr>
          <w:p w14:paraId="308153EF"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C7DB2A4" w14:textId="77777777" w:rsidR="00000000" w:rsidRDefault="00322B34">
            <w:pPr>
              <w:pStyle w:val="a3"/>
              <w:spacing w:before="0" w:beforeAutospacing="0" w:after="0" w:afterAutospacing="0"/>
              <w:jc w:val="center"/>
              <w:rPr>
                <w:sz w:val="20"/>
                <w:szCs w:val="20"/>
              </w:rPr>
            </w:pPr>
            <w:r>
              <w:rPr>
                <w:b/>
                <w:bCs/>
                <w:sz w:val="20"/>
                <w:szCs w:val="20"/>
              </w:rPr>
              <w:t>Interest</w:t>
            </w:r>
          </w:p>
        </w:tc>
        <w:tc>
          <w:tcPr>
            <w:tcW w:w="0" w:type="auto"/>
            <w:tcMar>
              <w:top w:w="0" w:type="dxa"/>
              <w:left w:w="0" w:type="dxa"/>
              <w:bottom w:w="15" w:type="dxa"/>
              <w:right w:w="0" w:type="dxa"/>
            </w:tcMar>
            <w:vAlign w:val="bottom"/>
            <w:hideMark/>
          </w:tcPr>
          <w:p w14:paraId="2D3B2DF9"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25F6E9D"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2236FFA" w14:textId="77777777" w:rsidR="00000000" w:rsidRDefault="00322B34">
            <w:pPr>
              <w:pStyle w:val="a3"/>
              <w:spacing w:before="0" w:beforeAutospacing="0" w:after="0" w:afterAutospacing="0"/>
              <w:jc w:val="center"/>
              <w:rPr>
                <w:sz w:val="20"/>
                <w:szCs w:val="20"/>
              </w:rPr>
            </w:pPr>
            <w:r>
              <w:rPr>
                <w:b/>
                <w:bCs/>
                <w:sz w:val="20"/>
                <w:szCs w:val="20"/>
              </w:rPr>
              <w:t>June 30, 2020</w:t>
            </w:r>
          </w:p>
        </w:tc>
        <w:tc>
          <w:tcPr>
            <w:tcW w:w="0" w:type="auto"/>
            <w:tcMar>
              <w:top w:w="0" w:type="dxa"/>
              <w:left w:w="0" w:type="dxa"/>
              <w:bottom w:w="15" w:type="dxa"/>
              <w:right w:w="0" w:type="dxa"/>
            </w:tcMar>
            <w:vAlign w:val="bottom"/>
            <w:hideMark/>
          </w:tcPr>
          <w:p w14:paraId="148B95B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9FBB41F"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839E1E7" w14:textId="77777777" w:rsidR="00000000" w:rsidRDefault="00322B34">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3F9C3030" w14:textId="77777777" w:rsidR="00000000" w:rsidRDefault="00322B34">
            <w:pPr>
              <w:rPr>
                <w:rFonts w:eastAsia="Times New Roman"/>
                <w:sz w:val="20"/>
                <w:szCs w:val="20"/>
              </w:rPr>
            </w:pPr>
            <w:r>
              <w:rPr>
                <w:rFonts w:eastAsia="Times New Roman"/>
                <w:sz w:val="20"/>
                <w:szCs w:val="20"/>
              </w:rPr>
              <w:t> </w:t>
            </w:r>
          </w:p>
        </w:tc>
      </w:tr>
      <w:tr w:rsidR="00000000" w14:paraId="3A021F10" w14:textId="77777777">
        <w:trPr>
          <w:tblCellSpacing w:w="0" w:type="dxa"/>
        </w:trPr>
        <w:tc>
          <w:tcPr>
            <w:tcW w:w="0" w:type="auto"/>
            <w:tcBorders>
              <w:bottom w:val="nil"/>
            </w:tcBorders>
            <w:shd w:val="clear" w:color="auto" w:fill="CCEEFF"/>
            <w:vAlign w:val="bottom"/>
            <w:hideMark/>
          </w:tcPr>
          <w:p w14:paraId="7A63F7DC" w14:textId="77777777" w:rsidR="00000000" w:rsidRDefault="00322B34">
            <w:pPr>
              <w:pStyle w:val="a3"/>
              <w:spacing w:before="0" w:beforeAutospacing="0" w:after="0" w:afterAutospacing="0"/>
              <w:rPr>
                <w:sz w:val="20"/>
                <w:szCs w:val="20"/>
              </w:rPr>
            </w:pPr>
            <w:r>
              <w:rPr>
                <w:sz w:val="20"/>
                <w:szCs w:val="20"/>
              </w:rPr>
              <w:t>Prudential Investment Program (1)</w:t>
            </w:r>
          </w:p>
        </w:tc>
        <w:tc>
          <w:tcPr>
            <w:tcW w:w="50" w:type="pct"/>
            <w:tcBorders>
              <w:bottom w:val="nil"/>
            </w:tcBorders>
            <w:shd w:val="clear" w:color="auto" w:fill="CCEEFF"/>
            <w:vAlign w:val="bottom"/>
            <w:hideMark/>
          </w:tcPr>
          <w:p w14:paraId="6828B705"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D021DA5" w14:textId="77777777" w:rsidR="00000000" w:rsidRDefault="00322B34">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5538332F" w14:textId="77777777" w:rsidR="00000000" w:rsidRDefault="00322B34">
            <w:pPr>
              <w:ind w:left="114"/>
              <w:jc w:val="center"/>
              <w:rPr>
                <w:rFonts w:eastAsia="Times New Roman"/>
                <w:sz w:val="20"/>
                <w:szCs w:val="20"/>
              </w:rPr>
            </w:pPr>
            <w:r>
              <w:rPr>
                <w:rFonts w:eastAsia="Times New Roman"/>
                <w:sz w:val="20"/>
                <w:szCs w:val="20"/>
              </w:rPr>
              <w:t>15.0%</w:t>
            </w:r>
          </w:p>
        </w:tc>
        <w:tc>
          <w:tcPr>
            <w:tcW w:w="50" w:type="pct"/>
            <w:tcBorders>
              <w:bottom w:val="nil"/>
            </w:tcBorders>
            <w:shd w:val="clear" w:color="auto" w:fill="CCEEFF"/>
            <w:vAlign w:val="bottom"/>
            <w:hideMark/>
          </w:tcPr>
          <w:p w14:paraId="68106FCF"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99E3AF4"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6488BEB" w14:textId="77777777" w:rsidR="00000000" w:rsidRDefault="00322B34">
            <w:pPr>
              <w:ind w:left="114"/>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14:paraId="482C71B7" w14:textId="77777777" w:rsidR="00000000" w:rsidRDefault="00322B34">
            <w:pPr>
              <w:ind w:left="114"/>
              <w:jc w:val="right"/>
              <w:rPr>
                <w:rFonts w:eastAsia="Times New Roman"/>
                <w:sz w:val="20"/>
                <w:szCs w:val="20"/>
              </w:rPr>
            </w:pPr>
            <w:r>
              <w:rPr>
                <w:rFonts w:eastAsia="Times New Roman"/>
                <w:sz w:val="20"/>
                <w:szCs w:val="20"/>
              </w:rPr>
              <w:t>170.8</w:t>
            </w:r>
          </w:p>
        </w:tc>
        <w:tc>
          <w:tcPr>
            <w:tcW w:w="50" w:type="pct"/>
            <w:tcBorders>
              <w:bottom w:val="nil"/>
            </w:tcBorders>
            <w:shd w:val="clear" w:color="auto" w:fill="CCEEFF"/>
            <w:vAlign w:val="bottom"/>
            <w:hideMark/>
          </w:tcPr>
          <w:p w14:paraId="6C134DE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A14BC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E4BA48" w14:textId="77777777" w:rsidR="00000000" w:rsidRDefault="00322B34">
            <w:pPr>
              <w:ind w:left="114"/>
              <w:rPr>
                <w:rFonts w:eastAsia="Times New Roman"/>
                <w:sz w:val="20"/>
                <w:szCs w:val="20"/>
              </w:rPr>
            </w:pPr>
            <w:r>
              <w:rPr>
                <w:rFonts w:eastAsia="Times New Roman"/>
                <w:sz w:val="20"/>
                <w:szCs w:val="20"/>
              </w:rPr>
              <w:t>$</w:t>
            </w:r>
          </w:p>
        </w:tc>
        <w:tc>
          <w:tcPr>
            <w:tcW w:w="600" w:type="pct"/>
            <w:shd w:val="clear" w:color="auto" w:fill="CCEEFF"/>
            <w:vAlign w:val="bottom"/>
            <w:hideMark/>
          </w:tcPr>
          <w:p w14:paraId="22CB1D59" w14:textId="77777777" w:rsidR="00000000" w:rsidRDefault="00322B34">
            <w:pPr>
              <w:ind w:left="114"/>
              <w:jc w:val="right"/>
              <w:rPr>
                <w:rFonts w:eastAsia="Times New Roman"/>
                <w:sz w:val="20"/>
                <w:szCs w:val="20"/>
              </w:rPr>
            </w:pPr>
            <w:r>
              <w:rPr>
                <w:rFonts w:eastAsia="Times New Roman"/>
                <w:sz w:val="20"/>
                <w:szCs w:val="20"/>
              </w:rPr>
              <w:t>169.5</w:t>
            </w:r>
          </w:p>
        </w:tc>
        <w:tc>
          <w:tcPr>
            <w:tcW w:w="50" w:type="pct"/>
            <w:shd w:val="clear" w:color="auto" w:fill="CCEEFF"/>
            <w:vAlign w:val="bottom"/>
            <w:hideMark/>
          </w:tcPr>
          <w:p w14:paraId="653193DB" w14:textId="77777777" w:rsidR="00000000" w:rsidRDefault="00322B34">
            <w:pPr>
              <w:rPr>
                <w:rFonts w:eastAsia="Times New Roman"/>
                <w:sz w:val="20"/>
                <w:szCs w:val="20"/>
              </w:rPr>
            </w:pPr>
            <w:r>
              <w:rPr>
                <w:rFonts w:eastAsia="Times New Roman"/>
                <w:sz w:val="20"/>
                <w:szCs w:val="20"/>
              </w:rPr>
              <w:t> </w:t>
            </w:r>
          </w:p>
        </w:tc>
      </w:tr>
      <w:tr w:rsidR="00000000" w14:paraId="3CEEAB09" w14:textId="77777777">
        <w:trPr>
          <w:tblCellSpacing w:w="0" w:type="dxa"/>
        </w:trPr>
        <w:tc>
          <w:tcPr>
            <w:tcW w:w="0" w:type="auto"/>
            <w:shd w:val="clear" w:color="auto" w:fill="FFFFFF"/>
            <w:vAlign w:val="bottom"/>
            <w:hideMark/>
          </w:tcPr>
          <w:p w14:paraId="7E6E6EDE" w14:textId="77777777" w:rsidR="00000000" w:rsidRDefault="00322B34">
            <w:pPr>
              <w:pStyle w:val="a3"/>
              <w:spacing w:before="0" w:beforeAutospacing="0" w:after="0" w:afterAutospacing="0"/>
              <w:rPr>
                <w:sz w:val="20"/>
                <w:szCs w:val="20"/>
              </w:rPr>
            </w:pPr>
            <w:r>
              <w:rPr>
                <w:sz w:val="20"/>
                <w:szCs w:val="20"/>
              </w:rPr>
              <w:t>Kimco Income Opportunity Portfolio (“KIR”) (1)</w:t>
            </w:r>
          </w:p>
        </w:tc>
        <w:tc>
          <w:tcPr>
            <w:tcW w:w="50" w:type="pct"/>
            <w:shd w:val="clear" w:color="auto" w:fill="FFFFFF"/>
            <w:vAlign w:val="bottom"/>
            <w:hideMark/>
          </w:tcPr>
          <w:p w14:paraId="6DA0347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0A3A03"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1604B26" w14:textId="77777777" w:rsidR="00000000" w:rsidRDefault="00322B34">
            <w:pPr>
              <w:ind w:left="114"/>
              <w:jc w:val="center"/>
              <w:rPr>
                <w:rFonts w:eastAsia="Times New Roman"/>
                <w:sz w:val="20"/>
                <w:szCs w:val="20"/>
              </w:rPr>
            </w:pPr>
            <w:r>
              <w:rPr>
                <w:rFonts w:eastAsia="Times New Roman"/>
                <w:sz w:val="20"/>
                <w:szCs w:val="20"/>
              </w:rPr>
              <w:t>48.6%</w:t>
            </w:r>
          </w:p>
        </w:tc>
        <w:tc>
          <w:tcPr>
            <w:tcW w:w="50" w:type="pct"/>
            <w:shd w:val="clear" w:color="auto" w:fill="FFFFFF"/>
            <w:vAlign w:val="bottom"/>
            <w:hideMark/>
          </w:tcPr>
          <w:p w14:paraId="262FC44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89989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B050B7"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5157797" w14:textId="77777777" w:rsidR="00000000" w:rsidRDefault="00322B34">
            <w:pPr>
              <w:ind w:left="114"/>
              <w:jc w:val="right"/>
              <w:rPr>
                <w:rFonts w:eastAsia="Times New Roman"/>
                <w:sz w:val="20"/>
                <w:szCs w:val="20"/>
              </w:rPr>
            </w:pPr>
            <w:r>
              <w:rPr>
                <w:rFonts w:eastAsia="Times New Roman"/>
                <w:sz w:val="20"/>
                <w:szCs w:val="20"/>
              </w:rPr>
              <w:t>175.8</w:t>
            </w:r>
          </w:p>
        </w:tc>
        <w:tc>
          <w:tcPr>
            <w:tcW w:w="50" w:type="pct"/>
            <w:shd w:val="clear" w:color="auto" w:fill="FFFFFF"/>
            <w:vAlign w:val="bottom"/>
            <w:hideMark/>
          </w:tcPr>
          <w:p w14:paraId="7399A00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9D84B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F9154F"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EB32D5A" w14:textId="77777777" w:rsidR="00000000" w:rsidRDefault="00322B34">
            <w:pPr>
              <w:ind w:left="114"/>
              <w:jc w:val="right"/>
              <w:rPr>
                <w:rFonts w:eastAsia="Times New Roman"/>
                <w:sz w:val="20"/>
                <w:szCs w:val="20"/>
              </w:rPr>
            </w:pPr>
            <w:r>
              <w:rPr>
                <w:rFonts w:eastAsia="Times New Roman"/>
                <w:sz w:val="20"/>
                <w:szCs w:val="20"/>
              </w:rPr>
              <w:t>175.0</w:t>
            </w:r>
          </w:p>
        </w:tc>
        <w:tc>
          <w:tcPr>
            <w:tcW w:w="50" w:type="pct"/>
            <w:shd w:val="clear" w:color="auto" w:fill="FFFFFF"/>
            <w:vAlign w:val="bottom"/>
            <w:hideMark/>
          </w:tcPr>
          <w:p w14:paraId="0ADF8B46" w14:textId="77777777" w:rsidR="00000000" w:rsidRDefault="00322B34">
            <w:pPr>
              <w:rPr>
                <w:rFonts w:eastAsia="Times New Roman"/>
                <w:sz w:val="20"/>
                <w:szCs w:val="20"/>
              </w:rPr>
            </w:pPr>
            <w:r>
              <w:rPr>
                <w:rFonts w:eastAsia="Times New Roman"/>
                <w:sz w:val="20"/>
                <w:szCs w:val="20"/>
              </w:rPr>
              <w:t> </w:t>
            </w:r>
          </w:p>
        </w:tc>
      </w:tr>
      <w:tr w:rsidR="00000000" w14:paraId="6C86D306" w14:textId="77777777">
        <w:trPr>
          <w:tblCellSpacing w:w="0" w:type="dxa"/>
        </w:trPr>
        <w:tc>
          <w:tcPr>
            <w:tcW w:w="0" w:type="auto"/>
            <w:shd w:val="clear" w:color="auto" w:fill="CCEEFF"/>
            <w:vAlign w:val="bottom"/>
            <w:hideMark/>
          </w:tcPr>
          <w:p w14:paraId="2B24515C" w14:textId="77777777" w:rsidR="00000000" w:rsidRDefault="00322B34">
            <w:pPr>
              <w:pStyle w:val="a3"/>
              <w:spacing w:before="0" w:beforeAutospacing="0" w:after="0" w:afterAutospacing="0"/>
              <w:rPr>
                <w:sz w:val="20"/>
                <w:szCs w:val="20"/>
              </w:rPr>
            </w:pPr>
            <w:r>
              <w:rPr>
                <w:sz w:val="20"/>
                <w:szCs w:val="20"/>
              </w:rPr>
              <w:t>Canada Pension Plan Investment Board (“CPP”) (1)</w:t>
            </w:r>
          </w:p>
        </w:tc>
        <w:tc>
          <w:tcPr>
            <w:tcW w:w="50" w:type="pct"/>
            <w:shd w:val="clear" w:color="auto" w:fill="CCEEFF"/>
            <w:vAlign w:val="bottom"/>
            <w:hideMark/>
          </w:tcPr>
          <w:p w14:paraId="2B520F2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1B8DF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A21941E" w14:textId="77777777" w:rsidR="00000000" w:rsidRDefault="00322B34">
            <w:pPr>
              <w:ind w:left="114"/>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14:paraId="253C31D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51EBD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D24B70"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4A4CC79" w14:textId="77777777" w:rsidR="00000000" w:rsidRDefault="00322B34">
            <w:pPr>
              <w:ind w:left="114"/>
              <w:jc w:val="right"/>
              <w:rPr>
                <w:rFonts w:eastAsia="Times New Roman"/>
                <w:sz w:val="20"/>
                <w:szCs w:val="20"/>
              </w:rPr>
            </w:pPr>
            <w:r>
              <w:rPr>
                <w:rFonts w:eastAsia="Times New Roman"/>
                <w:sz w:val="20"/>
                <w:szCs w:val="20"/>
              </w:rPr>
              <w:t>157.7</w:t>
            </w:r>
          </w:p>
        </w:tc>
        <w:tc>
          <w:tcPr>
            <w:tcW w:w="50" w:type="pct"/>
            <w:shd w:val="clear" w:color="auto" w:fill="CCEEFF"/>
            <w:vAlign w:val="bottom"/>
            <w:hideMark/>
          </w:tcPr>
          <w:p w14:paraId="31450E0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390F9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181242"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781583A" w14:textId="77777777" w:rsidR="00000000" w:rsidRDefault="00322B34">
            <w:pPr>
              <w:ind w:left="114"/>
              <w:jc w:val="right"/>
              <w:rPr>
                <w:rFonts w:eastAsia="Times New Roman"/>
                <w:sz w:val="20"/>
                <w:szCs w:val="20"/>
              </w:rPr>
            </w:pPr>
            <w:r>
              <w:rPr>
                <w:rFonts w:eastAsia="Times New Roman"/>
                <w:sz w:val="20"/>
                <w:szCs w:val="20"/>
              </w:rPr>
              <w:t>151.7</w:t>
            </w:r>
          </w:p>
        </w:tc>
        <w:tc>
          <w:tcPr>
            <w:tcW w:w="50" w:type="pct"/>
            <w:shd w:val="clear" w:color="auto" w:fill="CCEEFF"/>
            <w:vAlign w:val="bottom"/>
            <w:hideMark/>
          </w:tcPr>
          <w:p w14:paraId="48227246" w14:textId="77777777" w:rsidR="00000000" w:rsidRDefault="00322B34">
            <w:pPr>
              <w:rPr>
                <w:rFonts w:eastAsia="Times New Roman"/>
                <w:sz w:val="20"/>
                <w:szCs w:val="20"/>
              </w:rPr>
            </w:pPr>
            <w:r>
              <w:rPr>
                <w:rFonts w:eastAsia="Times New Roman"/>
                <w:sz w:val="20"/>
                <w:szCs w:val="20"/>
              </w:rPr>
              <w:t> </w:t>
            </w:r>
          </w:p>
        </w:tc>
      </w:tr>
      <w:tr w:rsidR="00000000" w14:paraId="2B29C76F" w14:textId="77777777">
        <w:trPr>
          <w:tblCellSpacing w:w="0" w:type="dxa"/>
        </w:trPr>
        <w:tc>
          <w:tcPr>
            <w:tcW w:w="0" w:type="auto"/>
            <w:shd w:val="clear" w:color="auto" w:fill="FFFFFF"/>
            <w:vAlign w:val="bottom"/>
            <w:hideMark/>
          </w:tcPr>
          <w:p w14:paraId="0B5A8717" w14:textId="77777777" w:rsidR="00000000" w:rsidRDefault="00322B34">
            <w:pPr>
              <w:pStyle w:val="a3"/>
              <w:spacing w:before="0" w:beforeAutospacing="0" w:after="0" w:afterAutospacing="0"/>
              <w:rPr>
                <w:sz w:val="20"/>
                <w:szCs w:val="20"/>
              </w:rPr>
            </w:pPr>
            <w:r>
              <w:rPr>
                <w:sz w:val="20"/>
                <w:szCs w:val="20"/>
              </w:rPr>
              <w:t>Other Joint Venture Programs</w:t>
            </w:r>
          </w:p>
        </w:tc>
        <w:tc>
          <w:tcPr>
            <w:tcW w:w="0" w:type="auto"/>
            <w:shd w:val="clear" w:color="auto" w:fill="FFFFFF"/>
            <w:vAlign w:val="bottom"/>
            <w:hideMark/>
          </w:tcPr>
          <w:p w14:paraId="2AFD4537" w14:textId="77777777" w:rsidR="00000000" w:rsidRDefault="00322B34">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14:paraId="515509E0" w14:textId="77777777" w:rsidR="00000000" w:rsidRDefault="00322B34">
            <w:pPr>
              <w:pStyle w:val="a3"/>
              <w:spacing w:before="0" w:beforeAutospacing="0" w:after="0" w:afterAutospacing="0"/>
              <w:ind w:left="228" w:hanging="114"/>
              <w:jc w:val="center"/>
              <w:rPr>
                <w:sz w:val="20"/>
                <w:szCs w:val="20"/>
              </w:rPr>
            </w:pPr>
            <w:r>
              <w:rPr>
                <w:rStyle w:val="a6"/>
                <w:sz w:val="20"/>
                <w:szCs w:val="20"/>
              </w:rPr>
              <w:t>   Various</w:t>
            </w:r>
          </w:p>
        </w:tc>
        <w:tc>
          <w:tcPr>
            <w:tcW w:w="0" w:type="auto"/>
            <w:shd w:val="clear" w:color="auto" w:fill="FFFFFF"/>
            <w:vAlign w:val="bottom"/>
            <w:hideMark/>
          </w:tcPr>
          <w:p w14:paraId="4668A75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37E9CEEA"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FB3B3F6"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C0BACBF" w14:textId="77777777" w:rsidR="00000000" w:rsidRDefault="00322B34">
            <w:pPr>
              <w:ind w:left="114"/>
              <w:jc w:val="right"/>
              <w:rPr>
                <w:rFonts w:eastAsia="Times New Roman"/>
                <w:sz w:val="20"/>
                <w:szCs w:val="20"/>
              </w:rPr>
            </w:pPr>
            <w:r>
              <w:rPr>
                <w:rFonts w:eastAsia="Times New Roman"/>
                <w:sz w:val="20"/>
                <w:szCs w:val="20"/>
              </w:rPr>
              <w:t>81.1</w:t>
            </w:r>
          </w:p>
        </w:tc>
        <w:tc>
          <w:tcPr>
            <w:tcW w:w="50" w:type="pct"/>
            <w:shd w:val="clear" w:color="auto" w:fill="FFFFFF"/>
            <w:tcMar>
              <w:top w:w="0" w:type="dxa"/>
              <w:left w:w="0" w:type="dxa"/>
              <w:bottom w:w="15" w:type="dxa"/>
              <w:right w:w="0" w:type="dxa"/>
            </w:tcMar>
            <w:vAlign w:val="bottom"/>
            <w:hideMark/>
          </w:tcPr>
          <w:p w14:paraId="76EF070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4AEEA4F6"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03B5B64" w14:textId="77777777" w:rsidR="00000000" w:rsidRDefault="00322B34">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02DE5FE" w14:textId="77777777" w:rsidR="00000000" w:rsidRDefault="00322B34">
            <w:pPr>
              <w:ind w:left="114"/>
              <w:jc w:val="right"/>
              <w:rPr>
                <w:rFonts w:eastAsia="Times New Roman"/>
                <w:sz w:val="20"/>
                <w:szCs w:val="20"/>
              </w:rPr>
            </w:pPr>
            <w:r>
              <w:rPr>
                <w:rFonts w:eastAsia="Times New Roman"/>
                <w:sz w:val="20"/>
                <w:szCs w:val="20"/>
              </w:rPr>
              <w:t>81.9</w:t>
            </w:r>
          </w:p>
        </w:tc>
        <w:tc>
          <w:tcPr>
            <w:tcW w:w="50" w:type="pct"/>
            <w:shd w:val="clear" w:color="auto" w:fill="FFFFFF"/>
            <w:tcMar>
              <w:top w:w="0" w:type="dxa"/>
              <w:left w:w="0" w:type="dxa"/>
              <w:bottom w:w="15" w:type="dxa"/>
              <w:right w:w="0" w:type="dxa"/>
            </w:tcMar>
            <w:vAlign w:val="bottom"/>
            <w:hideMark/>
          </w:tcPr>
          <w:p w14:paraId="3BDD12DF" w14:textId="77777777" w:rsidR="00000000" w:rsidRDefault="00322B34">
            <w:pPr>
              <w:rPr>
                <w:rFonts w:eastAsia="Times New Roman"/>
                <w:sz w:val="20"/>
                <w:szCs w:val="20"/>
              </w:rPr>
            </w:pPr>
            <w:r>
              <w:rPr>
                <w:rFonts w:eastAsia="Times New Roman"/>
                <w:sz w:val="20"/>
                <w:szCs w:val="20"/>
              </w:rPr>
              <w:t> </w:t>
            </w:r>
          </w:p>
        </w:tc>
      </w:tr>
      <w:tr w:rsidR="00000000" w14:paraId="783450FB" w14:textId="77777777">
        <w:trPr>
          <w:tblCellSpacing w:w="0" w:type="dxa"/>
        </w:trPr>
        <w:tc>
          <w:tcPr>
            <w:tcW w:w="0" w:type="auto"/>
            <w:shd w:val="clear" w:color="auto" w:fill="CCEEFF"/>
            <w:vAlign w:val="bottom"/>
            <w:hideMark/>
          </w:tcPr>
          <w:p w14:paraId="7CD4BFAB" w14:textId="77777777" w:rsidR="00000000" w:rsidRDefault="00322B34">
            <w:pPr>
              <w:pStyle w:val="a3"/>
              <w:spacing w:before="0" w:beforeAutospacing="0" w:after="0" w:afterAutospacing="0"/>
              <w:rPr>
                <w:sz w:val="20"/>
                <w:szCs w:val="20"/>
              </w:rPr>
            </w:pPr>
            <w:r>
              <w:rPr>
                <w:b/>
                <w:bCs/>
                <w:sz w:val="20"/>
                <w:szCs w:val="20"/>
              </w:rPr>
              <w:t>Total*</w:t>
            </w:r>
          </w:p>
        </w:tc>
        <w:tc>
          <w:tcPr>
            <w:tcW w:w="0" w:type="auto"/>
            <w:shd w:val="clear" w:color="auto" w:fill="CCEEFF"/>
            <w:vAlign w:val="bottom"/>
            <w:hideMark/>
          </w:tcPr>
          <w:p w14:paraId="08C9F4D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C391EF" w14:textId="77777777" w:rsidR="00000000" w:rsidRDefault="00322B3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7C25AE2" w14:textId="77777777" w:rsidR="00000000" w:rsidRDefault="00322B34">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14:paraId="562580DE"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7CDACA5"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8653AA4" w14:textId="77777777" w:rsidR="00000000" w:rsidRDefault="00322B34">
            <w:pPr>
              <w:ind w:left="114"/>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4E87736E" w14:textId="77777777" w:rsidR="00000000" w:rsidRDefault="00322B34">
            <w:pPr>
              <w:ind w:left="114"/>
              <w:jc w:val="right"/>
              <w:rPr>
                <w:rFonts w:eastAsia="Times New Roman"/>
                <w:sz w:val="20"/>
                <w:szCs w:val="20"/>
              </w:rPr>
            </w:pPr>
            <w:r>
              <w:rPr>
                <w:rFonts w:eastAsia="Times New Roman"/>
                <w:b/>
                <w:bCs/>
                <w:sz w:val="20"/>
                <w:szCs w:val="20"/>
              </w:rPr>
              <w:t>585.4</w:t>
            </w:r>
          </w:p>
        </w:tc>
        <w:tc>
          <w:tcPr>
            <w:tcW w:w="50" w:type="pct"/>
            <w:shd w:val="clear" w:color="auto" w:fill="CCEEFF"/>
            <w:tcMar>
              <w:top w:w="0" w:type="dxa"/>
              <w:left w:w="0" w:type="dxa"/>
              <w:bottom w:w="45" w:type="dxa"/>
              <w:right w:w="0" w:type="dxa"/>
            </w:tcMar>
            <w:vAlign w:val="bottom"/>
            <w:hideMark/>
          </w:tcPr>
          <w:p w14:paraId="3D64123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1C6861"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3DD3040" w14:textId="77777777" w:rsidR="00000000" w:rsidRDefault="00322B34">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4790C704" w14:textId="77777777" w:rsidR="00000000" w:rsidRDefault="00322B34">
            <w:pPr>
              <w:jc w:val="right"/>
              <w:rPr>
                <w:rFonts w:eastAsia="Times New Roman"/>
                <w:sz w:val="20"/>
                <w:szCs w:val="20"/>
              </w:rPr>
            </w:pPr>
            <w:r>
              <w:rPr>
                <w:rFonts w:eastAsia="Times New Roman"/>
                <w:b/>
                <w:bCs/>
                <w:sz w:val="20"/>
                <w:szCs w:val="20"/>
              </w:rPr>
              <w:t>578.1</w:t>
            </w:r>
          </w:p>
        </w:tc>
        <w:tc>
          <w:tcPr>
            <w:tcW w:w="50" w:type="pct"/>
            <w:shd w:val="clear" w:color="auto" w:fill="CCEEFF"/>
            <w:tcMar>
              <w:top w:w="0" w:type="dxa"/>
              <w:left w:w="0" w:type="dxa"/>
              <w:bottom w:w="45" w:type="dxa"/>
              <w:right w:w="0" w:type="dxa"/>
            </w:tcMar>
            <w:vAlign w:val="bottom"/>
            <w:hideMark/>
          </w:tcPr>
          <w:p w14:paraId="182FAE09" w14:textId="77777777" w:rsidR="00000000" w:rsidRDefault="00322B34">
            <w:pPr>
              <w:rPr>
                <w:rFonts w:eastAsia="Times New Roman"/>
                <w:sz w:val="20"/>
                <w:szCs w:val="20"/>
              </w:rPr>
            </w:pPr>
            <w:r>
              <w:rPr>
                <w:rFonts w:eastAsia="Times New Roman"/>
                <w:sz w:val="20"/>
                <w:szCs w:val="20"/>
              </w:rPr>
              <w:t> </w:t>
            </w:r>
          </w:p>
        </w:tc>
      </w:tr>
    </w:tbl>
    <w:p w14:paraId="0A13927E" w14:textId="77777777" w:rsidR="00000000" w:rsidRDefault="00322B34">
      <w:pPr>
        <w:pStyle w:val="a3"/>
        <w:spacing w:before="0" w:beforeAutospacing="0" w:after="0" w:afterAutospacing="0"/>
        <w:jc w:val="both"/>
        <w:rPr>
          <w:sz w:val="20"/>
          <w:szCs w:val="20"/>
        </w:rPr>
      </w:pPr>
      <w:r>
        <w:rPr>
          <w:sz w:val="20"/>
          <w:szCs w:val="20"/>
        </w:rPr>
        <w:t> </w:t>
      </w:r>
    </w:p>
    <w:p w14:paraId="2BE78F11" w14:textId="77777777" w:rsidR="00000000" w:rsidRDefault="00322B34">
      <w:pPr>
        <w:pStyle w:val="a3"/>
        <w:spacing w:before="0" w:beforeAutospacing="0" w:after="0" w:afterAutospacing="0"/>
        <w:ind w:left="360" w:hanging="180"/>
        <w:jc w:val="both"/>
        <w:rPr>
          <w:sz w:val="20"/>
          <w:szCs w:val="20"/>
        </w:rPr>
      </w:pPr>
      <w:r>
        <w:rPr>
          <w:sz w:val="20"/>
          <w:szCs w:val="20"/>
        </w:rPr>
        <w:t xml:space="preserve">* Representing 98 property interests and 21.3 million square feet of GLA, as of both </w:t>
      </w:r>
      <w:r>
        <w:rPr>
          <w:rStyle w:val="a6"/>
          <w:sz w:val="20"/>
          <w:szCs w:val="20"/>
        </w:rPr>
        <w:t xml:space="preserve">June 30, 2020 </w:t>
      </w:r>
      <w:r>
        <w:rPr>
          <w:sz w:val="20"/>
          <w:szCs w:val="20"/>
        </w:rPr>
        <w:t xml:space="preserve">and </w:t>
      </w:r>
      <w:r>
        <w:rPr>
          <w:rStyle w:val="a6"/>
          <w:sz w:val="20"/>
          <w:szCs w:val="20"/>
        </w:rPr>
        <w:t>December 31, 2019.</w:t>
      </w:r>
    </w:p>
    <w:p w14:paraId="6D6847DB" w14:textId="77777777" w:rsidR="00000000" w:rsidRDefault="00322B3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9CD3A1E" w14:textId="77777777">
        <w:trPr>
          <w:tblCellSpacing w:w="0" w:type="dxa"/>
        </w:trPr>
        <w:tc>
          <w:tcPr>
            <w:tcW w:w="360" w:type="dxa"/>
            <w:hideMark/>
          </w:tcPr>
          <w:p w14:paraId="54997DBD"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14:paraId="1F79AC21" w14:textId="77777777" w:rsidR="00000000" w:rsidRDefault="00322B34">
            <w:pPr>
              <w:pStyle w:val="a3"/>
              <w:spacing w:before="0" w:beforeAutospacing="0" w:after="0" w:afterAutospacing="0"/>
              <w:jc w:val="both"/>
              <w:rPr>
                <w:sz w:val="20"/>
                <w:szCs w:val="20"/>
              </w:rPr>
            </w:pPr>
            <w:r>
              <w:rPr>
                <w:sz w:val="20"/>
                <w:szCs w:val="20"/>
              </w:rPr>
              <w:t>The Company manages these joint venture investments and, where applicable, earns property management fees, construction management fees, property acquisition and disposition fees, leasing management fees and asset management fees.</w:t>
            </w:r>
          </w:p>
        </w:tc>
      </w:tr>
    </w:tbl>
    <w:p w14:paraId="713B595A" w14:textId="77777777" w:rsidR="00000000" w:rsidRDefault="00322B34">
      <w:pPr>
        <w:pStyle w:val="a3"/>
        <w:spacing w:before="0" w:beforeAutospacing="0" w:after="0" w:afterAutospacing="0"/>
        <w:jc w:val="both"/>
        <w:rPr>
          <w:sz w:val="20"/>
          <w:szCs w:val="20"/>
        </w:rPr>
      </w:pPr>
      <w:r>
        <w:rPr>
          <w:sz w:val="20"/>
          <w:szCs w:val="20"/>
        </w:rPr>
        <w:t> </w:t>
      </w:r>
    </w:p>
    <w:p w14:paraId="0CDFC457" w14:textId="77777777" w:rsidR="00000000" w:rsidRDefault="00322B34">
      <w:pPr>
        <w:pStyle w:val="a3"/>
        <w:spacing w:before="0" w:beforeAutospacing="0" w:after="0" w:afterAutospacing="0"/>
        <w:ind w:firstLine="360"/>
        <w:jc w:val="both"/>
        <w:rPr>
          <w:sz w:val="20"/>
          <w:szCs w:val="20"/>
        </w:rPr>
      </w:pPr>
      <w:r>
        <w:rPr>
          <w:sz w:val="20"/>
          <w:szCs w:val="20"/>
        </w:rPr>
        <w:t>The table below presen</w:t>
      </w:r>
      <w:r>
        <w:rPr>
          <w:sz w:val="20"/>
          <w:szCs w:val="20"/>
        </w:rPr>
        <w:t xml:space="preserve">ts the Company’s share of net income for the above investments which is included in Equity in income of joint ventures, net on the Company’s Condensed Consolidated Statements of Income for the </w:t>
      </w:r>
      <w:r>
        <w:rPr>
          <w:rStyle w:val="a6"/>
          <w:sz w:val="20"/>
          <w:szCs w:val="20"/>
        </w:rPr>
        <w:t>three</w:t>
      </w:r>
      <w:r>
        <w:rPr>
          <w:sz w:val="20"/>
          <w:szCs w:val="20"/>
        </w:rPr>
        <w:t xml:space="preserve"> and </w:t>
      </w:r>
      <w:r>
        <w:rPr>
          <w:rStyle w:val="a6"/>
          <w:sz w:val="20"/>
          <w:szCs w:val="20"/>
        </w:rPr>
        <w:t>six</w:t>
      </w:r>
      <w:r>
        <w:rPr>
          <w:sz w:val="20"/>
          <w:szCs w:val="20"/>
        </w:rPr>
        <w:t xml:space="preserve"> months ended </w:t>
      </w:r>
      <w:r>
        <w:rPr>
          <w:rStyle w:val="a6"/>
          <w:sz w:val="20"/>
          <w:szCs w:val="20"/>
        </w:rPr>
        <w:t xml:space="preserve">June 30, 2020 </w:t>
      </w:r>
      <w:r>
        <w:rPr>
          <w:sz w:val="20"/>
          <w:szCs w:val="20"/>
        </w:rPr>
        <w:t xml:space="preserve">and </w:t>
      </w:r>
      <w:r>
        <w:rPr>
          <w:rStyle w:val="a6"/>
          <w:sz w:val="20"/>
          <w:szCs w:val="20"/>
        </w:rPr>
        <w:t>2019</w:t>
      </w:r>
      <w:r>
        <w:rPr>
          <w:sz w:val="20"/>
          <w:szCs w:val="20"/>
        </w:rPr>
        <w:t xml:space="preserve"> (in millions)</w:t>
      </w:r>
      <w:r>
        <w:rPr>
          <w:sz w:val="20"/>
          <w:szCs w:val="20"/>
        </w:rPr>
        <w:t>:</w:t>
      </w:r>
    </w:p>
    <w:p w14:paraId="7F7BEDC8"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80" w:type="dxa"/>
        <w:tblCellMar>
          <w:left w:w="0" w:type="dxa"/>
          <w:right w:w="0" w:type="dxa"/>
        </w:tblCellMar>
        <w:tblLook w:val="04A0" w:firstRow="1" w:lastRow="0" w:firstColumn="1" w:lastColumn="0" w:noHBand="0" w:noVBand="1"/>
      </w:tblPr>
      <w:tblGrid>
        <w:gridCol w:w="2381"/>
        <w:gridCol w:w="56"/>
        <w:gridCol w:w="100"/>
        <w:gridCol w:w="854"/>
        <w:gridCol w:w="56"/>
        <w:gridCol w:w="56"/>
        <w:gridCol w:w="100"/>
        <w:gridCol w:w="854"/>
        <w:gridCol w:w="56"/>
        <w:gridCol w:w="56"/>
        <w:gridCol w:w="100"/>
        <w:gridCol w:w="854"/>
        <w:gridCol w:w="56"/>
        <w:gridCol w:w="56"/>
        <w:gridCol w:w="100"/>
        <w:gridCol w:w="854"/>
        <w:gridCol w:w="56"/>
      </w:tblGrid>
      <w:tr w:rsidR="00000000" w14:paraId="67AE9AC6" w14:textId="77777777">
        <w:trPr>
          <w:tblCellSpacing w:w="0" w:type="dxa"/>
        </w:trPr>
        <w:tc>
          <w:tcPr>
            <w:tcW w:w="0" w:type="auto"/>
            <w:vAlign w:val="bottom"/>
            <w:hideMark/>
          </w:tcPr>
          <w:p w14:paraId="505E09F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2B22453"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7284FD4" w14:textId="77777777" w:rsidR="00000000" w:rsidRDefault="00322B34">
            <w:pPr>
              <w:pStyle w:val="a3"/>
              <w:spacing w:before="0" w:beforeAutospacing="0" w:after="0" w:afterAutospacing="0"/>
              <w:jc w:val="center"/>
              <w:rPr>
                <w:sz w:val="20"/>
                <w:szCs w:val="20"/>
              </w:rPr>
            </w:pPr>
            <w:r>
              <w:rPr>
                <w:b/>
                <w:bCs/>
                <w:sz w:val="20"/>
                <w:szCs w:val="20"/>
              </w:rPr>
              <w:t xml:space="preserve">Three Months Ended </w:t>
            </w:r>
          </w:p>
          <w:p w14:paraId="708B6363" w14:textId="77777777" w:rsidR="00000000" w:rsidRDefault="00322B34">
            <w:pPr>
              <w:pStyle w:val="a3"/>
              <w:spacing w:before="0" w:beforeAutospacing="0" w:after="0" w:afterAutospacing="0"/>
              <w:jc w:val="center"/>
              <w:rPr>
                <w:sz w:val="20"/>
                <w:szCs w:val="20"/>
              </w:rPr>
            </w:pPr>
            <w:r>
              <w:rPr>
                <w:b/>
                <w:bCs/>
                <w:sz w:val="20"/>
                <w:szCs w:val="20"/>
              </w:rPr>
              <w:t>June 30,</w:t>
            </w:r>
          </w:p>
        </w:tc>
        <w:tc>
          <w:tcPr>
            <w:tcW w:w="0" w:type="auto"/>
            <w:tcMar>
              <w:top w:w="0" w:type="dxa"/>
              <w:left w:w="0" w:type="dxa"/>
              <w:bottom w:w="15" w:type="dxa"/>
              <w:right w:w="0" w:type="dxa"/>
            </w:tcMar>
            <w:vAlign w:val="bottom"/>
            <w:hideMark/>
          </w:tcPr>
          <w:p w14:paraId="2E70B1F8"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4684B3D"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201B3C54" w14:textId="77777777" w:rsidR="00000000" w:rsidRDefault="00322B34">
            <w:pPr>
              <w:pStyle w:val="a3"/>
              <w:spacing w:before="0" w:beforeAutospacing="0" w:after="0" w:afterAutospacing="0"/>
              <w:jc w:val="center"/>
              <w:rPr>
                <w:sz w:val="20"/>
                <w:szCs w:val="20"/>
              </w:rPr>
            </w:pPr>
            <w:r>
              <w:rPr>
                <w:b/>
                <w:bCs/>
                <w:sz w:val="20"/>
                <w:szCs w:val="20"/>
              </w:rPr>
              <w:t xml:space="preserve">Six Months Ended </w:t>
            </w:r>
          </w:p>
          <w:p w14:paraId="4FE61BD6" w14:textId="77777777" w:rsidR="00000000" w:rsidRDefault="00322B34">
            <w:pPr>
              <w:pStyle w:val="a3"/>
              <w:spacing w:before="0" w:beforeAutospacing="0" w:after="0" w:afterAutospacing="0"/>
              <w:jc w:val="center"/>
              <w:rPr>
                <w:sz w:val="20"/>
                <w:szCs w:val="20"/>
              </w:rPr>
            </w:pPr>
            <w:r>
              <w:rPr>
                <w:b/>
                <w:bCs/>
                <w:sz w:val="20"/>
                <w:szCs w:val="20"/>
              </w:rPr>
              <w:t>June 30,</w:t>
            </w:r>
          </w:p>
        </w:tc>
        <w:tc>
          <w:tcPr>
            <w:tcW w:w="0" w:type="auto"/>
            <w:tcMar>
              <w:top w:w="0" w:type="dxa"/>
              <w:left w:w="0" w:type="dxa"/>
              <w:bottom w:w="15" w:type="dxa"/>
              <w:right w:w="0" w:type="dxa"/>
            </w:tcMar>
            <w:vAlign w:val="bottom"/>
            <w:hideMark/>
          </w:tcPr>
          <w:p w14:paraId="49C6B8DC" w14:textId="77777777" w:rsidR="00000000" w:rsidRDefault="00322B34">
            <w:pPr>
              <w:rPr>
                <w:rFonts w:eastAsia="Times New Roman"/>
                <w:sz w:val="20"/>
                <w:szCs w:val="20"/>
              </w:rPr>
            </w:pPr>
            <w:r>
              <w:rPr>
                <w:rFonts w:eastAsia="Times New Roman"/>
                <w:sz w:val="20"/>
                <w:szCs w:val="20"/>
              </w:rPr>
              <w:t> </w:t>
            </w:r>
          </w:p>
        </w:tc>
      </w:tr>
      <w:tr w:rsidR="00000000" w14:paraId="2C3CE8E5" w14:textId="77777777">
        <w:trPr>
          <w:tblCellSpacing w:w="0" w:type="dxa"/>
        </w:trPr>
        <w:tc>
          <w:tcPr>
            <w:tcW w:w="1800" w:type="pct"/>
            <w:tcBorders>
              <w:bottom w:val="single" w:sz="6" w:space="0" w:color="000000"/>
            </w:tcBorders>
            <w:vAlign w:val="bottom"/>
            <w:hideMark/>
          </w:tcPr>
          <w:p w14:paraId="30748961" w14:textId="77777777" w:rsidR="00000000" w:rsidRDefault="00322B34">
            <w:pPr>
              <w:pStyle w:val="a3"/>
              <w:spacing w:before="0" w:beforeAutospacing="0" w:after="0" w:afterAutospacing="0"/>
              <w:rPr>
                <w:sz w:val="20"/>
                <w:szCs w:val="20"/>
              </w:rPr>
            </w:pPr>
            <w:r>
              <w:rPr>
                <w:b/>
                <w:bCs/>
                <w:sz w:val="20"/>
                <w:szCs w:val="20"/>
              </w:rPr>
              <w:t>Joint Venture</w:t>
            </w:r>
          </w:p>
        </w:tc>
        <w:tc>
          <w:tcPr>
            <w:tcW w:w="0" w:type="auto"/>
            <w:vAlign w:val="bottom"/>
            <w:hideMark/>
          </w:tcPr>
          <w:p w14:paraId="01C713DA"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D513BDB"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40721A1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460243E"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75B65B2"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8592B3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FDBB6BF"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AFE883D"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11BD779C"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CA2616E"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C8096EB"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C2AAD09" w14:textId="77777777" w:rsidR="00000000" w:rsidRDefault="00322B34">
            <w:pPr>
              <w:rPr>
                <w:rFonts w:eastAsia="Times New Roman"/>
                <w:sz w:val="20"/>
                <w:szCs w:val="20"/>
              </w:rPr>
            </w:pPr>
            <w:r>
              <w:rPr>
                <w:rFonts w:eastAsia="Times New Roman"/>
                <w:sz w:val="20"/>
                <w:szCs w:val="20"/>
              </w:rPr>
              <w:t> </w:t>
            </w:r>
          </w:p>
        </w:tc>
      </w:tr>
      <w:tr w:rsidR="00000000" w14:paraId="2F1EEDBA" w14:textId="77777777">
        <w:trPr>
          <w:tblCellSpacing w:w="0" w:type="dxa"/>
        </w:trPr>
        <w:tc>
          <w:tcPr>
            <w:tcW w:w="0" w:type="auto"/>
            <w:tcBorders>
              <w:bottom w:val="nil"/>
            </w:tcBorders>
            <w:shd w:val="clear" w:color="auto" w:fill="CCEEFF"/>
            <w:vAlign w:val="bottom"/>
            <w:hideMark/>
          </w:tcPr>
          <w:p w14:paraId="37BF5CA1" w14:textId="77777777" w:rsidR="00000000" w:rsidRDefault="00322B34">
            <w:pPr>
              <w:pStyle w:val="a3"/>
              <w:spacing w:before="0" w:beforeAutospacing="0" w:after="0" w:afterAutospacing="0"/>
              <w:rPr>
                <w:sz w:val="20"/>
                <w:szCs w:val="20"/>
              </w:rPr>
            </w:pPr>
            <w:r>
              <w:rPr>
                <w:sz w:val="20"/>
                <w:szCs w:val="20"/>
              </w:rPr>
              <w:t>Prudential Investment Program</w:t>
            </w:r>
          </w:p>
        </w:tc>
        <w:tc>
          <w:tcPr>
            <w:tcW w:w="50" w:type="pct"/>
            <w:tcBorders>
              <w:bottom w:val="nil"/>
            </w:tcBorders>
            <w:shd w:val="clear" w:color="auto" w:fill="CCEEFF"/>
            <w:vAlign w:val="bottom"/>
            <w:hideMark/>
          </w:tcPr>
          <w:p w14:paraId="4351523F"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1CD18D9" w14:textId="77777777" w:rsidR="00000000" w:rsidRDefault="00322B34">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14:paraId="543F0E21" w14:textId="77777777" w:rsidR="00000000" w:rsidRDefault="00322B34">
            <w:pPr>
              <w:jc w:val="right"/>
              <w:rPr>
                <w:rFonts w:eastAsia="Times New Roman"/>
                <w:sz w:val="20"/>
                <w:szCs w:val="20"/>
              </w:rPr>
            </w:pPr>
            <w:r>
              <w:rPr>
                <w:rFonts w:eastAsia="Times New Roman"/>
                <w:sz w:val="20"/>
                <w:szCs w:val="20"/>
              </w:rPr>
              <w:t>1.8</w:t>
            </w:r>
          </w:p>
        </w:tc>
        <w:tc>
          <w:tcPr>
            <w:tcW w:w="50" w:type="pct"/>
            <w:tcBorders>
              <w:bottom w:val="nil"/>
            </w:tcBorders>
            <w:shd w:val="clear" w:color="auto" w:fill="CCEEFF"/>
            <w:vAlign w:val="bottom"/>
            <w:hideMark/>
          </w:tcPr>
          <w:p w14:paraId="120DE4E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132E6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E755D9" w14:textId="77777777" w:rsidR="00000000" w:rsidRDefault="00322B34">
            <w:pPr>
              <w:rPr>
                <w:rFonts w:eastAsia="Times New Roman"/>
                <w:sz w:val="20"/>
                <w:szCs w:val="20"/>
              </w:rPr>
            </w:pPr>
            <w:r>
              <w:rPr>
                <w:rFonts w:eastAsia="Times New Roman"/>
                <w:sz w:val="20"/>
                <w:szCs w:val="20"/>
              </w:rPr>
              <w:t>$</w:t>
            </w:r>
          </w:p>
        </w:tc>
        <w:tc>
          <w:tcPr>
            <w:tcW w:w="650" w:type="pct"/>
            <w:shd w:val="clear" w:color="auto" w:fill="CCEEFF"/>
            <w:vAlign w:val="bottom"/>
            <w:hideMark/>
          </w:tcPr>
          <w:p w14:paraId="21D51D0E" w14:textId="77777777" w:rsidR="00000000" w:rsidRDefault="00322B34">
            <w:pPr>
              <w:jc w:val="right"/>
              <w:rPr>
                <w:rFonts w:eastAsia="Times New Roman"/>
                <w:sz w:val="20"/>
                <w:szCs w:val="20"/>
              </w:rPr>
            </w:pPr>
            <w:r>
              <w:rPr>
                <w:rFonts w:eastAsia="Times New Roman"/>
                <w:sz w:val="20"/>
                <w:szCs w:val="20"/>
              </w:rPr>
              <w:t>2.8</w:t>
            </w:r>
          </w:p>
        </w:tc>
        <w:tc>
          <w:tcPr>
            <w:tcW w:w="50" w:type="pct"/>
            <w:shd w:val="clear" w:color="auto" w:fill="CCEEFF"/>
            <w:vAlign w:val="bottom"/>
            <w:hideMark/>
          </w:tcPr>
          <w:p w14:paraId="07C876E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866D7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211C48" w14:textId="77777777" w:rsidR="00000000" w:rsidRDefault="00322B34">
            <w:pPr>
              <w:rPr>
                <w:rFonts w:eastAsia="Times New Roman"/>
                <w:sz w:val="20"/>
                <w:szCs w:val="20"/>
              </w:rPr>
            </w:pPr>
            <w:r>
              <w:rPr>
                <w:rFonts w:eastAsia="Times New Roman"/>
                <w:sz w:val="20"/>
                <w:szCs w:val="20"/>
              </w:rPr>
              <w:t>$</w:t>
            </w:r>
          </w:p>
        </w:tc>
        <w:tc>
          <w:tcPr>
            <w:tcW w:w="650" w:type="pct"/>
            <w:shd w:val="clear" w:color="auto" w:fill="CCEEFF"/>
            <w:vAlign w:val="bottom"/>
            <w:hideMark/>
          </w:tcPr>
          <w:p w14:paraId="0146D1A6" w14:textId="77777777" w:rsidR="00000000" w:rsidRDefault="00322B34">
            <w:pPr>
              <w:jc w:val="right"/>
              <w:rPr>
                <w:rFonts w:eastAsia="Times New Roman"/>
                <w:sz w:val="20"/>
                <w:szCs w:val="20"/>
              </w:rPr>
            </w:pPr>
            <w:r>
              <w:rPr>
                <w:rFonts w:eastAsia="Times New Roman"/>
                <w:sz w:val="20"/>
                <w:szCs w:val="20"/>
              </w:rPr>
              <w:t>4.4</w:t>
            </w:r>
          </w:p>
        </w:tc>
        <w:tc>
          <w:tcPr>
            <w:tcW w:w="50" w:type="pct"/>
            <w:shd w:val="clear" w:color="auto" w:fill="CCEEFF"/>
            <w:vAlign w:val="bottom"/>
            <w:hideMark/>
          </w:tcPr>
          <w:p w14:paraId="14E5787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4B38A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CA738B" w14:textId="77777777" w:rsidR="00000000" w:rsidRDefault="00322B34">
            <w:pPr>
              <w:rPr>
                <w:rFonts w:eastAsia="Times New Roman"/>
                <w:sz w:val="20"/>
                <w:szCs w:val="20"/>
              </w:rPr>
            </w:pPr>
            <w:r>
              <w:rPr>
                <w:rFonts w:eastAsia="Times New Roman"/>
                <w:sz w:val="20"/>
                <w:szCs w:val="20"/>
              </w:rPr>
              <w:t>$</w:t>
            </w:r>
          </w:p>
        </w:tc>
        <w:tc>
          <w:tcPr>
            <w:tcW w:w="650" w:type="pct"/>
            <w:shd w:val="clear" w:color="auto" w:fill="CCEEFF"/>
            <w:vAlign w:val="bottom"/>
            <w:hideMark/>
          </w:tcPr>
          <w:p w14:paraId="23BF751D" w14:textId="77777777" w:rsidR="00000000" w:rsidRDefault="00322B34">
            <w:pPr>
              <w:jc w:val="right"/>
              <w:rPr>
                <w:rFonts w:eastAsia="Times New Roman"/>
                <w:sz w:val="20"/>
                <w:szCs w:val="20"/>
              </w:rPr>
            </w:pPr>
            <w:r>
              <w:rPr>
                <w:rFonts w:eastAsia="Times New Roman"/>
                <w:sz w:val="20"/>
                <w:szCs w:val="20"/>
              </w:rPr>
              <w:t>5.7</w:t>
            </w:r>
          </w:p>
        </w:tc>
        <w:tc>
          <w:tcPr>
            <w:tcW w:w="50" w:type="pct"/>
            <w:shd w:val="clear" w:color="auto" w:fill="CCEEFF"/>
            <w:vAlign w:val="bottom"/>
            <w:hideMark/>
          </w:tcPr>
          <w:p w14:paraId="02FC964E" w14:textId="77777777" w:rsidR="00000000" w:rsidRDefault="00322B34">
            <w:pPr>
              <w:rPr>
                <w:rFonts w:eastAsia="Times New Roman"/>
                <w:sz w:val="20"/>
                <w:szCs w:val="20"/>
              </w:rPr>
            </w:pPr>
            <w:r>
              <w:rPr>
                <w:rFonts w:eastAsia="Times New Roman"/>
                <w:sz w:val="20"/>
                <w:szCs w:val="20"/>
              </w:rPr>
              <w:t> </w:t>
            </w:r>
          </w:p>
        </w:tc>
      </w:tr>
      <w:tr w:rsidR="00000000" w14:paraId="67672ADC" w14:textId="77777777">
        <w:trPr>
          <w:tblCellSpacing w:w="0" w:type="dxa"/>
        </w:trPr>
        <w:tc>
          <w:tcPr>
            <w:tcW w:w="0" w:type="auto"/>
            <w:shd w:val="clear" w:color="auto" w:fill="FFFFFF"/>
            <w:vAlign w:val="bottom"/>
            <w:hideMark/>
          </w:tcPr>
          <w:p w14:paraId="5092C5AC" w14:textId="77777777" w:rsidR="00000000" w:rsidRDefault="00322B34">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14:paraId="29B644C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7A6D33" w14:textId="77777777" w:rsidR="00000000" w:rsidRDefault="00322B34">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3BC199E" w14:textId="77777777" w:rsidR="00000000" w:rsidRDefault="00322B34">
            <w:pPr>
              <w:jc w:val="right"/>
              <w:rPr>
                <w:rFonts w:eastAsia="Times New Roman"/>
                <w:sz w:val="20"/>
                <w:szCs w:val="20"/>
              </w:rPr>
            </w:pPr>
            <w:r>
              <w:rPr>
                <w:rFonts w:eastAsia="Times New Roman"/>
                <w:sz w:val="20"/>
                <w:szCs w:val="20"/>
              </w:rPr>
              <w:t>5.0</w:t>
            </w:r>
          </w:p>
        </w:tc>
        <w:tc>
          <w:tcPr>
            <w:tcW w:w="50" w:type="pct"/>
            <w:shd w:val="clear" w:color="auto" w:fill="FFFFFF"/>
            <w:vAlign w:val="bottom"/>
            <w:hideMark/>
          </w:tcPr>
          <w:p w14:paraId="622F7EF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25B46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868684" w14:textId="77777777" w:rsidR="00000000" w:rsidRDefault="00322B34">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BE37183" w14:textId="77777777" w:rsidR="00000000" w:rsidRDefault="00322B34">
            <w:pPr>
              <w:jc w:val="right"/>
              <w:rPr>
                <w:rFonts w:eastAsia="Times New Roman"/>
                <w:sz w:val="20"/>
                <w:szCs w:val="20"/>
              </w:rPr>
            </w:pPr>
            <w:r>
              <w:rPr>
                <w:rFonts w:eastAsia="Times New Roman"/>
                <w:sz w:val="20"/>
                <w:szCs w:val="20"/>
              </w:rPr>
              <w:t>17.2</w:t>
            </w:r>
          </w:p>
        </w:tc>
        <w:tc>
          <w:tcPr>
            <w:tcW w:w="50" w:type="pct"/>
            <w:shd w:val="clear" w:color="auto" w:fill="FFFFFF"/>
            <w:vAlign w:val="bottom"/>
            <w:hideMark/>
          </w:tcPr>
          <w:p w14:paraId="2F86763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72350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6A5DCF" w14:textId="77777777" w:rsidR="00000000" w:rsidRDefault="00322B34">
            <w:pPr>
              <w:rPr>
                <w:rFonts w:eastAsia="Times New Roman"/>
                <w:sz w:val="20"/>
                <w:szCs w:val="20"/>
              </w:rPr>
            </w:pPr>
            <w:r>
              <w:rPr>
                <w:rFonts w:eastAsia="Times New Roman"/>
                <w:sz w:val="20"/>
                <w:szCs w:val="20"/>
              </w:rPr>
              <w:t> </w:t>
            </w:r>
          </w:p>
        </w:tc>
        <w:tc>
          <w:tcPr>
            <w:tcW w:w="650" w:type="pct"/>
            <w:shd w:val="clear" w:color="auto" w:fill="FFFFFF"/>
            <w:vAlign w:val="bottom"/>
            <w:hideMark/>
          </w:tcPr>
          <w:p w14:paraId="579DB47A" w14:textId="77777777" w:rsidR="00000000" w:rsidRDefault="00322B34">
            <w:pPr>
              <w:jc w:val="right"/>
              <w:rPr>
                <w:rFonts w:eastAsia="Times New Roman"/>
                <w:sz w:val="20"/>
                <w:szCs w:val="20"/>
              </w:rPr>
            </w:pPr>
            <w:r>
              <w:rPr>
                <w:rFonts w:eastAsia="Times New Roman"/>
                <w:sz w:val="20"/>
                <w:szCs w:val="20"/>
              </w:rPr>
              <w:t>14.7</w:t>
            </w:r>
          </w:p>
        </w:tc>
        <w:tc>
          <w:tcPr>
            <w:tcW w:w="50" w:type="pct"/>
            <w:shd w:val="clear" w:color="auto" w:fill="FFFFFF"/>
            <w:vAlign w:val="bottom"/>
            <w:hideMark/>
          </w:tcPr>
          <w:p w14:paraId="582183D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CB889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435574" w14:textId="77777777" w:rsidR="00000000" w:rsidRDefault="00322B34">
            <w:pPr>
              <w:rPr>
                <w:rFonts w:eastAsia="Times New Roman"/>
                <w:sz w:val="20"/>
                <w:szCs w:val="20"/>
              </w:rPr>
            </w:pPr>
            <w:r>
              <w:rPr>
                <w:rFonts w:eastAsia="Times New Roman"/>
                <w:sz w:val="20"/>
                <w:szCs w:val="20"/>
              </w:rPr>
              <w:t> </w:t>
            </w:r>
          </w:p>
        </w:tc>
        <w:tc>
          <w:tcPr>
            <w:tcW w:w="650" w:type="pct"/>
            <w:shd w:val="clear" w:color="auto" w:fill="FFFFFF"/>
            <w:vAlign w:val="bottom"/>
            <w:hideMark/>
          </w:tcPr>
          <w:p w14:paraId="59322C1D" w14:textId="77777777" w:rsidR="00000000" w:rsidRDefault="00322B34">
            <w:pPr>
              <w:jc w:val="right"/>
              <w:rPr>
                <w:rFonts w:eastAsia="Times New Roman"/>
                <w:sz w:val="20"/>
                <w:szCs w:val="20"/>
              </w:rPr>
            </w:pPr>
            <w:r>
              <w:rPr>
                <w:rFonts w:eastAsia="Times New Roman"/>
                <w:sz w:val="20"/>
                <w:szCs w:val="20"/>
              </w:rPr>
              <w:t>31.8</w:t>
            </w:r>
          </w:p>
        </w:tc>
        <w:tc>
          <w:tcPr>
            <w:tcW w:w="50" w:type="pct"/>
            <w:shd w:val="clear" w:color="auto" w:fill="FFFFFF"/>
            <w:vAlign w:val="bottom"/>
            <w:hideMark/>
          </w:tcPr>
          <w:p w14:paraId="74D340BB" w14:textId="77777777" w:rsidR="00000000" w:rsidRDefault="00322B34">
            <w:pPr>
              <w:rPr>
                <w:rFonts w:eastAsia="Times New Roman"/>
                <w:sz w:val="20"/>
                <w:szCs w:val="20"/>
              </w:rPr>
            </w:pPr>
            <w:r>
              <w:rPr>
                <w:rFonts w:eastAsia="Times New Roman"/>
                <w:sz w:val="20"/>
                <w:szCs w:val="20"/>
              </w:rPr>
              <w:t> </w:t>
            </w:r>
          </w:p>
        </w:tc>
      </w:tr>
      <w:tr w:rsidR="00000000" w14:paraId="60E0952D" w14:textId="77777777">
        <w:trPr>
          <w:tblCellSpacing w:w="0" w:type="dxa"/>
        </w:trPr>
        <w:tc>
          <w:tcPr>
            <w:tcW w:w="0" w:type="auto"/>
            <w:shd w:val="clear" w:color="auto" w:fill="CCEEFF"/>
            <w:vAlign w:val="bottom"/>
            <w:hideMark/>
          </w:tcPr>
          <w:p w14:paraId="7BE42D88" w14:textId="77777777" w:rsidR="00000000" w:rsidRDefault="00322B34">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14:paraId="7BB3C50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9A5285" w14:textId="77777777" w:rsidR="00000000" w:rsidRDefault="00322B34">
            <w:pPr>
              <w:rPr>
                <w:rFonts w:eastAsia="Times New Roman"/>
                <w:sz w:val="20"/>
                <w:szCs w:val="20"/>
              </w:rPr>
            </w:pPr>
            <w:r>
              <w:rPr>
                <w:rFonts w:eastAsia="Times New Roman"/>
                <w:sz w:val="20"/>
                <w:szCs w:val="20"/>
              </w:rPr>
              <w:t> </w:t>
            </w:r>
          </w:p>
        </w:tc>
        <w:tc>
          <w:tcPr>
            <w:tcW w:w="650" w:type="pct"/>
            <w:shd w:val="clear" w:color="auto" w:fill="CCEEFF"/>
            <w:vAlign w:val="bottom"/>
            <w:hideMark/>
          </w:tcPr>
          <w:p w14:paraId="4D5C7BFA" w14:textId="77777777" w:rsidR="00000000" w:rsidRDefault="00322B34">
            <w:pPr>
              <w:jc w:val="right"/>
              <w:rPr>
                <w:rFonts w:eastAsia="Times New Roman"/>
                <w:sz w:val="20"/>
                <w:szCs w:val="20"/>
              </w:rPr>
            </w:pPr>
            <w:r>
              <w:rPr>
                <w:rFonts w:eastAsia="Times New Roman"/>
                <w:sz w:val="20"/>
                <w:szCs w:val="20"/>
              </w:rPr>
              <w:t>1.7</w:t>
            </w:r>
          </w:p>
        </w:tc>
        <w:tc>
          <w:tcPr>
            <w:tcW w:w="50" w:type="pct"/>
            <w:shd w:val="clear" w:color="auto" w:fill="CCEEFF"/>
            <w:vAlign w:val="bottom"/>
            <w:hideMark/>
          </w:tcPr>
          <w:p w14:paraId="700D007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D866A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E69A70" w14:textId="77777777" w:rsidR="00000000" w:rsidRDefault="00322B34">
            <w:pPr>
              <w:rPr>
                <w:rFonts w:eastAsia="Times New Roman"/>
                <w:sz w:val="20"/>
                <w:szCs w:val="20"/>
              </w:rPr>
            </w:pPr>
            <w:r>
              <w:rPr>
                <w:rFonts w:eastAsia="Times New Roman"/>
                <w:sz w:val="20"/>
                <w:szCs w:val="20"/>
              </w:rPr>
              <w:t> </w:t>
            </w:r>
          </w:p>
        </w:tc>
        <w:tc>
          <w:tcPr>
            <w:tcW w:w="650" w:type="pct"/>
            <w:shd w:val="clear" w:color="auto" w:fill="CCEEFF"/>
            <w:vAlign w:val="bottom"/>
            <w:hideMark/>
          </w:tcPr>
          <w:p w14:paraId="76BF9400" w14:textId="77777777" w:rsidR="00000000" w:rsidRDefault="00322B34">
            <w:pPr>
              <w:jc w:val="right"/>
              <w:rPr>
                <w:rFonts w:eastAsia="Times New Roman"/>
                <w:sz w:val="20"/>
                <w:szCs w:val="20"/>
              </w:rPr>
            </w:pPr>
            <w:r>
              <w:rPr>
                <w:rFonts w:eastAsia="Times New Roman"/>
                <w:sz w:val="20"/>
                <w:szCs w:val="20"/>
              </w:rPr>
              <w:t>1.6</w:t>
            </w:r>
          </w:p>
        </w:tc>
        <w:tc>
          <w:tcPr>
            <w:tcW w:w="50" w:type="pct"/>
            <w:shd w:val="clear" w:color="auto" w:fill="CCEEFF"/>
            <w:vAlign w:val="bottom"/>
            <w:hideMark/>
          </w:tcPr>
          <w:p w14:paraId="2E9DB19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B3F0B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2648AF" w14:textId="77777777" w:rsidR="00000000" w:rsidRDefault="00322B34">
            <w:pPr>
              <w:rPr>
                <w:rFonts w:eastAsia="Times New Roman"/>
                <w:sz w:val="20"/>
                <w:szCs w:val="20"/>
              </w:rPr>
            </w:pPr>
            <w:r>
              <w:rPr>
                <w:rFonts w:eastAsia="Times New Roman"/>
                <w:sz w:val="20"/>
                <w:szCs w:val="20"/>
              </w:rPr>
              <w:t> </w:t>
            </w:r>
          </w:p>
        </w:tc>
        <w:tc>
          <w:tcPr>
            <w:tcW w:w="650" w:type="pct"/>
            <w:shd w:val="clear" w:color="auto" w:fill="CCEEFF"/>
            <w:vAlign w:val="bottom"/>
            <w:hideMark/>
          </w:tcPr>
          <w:p w14:paraId="63BF685E" w14:textId="77777777" w:rsidR="00000000" w:rsidRDefault="00322B34">
            <w:pPr>
              <w:jc w:val="right"/>
              <w:rPr>
                <w:rFonts w:eastAsia="Times New Roman"/>
                <w:sz w:val="20"/>
                <w:szCs w:val="20"/>
              </w:rPr>
            </w:pPr>
            <w:r>
              <w:rPr>
                <w:rFonts w:eastAsia="Times New Roman"/>
                <w:sz w:val="20"/>
                <w:szCs w:val="20"/>
              </w:rPr>
              <w:t>2.7</w:t>
            </w:r>
          </w:p>
        </w:tc>
        <w:tc>
          <w:tcPr>
            <w:tcW w:w="50" w:type="pct"/>
            <w:shd w:val="clear" w:color="auto" w:fill="CCEEFF"/>
            <w:vAlign w:val="bottom"/>
            <w:hideMark/>
          </w:tcPr>
          <w:p w14:paraId="4113D5A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F8835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D49839" w14:textId="77777777" w:rsidR="00000000" w:rsidRDefault="00322B34">
            <w:pPr>
              <w:rPr>
                <w:rFonts w:eastAsia="Times New Roman"/>
                <w:sz w:val="20"/>
                <w:szCs w:val="20"/>
              </w:rPr>
            </w:pPr>
            <w:r>
              <w:rPr>
                <w:rFonts w:eastAsia="Times New Roman"/>
                <w:sz w:val="20"/>
                <w:szCs w:val="20"/>
              </w:rPr>
              <w:t> </w:t>
            </w:r>
          </w:p>
        </w:tc>
        <w:tc>
          <w:tcPr>
            <w:tcW w:w="650" w:type="pct"/>
            <w:shd w:val="clear" w:color="auto" w:fill="CCEEFF"/>
            <w:vAlign w:val="bottom"/>
            <w:hideMark/>
          </w:tcPr>
          <w:p w14:paraId="1EE08BD7" w14:textId="77777777" w:rsidR="00000000" w:rsidRDefault="00322B34">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14:paraId="2761755F" w14:textId="77777777" w:rsidR="00000000" w:rsidRDefault="00322B34">
            <w:pPr>
              <w:rPr>
                <w:rFonts w:eastAsia="Times New Roman"/>
                <w:sz w:val="20"/>
                <w:szCs w:val="20"/>
              </w:rPr>
            </w:pPr>
            <w:r>
              <w:rPr>
                <w:rFonts w:eastAsia="Times New Roman"/>
                <w:sz w:val="20"/>
                <w:szCs w:val="20"/>
              </w:rPr>
              <w:t> </w:t>
            </w:r>
          </w:p>
        </w:tc>
      </w:tr>
      <w:tr w:rsidR="00000000" w14:paraId="121ED2E3" w14:textId="77777777">
        <w:trPr>
          <w:tblCellSpacing w:w="0" w:type="dxa"/>
        </w:trPr>
        <w:tc>
          <w:tcPr>
            <w:tcW w:w="0" w:type="auto"/>
            <w:shd w:val="clear" w:color="auto" w:fill="FFFFFF"/>
            <w:vAlign w:val="bottom"/>
            <w:hideMark/>
          </w:tcPr>
          <w:p w14:paraId="22C7CD1F" w14:textId="77777777" w:rsidR="00000000" w:rsidRDefault="00322B34">
            <w:pPr>
              <w:pStyle w:val="a3"/>
              <w:spacing w:before="0" w:beforeAutospacing="0" w:after="0" w:afterAutospacing="0"/>
              <w:rPr>
                <w:sz w:val="20"/>
                <w:szCs w:val="20"/>
              </w:rPr>
            </w:pPr>
            <w:r>
              <w:rPr>
                <w:sz w:val="20"/>
                <w:szCs w:val="20"/>
              </w:rPr>
              <w:t>Other Joint Venture Programs (1)</w:t>
            </w:r>
          </w:p>
        </w:tc>
        <w:tc>
          <w:tcPr>
            <w:tcW w:w="50" w:type="pct"/>
            <w:shd w:val="clear" w:color="auto" w:fill="FFFFFF"/>
            <w:tcMar>
              <w:top w:w="0" w:type="dxa"/>
              <w:left w:w="0" w:type="dxa"/>
              <w:bottom w:w="15" w:type="dxa"/>
              <w:right w:w="0" w:type="dxa"/>
            </w:tcMar>
            <w:vAlign w:val="bottom"/>
            <w:hideMark/>
          </w:tcPr>
          <w:p w14:paraId="6614D5B5"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8576A7A" w14:textId="77777777" w:rsidR="00000000" w:rsidRDefault="00322B34">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5C9CAF79" w14:textId="77777777" w:rsidR="00000000" w:rsidRDefault="00322B34">
            <w:pPr>
              <w:jc w:val="right"/>
              <w:rPr>
                <w:rFonts w:eastAsia="Times New Roman"/>
                <w:sz w:val="20"/>
                <w:szCs w:val="20"/>
              </w:rPr>
            </w:pPr>
            <w:r>
              <w:rPr>
                <w:rFonts w:eastAsia="Times New Roman"/>
                <w:sz w:val="20"/>
                <w:szCs w:val="20"/>
              </w:rPr>
              <w:t>1.7</w:t>
            </w:r>
          </w:p>
        </w:tc>
        <w:tc>
          <w:tcPr>
            <w:tcW w:w="50" w:type="pct"/>
            <w:shd w:val="clear" w:color="auto" w:fill="FFFFFF"/>
            <w:tcMar>
              <w:top w:w="0" w:type="dxa"/>
              <w:left w:w="0" w:type="dxa"/>
              <w:bottom w:w="15" w:type="dxa"/>
              <w:right w:w="0" w:type="dxa"/>
            </w:tcMar>
            <w:vAlign w:val="bottom"/>
            <w:hideMark/>
          </w:tcPr>
          <w:p w14:paraId="0204970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05232B8F"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14AC706" w14:textId="77777777" w:rsidR="00000000" w:rsidRDefault="00322B34">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1CC1F2E3" w14:textId="77777777" w:rsidR="00000000" w:rsidRDefault="00322B34">
            <w:pPr>
              <w:jc w:val="right"/>
              <w:rPr>
                <w:rFonts w:eastAsia="Times New Roman"/>
                <w:sz w:val="20"/>
                <w:szCs w:val="20"/>
              </w:rPr>
            </w:pPr>
            <w:r>
              <w:rPr>
                <w:rFonts w:eastAsia="Times New Roman"/>
                <w:sz w:val="20"/>
                <w:szCs w:val="20"/>
              </w:rPr>
              <w:t>0.9</w:t>
            </w:r>
          </w:p>
        </w:tc>
        <w:tc>
          <w:tcPr>
            <w:tcW w:w="50" w:type="pct"/>
            <w:shd w:val="clear" w:color="auto" w:fill="FFFFFF"/>
            <w:tcMar>
              <w:top w:w="0" w:type="dxa"/>
              <w:left w:w="0" w:type="dxa"/>
              <w:bottom w:w="15" w:type="dxa"/>
              <w:right w:w="0" w:type="dxa"/>
            </w:tcMar>
            <w:vAlign w:val="bottom"/>
            <w:hideMark/>
          </w:tcPr>
          <w:p w14:paraId="578F9E2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3BB342C1"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714BC94" w14:textId="77777777" w:rsidR="00000000" w:rsidRDefault="00322B34">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21936B22" w14:textId="77777777" w:rsidR="00000000" w:rsidRDefault="00322B34">
            <w:pPr>
              <w:jc w:val="right"/>
              <w:rPr>
                <w:rFonts w:eastAsia="Times New Roman"/>
                <w:sz w:val="20"/>
                <w:szCs w:val="20"/>
              </w:rPr>
            </w:pPr>
            <w:r>
              <w:rPr>
                <w:rFonts w:eastAsia="Times New Roman"/>
                <w:sz w:val="20"/>
                <w:szCs w:val="20"/>
              </w:rPr>
              <w:t>2.0</w:t>
            </w:r>
          </w:p>
        </w:tc>
        <w:tc>
          <w:tcPr>
            <w:tcW w:w="50" w:type="pct"/>
            <w:shd w:val="clear" w:color="auto" w:fill="FFFFFF"/>
            <w:tcMar>
              <w:top w:w="0" w:type="dxa"/>
              <w:left w:w="0" w:type="dxa"/>
              <w:bottom w:w="15" w:type="dxa"/>
              <w:right w:w="0" w:type="dxa"/>
            </w:tcMar>
            <w:vAlign w:val="bottom"/>
            <w:hideMark/>
          </w:tcPr>
          <w:p w14:paraId="2F81CA6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213D823E"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FBA554C" w14:textId="77777777" w:rsidR="00000000" w:rsidRDefault="00322B34">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3A67171B" w14:textId="77777777" w:rsidR="00000000" w:rsidRDefault="00322B34">
            <w:pPr>
              <w:jc w:val="right"/>
              <w:rPr>
                <w:rFonts w:eastAsia="Times New Roman"/>
                <w:sz w:val="20"/>
                <w:szCs w:val="20"/>
              </w:rPr>
            </w:pPr>
            <w:r>
              <w:rPr>
                <w:rFonts w:eastAsia="Times New Roman"/>
                <w:sz w:val="20"/>
                <w:szCs w:val="20"/>
              </w:rPr>
              <w:t>0.8</w:t>
            </w:r>
          </w:p>
        </w:tc>
        <w:tc>
          <w:tcPr>
            <w:tcW w:w="50" w:type="pct"/>
            <w:shd w:val="clear" w:color="auto" w:fill="FFFFFF"/>
            <w:tcMar>
              <w:top w:w="0" w:type="dxa"/>
              <w:left w:w="0" w:type="dxa"/>
              <w:bottom w:w="15" w:type="dxa"/>
              <w:right w:w="0" w:type="dxa"/>
            </w:tcMar>
            <w:vAlign w:val="bottom"/>
            <w:hideMark/>
          </w:tcPr>
          <w:p w14:paraId="1FEE4020" w14:textId="77777777" w:rsidR="00000000" w:rsidRDefault="00322B34">
            <w:pPr>
              <w:rPr>
                <w:rFonts w:eastAsia="Times New Roman"/>
                <w:sz w:val="20"/>
                <w:szCs w:val="20"/>
              </w:rPr>
            </w:pPr>
            <w:r>
              <w:rPr>
                <w:rFonts w:eastAsia="Times New Roman"/>
                <w:sz w:val="20"/>
                <w:szCs w:val="20"/>
              </w:rPr>
              <w:t> </w:t>
            </w:r>
          </w:p>
        </w:tc>
      </w:tr>
      <w:tr w:rsidR="00000000" w14:paraId="7A35BBDD" w14:textId="77777777">
        <w:trPr>
          <w:tblCellSpacing w:w="0" w:type="dxa"/>
        </w:trPr>
        <w:tc>
          <w:tcPr>
            <w:tcW w:w="0" w:type="auto"/>
            <w:shd w:val="clear" w:color="auto" w:fill="CCEEFF"/>
            <w:vAlign w:val="bottom"/>
            <w:hideMark/>
          </w:tcPr>
          <w:p w14:paraId="438CF7FA" w14:textId="77777777" w:rsidR="00000000" w:rsidRDefault="00322B34">
            <w:pPr>
              <w:pStyle w:val="a3"/>
              <w:spacing w:before="0" w:beforeAutospacing="0" w:after="0" w:afterAutospacing="0"/>
              <w:rPr>
                <w:sz w:val="20"/>
                <w:szCs w:val="20"/>
              </w:rPr>
            </w:pPr>
            <w:r>
              <w:rPr>
                <w:b/>
                <w:bCs/>
                <w:sz w:val="20"/>
                <w:szCs w:val="20"/>
              </w:rPr>
              <w:t>Total</w:t>
            </w:r>
          </w:p>
        </w:tc>
        <w:tc>
          <w:tcPr>
            <w:tcW w:w="50" w:type="pct"/>
            <w:shd w:val="clear" w:color="auto" w:fill="CCEEFF"/>
            <w:vAlign w:val="bottom"/>
            <w:hideMark/>
          </w:tcPr>
          <w:p w14:paraId="1211FD6D"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733FCA3" w14:textId="77777777" w:rsidR="00000000" w:rsidRDefault="00322B34">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14:paraId="006FE258" w14:textId="77777777" w:rsidR="00000000" w:rsidRDefault="00322B34">
            <w:pPr>
              <w:jc w:val="right"/>
              <w:rPr>
                <w:rFonts w:eastAsia="Times New Roman"/>
                <w:sz w:val="20"/>
                <w:szCs w:val="20"/>
              </w:rPr>
            </w:pPr>
            <w:r>
              <w:rPr>
                <w:rFonts w:eastAsia="Times New Roman"/>
                <w:b/>
                <w:bCs/>
                <w:sz w:val="20"/>
                <w:szCs w:val="20"/>
              </w:rPr>
              <w:t>10.2</w:t>
            </w:r>
          </w:p>
        </w:tc>
        <w:tc>
          <w:tcPr>
            <w:tcW w:w="50" w:type="pct"/>
            <w:shd w:val="clear" w:color="auto" w:fill="CCEEFF"/>
            <w:tcMar>
              <w:top w:w="0" w:type="dxa"/>
              <w:left w:w="0" w:type="dxa"/>
              <w:bottom w:w="45" w:type="dxa"/>
              <w:right w:w="0" w:type="dxa"/>
            </w:tcMar>
            <w:vAlign w:val="bottom"/>
            <w:hideMark/>
          </w:tcPr>
          <w:p w14:paraId="5F4AF76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00FA90"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2993FB3" w14:textId="77777777" w:rsidR="00000000" w:rsidRDefault="00322B34">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14:paraId="7C2DAA9D" w14:textId="77777777" w:rsidR="00000000" w:rsidRDefault="00322B34">
            <w:pPr>
              <w:jc w:val="right"/>
              <w:rPr>
                <w:rFonts w:eastAsia="Times New Roman"/>
                <w:sz w:val="20"/>
                <w:szCs w:val="20"/>
              </w:rPr>
            </w:pPr>
            <w:r>
              <w:rPr>
                <w:rFonts w:eastAsia="Times New Roman"/>
                <w:b/>
                <w:bCs/>
                <w:sz w:val="20"/>
                <w:szCs w:val="20"/>
              </w:rPr>
              <w:t>22.5</w:t>
            </w:r>
          </w:p>
        </w:tc>
        <w:tc>
          <w:tcPr>
            <w:tcW w:w="50" w:type="pct"/>
            <w:shd w:val="clear" w:color="auto" w:fill="CCEEFF"/>
            <w:tcMar>
              <w:top w:w="0" w:type="dxa"/>
              <w:left w:w="0" w:type="dxa"/>
              <w:bottom w:w="45" w:type="dxa"/>
              <w:right w:w="0" w:type="dxa"/>
            </w:tcMar>
            <w:vAlign w:val="bottom"/>
            <w:hideMark/>
          </w:tcPr>
          <w:p w14:paraId="7EF73B2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A51338"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0DF3344" w14:textId="77777777" w:rsidR="00000000" w:rsidRDefault="00322B34">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14:paraId="3DBEB582" w14:textId="77777777" w:rsidR="00000000" w:rsidRDefault="00322B34">
            <w:pPr>
              <w:jc w:val="right"/>
              <w:rPr>
                <w:rFonts w:eastAsia="Times New Roman"/>
                <w:sz w:val="20"/>
                <w:szCs w:val="20"/>
              </w:rPr>
            </w:pPr>
            <w:r>
              <w:rPr>
                <w:rFonts w:eastAsia="Times New Roman"/>
                <w:b/>
                <w:bCs/>
                <w:sz w:val="20"/>
                <w:szCs w:val="20"/>
              </w:rPr>
              <w:t>23.8</w:t>
            </w:r>
          </w:p>
        </w:tc>
        <w:tc>
          <w:tcPr>
            <w:tcW w:w="50" w:type="pct"/>
            <w:shd w:val="clear" w:color="auto" w:fill="CCEEFF"/>
            <w:tcMar>
              <w:top w:w="0" w:type="dxa"/>
              <w:left w:w="0" w:type="dxa"/>
              <w:bottom w:w="45" w:type="dxa"/>
              <w:right w:w="0" w:type="dxa"/>
            </w:tcMar>
            <w:vAlign w:val="bottom"/>
            <w:hideMark/>
          </w:tcPr>
          <w:p w14:paraId="5846152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A6DD67"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388768A" w14:textId="77777777" w:rsidR="00000000" w:rsidRDefault="00322B34">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14:paraId="25382F80" w14:textId="77777777" w:rsidR="00000000" w:rsidRDefault="00322B34">
            <w:pPr>
              <w:jc w:val="right"/>
              <w:rPr>
                <w:rFonts w:eastAsia="Times New Roman"/>
                <w:sz w:val="20"/>
                <w:szCs w:val="20"/>
              </w:rPr>
            </w:pPr>
            <w:r>
              <w:rPr>
                <w:rFonts w:eastAsia="Times New Roman"/>
                <w:b/>
                <w:bCs/>
                <w:sz w:val="20"/>
                <w:szCs w:val="20"/>
              </w:rPr>
              <w:t>41.3</w:t>
            </w:r>
          </w:p>
        </w:tc>
        <w:tc>
          <w:tcPr>
            <w:tcW w:w="50" w:type="pct"/>
            <w:shd w:val="clear" w:color="auto" w:fill="CCEEFF"/>
            <w:tcMar>
              <w:top w:w="0" w:type="dxa"/>
              <w:left w:w="0" w:type="dxa"/>
              <w:bottom w:w="45" w:type="dxa"/>
              <w:right w:w="0" w:type="dxa"/>
            </w:tcMar>
            <w:vAlign w:val="bottom"/>
            <w:hideMark/>
          </w:tcPr>
          <w:p w14:paraId="77831125" w14:textId="77777777" w:rsidR="00000000" w:rsidRDefault="00322B34">
            <w:pPr>
              <w:rPr>
                <w:rFonts w:eastAsia="Times New Roman"/>
                <w:sz w:val="20"/>
                <w:szCs w:val="20"/>
              </w:rPr>
            </w:pPr>
            <w:r>
              <w:rPr>
                <w:rFonts w:eastAsia="Times New Roman"/>
                <w:sz w:val="20"/>
                <w:szCs w:val="20"/>
              </w:rPr>
              <w:t> </w:t>
            </w:r>
          </w:p>
        </w:tc>
      </w:tr>
    </w:tbl>
    <w:p w14:paraId="7A74FE33" w14:textId="77777777" w:rsidR="00000000" w:rsidRDefault="00322B34">
      <w:pPr>
        <w:pStyle w:val="a3"/>
        <w:spacing w:before="0" w:beforeAutospacing="0" w:after="0" w:afterAutospacing="0"/>
        <w:jc w:val="both"/>
        <w:rPr>
          <w:sz w:val="20"/>
          <w:szCs w:val="20"/>
        </w:rPr>
      </w:pPr>
      <w:r>
        <w:rPr>
          <w:sz w:val="20"/>
          <w:szCs w:val="20"/>
        </w:rPr>
        <w:t> </w:t>
      </w:r>
    </w:p>
    <w:p w14:paraId="7548E089" w14:textId="77777777" w:rsidR="00000000" w:rsidRDefault="00322B34">
      <w:pPr>
        <w:jc w:val="center"/>
        <w:divId w:val="1078213461"/>
        <w:rPr>
          <w:rFonts w:eastAsia="Times New Roman"/>
          <w:sz w:val="20"/>
          <w:szCs w:val="20"/>
        </w:rPr>
      </w:pPr>
      <w:r>
        <w:rPr>
          <w:rStyle w:val="a6"/>
          <w:rFonts w:eastAsia="Times New Roman"/>
          <w:sz w:val="20"/>
          <w:szCs w:val="20"/>
        </w:rPr>
        <w:t>13</w:t>
      </w:r>
      <w:r>
        <w:rPr>
          <w:rFonts w:eastAsia="Times New Roman"/>
          <w:sz w:val="20"/>
          <w:szCs w:val="20"/>
        </w:rPr>
        <w:t xml:space="preserve"> </w:t>
      </w:r>
    </w:p>
    <w:p w14:paraId="07DAEB46" w14:textId="77777777" w:rsidR="00000000" w:rsidRDefault="00322B34">
      <w:pPr>
        <w:rPr>
          <w:rFonts w:eastAsia="Times New Roman"/>
          <w:sz w:val="20"/>
          <w:szCs w:val="20"/>
        </w:rPr>
      </w:pPr>
      <w:r>
        <w:rPr>
          <w:rFonts w:eastAsia="Times New Roman"/>
          <w:sz w:val="20"/>
          <w:szCs w:val="20"/>
        </w:rPr>
        <w:pict w14:anchorId="0BEEF240">
          <v:rect id="_x0000_i1041" style="width:415.3pt;height:1.5pt" o:hralign="center" o:hrstd="t" o:hrnoshade="t" o:hr="t" fillcolor="black" stroked="f"/>
        </w:pict>
      </w:r>
    </w:p>
    <w:p w14:paraId="74808783" w14:textId="77777777" w:rsidR="00000000" w:rsidRDefault="00322B34">
      <w:pPr>
        <w:divId w:val="112296170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1DB9771" w14:textId="77777777" w:rsidR="00000000" w:rsidRDefault="00322B34">
      <w:pPr>
        <w:rPr>
          <w:rFonts w:eastAsia="Times New Roman"/>
          <w:sz w:val="20"/>
          <w:szCs w:val="20"/>
        </w:rPr>
      </w:pPr>
      <w:r>
        <w:rPr>
          <w:rFonts w:eastAsia="Times New Roman"/>
          <w:sz w:val="20"/>
          <w:szCs w:val="20"/>
        </w:rPr>
        <w:t xml:space="preserve">  </w:t>
      </w:r>
    </w:p>
    <w:p w14:paraId="604D7E6D" w14:textId="77777777" w:rsidR="00000000" w:rsidRDefault="00322B34">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2019, </w:t>
      </w:r>
      <w:r>
        <w:rPr>
          <w:sz w:val="20"/>
          <w:szCs w:val="20"/>
        </w:rPr>
        <w:t xml:space="preserve">certain of the Company’s real estate joint ventures disposed of five </w:t>
      </w:r>
      <w:r>
        <w:rPr>
          <w:sz w:val="20"/>
          <w:szCs w:val="20"/>
        </w:rPr>
        <w:t xml:space="preserve">operating properties, in separate transactions, for an aggregate sales price of $128.2 million. These transactions resulted in an aggregate net gain to the Company of $11.9 million for the </w:t>
      </w:r>
      <w:r>
        <w:rPr>
          <w:rStyle w:val="a6"/>
          <w:sz w:val="20"/>
          <w:szCs w:val="20"/>
        </w:rPr>
        <w:t>six</w:t>
      </w:r>
      <w:r>
        <w:rPr>
          <w:sz w:val="20"/>
          <w:szCs w:val="20"/>
        </w:rPr>
        <w:t xml:space="preserve"> months ended </w:t>
      </w:r>
      <w:r>
        <w:rPr>
          <w:rStyle w:val="a6"/>
          <w:sz w:val="20"/>
          <w:szCs w:val="20"/>
        </w:rPr>
        <w:t>June 30, 2019.</w:t>
      </w:r>
    </w:p>
    <w:p w14:paraId="17F7F42B" w14:textId="77777777" w:rsidR="00000000" w:rsidRDefault="00322B34">
      <w:pPr>
        <w:pStyle w:val="a3"/>
        <w:spacing w:before="0" w:beforeAutospacing="0" w:after="0" w:afterAutospacing="0"/>
        <w:ind w:firstLine="360"/>
        <w:jc w:val="both"/>
        <w:rPr>
          <w:sz w:val="20"/>
          <w:szCs w:val="20"/>
        </w:rPr>
      </w:pPr>
      <w:r>
        <w:rPr>
          <w:sz w:val="20"/>
          <w:szCs w:val="20"/>
        </w:rPr>
        <w:t> </w:t>
      </w:r>
    </w:p>
    <w:p w14:paraId="1E5ED490" w14:textId="77777777" w:rsidR="00000000" w:rsidRDefault="00322B34">
      <w:pPr>
        <w:pStyle w:val="a3"/>
        <w:spacing w:before="0" w:beforeAutospacing="0" w:after="0" w:afterAutospacing="0"/>
        <w:ind w:firstLine="360"/>
        <w:jc w:val="both"/>
        <w:rPr>
          <w:sz w:val="20"/>
          <w:szCs w:val="20"/>
        </w:rPr>
      </w:pPr>
      <w:r>
        <w:rPr>
          <w:sz w:val="20"/>
          <w:szCs w:val="20"/>
        </w:rPr>
        <w:t xml:space="preserve">The table below presents debt balances within the Company’s unconsolidated joint venture investments for which the Company held noncontrolling ownership interests at </w:t>
      </w:r>
      <w:r>
        <w:rPr>
          <w:rStyle w:val="a6"/>
          <w:sz w:val="20"/>
          <w:szCs w:val="20"/>
        </w:rPr>
        <w:t xml:space="preserve">June 30, 2020 </w:t>
      </w:r>
      <w:r>
        <w:rPr>
          <w:sz w:val="20"/>
          <w:szCs w:val="20"/>
        </w:rPr>
        <w:t xml:space="preserve">and </w:t>
      </w:r>
      <w:r>
        <w:rPr>
          <w:rStyle w:val="a6"/>
          <w:sz w:val="20"/>
          <w:szCs w:val="20"/>
        </w:rPr>
        <w:t>December 31, 2019 (</w:t>
      </w:r>
      <w:r>
        <w:rPr>
          <w:sz w:val="20"/>
          <w:szCs w:val="20"/>
        </w:rPr>
        <w:t>dollars in millions):</w:t>
      </w:r>
    </w:p>
    <w:p w14:paraId="370D61F8" w14:textId="77777777" w:rsidR="00000000" w:rsidRDefault="00322B34">
      <w:pPr>
        <w:pStyle w:val="a3"/>
        <w:spacing w:before="0" w:beforeAutospacing="0" w:after="0" w:afterAutospacing="0"/>
        <w:ind w:firstLine="81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18"/>
        <w:gridCol w:w="50"/>
        <w:gridCol w:w="101"/>
        <w:gridCol w:w="819"/>
        <w:gridCol w:w="50"/>
        <w:gridCol w:w="50"/>
        <w:gridCol w:w="83"/>
        <w:gridCol w:w="740"/>
        <w:gridCol w:w="167"/>
        <w:gridCol w:w="50"/>
        <w:gridCol w:w="94"/>
        <w:gridCol w:w="840"/>
        <w:gridCol w:w="50"/>
        <w:gridCol w:w="50"/>
        <w:gridCol w:w="101"/>
        <w:gridCol w:w="819"/>
        <w:gridCol w:w="50"/>
        <w:gridCol w:w="50"/>
        <w:gridCol w:w="83"/>
        <w:gridCol w:w="740"/>
        <w:gridCol w:w="167"/>
        <w:gridCol w:w="50"/>
        <w:gridCol w:w="94"/>
        <w:gridCol w:w="840"/>
        <w:gridCol w:w="50"/>
      </w:tblGrid>
      <w:tr w:rsidR="00000000" w14:paraId="3FFD929F" w14:textId="77777777">
        <w:trPr>
          <w:tblCellSpacing w:w="0" w:type="dxa"/>
        </w:trPr>
        <w:tc>
          <w:tcPr>
            <w:tcW w:w="0" w:type="auto"/>
            <w:vAlign w:val="bottom"/>
            <w:hideMark/>
          </w:tcPr>
          <w:p w14:paraId="17742FC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F59A01C" w14:textId="77777777" w:rsidR="00000000" w:rsidRDefault="00322B34">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0C604291" w14:textId="77777777" w:rsidR="00000000" w:rsidRDefault="00322B34">
            <w:pPr>
              <w:pStyle w:val="a3"/>
              <w:spacing w:before="0" w:beforeAutospacing="0" w:after="0" w:afterAutospacing="0"/>
              <w:jc w:val="center"/>
              <w:rPr>
                <w:sz w:val="20"/>
                <w:szCs w:val="20"/>
              </w:rPr>
            </w:pPr>
            <w:r>
              <w:rPr>
                <w:b/>
                <w:bCs/>
                <w:sz w:val="20"/>
                <w:szCs w:val="20"/>
              </w:rPr>
              <w:t>As of June 30, 2020</w:t>
            </w:r>
          </w:p>
        </w:tc>
        <w:tc>
          <w:tcPr>
            <w:tcW w:w="0" w:type="auto"/>
            <w:tcMar>
              <w:top w:w="0" w:type="dxa"/>
              <w:left w:w="0" w:type="dxa"/>
              <w:bottom w:w="15" w:type="dxa"/>
              <w:right w:w="0" w:type="dxa"/>
            </w:tcMar>
            <w:vAlign w:val="bottom"/>
            <w:hideMark/>
          </w:tcPr>
          <w:p w14:paraId="63E679D5"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BDCD352" w14:textId="77777777" w:rsidR="00000000" w:rsidRDefault="00322B34">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01A3BCB2" w14:textId="77777777" w:rsidR="00000000" w:rsidRDefault="00322B34">
            <w:pPr>
              <w:pStyle w:val="a3"/>
              <w:spacing w:before="0" w:beforeAutospacing="0" w:after="0" w:afterAutospacing="0"/>
              <w:jc w:val="center"/>
              <w:rPr>
                <w:sz w:val="20"/>
                <w:szCs w:val="20"/>
              </w:rPr>
            </w:pPr>
            <w:r>
              <w:rPr>
                <w:b/>
                <w:bCs/>
                <w:sz w:val="20"/>
                <w:szCs w:val="20"/>
              </w:rPr>
              <w:t>As of December 31, 2019</w:t>
            </w:r>
          </w:p>
        </w:tc>
        <w:tc>
          <w:tcPr>
            <w:tcW w:w="0" w:type="auto"/>
            <w:tcMar>
              <w:top w:w="0" w:type="dxa"/>
              <w:left w:w="0" w:type="dxa"/>
              <w:bottom w:w="15" w:type="dxa"/>
              <w:right w:w="0" w:type="dxa"/>
            </w:tcMar>
            <w:vAlign w:val="bottom"/>
            <w:hideMark/>
          </w:tcPr>
          <w:p w14:paraId="018AAC38" w14:textId="77777777" w:rsidR="00000000" w:rsidRDefault="00322B34">
            <w:pPr>
              <w:rPr>
                <w:rFonts w:eastAsia="Times New Roman"/>
                <w:sz w:val="20"/>
                <w:szCs w:val="20"/>
              </w:rPr>
            </w:pPr>
            <w:r>
              <w:rPr>
                <w:rFonts w:eastAsia="Times New Roman"/>
                <w:sz w:val="20"/>
                <w:szCs w:val="20"/>
              </w:rPr>
              <w:t> </w:t>
            </w:r>
          </w:p>
        </w:tc>
      </w:tr>
      <w:tr w:rsidR="00000000" w14:paraId="46D2BEF6" w14:textId="77777777">
        <w:trPr>
          <w:tblCellSpacing w:w="0" w:type="dxa"/>
        </w:trPr>
        <w:tc>
          <w:tcPr>
            <w:tcW w:w="1400" w:type="pct"/>
            <w:tcBorders>
              <w:bottom w:val="single" w:sz="6" w:space="0" w:color="000000"/>
            </w:tcBorders>
            <w:vAlign w:val="bottom"/>
            <w:hideMark/>
          </w:tcPr>
          <w:p w14:paraId="7DEEBE87" w14:textId="77777777" w:rsidR="00000000" w:rsidRDefault="00322B34">
            <w:pPr>
              <w:pStyle w:val="a3"/>
              <w:spacing w:before="0" w:beforeAutospacing="0" w:after="0" w:afterAutospacing="0"/>
              <w:rPr>
                <w:sz w:val="20"/>
                <w:szCs w:val="20"/>
              </w:rPr>
            </w:pPr>
            <w:r>
              <w:rPr>
                <w:b/>
                <w:bCs/>
                <w:sz w:val="20"/>
                <w:szCs w:val="20"/>
              </w:rPr>
              <w:t>Joint Venture</w:t>
            </w:r>
          </w:p>
        </w:tc>
        <w:tc>
          <w:tcPr>
            <w:tcW w:w="0" w:type="auto"/>
            <w:tcBorders>
              <w:bottom w:val="single" w:sz="6" w:space="0" w:color="000000"/>
            </w:tcBorders>
            <w:vAlign w:val="bottom"/>
            <w:hideMark/>
          </w:tcPr>
          <w:p w14:paraId="4B102DB0"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6B5A176" w14:textId="77777777" w:rsidR="00000000" w:rsidRDefault="00322B34">
            <w:pPr>
              <w:pStyle w:val="a3"/>
              <w:spacing w:before="0" w:beforeAutospacing="0" w:after="0" w:afterAutospacing="0"/>
              <w:jc w:val="center"/>
              <w:rPr>
                <w:sz w:val="20"/>
                <w:szCs w:val="20"/>
              </w:rPr>
            </w:pPr>
            <w:r>
              <w:rPr>
                <w:b/>
                <w:bCs/>
                <w:sz w:val="20"/>
                <w:szCs w:val="20"/>
              </w:rPr>
              <w:t>Mortgages and</w:t>
            </w:r>
          </w:p>
          <w:p w14:paraId="4100149E" w14:textId="77777777" w:rsidR="00000000" w:rsidRDefault="00322B34">
            <w:pPr>
              <w:pStyle w:val="a3"/>
              <w:spacing w:before="0" w:beforeAutospacing="0" w:after="0" w:afterAutospacing="0"/>
              <w:jc w:val="center"/>
              <w:rPr>
                <w:sz w:val="20"/>
                <w:szCs w:val="20"/>
              </w:rPr>
            </w:pPr>
            <w:r>
              <w:rPr>
                <w:b/>
                <w:bCs/>
                <w:sz w:val="20"/>
                <w:szCs w:val="20"/>
              </w:rPr>
              <w:t>Notes Payable, Net</w:t>
            </w:r>
          </w:p>
        </w:tc>
        <w:tc>
          <w:tcPr>
            <w:tcW w:w="0" w:type="auto"/>
            <w:tcBorders>
              <w:bottom w:val="single" w:sz="6" w:space="0" w:color="000000"/>
            </w:tcBorders>
            <w:vAlign w:val="bottom"/>
            <w:hideMark/>
          </w:tcPr>
          <w:p w14:paraId="3B23C8B1"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66D6F93A"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024187C" w14:textId="77777777" w:rsidR="00000000" w:rsidRDefault="00322B34">
            <w:pPr>
              <w:pStyle w:val="a3"/>
              <w:spacing w:before="0" w:beforeAutospacing="0" w:after="0" w:afterAutospacing="0"/>
              <w:jc w:val="center"/>
              <w:rPr>
                <w:sz w:val="20"/>
                <w:szCs w:val="20"/>
              </w:rPr>
            </w:pPr>
            <w:r>
              <w:rPr>
                <w:b/>
                <w:bCs/>
                <w:sz w:val="20"/>
                <w:szCs w:val="20"/>
              </w:rPr>
              <w:t>Weighted</w:t>
            </w:r>
          </w:p>
          <w:p w14:paraId="63CC34E5" w14:textId="77777777" w:rsidR="00000000" w:rsidRDefault="00322B34">
            <w:pPr>
              <w:pStyle w:val="a3"/>
              <w:spacing w:before="0" w:beforeAutospacing="0" w:after="0" w:afterAutospacing="0"/>
              <w:jc w:val="center"/>
              <w:rPr>
                <w:sz w:val="20"/>
                <w:szCs w:val="20"/>
              </w:rPr>
            </w:pPr>
            <w:r>
              <w:rPr>
                <w:b/>
                <w:bCs/>
                <w:sz w:val="20"/>
                <w:szCs w:val="20"/>
              </w:rPr>
              <w:t>Average</w:t>
            </w:r>
          </w:p>
          <w:p w14:paraId="2C162BF4" w14:textId="77777777" w:rsidR="00000000" w:rsidRDefault="00322B34">
            <w:pPr>
              <w:pStyle w:val="a3"/>
              <w:spacing w:before="0" w:beforeAutospacing="0" w:after="0" w:afterAutospacing="0"/>
              <w:jc w:val="center"/>
              <w:rPr>
                <w:sz w:val="20"/>
                <w:szCs w:val="20"/>
              </w:rPr>
            </w:pPr>
            <w:r>
              <w:rPr>
                <w:b/>
                <w:bCs/>
                <w:sz w:val="20"/>
                <w:szCs w:val="20"/>
              </w:rPr>
              <w:t>Interest Rate</w:t>
            </w:r>
          </w:p>
        </w:tc>
        <w:tc>
          <w:tcPr>
            <w:tcW w:w="0" w:type="auto"/>
            <w:tcBorders>
              <w:bottom w:val="single" w:sz="6" w:space="0" w:color="000000"/>
            </w:tcBorders>
            <w:vAlign w:val="bottom"/>
            <w:hideMark/>
          </w:tcPr>
          <w:p w14:paraId="69A105A8"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6162EBF3"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B02B507" w14:textId="77777777" w:rsidR="00000000" w:rsidRDefault="00322B34">
            <w:pPr>
              <w:pStyle w:val="a3"/>
              <w:spacing w:before="0" w:beforeAutospacing="0" w:after="0" w:afterAutospacing="0"/>
              <w:jc w:val="center"/>
              <w:rPr>
                <w:sz w:val="20"/>
                <w:szCs w:val="20"/>
              </w:rPr>
            </w:pPr>
            <w:r>
              <w:rPr>
                <w:b/>
                <w:bCs/>
                <w:sz w:val="20"/>
                <w:szCs w:val="20"/>
              </w:rPr>
              <w:t>Weighted</w:t>
            </w:r>
          </w:p>
          <w:p w14:paraId="21E788AA" w14:textId="77777777" w:rsidR="00000000" w:rsidRDefault="00322B34">
            <w:pPr>
              <w:pStyle w:val="a3"/>
              <w:spacing w:before="0" w:beforeAutospacing="0" w:after="0" w:afterAutospacing="0"/>
              <w:jc w:val="center"/>
              <w:rPr>
                <w:sz w:val="20"/>
                <w:szCs w:val="20"/>
              </w:rPr>
            </w:pPr>
            <w:r>
              <w:rPr>
                <w:b/>
                <w:bCs/>
                <w:sz w:val="20"/>
                <w:szCs w:val="20"/>
              </w:rPr>
              <w:t>Average</w:t>
            </w:r>
          </w:p>
          <w:p w14:paraId="4A72A14C" w14:textId="77777777" w:rsidR="00000000" w:rsidRDefault="00322B34">
            <w:pPr>
              <w:pStyle w:val="a3"/>
              <w:spacing w:before="0" w:beforeAutospacing="0" w:after="0" w:afterAutospacing="0"/>
              <w:jc w:val="center"/>
              <w:rPr>
                <w:sz w:val="20"/>
                <w:szCs w:val="20"/>
              </w:rPr>
            </w:pPr>
            <w:r>
              <w:rPr>
                <w:b/>
                <w:bCs/>
                <w:sz w:val="20"/>
                <w:szCs w:val="20"/>
              </w:rPr>
              <w:t>Remaining</w:t>
            </w:r>
          </w:p>
          <w:p w14:paraId="2AA2BBA6" w14:textId="77777777" w:rsidR="00000000" w:rsidRDefault="00322B34">
            <w:pPr>
              <w:pStyle w:val="a3"/>
              <w:spacing w:before="0" w:beforeAutospacing="0" w:after="0" w:afterAutospacing="0"/>
              <w:jc w:val="center"/>
              <w:rPr>
                <w:sz w:val="20"/>
                <w:szCs w:val="20"/>
              </w:rPr>
            </w:pPr>
            <w:r>
              <w:rPr>
                <w:b/>
                <w:bCs/>
                <w:sz w:val="20"/>
                <w:szCs w:val="20"/>
              </w:rPr>
              <w:t>Term (months)*</w:t>
            </w:r>
          </w:p>
        </w:tc>
        <w:tc>
          <w:tcPr>
            <w:tcW w:w="0" w:type="auto"/>
            <w:tcBorders>
              <w:bottom w:val="single" w:sz="6" w:space="0" w:color="000000"/>
            </w:tcBorders>
            <w:vAlign w:val="bottom"/>
            <w:hideMark/>
          </w:tcPr>
          <w:p w14:paraId="40059D61"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3273766B"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292BB18" w14:textId="77777777" w:rsidR="00000000" w:rsidRDefault="00322B34">
            <w:pPr>
              <w:pStyle w:val="a3"/>
              <w:spacing w:before="0" w:beforeAutospacing="0" w:after="0" w:afterAutospacing="0"/>
              <w:jc w:val="center"/>
              <w:rPr>
                <w:sz w:val="20"/>
                <w:szCs w:val="20"/>
              </w:rPr>
            </w:pPr>
            <w:r>
              <w:rPr>
                <w:b/>
                <w:bCs/>
                <w:sz w:val="20"/>
                <w:szCs w:val="20"/>
              </w:rPr>
              <w:t>Mortgages</w:t>
            </w:r>
          </w:p>
          <w:p w14:paraId="2220417E" w14:textId="77777777" w:rsidR="00000000" w:rsidRDefault="00322B34">
            <w:pPr>
              <w:pStyle w:val="a3"/>
              <w:spacing w:before="0" w:beforeAutospacing="0" w:after="0" w:afterAutospacing="0"/>
              <w:jc w:val="center"/>
              <w:rPr>
                <w:sz w:val="20"/>
                <w:szCs w:val="20"/>
              </w:rPr>
            </w:pPr>
            <w:r>
              <w:rPr>
                <w:b/>
                <w:bCs/>
                <w:sz w:val="20"/>
                <w:szCs w:val="20"/>
              </w:rPr>
              <w:t>and</w:t>
            </w:r>
          </w:p>
          <w:p w14:paraId="4A7D33F9" w14:textId="77777777" w:rsidR="00000000" w:rsidRDefault="00322B34">
            <w:pPr>
              <w:pStyle w:val="a3"/>
              <w:spacing w:before="0" w:beforeAutospacing="0" w:after="0" w:afterAutospacing="0"/>
              <w:jc w:val="center"/>
              <w:rPr>
                <w:sz w:val="20"/>
                <w:szCs w:val="20"/>
              </w:rPr>
            </w:pPr>
            <w:r>
              <w:rPr>
                <w:b/>
                <w:bCs/>
                <w:sz w:val="20"/>
                <w:szCs w:val="20"/>
              </w:rPr>
              <w:t>Notes</w:t>
            </w:r>
          </w:p>
          <w:p w14:paraId="403FAFF3" w14:textId="77777777" w:rsidR="00000000" w:rsidRDefault="00322B34">
            <w:pPr>
              <w:pStyle w:val="a3"/>
              <w:spacing w:before="0" w:beforeAutospacing="0" w:after="0" w:afterAutospacing="0"/>
              <w:jc w:val="center"/>
              <w:rPr>
                <w:sz w:val="20"/>
                <w:szCs w:val="20"/>
              </w:rPr>
            </w:pPr>
            <w:r>
              <w:rPr>
                <w:b/>
                <w:bCs/>
                <w:sz w:val="20"/>
                <w:szCs w:val="20"/>
              </w:rPr>
              <w:t>Payable, Net</w:t>
            </w:r>
          </w:p>
        </w:tc>
        <w:tc>
          <w:tcPr>
            <w:tcW w:w="0" w:type="auto"/>
            <w:tcBorders>
              <w:bottom w:val="single" w:sz="6" w:space="0" w:color="000000"/>
            </w:tcBorders>
            <w:vAlign w:val="bottom"/>
            <w:hideMark/>
          </w:tcPr>
          <w:p w14:paraId="664DC49B"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507C6B83"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0356E6F" w14:textId="77777777" w:rsidR="00000000" w:rsidRDefault="00322B34">
            <w:pPr>
              <w:pStyle w:val="a3"/>
              <w:spacing w:before="0" w:beforeAutospacing="0" w:after="0" w:afterAutospacing="0"/>
              <w:jc w:val="center"/>
              <w:rPr>
                <w:sz w:val="20"/>
                <w:szCs w:val="20"/>
              </w:rPr>
            </w:pPr>
            <w:r>
              <w:rPr>
                <w:b/>
                <w:bCs/>
                <w:sz w:val="20"/>
                <w:szCs w:val="20"/>
              </w:rPr>
              <w:t>Weighted</w:t>
            </w:r>
          </w:p>
          <w:p w14:paraId="2CDA7D1B" w14:textId="77777777" w:rsidR="00000000" w:rsidRDefault="00322B34">
            <w:pPr>
              <w:pStyle w:val="a3"/>
              <w:spacing w:before="0" w:beforeAutospacing="0" w:after="0" w:afterAutospacing="0"/>
              <w:jc w:val="center"/>
              <w:rPr>
                <w:sz w:val="20"/>
                <w:szCs w:val="20"/>
              </w:rPr>
            </w:pPr>
            <w:r>
              <w:rPr>
                <w:b/>
                <w:bCs/>
                <w:sz w:val="20"/>
                <w:szCs w:val="20"/>
              </w:rPr>
              <w:t>Average</w:t>
            </w:r>
          </w:p>
          <w:p w14:paraId="54FE340C" w14:textId="77777777" w:rsidR="00000000" w:rsidRDefault="00322B34">
            <w:pPr>
              <w:pStyle w:val="a3"/>
              <w:spacing w:before="0" w:beforeAutospacing="0" w:after="0" w:afterAutospacing="0"/>
              <w:jc w:val="center"/>
              <w:rPr>
                <w:sz w:val="20"/>
                <w:szCs w:val="20"/>
              </w:rPr>
            </w:pPr>
            <w:r>
              <w:rPr>
                <w:b/>
                <w:bCs/>
                <w:sz w:val="20"/>
                <w:szCs w:val="20"/>
              </w:rPr>
              <w:t>Interest</w:t>
            </w:r>
          </w:p>
          <w:p w14:paraId="371F95E3" w14:textId="77777777" w:rsidR="00000000" w:rsidRDefault="00322B34">
            <w:pPr>
              <w:pStyle w:val="a3"/>
              <w:spacing w:before="0" w:beforeAutospacing="0" w:after="0" w:afterAutospacing="0"/>
              <w:jc w:val="center"/>
              <w:rPr>
                <w:sz w:val="20"/>
                <w:szCs w:val="20"/>
              </w:rPr>
            </w:pPr>
            <w:r>
              <w:rPr>
                <w:b/>
                <w:bCs/>
                <w:sz w:val="20"/>
                <w:szCs w:val="20"/>
              </w:rPr>
              <w:t>Rate</w:t>
            </w:r>
          </w:p>
        </w:tc>
        <w:tc>
          <w:tcPr>
            <w:tcW w:w="0" w:type="auto"/>
            <w:tcBorders>
              <w:bottom w:val="single" w:sz="6" w:space="0" w:color="000000"/>
            </w:tcBorders>
            <w:vAlign w:val="bottom"/>
            <w:hideMark/>
          </w:tcPr>
          <w:p w14:paraId="51C60406"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34953CDC"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C4CA63A" w14:textId="77777777" w:rsidR="00000000" w:rsidRDefault="00322B34">
            <w:pPr>
              <w:pStyle w:val="a3"/>
              <w:spacing w:before="0" w:beforeAutospacing="0" w:after="0" w:afterAutospacing="0"/>
              <w:jc w:val="center"/>
              <w:rPr>
                <w:sz w:val="20"/>
                <w:szCs w:val="20"/>
              </w:rPr>
            </w:pPr>
            <w:r>
              <w:rPr>
                <w:b/>
                <w:bCs/>
                <w:sz w:val="20"/>
                <w:szCs w:val="20"/>
              </w:rPr>
              <w:t>Weighted</w:t>
            </w:r>
          </w:p>
          <w:p w14:paraId="0391E4E7" w14:textId="77777777" w:rsidR="00000000" w:rsidRDefault="00322B34">
            <w:pPr>
              <w:pStyle w:val="a3"/>
              <w:spacing w:before="0" w:beforeAutospacing="0" w:after="0" w:afterAutospacing="0"/>
              <w:jc w:val="center"/>
              <w:rPr>
                <w:sz w:val="20"/>
                <w:szCs w:val="20"/>
              </w:rPr>
            </w:pPr>
            <w:r>
              <w:rPr>
                <w:b/>
                <w:bCs/>
                <w:sz w:val="20"/>
                <w:szCs w:val="20"/>
              </w:rPr>
              <w:t>Average</w:t>
            </w:r>
          </w:p>
          <w:p w14:paraId="0F071FA1" w14:textId="77777777" w:rsidR="00000000" w:rsidRDefault="00322B34">
            <w:pPr>
              <w:pStyle w:val="a3"/>
              <w:spacing w:before="0" w:beforeAutospacing="0" w:after="0" w:afterAutospacing="0"/>
              <w:jc w:val="center"/>
              <w:rPr>
                <w:sz w:val="20"/>
                <w:szCs w:val="20"/>
              </w:rPr>
            </w:pPr>
            <w:r>
              <w:rPr>
                <w:b/>
                <w:bCs/>
                <w:sz w:val="20"/>
                <w:szCs w:val="20"/>
              </w:rPr>
              <w:t>Remaining</w:t>
            </w:r>
          </w:p>
          <w:p w14:paraId="1F550F53" w14:textId="77777777" w:rsidR="00000000" w:rsidRDefault="00322B34">
            <w:pPr>
              <w:pStyle w:val="a3"/>
              <w:spacing w:before="0" w:beforeAutospacing="0" w:after="0" w:afterAutospacing="0"/>
              <w:jc w:val="center"/>
              <w:rPr>
                <w:sz w:val="20"/>
                <w:szCs w:val="20"/>
              </w:rPr>
            </w:pPr>
            <w:r>
              <w:rPr>
                <w:b/>
                <w:bCs/>
                <w:sz w:val="20"/>
                <w:szCs w:val="20"/>
              </w:rPr>
              <w:t>Term (months)*</w:t>
            </w:r>
          </w:p>
        </w:tc>
        <w:tc>
          <w:tcPr>
            <w:tcW w:w="0" w:type="auto"/>
            <w:tcMar>
              <w:top w:w="0" w:type="dxa"/>
              <w:left w:w="0" w:type="dxa"/>
              <w:bottom w:w="15" w:type="dxa"/>
              <w:right w:w="0" w:type="dxa"/>
            </w:tcMar>
            <w:vAlign w:val="bottom"/>
            <w:hideMark/>
          </w:tcPr>
          <w:p w14:paraId="1D39A099" w14:textId="77777777" w:rsidR="00000000" w:rsidRDefault="00322B34">
            <w:pPr>
              <w:rPr>
                <w:rFonts w:eastAsia="Times New Roman"/>
                <w:sz w:val="20"/>
                <w:szCs w:val="20"/>
              </w:rPr>
            </w:pPr>
            <w:r>
              <w:rPr>
                <w:rFonts w:eastAsia="Times New Roman"/>
                <w:sz w:val="20"/>
                <w:szCs w:val="20"/>
              </w:rPr>
              <w:t> </w:t>
            </w:r>
          </w:p>
        </w:tc>
      </w:tr>
      <w:tr w:rsidR="00000000" w14:paraId="64B830B7" w14:textId="77777777">
        <w:trPr>
          <w:tblCellSpacing w:w="0" w:type="dxa"/>
        </w:trPr>
        <w:tc>
          <w:tcPr>
            <w:tcW w:w="0" w:type="auto"/>
            <w:tcBorders>
              <w:bottom w:val="nil"/>
            </w:tcBorders>
            <w:shd w:val="clear" w:color="auto" w:fill="CCEEFF"/>
            <w:vAlign w:val="bottom"/>
            <w:hideMark/>
          </w:tcPr>
          <w:p w14:paraId="1DF4B1BF" w14:textId="77777777" w:rsidR="00000000" w:rsidRDefault="00322B34">
            <w:pPr>
              <w:pStyle w:val="a3"/>
              <w:spacing w:before="0" w:beforeAutospacing="0" w:after="0" w:afterAutospacing="0"/>
              <w:rPr>
                <w:sz w:val="20"/>
                <w:szCs w:val="20"/>
              </w:rPr>
            </w:pPr>
            <w:r>
              <w:rPr>
                <w:sz w:val="20"/>
                <w:szCs w:val="20"/>
              </w:rPr>
              <w:t>Prudential Investment Program</w:t>
            </w:r>
          </w:p>
        </w:tc>
        <w:tc>
          <w:tcPr>
            <w:tcW w:w="50" w:type="pct"/>
            <w:tcBorders>
              <w:bottom w:val="nil"/>
            </w:tcBorders>
            <w:shd w:val="clear" w:color="auto" w:fill="CCEEFF"/>
            <w:vAlign w:val="bottom"/>
            <w:hideMark/>
          </w:tcPr>
          <w:p w14:paraId="4F539FB6"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622F337" w14:textId="77777777" w:rsidR="00000000" w:rsidRDefault="00322B34">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14:paraId="15D9669D" w14:textId="77777777" w:rsidR="00000000" w:rsidRDefault="00322B34">
            <w:pPr>
              <w:jc w:val="right"/>
              <w:rPr>
                <w:rFonts w:eastAsia="Times New Roman"/>
                <w:sz w:val="20"/>
                <w:szCs w:val="20"/>
              </w:rPr>
            </w:pPr>
            <w:r>
              <w:rPr>
                <w:rFonts w:eastAsia="Times New Roman"/>
                <w:sz w:val="20"/>
                <w:szCs w:val="20"/>
              </w:rPr>
              <w:t>535.6</w:t>
            </w:r>
          </w:p>
        </w:tc>
        <w:tc>
          <w:tcPr>
            <w:tcW w:w="50" w:type="pct"/>
            <w:tcBorders>
              <w:bottom w:val="nil"/>
            </w:tcBorders>
            <w:shd w:val="clear" w:color="auto" w:fill="CCEEFF"/>
            <w:vAlign w:val="bottom"/>
            <w:hideMark/>
          </w:tcPr>
          <w:p w14:paraId="50426283"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DCA0E63"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B96BAC9" w14:textId="77777777" w:rsidR="00000000" w:rsidRDefault="00322B34">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14:paraId="1088B486" w14:textId="77777777" w:rsidR="00000000" w:rsidRDefault="00322B34">
            <w:pPr>
              <w:jc w:val="right"/>
              <w:rPr>
                <w:rFonts w:eastAsia="Times New Roman"/>
                <w:sz w:val="20"/>
                <w:szCs w:val="20"/>
              </w:rPr>
            </w:pPr>
            <w:r>
              <w:rPr>
                <w:rFonts w:eastAsia="Times New Roman"/>
                <w:sz w:val="20"/>
                <w:szCs w:val="20"/>
              </w:rPr>
              <w:t>2.31</w:t>
            </w:r>
          </w:p>
        </w:tc>
        <w:tc>
          <w:tcPr>
            <w:tcW w:w="50" w:type="pct"/>
            <w:tcBorders>
              <w:bottom w:val="nil"/>
            </w:tcBorders>
            <w:shd w:val="clear" w:color="auto" w:fill="CCEEFF"/>
            <w:vAlign w:val="bottom"/>
            <w:hideMark/>
          </w:tcPr>
          <w:p w14:paraId="678223C3" w14:textId="77777777" w:rsidR="00000000" w:rsidRDefault="00322B34">
            <w:pPr>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14:paraId="06A2DAB1"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0AC6C87" w14:textId="77777777" w:rsidR="00000000" w:rsidRDefault="00322B34">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14:paraId="61CC41AB" w14:textId="77777777" w:rsidR="00000000" w:rsidRDefault="00322B34">
            <w:pPr>
              <w:jc w:val="right"/>
              <w:rPr>
                <w:rFonts w:eastAsia="Times New Roman"/>
                <w:sz w:val="20"/>
                <w:szCs w:val="20"/>
              </w:rPr>
            </w:pPr>
            <w:r>
              <w:rPr>
                <w:rFonts w:eastAsia="Times New Roman"/>
                <w:sz w:val="20"/>
                <w:szCs w:val="20"/>
              </w:rPr>
              <w:t>40.7</w:t>
            </w:r>
          </w:p>
        </w:tc>
        <w:tc>
          <w:tcPr>
            <w:tcW w:w="50" w:type="pct"/>
            <w:tcBorders>
              <w:bottom w:val="nil"/>
            </w:tcBorders>
            <w:shd w:val="clear" w:color="auto" w:fill="CCEEFF"/>
            <w:vAlign w:val="bottom"/>
            <w:hideMark/>
          </w:tcPr>
          <w:p w14:paraId="74003A06"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7BEF084"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31DC702" w14:textId="77777777" w:rsidR="00000000" w:rsidRDefault="00322B34">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14:paraId="28683D0B" w14:textId="77777777" w:rsidR="00000000" w:rsidRDefault="00322B34">
            <w:pPr>
              <w:jc w:val="right"/>
              <w:rPr>
                <w:rFonts w:eastAsia="Times New Roman"/>
                <w:sz w:val="20"/>
                <w:szCs w:val="20"/>
              </w:rPr>
            </w:pPr>
            <w:r>
              <w:rPr>
                <w:rFonts w:eastAsia="Times New Roman"/>
                <w:sz w:val="20"/>
                <w:szCs w:val="20"/>
              </w:rPr>
              <w:t>538.1</w:t>
            </w:r>
          </w:p>
        </w:tc>
        <w:tc>
          <w:tcPr>
            <w:tcW w:w="50" w:type="pct"/>
            <w:tcBorders>
              <w:bottom w:val="nil"/>
            </w:tcBorders>
            <w:shd w:val="clear" w:color="auto" w:fill="CCEEFF"/>
            <w:vAlign w:val="bottom"/>
            <w:hideMark/>
          </w:tcPr>
          <w:p w14:paraId="41FA9402"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50CE65F"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AEE9598" w14:textId="77777777" w:rsidR="00000000" w:rsidRDefault="00322B34">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14:paraId="4DED9BD8" w14:textId="77777777" w:rsidR="00000000" w:rsidRDefault="00322B34">
            <w:pPr>
              <w:jc w:val="right"/>
              <w:rPr>
                <w:rFonts w:eastAsia="Times New Roman"/>
                <w:sz w:val="20"/>
                <w:szCs w:val="20"/>
              </w:rPr>
            </w:pPr>
            <w:r>
              <w:rPr>
                <w:rFonts w:eastAsia="Times New Roman"/>
                <w:sz w:val="20"/>
                <w:szCs w:val="20"/>
              </w:rPr>
              <w:t>3.46</w:t>
            </w:r>
          </w:p>
        </w:tc>
        <w:tc>
          <w:tcPr>
            <w:tcW w:w="50" w:type="pct"/>
            <w:tcBorders>
              <w:bottom w:val="nil"/>
            </w:tcBorders>
            <w:shd w:val="clear" w:color="auto" w:fill="CCEEFF"/>
            <w:vAlign w:val="bottom"/>
            <w:hideMark/>
          </w:tcPr>
          <w:p w14:paraId="2F808D14" w14:textId="77777777" w:rsidR="00000000" w:rsidRDefault="00322B34">
            <w:pPr>
              <w:pStyle w:val="a3"/>
              <w:spacing w:before="0" w:beforeAutospacing="0" w:after="0" w:afterAutospacing="0"/>
              <w:rPr>
                <w:sz w:val="20"/>
                <w:szCs w:val="20"/>
              </w:rPr>
            </w:pPr>
            <w:r>
              <w:rPr>
                <w:sz w:val="20"/>
                <w:szCs w:val="20"/>
              </w:rPr>
              <w:t>%</w:t>
            </w:r>
          </w:p>
        </w:tc>
        <w:tc>
          <w:tcPr>
            <w:tcW w:w="50" w:type="pct"/>
            <w:tcBorders>
              <w:bottom w:val="nil"/>
            </w:tcBorders>
            <w:shd w:val="clear" w:color="auto" w:fill="CCEEFF"/>
            <w:vAlign w:val="bottom"/>
            <w:hideMark/>
          </w:tcPr>
          <w:p w14:paraId="71B10969"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FC2F67C" w14:textId="77777777" w:rsidR="00000000" w:rsidRDefault="00322B34">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14:paraId="6576B7E7" w14:textId="77777777" w:rsidR="00000000" w:rsidRDefault="00322B34">
            <w:pPr>
              <w:jc w:val="right"/>
              <w:rPr>
                <w:rFonts w:eastAsia="Times New Roman"/>
                <w:sz w:val="20"/>
                <w:szCs w:val="20"/>
              </w:rPr>
            </w:pPr>
            <w:r>
              <w:rPr>
                <w:rFonts w:eastAsia="Times New Roman"/>
                <w:sz w:val="20"/>
                <w:szCs w:val="20"/>
              </w:rPr>
              <w:t>46.8</w:t>
            </w:r>
          </w:p>
        </w:tc>
        <w:tc>
          <w:tcPr>
            <w:tcW w:w="50" w:type="pct"/>
            <w:tcBorders>
              <w:bottom w:val="nil"/>
            </w:tcBorders>
            <w:shd w:val="clear" w:color="auto" w:fill="CCEEFF"/>
            <w:vAlign w:val="bottom"/>
            <w:hideMark/>
          </w:tcPr>
          <w:p w14:paraId="167A165A" w14:textId="77777777" w:rsidR="00000000" w:rsidRDefault="00322B34">
            <w:pPr>
              <w:rPr>
                <w:rFonts w:eastAsia="Times New Roman"/>
                <w:sz w:val="20"/>
                <w:szCs w:val="20"/>
              </w:rPr>
            </w:pPr>
            <w:r>
              <w:rPr>
                <w:rFonts w:eastAsia="Times New Roman"/>
                <w:sz w:val="20"/>
                <w:szCs w:val="20"/>
              </w:rPr>
              <w:t> </w:t>
            </w:r>
          </w:p>
        </w:tc>
      </w:tr>
      <w:tr w:rsidR="00000000" w14:paraId="1D6494E7" w14:textId="77777777">
        <w:trPr>
          <w:tblCellSpacing w:w="0" w:type="dxa"/>
        </w:trPr>
        <w:tc>
          <w:tcPr>
            <w:tcW w:w="0" w:type="auto"/>
            <w:shd w:val="clear" w:color="auto" w:fill="FFFFFF"/>
            <w:vAlign w:val="bottom"/>
            <w:hideMark/>
          </w:tcPr>
          <w:p w14:paraId="0931DB43" w14:textId="77777777" w:rsidR="00000000" w:rsidRDefault="00322B34">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14:paraId="58B559B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3F295B"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2224F2A" w14:textId="77777777" w:rsidR="00000000" w:rsidRDefault="00322B34">
            <w:pPr>
              <w:jc w:val="right"/>
              <w:rPr>
                <w:rFonts w:eastAsia="Times New Roman"/>
                <w:sz w:val="20"/>
                <w:szCs w:val="20"/>
              </w:rPr>
            </w:pPr>
            <w:r>
              <w:rPr>
                <w:rFonts w:eastAsia="Times New Roman"/>
                <w:sz w:val="20"/>
                <w:szCs w:val="20"/>
              </w:rPr>
              <w:t>558.5</w:t>
            </w:r>
          </w:p>
        </w:tc>
        <w:tc>
          <w:tcPr>
            <w:tcW w:w="50" w:type="pct"/>
            <w:shd w:val="clear" w:color="auto" w:fill="FFFFFF"/>
            <w:vAlign w:val="bottom"/>
            <w:hideMark/>
          </w:tcPr>
          <w:p w14:paraId="0943E69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F0CFC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60826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A777339" w14:textId="77777777" w:rsidR="00000000" w:rsidRDefault="00322B34">
            <w:pPr>
              <w:jc w:val="right"/>
              <w:rPr>
                <w:rFonts w:eastAsia="Times New Roman"/>
                <w:sz w:val="20"/>
                <w:szCs w:val="20"/>
              </w:rPr>
            </w:pPr>
            <w:r>
              <w:rPr>
                <w:rFonts w:eastAsia="Times New Roman"/>
                <w:sz w:val="20"/>
                <w:szCs w:val="20"/>
              </w:rPr>
              <w:t>4.04</w:t>
            </w:r>
          </w:p>
        </w:tc>
        <w:tc>
          <w:tcPr>
            <w:tcW w:w="50" w:type="pct"/>
            <w:shd w:val="clear" w:color="auto" w:fill="FFFFFF"/>
            <w:vAlign w:val="bottom"/>
            <w:hideMark/>
          </w:tcPr>
          <w:p w14:paraId="638C2853"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12F3D11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A95080"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081FC9E" w14:textId="77777777" w:rsidR="00000000" w:rsidRDefault="00322B34">
            <w:pPr>
              <w:jc w:val="right"/>
              <w:rPr>
                <w:rFonts w:eastAsia="Times New Roman"/>
                <w:sz w:val="20"/>
                <w:szCs w:val="20"/>
              </w:rPr>
            </w:pPr>
            <w:r>
              <w:rPr>
                <w:rFonts w:eastAsia="Times New Roman"/>
                <w:sz w:val="20"/>
                <w:szCs w:val="20"/>
              </w:rPr>
              <w:t>29.0</w:t>
            </w:r>
          </w:p>
        </w:tc>
        <w:tc>
          <w:tcPr>
            <w:tcW w:w="50" w:type="pct"/>
            <w:shd w:val="clear" w:color="auto" w:fill="FFFFFF"/>
            <w:vAlign w:val="bottom"/>
            <w:hideMark/>
          </w:tcPr>
          <w:p w14:paraId="05C5032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15D8A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24C24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C3DE858" w14:textId="77777777" w:rsidR="00000000" w:rsidRDefault="00322B34">
            <w:pPr>
              <w:jc w:val="right"/>
              <w:rPr>
                <w:rFonts w:eastAsia="Times New Roman"/>
                <w:sz w:val="20"/>
                <w:szCs w:val="20"/>
              </w:rPr>
            </w:pPr>
            <w:r>
              <w:rPr>
                <w:rFonts w:eastAsia="Times New Roman"/>
                <w:sz w:val="20"/>
                <w:szCs w:val="20"/>
              </w:rPr>
              <w:t>556.0</w:t>
            </w:r>
          </w:p>
        </w:tc>
        <w:tc>
          <w:tcPr>
            <w:tcW w:w="50" w:type="pct"/>
            <w:shd w:val="clear" w:color="auto" w:fill="FFFFFF"/>
            <w:vAlign w:val="bottom"/>
            <w:hideMark/>
          </w:tcPr>
          <w:p w14:paraId="4E076DE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10336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8FB86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AA208AF" w14:textId="77777777" w:rsidR="00000000" w:rsidRDefault="00322B34">
            <w:pPr>
              <w:jc w:val="right"/>
              <w:rPr>
                <w:rFonts w:eastAsia="Times New Roman"/>
                <w:sz w:val="20"/>
                <w:szCs w:val="20"/>
              </w:rPr>
            </w:pPr>
            <w:r>
              <w:rPr>
                <w:rFonts w:eastAsia="Times New Roman"/>
                <w:sz w:val="20"/>
                <w:szCs w:val="20"/>
              </w:rPr>
              <w:t>4.39</w:t>
            </w:r>
          </w:p>
        </w:tc>
        <w:tc>
          <w:tcPr>
            <w:tcW w:w="50" w:type="pct"/>
            <w:shd w:val="clear" w:color="auto" w:fill="FFFFFF"/>
            <w:vAlign w:val="bottom"/>
            <w:hideMark/>
          </w:tcPr>
          <w:p w14:paraId="0533DD12"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31B4B78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F2AF61"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53F128E" w14:textId="77777777" w:rsidR="00000000" w:rsidRDefault="00322B34">
            <w:pPr>
              <w:jc w:val="right"/>
              <w:rPr>
                <w:rFonts w:eastAsia="Times New Roman"/>
                <w:sz w:val="20"/>
                <w:szCs w:val="20"/>
              </w:rPr>
            </w:pPr>
            <w:r>
              <w:rPr>
                <w:rFonts w:eastAsia="Times New Roman"/>
                <w:sz w:val="20"/>
                <w:szCs w:val="20"/>
              </w:rPr>
              <w:t>28.4</w:t>
            </w:r>
          </w:p>
        </w:tc>
        <w:tc>
          <w:tcPr>
            <w:tcW w:w="50" w:type="pct"/>
            <w:shd w:val="clear" w:color="auto" w:fill="FFFFFF"/>
            <w:vAlign w:val="bottom"/>
            <w:hideMark/>
          </w:tcPr>
          <w:p w14:paraId="5FB77DDE" w14:textId="77777777" w:rsidR="00000000" w:rsidRDefault="00322B34">
            <w:pPr>
              <w:rPr>
                <w:rFonts w:eastAsia="Times New Roman"/>
                <w:sz w:val="20"/>
                <w:szCs w:val="20"/>
              </w:rPr>
            </w:pPr>
            <w:r>
              <w:rPr>
                <w:rFonts w:eastAsia="Times New Roman"/>
                <w:sz w:val="20"/>
                <w:szCs w:val="20"/>
              </w:rPr>
              <w:t> </w:t>
            </w:r>
          </w:p>
        </w:tc>
      </w:tr>
      <w:tr w:rsidR="00000000" w14:paraId="4D6C3EE5" w14:textId="77777777">
        <w:trPr>
          <w:tblCellSpacing w:w="0" w:type="dxa"/>
        </w:trPr>
        <w:tc>
          <w:tcPr>
            <w:tcW w:w="0" w:type="auto"/>
            <w:shd w:val="clear" w:color="auto" w:fill="CCEEFF"/>
            <w:vAlign w:val="bottom"/>
            <w:hideMark/>
          </w:tcPr>
          <w:p w14:paraId="36B120EF" w14:textId="77777777" w:rsidR="00000000" w:rsidRDefault="00322B34">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14:paraId="4449417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609D56"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A80CDCD" w14:textId="77777777" w:rsidR="00000000" w:rsidRDefault="00322B34">
            <w:pPr>
              <w:jc w:val="right"/>
              <w:rPr>
                <w:rFonts w:eastAsia="Times New Roman"/>
                <w:sz w:val="20"/>
                <w:szCs w:val="20"/>
              </w:rPr>
            </w:pPr>
            <w:r>
              <w:rPr>
                <w:rFonts w:eastAsia="Times New Roman"/>
                <w:sz w:val="20"/>
                <w:szCs w:val="20"/>
              </w:rPr>
              <w:t>84.8</w:t>
            </w:r>
          </w:p>
        </w:tc>
        <w:tc>
          <w:tcPr>
            <w:tcW w:w="50" w:type="pct"/>
            <w:shd w:val="clear" w:color="auto" w:fill="CCEEFF"/>
            <w:vAlign w:val="bottom"/>
            <w:hideMark/>
          </w:tcPr>
          <w:p w14:paraId="5A63F7F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2D2F1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74C6E6"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2FF1FDA" w14:textId="77777777" w:rsidR="00000000" w:rsidRDefault="00322B34">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14:paraId="1075ADD0"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D99C03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6F9236"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948FD1A" w14:textId="77777777" w:rsidR="00000000" w:rsidRDefault="00322B34">
            <w:pPr>
              <w:jc w:val="right"/>
              <w:rPr>
                <w:rFonts w:eastAsia="Times New Roman"/>
                <w:sz w:val="20"/>
                <w:szCs w:val="20"/>
              </w:rPr>
            </w:pPr>
            <w:r>
              <w:rPr>
                <w:rFonts w:eastAsia="Times New Roman"/>
                <w:sz w:val="20"/>
                <w:szCs w:val="20"/>
              </w:rPr>
              <w:t>36.0</w:t>
            </w:r>
          </w:p>
        </w:tc>
        <w:tc>
          <w:tcPr>
            <w:tcW w:w="50" w:type="pct"/>
            <w:shd w:val="clear" w:color="auto" w:fill="CCEEFF"/>
            <w:vAlign w:val="bottom"/>
            <w:hideMark/>
          </w:tcPr>
          <w:p w14:paraId="0022C65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1F765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0B715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5083CB9" w14:textId="77777777" w:rsidR="00000000" w:rsidRDefault="00322B34">
            <w:pPr>
              <w:jc w:val="right"/>
              <w:rPr>
                <w:rFonts w:eastAsia="Times New Roman"/>
                <w:sz w:val="20"/>
                <w:szCs w:val="20"/>
              </w:rPr>
            </w:pPr>
            <w:r>
              <w:rPr>
                <w:rFonts w:eastAsia="Times New Roman"/>
                <w:sz w:val="20"/>
                <w:szCs w:val="20"/>
              </w:rPr>
              <w:t>84.8</w:t>
            </w:r>
          </w:p>
        </w:tc>
        <w:tc>
          <w:tcPr>
            <w:tcW w:w="50" w:type="pct"/>
            <w:shd w:val="clear" w:color="auto" w:fill="CCEEFF"/>
            <w:vAlign w:val="bottom"/>
            <w:hideMark/>
          </w:tcPr>
          <w:p w14:paraId="180E536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A3951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9AEC3E"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065E78E" w14:textId="77777777" w:rsidR="00000000" w:rsidRDefault="00322B34">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14:paraId="1071150C"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5D41148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BE18A0"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BC37CD4" w14:textId="77777777" w:rsidR="00000000" w:rsidRDefault="00322B34">
            <w:pPr>
              <w:jc w:val="right"/>
              <w:rPr>
                <w:rFonts w:eastAsia="Times New Roman"/>
                <w:sz w:val="20"/>
                <w:szCs w:val="20"/>
              </w:rPr>
            </w:pPr>
            <w:r>
              <w:rPr>
                <w:rFonts w:eastAsia="Times New Roman"/>
                <w:sz w:val="20"/>
                <w:szCs w:val="20"/>
              </w:rPr>
              <w:t>42.0</w:t>
            </w:r>
          </w:p>
        </w:tc>
        <w:tc>
          <w:tcPr>
            <w:tcW w:w="50" w:type="pct"/>
            <w:shd w:val="clear" w:color="auto" w:fill="CCEEFF"/>
            <w:vAlign w:val="bottom"/>
            <w:hideMark/>
          </w:tcPr>
          <w:p w14:paraId="0598AE88" w14:textId="77777777" w:rsidR="00000000" w:rsidRDefault="00322B34">
            <w:pPr>
              <w:rPr>
                <w:rFonts w:eastAsia="Times New Roman"/>
                <w:sz w:val="20"/>
                <w:szCs w:val="20"/>
              </w:rPr>
            </w:pPr>
            <w:r>
              <w:rPr>
                <w:rFonts w:eastAsia="Times New Roman"/>
                <w:sz w:val="20"/>
                <w:szCs w:val="20"/>
              </w:rPr>
              <w:t> </w:t>
            </w:r>
          </w:p>
        </w:tc>
      </w:tr>
      <w:tr w:rsidR="00000000" w14:paraId="1169D2D0" w14:textId="77777777">
        <w:trPr>
          <w:tblCellSpacing w:w="0" w:type="dxa"/>
        </w:trPr>
        <w:tc>
          <w:tcPr>
            <w:tcW w:w="0" w:type="auto"/>
            <w:shd w:val="clear" w:color="auto" w:fill="FFFFFF"/>
            <w:vAlign w:val="bottom"/>
            <w:hideMark/>
          </w:tcPr>
          <w:p w14:paraId="4CB5A677" w14:textId="77777777" w:rsidR="00000000" w:rsidRDefault="00322B34">
            <w:pPr>
              <w:pStyle w:val="a3"/>
              <w:spacing w:before="0" w:beforeAutospacing="0" w:after="0" w:afterAutospacing="0"/>
              <w:rPr>
                <w:sz w:val="20"/>
                <w:szCs w:val="20"/>
              </w:rPr>
            </w:pPr>
            <w:r>
              <w:rPr>
                <w:sz w:val="20"/>
                <w:szCs w:val="20"/>
              </w:rPr>
              <w:t>Other Joint Venture Programs</w:t>
            </w:r>
          </w:p>
        </w:tc>
        <w:tc>
          <w:tcPr>
            <w:tcW w:w="50" w:type="pct"/>
            <w:shd w:val="clear" w:color="auto" w:fill="FFFFFF"/>
            <w:vAlign w:val="bottom"/>
            <w:hideMark/>
          </w:tcPr>
          <w:p w14:paraId="6FC003C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5F2193"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097C42B" w14:textId="77777777" w:rsidR="00000000" w:rsidRDefault="00322B34">
            <w:pPr>
              <w:jc w:val="right"/>
              <w:rPr>
                <w:rFonts w:eastAsia="Times New Roman"/>
                <w:sz w:val="20"/>
                <w:szCs w:val="20"/>
              </w:rPr>
            </w:pPr>
            <w:r>
              <w:rPr>
                <w:rFonts w:eastAsia="Times New Roman"/>
                <w:sz w:val="20"/>
                <w:szCs w:val="20"/>
              </w:rPr>
              <w:t>424.2</w:t>
            </w:r>
          </w:p>
        </w:tc>
        <w:tc>
          <w:tcPr>
            <w:tcW w:w="50" w:type="pct"/>
            <w:shd w:val="clear" w:color="auto" w:fill="FFFFFF"/>
            <w:vAlign w:val="bottom"/>
            <w:hideMark/>
          </w:tcPr>
          <w:p w14:paraId="194D6F3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AFDF9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21FC3F"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AD6ECE8" w14:textId="77777777" w:rsidR="00000000" w:rsidRDefault="00322B34">
            <w:pPr>
              <w:jc w:val="right"/>
              <w:rPr>
                <w:rFonts w:eastAsia="Times New Roman"/>
                <w:sz w:val="20"/>
                <w:szCs w:val="20"/>
              </w:rPr>
            </w:pPr>
            <w:r>
              <w:rPr>
                <w:rFonts w:eastAsia="Times New Roman"/>
                <w:sz w:val="20"/>
                <w:szCs w:val="20"/>
              </w:rPr>
              <w:t>3.45</w:t>
            </w:r>
          </w:p>
        </w:tc>
        <w:tc>
          <w:tcPr>
            <w:tcW w:w="50" w:type="pct"/>
            <w:shd w:val="clear" w:color="auto" w:fill="FFFFFF"/>
            <w:vAlign w:val="bottom"/>
            <w:hideMark/>
          </w:tcPr>
          <w:p w14:paraId="124B48F7"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6D3AE68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AB7941"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85777C5" w14:textId="77777777" w:rsidR="00000000" w:rsidRDefault="00322B34">
            <w:pPr>
              <w:jc w:val="right"/>
              <w:rPr>
                <w:rFonts w:eastAsia="Times New Roman"/>
                <w:sz w:val="20"/>
                <w:szCs w:val="20"/>
              </w:rPr>
            </w:pPr>
            <w:r>
              <w:rPr>
                <w:rFonts w:eastAsia="Times New Roman"/>
                <w:sz w:val="20"/>
                <w:szCs w:val="20"/>
              </w:rPr>
              <w:t>89.1</w:t>
            </w:r>
          </w:p>
        </w:tc>
        <w:tc>
          <w:tcPr>
            <w:tcW w:w="50" w:type="pct"/>
            <w:shd w:val="clear" w:color="auto" w:fill="FFFFFF"/>
            <w:vAlign w:val="bottom"/>
            <w:hideMark/>
          </w:tcPr>
          <w:p w14:paraId="2E9AB38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E54E2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F321E8"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C68738E" w14:textId="77777777" w:rsidR="00000000" w:rsidRDefault="00322B34">
            <w:pPr>
              <w:jc w:val="right"/>
              <w:rPr>
                <w:rFonts w:eastAsia="Times New Roman"/>
                <w:sz w:val="20"/>
                <w:szCs w:val="20"/>
              </w:rPr>
            </w:pPr>
            <w:r>
              <w:rPr>
                <w:rFonts w:eastAsia="Times New Roman"/>
                <w:sz w:val="20"/>
                <w:szCs w:val="20"/>
              </w:rPr>
              <w:t>415.2</w:t>
            </w:r>
          </w:p>
        </w:tc>
        <w:tc>
          <w:tcPr>
            <w:tcW w:w="50" w:type="pct"/>
            <w:shd w:val="clear" w:color="auto" w:fill="FFFFFF"/>
            <w:vAlign w:val="bottom"/>
            <w:hideMark/>
          </w:tcPr>
          <w:p w14:paraId="4E260A3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62D51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95CFE2"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4550CF5" w14:textId="77777777" w:rsidR="00000000" w:rsidRDefault="00322B34">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14:paraId="5DDEF695"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4DA69B5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A1C042"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759562D" w14:textId="77777777" w:rsidR="00000000" w:rsidRDefault="00322B34">
            <w:pPr>
              <w:jc w:val="right"/>
              <w:rPr>
                <w:rFonts w:eastAsia="Times New Roman"/>
                <w:sz w:val="20"/>
                <w:szCs w:val="20"/>
              </w:rPr>
            </w:pPr>
            <w:r>
              <w:rPr>
                <w:rFonts w:eastAsia="Times New Roman"/>
                <w:sz w:val="20"/>
                <w:szCs w:val="20"/>
              </w:rPr>
              <w:t>80.9</w:t>
            </w:r>
          </w:p>
        </w:tc>
        <w:tc>
          <w:tcPr>
            <w:tcW w:w="50" w:type="pct"/>
            <w:shd w:val="clear" w:color="auto" w:fill="FFFFFF"/>
            <w:vAlign w:val="bottom"/>
            <w:hideMark/>
          </w:tcPr>
          <w:p w14:paraId="194BF104" w14:textId="77777777" w:rsidR="00000000" w:rsidRDefault="00322B34">
            <w:pPr>
              <w:rPr>
                <w:rFonts w:eastAsia="Times New Roman"/>
                <w:sz w:val="20"/>
                <w:szCs w:val="20"/>
              </w:rPr>
            </w:pPr>
            <w:r>
              <w:rPr>
                <w:rFonts w:eastAsia="Times New Roman"/>
                <w:sz w:val="20"/>
                <w:szCs w:val="20"/>
              </w:rPr>
              <w:t> </w:t>
            </w:r>
          </w:p>
        </w:tc>
      </w:tr>
      <w:tr w:rsidR="00000000" w14:paraId="4C95A127" w14:textId="77777777">
        <w:trPr>
          <w:tblCellSpacing w:w="0" w:type="dxa"/>
        </w:trPr>
        <w:tc>
          <w:tcPr>
            <w:tcW w:w="0" w:type="auto"/>
            <w:shd w:val="clear" w:color="auto" w:fill="CCEEFF"/>
            <w:vAlign w:val="bottom"/>
            <w:hideMark/>
          </w:tcPr>
          <w:p w14:paraId="23C93D6C" w14:textId="77777777" w:rsidR="00000000" w:rsidRDefault="00322B34">
            <w:pPr>
              <w:pStyle w:val="a3"/>
              <w:spacing w:before="0" w:beforeAutospacing="0" w:after="0" w:afterAutospacing="0"/>
              <w:rPr>
                <w:sz w:val="20"/>
                <w:szCs w:val="20"/>
              </w:rPr>
            </w:pPr>
            <w:r>
              <w:rPr>
                <w:b/>
                <w:bCs/>
                <w:sz w:val="20"/>
                <w:szCs w:val="20"/>
              </w:rPr>
              <w:t>Total</w:t>
            </w:r>
          </w:p>
        </w:tc>
        <w:tc>
          <w:tcPr>
            <w:tcW w:w="50" w:type="pct"/>
            <w:shd w:val="clear" w:color="auto" w:fill="CCEEFF"/>
            <w:vAlign w:val="bottom"/>
            <w:hideMark/>
          </w:tcPr>
          <w:p w14:paraId="7A46132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58A9FC" w14:textId="77777777" w:rsidR="00000000" w:rsidRDefault="00322B3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7D7E1005" w14:textId="77777777" w:rsidR="00000000" w:rsidRDefault="00322B34">
            <w:pPr>
              <w:jc w:val="right"/>
              <w:rPr>
                <w:rFonts w:eastAsia="Times New Roman"/>
                <w:sz w:val="20"/>
                <w:szCs w:val="20"/>
              </w:rPr>
            </w:pPr>
            <w:r>
              <w:rPr>
                <w:rFonts w:eastAsia="Times New Roman"/>
                <w:b/>
                <w:bCs/>
                <w:sz w:val="20"/>
                <w:szCs w:val="20"/>
              </w:rPr>
              <w:t>1,603.1</w:t>
            </w:r>
          </w:p>
        </w:tc>
        <w:tc>
          <w:tcPr>
            <w:tcW w:w="50" w:type="pct"/>
            <w:shd w:val="clear" w:color="auto" w:fill="CCEEFF"/>
            <w:vAlign w:val="bottom"/>
            <w:hideMark/>
          </w:tcPr>
          <w:p w14:paraId="68398A2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76ABA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A3EE33" w14:textId="77777777" w:rsidR="00000000" w:rsidRDefault="00322B3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4F5EDC7" w14:textId="77777777" w:rsidR="00000000" w:rsidRDefault="00322B34">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14:paraId="59AFAE34" w14:textId="77777777" w:rsidR="00000000" w:rsidRDefault="00322B3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3BAE29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93DC06" w14:textId="77777777" w:rsidR="00000000" w:rsidRDefault="00322B3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A6CC739" w14:textId="77777777" w:rsidR="00000000" w:rsidRDefault="00322B34">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14:paraId="0A237EB2"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0EC033D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920D14" w14:textId="77777777" w:rsidR="00000000" w:rsidRDefault="00322B3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440CC522" w14:textId="77777777" w:rsidR="00000000" w:rsidRDefault="00322B34">
            <w:pPr>
              <w:jc w:val="right"/>
              <w:rPr>
                <w:rFonts w:eastAsia="Times New Roman"/>
                <w:sz w:val="20"/>
                <w:szCs w:val="20"/>
              </w:rPr>
            </w:pPr>
            <w:r>
              <w:rPr>
                <w:rFonts w:eastAsia="Times New Roman"/>
                <w:b/>
                <w:bCs/>
                <w:sz w:val="20"/>
                <w:szCs w:val="20"/>
              </w:rPr>
              <w:t>1,594.1</w:t>
            </w:r>
          </w:p>
        </w:tc>
        <w:tc>
          <w:tcPr>
            <w:tcW w:w="50" w:type="pct"/>
            <w:shd w:val="clear" w:color="auto" w:fill="CCEEFF"/>
            <w:vAlign w:val="bottom"/>
            <w:hideMark/>
          </w:tcPr>
          <w:p w14:paraId="38F36F6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05E29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D38835" w14:textId="77777777" w:rsidR="00000000" w:rsidRDefault="00322B3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81D5E1A" w14:textId="77777777" w:rsidR="00000000" w:rsidRDefault="00322B34">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14:paraId="59AFE73B" w14:textId="77777777" w:rsidR="00000000" w:rsidRDefault="00322B3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C46AFD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D43959" w14:textId="77777777" w:rsidR="00000000" w:rsidRDefault="00322B34">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EA8E34C" w14:textId="77777777" w:rsidR="00000000" w:rsidRDefault="00322B34">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14:paraId="7024BDE3" w14:textId="77777777" w:rsidR="00000000" w:rsidRDefault="00322B34">
            <w:pPr>
              <w:rPr>
                <w:rFonts w:eastAsia="Times New Roman"/>
                <w:sz w:val="20"/>
                <w:szCs w:val="20"/>
              </w:rPr>
            </w:pPr>
            <w:r>
              <w:rPr>
                <w:rFonts w:eastAsia="Times New Roman"/>
                <w:b/>
                <w:bCs/>
                <w:sz w:val="20"/>
                <w:szCs w:val="20"/>
              </w:rPr>
              <w:t> </w:t>
            </w:r>
          </w:p>
        </w:tc>
      </w:tr>
    </w:tbl>
    <w:p w14:paraId="23544064" w14:textId="77777777" w:rsidR="00000000" w:rsidRDefault="00322B34">
      <w:pPr>
        <w:pStyle w:val="a3"/>
        <w:spacing w:before="0" w:beforeAutospacing="0" w:after="0" w:afterAutospacing="0"/>
        <w:jc w:val="both"/>
        <w:rPr>
          <w:sz w:val="20"/>
          <w:szCs w:val="20"/>
        </w:rPr>
      </w:pPr>
      <w:r>
        <w:rPr>
          <w:sz w:val="20"/>
          <w:szCs w:val="20"/>
        </w:rPr>
        <w:t> </w:t>
      </w:r>
    </w:p>
    <w:p w14:paraId="72371364" w14:textId="77777777" w:rsidR="00000000" w:rsidRDefault="00322B34">
      <w:pPr>
        <w:pStyle w:val="a3"/>
        <w:spacing w:before="0" w:beforeAutospacing="0" w:after="0" w:afterAutospacing="0"/>
        <w:jc w:val="both"/>
        <w:rPr>
          <w:sz w:val="20"/>
          <w:szCs w:val="20"/>
        </w:rPr>
      </w:pPr>
      <w:r>
        <w:rPr>
          <w:sz w:val="20"/>
          <w:szCs w:val="20"/>
        </w:rPr>
        <w:t>* Includes extension options</w:t>
      </w:r>
    </w:p>
    <w:p w14:paraId="45EFE614" w14:textId="77777777" w:rsidR="00000000" w:rsidRDefault="00322B34">
      <w:pPr>
        <w:pStyle w:val="a3"/>
        <w:spacing w:before="0" w:beforeAutospacing="0" w:after="0" w:afterAutospacing="0"/>
        <w:jc w:val="both"/>
        <w:rPr>
          <w:sz w:val="20"/>
          <w:szCs w:val="20"/>
        </w:rPr>
      </w:pPr>
      <w:r>
        <w:rPr>
          <w:sz w:val="20"/>
          <w:szCs w:val="20"/>
        </w:rPr>
        <w:t> </w:t>
      </w:r>
    </w:p>
    <w:p w14:paraId="1F5A65C2" w14:textId="77777777" w:rsidR="00000000" w:rsidRDefault="00322B34">
      <w:pPr>
        <w:pStyle w:val="a3"/>
        <w:spacing w:before="0" w:beforeAutospacing="0" w:after="0" w:afterAutospacing="0"/>
        <w:ind w:left="144" w:right="144" w:firstLine="360"/>
        <w:jc w:val="both"/>
        <w:rPr>
          <w:sz w:val="20"/>
          <w:szCs w:val="20"/>
        </w:rPr>
      </w:pPr>
      <w:r>
        <w:rPr>
          <w:sz w:val="20"/>
          <w:szCs w:val="20"/>
        </w:rPr>
        <w:t>The Company will continue to monitor the economic, financial, and social conditions resulting from the COVID-</w:t>
      </w:r>
      <w:r>
        <w:rPr>
          <w:rStyle w:val="a6"/>
          <w:sz w:val="20"/>
          <w:szCs w:val="20"/>
        </w:rPr>
        <w:t>19</w:t>
      </w:r>
      <w:r>
        <w:rPr>
          <w:sz w:val="20"/>
          <w:szCs w:val="20"/>
        </w:rPr>
        <w:t xml:space="preserve"> pandemic and will assess its joint venture portfolio for any impairment indicators.  If the Company has determine</w:t>
      </w:r>
      <w:r>
        <w:rPr>
          <w:sz w:val="20"/>
          <w:szCs w:val="20"/>
        </w:rPr>
        <w:t>d that any of its assets are impaired, the Company would be required to take impairment charges, and such amounts could be material.</w:t>
      </w:r>
    </w:p>
    <w:p w14:paraId="69FE8ACE" w14:textId="77777777" w:rsidR="00000000" w:rsidRDefault="00322B34">
      <w:pPr>
        <w:pStyle w:val="a3"/>
        <w:spacing w:before="0" w:beforeAutospacing="0" w:after="0" w:afterAutospacing="0"/>
        <w:rPr>
          <w:sz w:val="20"/>
          <w:szCs w:val="20"/>
        </w:rPr>
      </w:pPr>
      <w:r>
        <w:rPr>
          <w:sz w:val="20"/>
          <w:szCs w:val="20"/>
        </w:rPr>
        <w:t> </w:t>
      </w:r>
    </w:p>
    <w:p w14:paraId="651FFE0A" w14:textId="77777777" w:rsidR="00000000" w:rsidRDefault="00322B34">
      <w:pPr>
        <w:divId w:val="1537624897"/>
        <w:rPr>
          <w:rFonts w:eastAsia="Times New Roman"/>
          <w:sz w:val="20"/>
          <w:szCs w:val="20"/>
        </w:rPr>
      </w:pPr>
      <w:r>
        <w:rPr>
          <w:rFonts w:eastAsia="Times New Roman"/>
          <w:sz w:val="20"/>
          <w:szCs w:val="20"/>
        </w:rPr>
        <w:t xml:space="preserve">  </w:t>
      </w:r>
    </w:p>
    <w:p w14:paraId="1761B37B" w14:textId="77777777" w:rsidR="00000000" w:rsidRDefault="00322B34">
      <w:pPr>
        <w:pStyle w:val="a3"/>
        <w:spacing w:before="0" w:beforeAutospacing="0" w:after="0" w:afterAutospacing="0"/>
        <w:jc w:val="both"/>
        <w:rPr>
          <w:sz w:val="20"/>
          <w:szCs w:val="20"/>
        </w:rPr>
      </w:pPr>
      <w:r>
        <w:rPr>
          <w:rStyle w:val="a6"/>
          <w:sz w:val="20"/>
          <w:szCs w:val="20"/>
        </w:rPr>
        <w:t>5.</w:t>
      </w:r>
      <w:r>
        <w:rPr>
          <w:sz w:val="20"/>
          <w:szCs w:val="20"/>
        </w:rPr>
        <w:t xml:space="preserve"> </w:t>
      </w:r>
      <w:r>
        <w:rPr>
          <w:sz w:val="20"/>
          <w:szCs w:val="20"/>
          <w:u w:val="single"/>
        </w:rPr>
        <w:t>Other Real Estate Investments</w:t>
      </w:r>
    </w:p>
    <w:p w14:paraId="1A2F341A" w14:textId="77777777" w:rsidR="00000000" w:rsidRDefault="00322B34">
      <w:pPr>
        <w:pStyle w:val="a3"/>
        <w:spacing w:before="0" w:beforeAutospacing="0" w:after="0" w:afterAutospacing="0"/>
        <w:jc w:val="both"/>
        <w:rPr>
          <w:sz w:val="20"/>
          <w:szCs w:val="20"/>
        </w:rPr>
      </w:pPr>
      <w:r>
        <w:rPr>
          <w:sz w:val="20"/>
          <w:szCs w:val="20"/>
        </w:rPr>
        <w:t> </w:t>
      </w:r>
    </w:p>
    <w:p w14:paraId="1FEE88B0" w14:textId="77777777" w:rsidR="00000000" w:rsidRDefault="00322B34">
      <w:pPr>
        <w:pStyle w:val="a3"/>
        <w:spacing w:before="0" w:beforeAutospacing="0" w:after="0" w:afterAutospacing="0"/>
        <w:ind w:firstLine="360"/>
        <w:jc w:val="both"/>
        <w:rPr>
          <w:sz w:val="20"/>
          <w:szCs w:val="20"/>
        </w:rPr>
      </w:pPr>
      <w:r>
        <w:rPr>
          <w:sz w:val="20"/>
          <w:szCs w:val="20"/>
        </w:rPr>
        <w:t>The Company has provided capital to owners and developers of real estate properties</w:t>
      </w:r>
      <w:r>
        <w:rPr>
          <w:sz w:val="20"/>
          <w:szCs w:val="20"/>
        </w:rPr>
        <w:t xml:space="preserve"> through its Preferred Equity Program. The Company’s maximum exposure to losses associated with its preferred equity investments is primarily limited to its net investment. As of </w:t>
      </w:r>
      <w:r>
        <w:rPr>
          <w:rStyle w:val="a6"/>
          <w:sz w:val="20"/>
          <w:szCs w:val="20"/>
        </w:rPr>
        <w:t xml:space="preserve">June 30, 2020, </w:t>
      </w:r>
      <w:r>
        <w:rPr>
          <w:sz w:val="20"/>
          <w:szCs w:val="20"/>
        </w:rPr>
        <w:t>the Company’s net investment under the Preferred Equity Progra</w:t>
      </w:r>
      <w:r>
        <w:rPr>
          <w:sz w:val="20"/>
          <w:szCs w:val="20"/>
        </w:rPr>
        <w:t xml:space="preserve">m was $157.3 million relating to 189 properties, including 179 net leased properties.  During the </w:t>
      </w:r>
      <w:r>
        <w:rPr>
          <w:rStyle w:val="a6"/>
          <w:sz w:val="20"/>
          <w:szCs w:val="20"/>
        </w:rPr>
        <w:t>six</w:t>
      </w:r>
      <w:r>
        <w:rPr>
          <w:sz w:val="20"/>
          <w:szCs w:val="20"/>
        </w:rPr>
        <w:t xml:space="preserve"> months ended </w:t>
      </w:r>
      <w:r>
        <w:rPr>
          <w:rStyle w:val="a6"/>
          <w:sz w:val="20"/>
          <w:szCs w:val="20"/>
        </w:rPr>
        <w:t xml:space="preserve">June 30, 2020, </w:t>
      </w:r>
      <w:r>
        <w:rPr>
          <w:sz w:val="20"/>
          <w:szCs w:val="20"/>
        </w:rPr>
        <w:t>the Company recognized income of $15.9 million from its preferred equity investments, including profit participation of $7.5 m</w:t>
      </w:r>
      <w:r>
        <w:rPr>
          <w:sz w:val="20"/>
          <w:szCs w:val="20"/>
        </w:rPr>
        <w:t xml:space="preserve">illion. During the </w:t>
      </w:r>
      <w:r>
        <w:rPr>
          <w:rStyle w:val="a6"/>
          <w:sz w:val="20"/>
          <w:szCs w:val="20"/>
        </w:rPr>
        <w:t>six</w:t>
      </w:r>
      <w:r>
        <w:rPr>
          <w:sz w:val="20"/>
          <w:szCs w:val="20"/>
        </w:rPr>
        <w:t xml:space="preserve"> months ended </w:t>
      </w:r>
      <w:r>
        <w:rPr>
          <w:rStyle w:val="a6"/>
          <w:sz w:val="20"/>
          <w:szCs w:val="20"/>
        </w:rPr>
        <w:t xml:space="preserve">June 30, 2019, </w:t>
      </w:r>
      <w:r>
        <w:rPr>
          <w:sz w:val="20"/>
          <w:szCs w:val="20"/>
        </w:rPr>
        <w:t>the Company recognized income of $19.5 million from its preferred equity investments, including profit participation of $9.8 million. These amounts are included in Equity in income of other real estate inv</w:t>
      </w:r>
      <w:r>
        <w:rPr>
          <w:sz w:val="20"/>
          <w:szCs w:val="20"/>
        </w:rPr>
        <w:t>estments, net on the Company’s Condensed Consolidated Statements of Income.</w:t>
      </w:r>
    </w:p>
    <w:p w14:paraId="1CFE871B" w14:textId="77777777" w:rsidR="00000000" w:rsidRDefault="00322B34">
      <w:pPr>
        <w:pStyle w:val="a3"/>
        <w:spacing w:before="0" w:beforeAutospacing="0" w:after="0" w:afterAutospacing="0"/>
        <w:ind w:firstLine="360"/>
        <w:jc w:val="both"/>
        <w:rPr>
          <w:sz w:val="20"/>
          <w:szCs w:val="20"/>
        </w:rPr>
      </w:pPr>
      <w:r>
        <w:rPr>
          <w:sz w:val="20"/>
          <w:szCs w:val="20"/>
        </w:rPr>
        <w:t> </w:t>
      </w:r>
    </w:p>
    <w:p w14:paraId="6B91CF01" w14:textId="77777777" w:rsidR="00000000" w:rsidRDefault="00322B34">
      <w:pPr>
        <w:divId w:val="297036410"/>
        <w:rPr>
          <w:rFonts w:eastAsia="Times New Roman"/>
          <w:sz w:val="20"/>
          <w:szCs w:val="20"/>
        </w:rPr>
      </w:pPr>
      <w:r>
        <w:rPr>
          <w:rFonts w:eastAsia="Times New Roman"/>
          <w:sz w:val="20"/>
          <w:szCs w:val="20"/>
        </w:rPr>
        <w:t xml:space="preserve">  </w:t>
      </w:r>
    </w:p>
    <w:p w14:paraId="53BF3C0B" w14:textId="77777777" w:rsidR="00000000" w:rsidRDefault="00322B34">
      <w:pPr>
        <w:pStyle w:val="a3"/>
        <w:spacing w:before="0" w:beforeAutospacing="0" w:after="0" w:afterAutospacing="0"/>
        <w:rPr>
          <w:sz w:val="20"/>
          <w:szCs w:val="20"/>
        </w:rPr>
      </w:pPr>
      <w:r>
        <w:rPr>
          <w:rStyle w:val="a6"/>
          <w:sz w:val="20"/>
          <w:szCs w:val="20"/>
        </w:rPr>
        <w:t>6.</w:t>
      </w:r>
      <w:r>
        <w:rPr>
          <w:sz w:val="20"/>
          <w:szCs w:val="20"/>
        </w:rPr>
        <w:t xml:space="preserve"> </w:t>
      </w:r>
      <w:r>
        <w:rPr>
          <w:sz w:val="20"/>
          <w:szCs w:val="20"/>
          <w:u w:val="single"/>
        </w:rPr>
        <w:t>Marketable Securities</w:t>
      </w:r>
    </w:p>
    <w:p w14:paraId="6A6F5460" w14:textId="77777777" w:rsidR="00000000" w:rsidRDefault="00322B34">
      <w:pPr>
        <w:pStyle w:val="a3"/>
        <w:spacing w:before="0" w:beforeAutospacing="0" w:after="0" w:afterAutospacing="0"/>
        <w:rPr>
          <w:sz w:val="20"/>
          <w:szCs w:val="20"/>
        </w:rPr>
      </w:pPr>
      <w:r>
        <w:rPr>
          <w:sz w:val="20"/>
          <w:szCs w:val="20"/>
        </w:rPr>
        <w:t> </w:t>
      </w:r>
    </w:p>
    <w:p w14:paraId="4C04D3AC" w14:textId="77777777" w:rsidR="00000000" w:rsidRDefault="00322B34">
      <w:pPr>
        <w:pStyle w:val="a3"/>
        <w:spacing w:before="0" w:beforeAutospacing="0" w:after="0" w:afterAutospacing="0"/>
        <w:ind w:firstLine="360"/>
        <w:jc w:val="both"/>
        <w:rPr>
          <w:sz w:val="20"/>
          <w:szCs w:val="20"/>
        </w:rPr>
      </w:pPr>
      <w:r>
        <w:rPr>
          <w:sz w:val="20"/>
          <w:szCs w:val="20"/>
        </w:rPr>
        <w:t xml:space="preserve">The amortized cost and unrealized gains/(losses), net of marketable securities as of </w:t>
      </w:r>
      <w:r>
        <w:rPr>
          <w:rStyle w:val="a6"/>
          <w:sz w:val="20"/>
          <w:szCs w:val="20"/>
        </w:rPr>
        <w:t xml:space="preserve">June 30, 2020 </w:t>
      </w:r>
      <w:r>
        <w:rPr>
          <w:sz w:val="20"/>
          <w:szCs w:val="20"/>
        </w:rPr>
        <w:t xml:space="preserve">and </w:t>
      </w:r>
      <w:r>
        <w:rPr>
          <w:rStyle w:val="a6"/>
          <w:sz w:val="20"/>
          <w:szCs w:val="20"/>
        </w:rPr>
        <w:t xml:space="preserve">December 31, 2019, </w:t>
      </w:r>
      <w:r>
        <w:rPr>
          <w:sz w:val="20"/>
          <w:szCs w:val="20"/>
        </w:rPr>
        <w:t>are as follows (in thousands):</w:t>
      </w:r>
    </w:p>
    <w:p w14:paraId="70393D6E" w14:textId="77777777" w:rsidR="00000000" w:rsidRDefault="00322B34">
      <w:pPr>
        <w:pStyle w:val="a3"/>
        <w:spacing w:before="0" w:beforeAutospacing="0" w:after="0" w:afterAutospacing="0"/>
        <w:rPr>
          <w:sz w:val="20"/>
          <w:szCs w:val="20"/>
        </w:rPr>
      </w:pPr>
      <w:r>
        <w:rPr>
          <w:sz w:val="20"/>
          <w:szCs w:val="20"/>
        </w:rPr>
        <w:t> </w:t>
      </w:r>
    </w:p>
    <w:tbl>
      <w:tblPr>
        <w:tblW w:w="4000" w:type="pct"/>
        <w:tblCellSpacing w:w="0" w:type="dxa"/>
        <w:tblInd w:w="900" w:type="dxa"/>
        <w:tblCellMar>
          <w:left w:w="0" w:type="dxa"/>
          <w:right w:w="0" w:type="dxa"/>
        </w:tblCellMar>
        <w:tblLook w:val="04A0" w:firstRow="1" w:lastRow="0" w:firstColumn="1" w:lastColumn="0" w:noHBand="0" w:noVBand="1"/>
      </w:tblPr>
      <w:tblGrid>
        <w:gridCol w:w="3576"/>
        <w:gridCol w:w="55"/>
        <w:gridCol w:w="100"/>
        <w:gridCol w:w="1318"/>
        <w:gridCol w:w="55"/>
        <w:gridCol w:w="55"/>
        <w:gridCol w:w="101"/>
        <w:gridCol w:w="1318"/>
        <w:gridCol w:w="67"/>
      </w:tblGrid>
      <w:tr w:rsidR="00000000" w14:paraId="155CAAC6" w14:textId="77777777">
        <w:trPr>
          <w:tblCellSpacing w:w="0" w:type="dxa"/>
        </w:trPr>
        <w:tc>
          <w:tcPr>
            <w:tcW w:w="2700" w:type="pct"/>
            <w:vAlign w:val="bottom"/>
            <w:hideMark/>
          </w:tcPr>
          <w:p w14:paraId="5EF69DE5"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36143AA0"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119DD33" w14:textId="77777777" w:rsidR="00000000" w:rsidRDefault="00322B34">
            <w:pPr>
              <w:pStyle w:val="a3"/>
              <w:spacing w:before="0" w:beforeAutospacing="0" w:after="0" w:afterAutospacing="0"/>
              <w:jc w:val="center"/>
              <w:rPr>
                <w:sz w:val="20"/>
                <w:szCs w:val="20"/>
              </w:rPr>
            </w:pPr>
            <w:r>
              <w:rPr>
                <w:b/>
                <w:bCs/>
                <w:sz w:val="20"/>
                <w:szCs w:val="20"/>
              </w:rPr>
              <w:t>As of June 30, 2020</w:t>
            </w:r>
          </w:p>
        </w:tc>
        <w:tc>
          <w:tcPr>
            <w:tcW w:w="50" w:type="pct"/>
            <w:tcMar>
              <w:top w:w="0" w:type="dxa"/>
              <w:left w:w="0" w:type="dxa"/>
              <w:bottom w:w="15" w:type="dxa"/>
              <w:right w:w="0" w:type="dxa"/>
            </w:tcMar>
            <w:vAlign w:val="bottom"/>
            <w:hideMark/>
          </w:tcPr>
          <w:p w14:paraId="1847B589"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120C119A"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40C09B3" w14:textId="77777777" w:rsidR="00000000" w:rsidRDefault="00322B34">
            <w:pPr>
              <w:pStyle w:val="a3"/>
              <w:spacing w:before="0" w:beforeAutospacing="0" w:after="0" w:afterAutospacing="0"/>
              <w:jc w:val="center"/>
              <w:rPr>
                <w:sz w:val="20"/>
                <w:szCs w:val="20"/>
              </w:rPr>
            </w:pPr>
            <w:r>
              <w:rPr>
                <w:b/>
                <w:bCs/>
                <w:sz w:val="20"/>
                <w:szCs w:val="20"/>
              </w:rPr>
              <w:t>As of December 31, 2019</w:t>
            </w:r>
          </w:p>
        </w:tc>
        <w:tc>
          <w:tcPr>
            <w:tcW w:w="50" w:type="pct"/>
            <w:tcMar>
              <w:top w:w="0" w:type="dxa"/>
              <w:left w:w="0" w:type="dxa"/>
              <w:bottom w:w="15" w:type="dxa"/>
              <w:right w:w="0" w:type="dxa"/>
            </w:tcMar>
            <w:vAlign w:val="bottom"/>
            <w:hideMark/>
          </w:tcPr>
          <w:p w14:paraId="0CDD002E" w14:textId="77777777" w:rsidR="00000000" w:rsidRDefault="00322B34">
            <w:pPr>
              <w:rPr>
                <w:rFonts w:eastAsia="Times New Roman"/>
                <w:sz w:val="20"/>
                <w:szCs w:val="20"/>
              </w:rPr>
            </w:pPr>
            <w:r>
              <w:rPr>
                <w:rFonts w:eastAsia="Times New Roman"/>
                <w:sz w:val="20"/>
                <w:szCs w:val="20"/>
              </w:rPr>
              <w:t> </w:t>
            </w:r>
          </w:p>
        </w:tc>
      </w:tr>
      <w:tr w:rsidR="00000000" w14:paraId="72B7C2F3" w14:textId="77777777">
        <w:trPr>
          <w:tblCellSpacing w:w="0" w:type="dxa"/>
        </w:trPr>
        <w:tc>
          <w:tcPr>
            <w:tcW w:w="2700" w:type="pct"/>
            <w:shd w:val="clear" w:color="auto" w:fill="CCEEFF"/>
            <w:vAlign w:val="bottom"/>
            <w:hideMark/>
          </w:tcPr>
          <w:p w14:paraId="1F101B0A" w14:textId="77777777" w:rsidR="00000000" w:rsidRDefault="00322B34">
            <w:pPr>
              <w:pStyle w:val="a3"/>
              <w:spacing w:before="0" w:beforeAutospacing="0" w:after="0" w:afterAutospacing="0"/>
              <w:rPr>
                <w:sz w:val="20"/>
                <w:szCs w:val="20"/>
              </w:rPr>
            </w:pPr>
            <w:r>
              <w:rPr>
                <w:sz w:val="20"/>
                <w:szCs w:val="20"/>
              </w:rPr>
              <w:t>Marketable securities:</w:t>
            </w:r>
          </w:p>
        </w:tc>
        <w:tc>
          <w:tcPr>
            <w:tcW w:w="50" w:type="pct"/>
            <w:shd w:val="clear" w:color="auto" w:fill="CCEEFF"/>
            <w:vAlign w:val="bottom"/>
            <w:hideMark/>
          </w:tcPr>
          <w:p w14:paraId="47EA0F7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5F66D2"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5BF88165" w14:textId="77777777" w:rsidR="00000000" w:rsidRDefault="00322B34">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14:paraId="6788EA5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91EB1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F5682B"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53A9E8AD" w14:textId="77777777" w:rsidR="00000000" w:rsidRDefault="00322B34">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14:paraId="38501163" w14:textId="77777777" w:rsidR="00000000" w:rsidRDefault="00322B34">
            <w:pPr>
              <w:rPr>
                <w:rFonts w:eastAsia="Times New Roman"/>
                <w:sz w:val="20"/>
                <w:szCs w:val="20"/>
              </w:rPr>
            </w:pPr>
            <w:r>
              <w:rPr>
                <w:rFonts w:eastAsia="Times New Roman"/>
                <w:sz w:val="20"/>
                <w:szCs w:val="20"/>
              </w:rPr>
              <w:t> </w:t>
            </w:r>
          </w:p>
        </w:tc>
      </w:tr>
      <w:tr w:rsidR="00000000" w14:paraId="6022FB0F" w14:textId="77777777">
        <w:trPr>
          <w:tblCellSpacing w:w="0" w:type="dxa"/>
        </w:trPr>
        <w:tc>
          <w:tcPr>
            <w:tcW w:w="2700" w:type="pct"/>
            <w:shd w:val="clear" w:color="auto" w:fill="FFFFFF"/>
            <w:vAlign w:val="bottom"/>
            <w:hideMark/>
          </w:tcPr>
          <w:p w14:paraId="0EBEE921" w14:textId="77777777" w:rsidR="00000000" w:rsidRDefault="00322B34">
            <w:pPr>
              <w:pStyle w:val="a3"/>
              <w:spacing w:before="0" w:beforeAutospacing="0" w:after="0" w:afterAutospacing="0"/>
              <w:ind w:left="180"/>
              <w:rPr>
                <w:sz w:val="20"/>
                <w:szCs w:val="20"/>
              </w:rPr>
            </w:pPr>
            <w:r>
              <w:rPr>
                <w:sz w:val="20"/>
                <w:szCs w:val="20"/>
              </w:rPr>
              <w:t>Amortized cost (1)</w:t>
            </w:r>
          </w:p>
        </w:tc>
        <w:tc>
          <w:tcPr>
            <w:tcW w:w="50" w:type="pct"/>
            <w:shd w:val="clear" w:color="auto" w:fill="FFFFFF"/>
            <w:vAlign w:val="bottom"/>
            <w:hideMark/>
          </w:tcPr>
          <w:p w14:paraId="4D024C6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3A458A" w14:textId="77777777" w:rsidR="00000000" w:rsidRDefault="00322B34">
            <w:pPr>
              <w:rPr>
                <w:rFonts w:eastAsia="Times New Roman"/>
                <w:sz w:val="20"/>
                <w:szCs w:val="20"/>
              </w:rPr>
            </w:pPr>
            <w:r>
              <w:rPr>
                <w:rFonts w:eastAsia="Times New Roman"/>
                <w:sz w:val="20"/>
                <w:szCs w:val="20"/>
              </w:rPr>
              <w:t>$</w:t>
            </w:r>
          </w:p>
        </w:tc>
        <w:tc>
          <w:tcPr>
            <w:tcW w:w="1000" w:type="pct"/>
            <w:shd w:val="clear" w:color="auto" w:fill="FFFFFF"/>
            <w:vAlign w:val="bottom"/>
            <w:hideMark/>
          </w:tcPr>
          <w:p w14:paraId="128AA078" w14:textId="77777777" w:rsidR="00000000" w:rsidRDefault="00322B34">
            <w:pPr>
              <w:jc w:val="right"/>
              <w:rPr>
                <w:rFonts w:eastAsia="Times New Roman"/>
                <w:sz w:val="20"/>
                <w:szCs w:val="20"/>
              </w:rPr>
            </w:pPr>
            <w:r>
              <w:rPr>
                <w:rFonts w:eastAsia="Times New Roman"/>
                <w:sz w:val="20"/>
                <w:szCs w:val="20"/>
              </w:rPr>
              <w:t>114,587</w:t>
            </w:r>
          </w:p>
        </w:tc>
        <w:tc>
          <w:tcPr>
            <w:tcW w:w="50" w:type="pct"/>
            <w:shd w:val="clear" w:color="auto" w:fill="FFFFFF"/>
            <w:vAlign w:val="bottom"/>
            <w:hideMark/>
          </w:tcPr>
          <w:p w14:paraId="6B3ACD4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E1BA5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B57EC7" w14:textId="77777777" w:rsidR="00000000" w:rsidRDefault="00322B34">
            <w:pPr>
              <w:rPr>
                <w:rFonts w:eastAsia="Times New Roman"/>
                <w:sz w:val="20"/>
                <w:szCs w:val="20"/>
              </w:rPr>
            </w:pPr>
            <w:r>
              <w:rPr>
                <w:rFonts w:eastAsia="Times New Roman"/>
                <w:sz w:val="20"/>
                <w:szCs w:val="20"/>
              </w:rPr>
              <w:t>$</w:t>
            </w:r>
          </w:p>
        </w:tc>
        <w:tc>
          <w:tcPr>
            <w:tcW w:w="1000" w:type="pct"/>
            <w:shd w:val="clear" w:color="auto" w:fill="FFFFFF"/>
            <w:vAlign w:val="bottom"/>
            <w:hideMark/>
          </w:tcPr>
          <w:p w14:paraId="14CD91D4" w14:textId="77777777" w:rsidR="00000000" w:rsidRDefault="00322B34">
            <w:pPr>
              <w:jc w:val="right"/>
              <w:rPr>
                <w:rFonts w:eastAsia="Times New Roman"/>
                <w:sz w:val="20"/>
                <w:szCs w:val="20"/>
              </w:rPr>
            </w:pPr>
            <w:r>
              <w:rPr>
                <w:rFonts w:eastAsia="Times New Roman"/>
                <w:sz w:val="20"/>
                <w:szCs w:val="20"/>
              </w:rPr>
              <w:t>12,064</w:t>
            </w:r>
          </w:p>
        </w:tc>
        <w:tc>
          <w:tcPr>
            <w:tcW w:w="50" w:type="pct"/>
            <w:shd w:val="clear" w:color="auto" w:fill="FFFFFF"/>
            <w:vAlign w:val="bottom"/>
            <w:hideMark/>
          </w:tcPr>
          <w:p w14:paraId="2D603D78" w14:textId="77777777" w:rsidR="00000000" w:rsidRDefault="00322B34">
            <w:pPr>
              <w:rPr>
                <w:rFonts w:eastAsia="Times New Roman"/>
                <w:sz w:val="20"/>
                <w:szCs w:val="20"/>
              </w:rPr>
            </w:pPr>
            <w:r>
              <w:rPr>
                <w:rFonts w:eastAsia="Times New Roman"/>
                <w:sz w:val="20"/>
                <w:szCs w:val="20"/>
              </w:rPr>
              <w:t> </w:t>
            </w:r>
          </w:p>
        </w:tc>
      </w:tr>
      <w:tr w:rsidR="00000000" w14:paraId="0195EF8E" w14:textId="77777777">
        <w:trPr>
          <w:tblCellSpacing w:w="0" w:type="dxa"/>
        </w:trPr>
        <w:tc>
          <w:tcPr>
            <w:tcW w:w="2700" w:type="pct"/>
            <w:shd w:val="clear" w:color="auto" w:fill="CCEEFF"/>
            <w:vAlign w:val="bottom"/>
            <w:hideMark/>
          </w:tcPr>
          <w:p w14:paraId="39065FD1" w14:textId="77777777" w:rsidR="00000000" w:rsidRDefault="00322B34">
            <w:pPr>
              <w:pStyle w:val="a3"/>
              <w:spacing w:before="0" w:beforeAutospacing="0" w:after="0" w:afterAutospacing="0"/>
              <w:ind w:left="180"/>
              <w:rPr>
                <w:sz w:val="20"/>
                <w:szCs w:val="20"/>
              </w:rPr>
            </w:pPr>
            <w:r>
              <w:rPr>
                <w:sz w:val="20"/>
                <w:szCs w:val="20"/>
              </w:rPr>
              <w:t>Unrealized gains/(losses), net (1)</w:t>
            </w:r>
          </w:p>
        </w:tc>
        <w:tc>
          <w:tcPr>
            <w:tcW w:w="50" w:type="pct"/>
            <w:shd w:val="clear" w:color="auto" w:fill="CCEEFF"/>
            <w:vAlign w:val="bottom"/>
            <w:hideMark/>
          </w:tcPr>
          <w:p w14:paraId="4496A7F2"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2B5D2A4" w14:textId="77777777" w:rsidR="00000000" w:rsidRDefault="00322B34">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vAlign w:val="bottom"/>
            <w:hideMark/>
          </w:tcPr>
          <w:p w14:paraId="745ED4B6" w14:textId="77777777" w:rsidR="00000000" w:rsidRDefault="00322B34">
            <w:pPr>
              <w:jc w:val="right"/>
              <w:rPr>
                <w:rFonts w:eastAsia="Times New Roman"/>
                <w:sz w:val="20"/>
                <w:szCs w:val="20"/>
              </w:rPr>
            </w:pPr>
            <w:r>
              <w:rPr>
                <w:rFonts w:eastAsia="Times New Roman"/>
                <w:sz w:val="20"/>
                <w:szCs w:val="20"/>
              </w:rPr>
              <w:t>518,964</w:t>
            </w:r>
          </w:p>
        </w:tc>
        <w:tc>
          <w:tcPr>
            <w:tcW w:w="50" w:type="pct"/>
            <w:shd w:val="clear" w:color="auto" w:fill="CCEEFF"/>
            <w:tcMar>
              <w:top w:w="0" w:type="dxa"/>
              <w:left w:w="0" w:type="dxa"/>
              <w:bottom w:w="15" w:type="dxa"/>
              <w:right w:w="0" w:type="dxa"/>
            </w:tcMar>
            <w:vAlign w:val="bottom"/>
            <w:hideMark/>
          </w:tcPr>
          <w:p w14:paraId="751342F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FD4A35"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614C7EB" w14:textId="77777777" w:rsidR="00000000" w:rsidRDefault="00322B34">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vAlign w:val="bottom"/>
            <w:hideMark/>
          </w:tcPr>
          <w:p w14:paraId="7646552A" w14:textId="77777777" w:rsidR="00000000" w:rsidRDefault="00322B34">
            <w:pPr>
              <w:jc w:val="right"/>
              <w:rPr>
                <w:rFonts w:eastAsia="Times New Roman"/>
                <w:sz w:val="20"/>
                <w:szCs w:val="20"/>
              </w:rPr>
            </w:pPr>
            <w:r>
              <w:rPr>
                <w:rFonts w:eastAsia="Times New Roman"/>
                <w:sz w:val="20"/>
                <w:szCs w:val="20"/>
              </w:rPr>
              <w:t>(2,711</w:t>
            </w:r>
          </w:p>
        </w:tc>
        <w:tc>
          <w:tcPr>
            <w:tcW w:w="50" w:type="pct"/>
            <w:shd w:val="clear" w:color="auto" w:fill="CCEEFF"/>
            <w:tcMar>
              <w:top w:w="0" w:type="dxa"/>
              <w:left w:w="0" w:type="dxa"/>
              <w:bottom w:w="15" w:type="dxa"/>
              <w:right w:w="0" w:type="dxa"/>
            </w:tcMar>
            <w:vAlign w:val="bottom"/>
            <w:hideMark/>
          </w:tcPr>
          <w:p w14:paraId="033E2173" w14:textId="77777777" w:rsidR="00000000" w:rsidRDefault="00322B34">
            <w:pPr>
              <w:rPr>
                <w:rFonts w:eastAsia="Times New Roman"/>
                <w:sz w:val="20"/>
                <w:szCs w:val="20"/>
              </w:rPr>
            </w:pPr>
            <w:r>
              <w:rPr>
                <w:rFonts w:eastAsia="Times New Roman"/>
                <w:sz w:val="20"/>
                <w:szCs w:val="20"/>
              </w:rPr>
              <w:t>)</w:t>
            </w:r>
          </w:p>
        </w:tc>
      </w:tr>
      <w:tr w:rsidR="00000000" w14:paraId="71E6FA02" w14:textId="77777777">
        <w:trPr>
          <w:tblCellSpacing w:w="0" w:type="dxa"/>
        </w:trPr>
        <w:tc>
          <w:tcPr>
            <w:tcW w:w="2700" w:type="pct"/>
            <w:shd w:val="clear" w:color="auto" w:fill="FFFFFF"/>
            <w:vAlign w:val="bottom"/>
            <w:hideMark/>
          </w:tcPr>
          <w:p w14:paraId="7013C598" w14:textId="77777777" w:rsidR="00000000" w:rsidRDefault="00322B34">
            <w:pPr>
              <w:pStyle w:val="a3"/>
              <w:spacing w:before="0" w:beforeAutospacing="0" w:after="0" w:afterAutospacing="0"/>
              <w:ind w:left="360"/>
              <w:rPr>
                <w:sz w:val="20"/>
                <w:szCs w:val="20"/>
              </w:rPr>
            </w:pPr>
            <w:r>
              <w:rPr>
                <w:sz w:val="20"/>
                <w:szCs w:val="20"/>
              </w:rPr>
              <w:t>Total fair value</w:t>
            </w:r>
          </w:p>
        </w:tc>
        <w:tc>
          <w:tcPr>
            <w:tcW w:w="50" w:type="pct"/>
            <w:shd w:val="clear" w:color="auto" w:fill="FFFFFF"/>
            <w:vAlign w:val="bottom"/>
            <w:hideMark/>
          </w:tcPr>
          <w:p w14:paraId="41905318"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8D0A8B1" w14:textId="77777777" w:rsidR="00000000" w:rsidRDefault="00322B34">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FFFFFF"/>
            <w:vAlign w:val="bottom"/>
            <w:hideMark/>
          </w:tcPr>
          <w:p w14:paraId="57E47A7F" w14:textId="77777777" w:rsidR="00000000" w:rsidRDefault="00322B34">
            <w:pPr>
              <w:jc w:val="right"/>
              <w:rPr>
                <w:rFonts w:eastAsia="Times New Roman"/>
                <w:sz w:val="20"/>
                <w:szCs w:val="20"/>
              </w:rPr>
            </w:pPr>
            <w:r>
              <w:rPr>
                <w:rFonts w:eastAsia="Times New Roman"/>
                <w:sz w:val="20"/>
                <w:szCs w:val="20"/>
              </w:rPr>
              <w:t>633,551</w:t>
            </w:r>
          </w:p>
        </w:tc>
        <w:tc>
          <w:tcPr>
            <w:tcW w:w="50" w:type="pct"/>
            <w:shd w:val="clear" w:color="auto" w:fill="FFFFFF"/>
            <w:tcMar>
              <w:top w:w="0" w:type="dxa"/>
              <w:left w:w="0" w:type="dxa"/>
              <w:bottom w:w="45" w:type="dxa"/>
              <w:right w:w="0" w:type="dxa"/>
            </w:tcMar>
            <w:vAlign w:val="bottom"/>
            <w:hideMark/>
          </w:tcPr>
          <w:p w14:paraId="733C3F1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4C3C5A"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CB42622" w14:textId="77777777" w:rsidR="00000000" w:rsidRDefault="00322B34">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FFFFFF"/>
            <w:vAlign w:val="bottom"/>
            <w:hideMark/>
          </w:tcPr>
          <w:p w14:paraId="1627AD3D" w14:textId="77777777" w:rsidR="00000000" w:rsidRDefault="00322B34">
            <w:pPr>
              <w:jc w:val="right"/>
              <w:rPr>
                <w:rFonts w:eastAsia="Times New Roman"/>
                <w:sz w:val="20"/>
                <w:szCs w:val="20"/>
              </w:rPr>
            </w:pPr>
            <w:r>
              <w:rPr>
                <w:rFonts w:eastAsia="Times New Roman"/>
                <w:sz w:val="20"/>
                <w:szCs w:val="20"/>
              </w:rPr>
              <w:t>9,353</w:t>
            </w:r>
          </w:p>
        </w:tc>
        <w:tc>
          <w:tcPr>
            <w:tcW w:w="50" w:type="pct"/>
            <w:shd w:val="clear" w:color="auto" w:fill="FFFFFF"/>
            <w:tcMar>
              <w:top w:w="0" w:type="dxa"/>
              <w:left w:w="0" w:type="dxa"/>
              <w:bottom w:w="45" w:type="dxa"/>
              <w:right w:w="0" w:type="dxa"/>
            </w:tcMar>
            <w:vAlign w:val="bottom"/>
            <w:hideMark/>
          </w:tcPr>
          <w:p w14:paraId="0B2DAA32" w14:textId="77777777" w:rsidR="00000000" w:rsidRDefault="00322B34">
            <w:pPr>
              <w:rPr>
                <w:rFonts w:eastAsia="Times New Roman"/>
                <w:sz w:val="20"/>
                <w:szCs w:val="20"/>
              </w:rPr>
            </w:pPr>
            <w:r>
              <w:rPr>
                <w:rFonts w:eastAsia="Times New Roman"/>
                <w:sz w:val="20"/>
                <w:szCs w:val="20"/>
              </w:rPr>
              <w:t> </w:t>
            </w:r>
          </w:p>
        </w:tc>
      </w:tr>
    </w:tbl>
    <w:p w14:paraId="45120142" w14:textId="77777777" w:rsidR="00000000" w:rsidRDefault="00322B3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5D07B15" w14:textId="77777777">
        <w:trPr>
          <w:tblCellSpacing w:w="0" w:type="dxa"/>
        </w:trPr>
        <w:tc>
          <w:tcPr>
            <w:tcW w:w="360" w:type="dxa"/>
            <w:vAlign w:val="center"/>
            <w:hideMark/>
          </w:tcPr>
          <w:p w14:paraId="5EC7156B" w14:textId="77777777" w:rsidR="00000000" w:rsidRDefault="00322B34">
            <w:pPr>
              <w:pStyle w:val="a3"/>
              <w:spacing w:before="0" w:beforeAutospacing="0" w:after="0" w:afterAutospacing="0"/>
              <w:rPr>
                <w:sz w:val="20"/>
                <w:szCs w:val="20"/>
              </w:rPr>
            </w:pPr>
            <w:r>
              <w:rPr>
                <w:sz w:val="20"/>
                <w:szCs w:val="20"/>
              </w:rPr>
              <w:t> </w:t>
            </w:r>
          </w:p>
        </w:tc>
        <w:tc>
          <w:tcPr>
            <w:tcW w:w="360" w:type="dxa"/>
            <w:hideMark/>
          </w:tcPr>
          <w:p w14:paraId="168D9EE9"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14:paraId="52161FD8" w14:textId="77777777" w:rsidR="00000000" w:rsidRDefault="00322B34">
            <w:pPr>
              <w:pStyle w:val="a3"/>
              <w:spacing w:before="0" w:beforeAutospacing="0" w:after="0" w:afterAutospacing="0"/>
              <w:jc w:val="both"/>
              <w:rPr>
                <w:sz w:val="20"/>
                <w:szCs w:val="20"/>
              </w:rPr>
            </w:pPr>
            <w:r>
              <w:rPr>
                <w:sz w:val="20"/>
                <w:szCs w:val="20"/>
              </w:rPr>
              <w:t>See Albertsons Companies, Inc. discussion below.</w:t>
            </w:r>
          </w:p>
        </w:tc>
      </w:tr>
    </w:tbl>
    <w:p w14:paraId="1A0EB7C3" w14:textId="77777777" w:rsidR="00000000" w:rsidRDefault="00322B34">
      <w:pPr>
        <w:pStyle w:val="a3"/>
        <w:spacing w:before="0" w:beforeAutospacing="0" w:after="0" w:afterAutospacing="0"/>
        <w:ind w:firstLine="360"/>
        <w:jc w:val="both"/>
        <w:rPr>
          <w:sz w:val="20"/>
          <w:szCs w:val="20"/>
        </w:rPr>
      </w:pPr>
      <w:r>
        <w:rPr>
          <w:sz w:val="20"/>
          <w:szCs w:val="20"/>
        </w:rPr>
        <w:t> </w:t>
      </w:r>
    </w:p>
    <w:p w14:paraId="41AC733B" w14:textId="77777777" w:rsidR="00000000" w:rsidRDefault="00322B34">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June 30, 2020 </w:t>
      </w:r>
      <w:r>
        <w:rPr>
          <w:sz w:val="20"/>
          <w:szCs w:val="20"/>
        </w:rPr>
        <w:t xml:space="preserve">and </w:t>
      </w:r>
      <w:r>
        <w:rPr>
          <w:rStyle w:val="a6"/>
          <w:sz w:val="20"/>
          <w:szCs w:val="20"/>
        </w:rPr>
        <w:t>2019,</w:t>
      </w:r>
      <w:r>
        <w:rPr>
          <w:sz w:val="20"/>
          <w:szCs w:val="20"/>
        </w:rPr>
        <w:t xml:space="preserve"> the net unrealized gains on marketable securities were $526.2 million and $0.1 </w:t>
      </w:r>
      <w:r>
        <w:rPr>
          <w:sz w:val="20"/>
          <w:szCs w:val="20"/>
        </w:rPr>
        <w:t xml:space="preserve">million, respectively. In addition, during the </w:t>
      </w:r>
      <w:r>
        <w:rPr>
          <w:rStyle w:val="a6"/>
          <w:sz w:val="20"/>
          <w:szCs w:val="20"/>
        </w:rPr>
        <w:t>six</w:t>
      </w:r>
      <w:r>
        <w:rPr>
          <w:sz w:val="20"/>
          <w:szCs w:val="20"/>
        </w:rPr>
        <w:t xml:space="preserve"> months ended </w:t>
      </w:r>
      <w:r>
        <w:rPr>
          <w:rStyle w:val="a6"/>
          <w:sz w:val="20"/>
          <w:szCs w:val="20"/>
        </w:rPr>
        <w:t xml:space="preserve">June 30, 2020 </w:t>
      </w:r>
      <w:r>
        <w:rPr>
          <w:sz w:val="20"/>
          <w:szCs w:val="20"/>
        </w:rPr>
        <w:t xml:space="preserve">and </w:t>
      </w:r>
      <w:r>
        <w:rPr>
          <w:rStyle w:val="a6"/>
          <w:sz w:val="20"/>
          <w:szCs w:val="20"/>
        </w:rPr>
        <w:t>2019,</w:t>
      </w:r>
      <w:r>
        <w:rPr>
          <w:sz w:val="20"/>
          <w:szCs w:val="20"/>
        </w:rPr>
        <w:t xml:space="preserve"> the net unrealized gains on marketable securities were $521.6 million and $1.6 million, respectively. These net unrealized gains are included in Gain on marketable secu</w:t>
      </w:r>
      <w:r>
        <w:rPr>
          <w:sz w:val="20"/>
          <w:szCs w:val="20"/>
        </w:rPr>
        <w:t xml:space="preserve">rities, net on the Company’s Condensed Consolidated Statements of Income. See Footnote </w:t>
      </w:r>
      <w:r>
        <w:rPr>
          <w:rStyle w:val="a6"/>
          <w:sz w:val="20"/>
          <w:szCs w:val="20"/>
        </w:rPr>
        <w:t>11</w:t>
      </w:r>
      <w:r>
        <w:rPr>
          <w:sz w:val="20"/>
          <w:szCs w:val="20"/>
        </w:rPr>
        <w:t xml:space="preserve"> to the Notes to the Company’s Condensed Consolidated Financial Statements for fair value disclosure.</w:t>
      </w:r>
    </w:p>
    <w:p w14:paraId="0FCD6B8A" w14:textId="77777777" w:rsidR="00000000" w:rsidRDefault="00322B34">
      <w:pPr>
        <w:pStyle w:val="a3"/>
        <w:spacing w:before="0" w:beforeAutospacing="0" w:after="0" w:afterAutospacing="0"/>
        <w:rPr>
          <w:sz w:val="20"/>
          <w:szCs w:val="20"/>
        </w:rPr>
      </w:pPr>
      <w:r>
        <w:rPr>
          <w:sz w:val="20"/>
          <w:szCs w:val="20"/>
        </w:rPr>
        <w:t> </w:t>
      </w:r>
    </w:p>
    <w:p w14:paraId="56A33D16" w14:textId="77777777" w:rsidR="00000000" w:rsidRDefault="00322B34">
      <w:pPr>
        <w:pStyle w:val="a3"/>
        <w:spacing w:before="0" w:beforeAutospacing="0" w:after="0" w:afterAutospacing="0"/>
        <w:rPr>
          <w:sz w:val="20"/>
          <w:szCs w:val="20"/>
        </w:rPr>
      </w:pPr>
      <w:r>
        <w:rPr>
          <w:i/>
          <w:iCs/>
          <w:sz w:val="20"/>
          <w:szCs w:val="20"/>
        </w:rPr>
        <w:t xml:space="preserve">Albertsons Companies, Inc. (“ACI”) – </w:t>
      </w:r>
    </w:p>
    <w:p w14:paraId="4F6B586C" w14:textId="77777777" w:rsidR="00000000" w:rsidRDefault="00322B34">
      <w:pPr>
        <w:pStyle w:val="a3"/>
        <w:spacing w:before="0" w:beforeAutospacing="0" w:after="0" w:afterAutospacing="0"/>
        <w:rPr>
          <w:sz w:val="20"/>
          <w:szCs w:val="20"/>
        </w:rPr>
      </w:pPr>
      <w:r>
        <w:rPr>
          <w:i/>
          <w:iCs/>
          <w:sz w:val="20"/>
          <w:szCs w:val="20"/>
        </w:rPr>
        <w:t> </w:t>
      </w:r>
    </w:p>
    <w:p w14:paraId="642C027F" w14:textId="77777777" w:rsidR="00000000" w:rsidRDefault="00322B34">
      <w:pPr>
        <w:pStyle w:val="a3"/>
        <w:spacing w:before="0" w:beforeAutospacing="0" w:after="0" w:afterAutospacing="0"/>
        <w:ind w:firstLine="360"/>
        <w:jc w:val="both"/>
        <w:rPr>
          <w:sz w:val="20"/>
          <w:szCs w:val="20"/>
        </w:rPr>
      </w:pPr>
      <w:r>
        <w:rPr>
          <w:sz w:val="20"/>
          <w:szCs w:val="20"/>
        </w:rPr>
        <w:t xml:space="preserve">The Company owned 9.29% of the common stock of ACI, </w:t>
      </w:r>
      <w:r>
        <w:rPr>
          <w:rStyle w:val="a6"/>
          <w:sz w:val="20"/>
          <w:szCs w:val="20"/>
        </w:rPr>
        <w:t>one</w:t>
      </w:r>
      <w:r>
        <w:rPr>
          <w:sz w:val="20"/>
          <w:szCs w:val="20"/>
        </w:rPr>
        <w:t xml:space="preserve"> of the largest food and drug retailers in the United States, and accounted for this $140.2 million investment on the cost method, which was included in Other assets on the Company’s Condensed Consolid</w:t>
      </w:r>
      <w:r>
        <w:rPr>
          <w:sz w:val="20"/>
          <w:szCs w:val="20"/>
        </w:rPr>
        <w:t xml:space="preserve">ated Balance Sheets. During the </w:t>
      </w:r>
      <w:r>
        <w:rPr>
          <w:rStyle w:val="a6"/>
          <w:sz w:val="20"/>
          <w:szCs w:val="20"/>
        </w:rPr>
        <w:t>six</w:t>
      </w:r>
      <w:r>
        <w:rPr>
          <w:sz w:val="20"/>
          <w:szCs w:val="20"/>
        </w:rPr>
        <w:t xml:space="preserve"> months ended </w:t>
      </w:r>
      <w:r>
        <w:rPr>
          <w:rStyle w:val="a6"/>
          <w:sz w:val="20"/>
          <w:szCs w:val="20"/>
        </w:rPr>
        <w:t xml:space="preserve">June 30, 2020, </w:t>
      </w:r>
      <w:r>
        <w:rPr>
          <w:sz w:val="20"/>
          <w:szCs w:val="20"/>
        </w:rPr>
        <w:t>ACI issued $1.75 billion of convertible preferred stock and used the net proceeds of $1.68 billion to repurchase approximately 17.5% of ACI’s common stock owned by its current shareholders. As</w:t>
      </w:r>
      <w:r>
        <w:rPr>
          <w:sz w:val="20"/>
          <w:szCs w:val="20"/>
        </w:rPr>
        <w:t xml:space="preserve"> a result of this transaction, the Company received net proceeds of $156.1 million, recognized a gain of $131.6 million, which is included in Gain on sale of cost method investment on the Company’s Condensed Consolidated Statements of Income and held a 7.5</w:t>
      </w:r>
      <w:r>
        <w:rPr>
          <w:sz w:val="20"/>
          <w:szCs w:val="20"/>
        </w:rPr>
        <w:t>% ownership interest in ACI.</w:t>
      </w:r>
    </w:p>
    <w:p w14:paraId="0768A51F" w14:textId="77777777" w:rsidR="00000000" w:rsidRDefault="00322B34">
      <w:pPr>
        <w:pStyle w:val="a3"/>
        <w:spacing w:before="0" w:beforeAutospacing="0" w:after="0" w:afterAutospacing="0"/>
        <w:ind w:firstLine="360"/>
        <w:jc w:val="both"/>
        <w:rPr>
          <w:sz w:val="20"/>
          <w:szCs w:val="20"/>
        </w:rPr>
      </w:pPr>
      <w:r>
        <w:rPr>
          <w:sz w:val="20"/>
          <w:szCs w:val="20"/>
        </w:rPr>
        <w:t> </w:t>
      </w:r>
    </w:p>
    <w:p w14:paraId="549347B7" w14:textId="77777777" w:rsidR="00000000" w:rsidRDefault="00322B34">
      <w:pPr>
        <w:jc w:val="center"/>
        <w:divId w:val="1697152220"/>
        <w:rPr>
          <w:rFonts w:eastAsia="Times New Roman"/>
          <w:sz w:val="20"/>
          <w:szCs w:val="20"/>
        </w:rPr>
      </w:pPr>
      <w:r>
        <w:rPr>
          <w:rStyle w:val="a6"/>
          <w:rFonts w:eastAsia="Times New Roman"/>
          <w:sz w:val="20"/>
          <w:szCs w:val="20"/>
        </w:rPr>
        <w:t>14</w:t>
      </w:r>
      <w:r>
        <w:rPr>
          <w:rFonts w:eastAsia="Times New Roman"/>
          <w:sz w:val="20"/>
          <w:szCs w:val="20"/>
        </w:rPr>
        <w:t xml:space="preserve"> </w:t>
      </w:r>
    </w:p>
    <w:p w14:paraId="31330CD3" w14:textId="77777777" w:rsidR="00000000" w:rsidRDefault="00322B34">
      <w:pPr>
        <w:rPr>
          <w:rFonts w:eastAsia="Times New Roman"/>
          <w:sz w:val="20"/>
          <w:szCs w:val="20"/>
        </w:rPr>
      </w:pPr>
      <w:r>
        <w:rPr>
          <w:rFonts w:eastAsia="Times New Roman"/>
          <w:sz w:val="20"/>
          <w:szCs w:val="20"/>
        </w:rPr>
        <w:pict w14:anchorId="68D036E6">
          <v:rect id="_x0000_i1042" style="width:415.3pt;height:1.5pt" o:hralign="center" o:hrstd="t" o:hrnoshade="t" o:hr="t" fillcolor="black" stroked="f"/>
        </w:pict>
      </w:r>
    </w:p>
    <w:p w14:paraId="0E7FD039" w14:textId="77777777" w:rsidR="00000000" w:rsidRDefault="00322B34">
      <w:pPr>
        <w:divId w:val="107677852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863DED1" w14:textId="77777777" w:rsidR="00000000" w:rsidRDefault="00322B34">
      <w:pPr>
        <w:rPr>
          <w:rFonts w:eastAsia="Times New Roman"/>
          <w:sz w:val="20"/>
          <w:szCs w:val="20"/>
        </w:rPr>
      </w:pPr>
      <w:r>
        <w:rPr>
          <w:rFonts w:eastAsia="Times New Roman"/>
          <w:sz w:val="20"/>
          <w:szCs w:val="20"/>
        </w:rPr>
        <w:t xml:space="preserve">  </w:t>
      </w:r>
    </w:p>
    <w:p w14:paraId="0A67D60A" w14:textId="77777777" w:rsidR="00000000" w:rsidRDefault="00322B34">
      <w:pPr>
        <w:pStyle w:val="a3"/>
        <w:spacing w:before="0" w:beforeAutospacing="0" w:after="0" w:afterAutospacing="0"/>
        <w:ind w:firstLine="360"/>
        <w:jc w:val="both"/>
        <w:rPr>
          <w:sz w:val="20"/>
          <w:szCs w:val="20"/>
        </w:rPr>
      </w:pPr>
      <w:r>
        <w:rPr>
          <w:sz w:val="20"/>
          <w:szCs w:val="20"/>
        </w:rPr>
        <w:t xml:space="preserve">On </w:t>
      </w:r>
      <w:r>
        <w:rPr>
          <w:rStyle w:val="a6"/>
          <w:sz w:val="20"/>
          <w:szCs w:val="20"/>
        </w:rPr>
        <w:t xml:space="preserve">June 25, 2020, </w:t>
      </w:r>
      <w:r>
        <w:rPr>
          <w:sz w:val="20"/>
          <w:szCs w:val="20"/>
        </w:rPr>
        <w:t>ACI announced its initial public offering of 50.0 million shares of its common stock had been priced at $16.00 per share. In connection with this transaction, the Company received net procee</w:t>
      </w:r>
      <w:r>
        <w:rPr>
          <w:sz w:val="20"/>
          <w:szCs w:val="20"/>
        </w:rPr>
        <w:t>ds of $71.4 million, net of fees, from the sale of 4.7 million common shares in ACI and recognized a gain of $59.2 million, which is included in Gain on sale of cost method investment on the Company’s Condensed Consolidated Statements of Income. The shares</w:t>
      </w:r>
      <w:r>
        <w:rPr>
          <w:sz w:val="20"/>
          <w:szCs w:val="20"/>
        </w:rPr>
        <w:t xml:space="preserve"> are now traded on the New York Stock Exchange (NYSE) under the symbol "ACI", which began trading as of </w:t>
      </w:r>
      <w:r>
        <w:rPr>
          <w:rStyle w:val="a6"/>
          <w:sz w:val="20"/>
          <w:szCs w:val="20"/>
        </w:rPr>
        <w:t xml:space="preserve">June 26, 2020. </w:t>
      </w:r>
      <w:r>
        <w:rPr>
          <w:sz w:val="20"/>
          <w:szCs w:val="20"/>
        </w:rPr>
        <w:t xml:space="preserve">As of </w:t>
      </w:r>
      <w:r>
        <w:rPr>
          <w:rStyle w:val="a6"/>
          <w:sz w:val="20"/>
          <w:szCs w:val="20"/>
        </w:rPr>
        <w:t xml:space="preserve">June 30, 2020, </w:t>
      </w:r>
      <w:r>
        <w:rPr>
          <w:sz w:val="20"/>
          <w:szCs w:val="20"/>
        </w:rPr>
        <w:t>the Company holds 39.8 million common shares in ACI which are accounted for as available-for-sale marketable securit</w:t>
      </w:r>
      <w:r>
        <w:rPr>
          <w:sz w:val="20"/>
          <w:szCs w:val="20"/>
        </w:rPr>
        <w:t xml:space="preserve">ies and are included in Marketable securities on the Company’s Condensed Consolidated Balance Sheets. As of </w:t>
      </w:r>
      <w:r>
        <w:rPr>
          <w:rStyle w:val="a6"/>
          <w:sz w:val="20"/>
          <w:szCs w:val="20"/>
        </w:rPr>
        <w:t xml:space="preserve">June 30, 2020, </w:t>
      </w:r>
      <w:r>
        <w:rPr>
          <w:sz w:val="20"/>
          <w:szCs w:val="20"/>
        </w:rPr>
        <w:t>the Company’s investment in ACI was $628.2 million, including a mark-to-market gain of $524.7 million.</w:t>
      </w:r>
    </w:p>
    <w:p w14:paraId="4C8AF681" w14:textId="77777777" w:rsidR="00000000" w:rsidRDefault="00322B34">
      <w:pPr>
        <w:pStyle w:val="a3"/>
        <w:spacing w:before="0" w:beforeAutospacing="0" w:after="0" w:afterAutospacing="0"/>
        <w:jc w:val="both"/>
        <w:rPr>
          <w:sz w:val="20"/>
          <w:szCs w:val="20"/>
        </w:rPr>
      </w:pPr>
      <w:r>
        <w:rPr>
          <w:sz w:val="20"/>
          <w:szCs w:val="20"/>
        </w:rPr>
        <w:t> </w:t>
      </w:r>
    </w:p>
    <w:p w14:paraId="0A1F8789" w14:textId="77777777" w:rsidR="00000000" w:rsidRDefault="00322B34">
      <w:pPr>
        <w:divId w:val="1448936564"/>
        <w:rPr>
          <w:rFonts w:eastAsia="Times New Roman"/>
          <w:sz w:val="20"/>
          <w:szCs w:val="20"/>
        </w:rPr>
      </w:pPr>
      <w:r>
        <w:rPr>
          <w:rFonts w:eastAsia="Times New Roman"/>
          <w:sz w:val="20"/>
          <w:szCs w:val="20"/>
        </w:rPr>
        <w:t xml:space="preserve">  </w:t>
      </w:r>
    </w:p>
    <w:p w14:paraId="769F4FFC" w14:textId="77777777" w:rsidR="00000000" w:rsidRDefault="00322B34">
      <w:pPr>
        <w:pStyle w:val="a3"/>
        <w:spacing w:before="0" w:beforeAutospacing="0" w:after="0" w:afterAutospacing="0"/>
        <w:jc w:val="both"/>
        <w:rPr>
          <w:sz w:val="20"/>
          <w:szCs w:val="20"/>
        </w:rPr>
      </w:pPr>
      <w:r>
        <w:rPr>
          <w:rStyle w:val="a6"/>
          <w:sz w:val="20"/>
          <w:szCs w:val="20"/>
        </w:rPr>
        <w:t>7.</w:t>
      </w:r>
      <w:r>
        <w:rPr>
          <w:sz w:val="20"/>
          <w:szCs w:val="20"/>
        </w:rPr>
        <w:t xml:space="preserve"> </w:t>
      </w:r>
      <w:r>
        <w:rPr>
          <w:sz w:val="20"/>
          <w:szCs w:val="20"/>
          <w:u w:val="single"/>
        </w:rPr>
        <w:t>Leases</w:t>
      </w:r>
    </w:p>
    <w:p w14:paraId="58CC5FBF" w14:textId="77777777" w:rsidR="00000000" w:rsidRDefault="00322B34">
      <w:pPr>
        <w:pStyle w:val="a3"/>
        <w:spacing w:before="0" w:beforeAutospacing="0" w:after="0" w:afterAutospacing="0"/>
        <w:jc w:val="both"/>
        <w:rPr>
          <w:sz w:val="20"/>
          <w:szCs w:val="20"/>
        </w:rPr>
      </w:pPr>
      <w:r>
        <w:rPr>
          <w:sz w:val="20"/>
          <w:szCs w:val="20"/>
        </w:rPr>
        <w:t> </w:t>
      </w:r>
    </w:p>
    <w:p w14:paraId="3381FD20" w14:textId="77777777" w:rsidR="00000000" w:rsidRDefault="00322B34">
      <w:pPr>
        <w:pStyle w:val="a3"/>
        <w:spacing w:before="0" w:beforeAutospacing="0" w:after="0" w:afterAutospacing="0"/>
        <w:jc w:val="both"/>
        <w:rPr>
          <w:sz w:val="20"/>
          <w:szCs w:val="20"/>
        </w:rPr>
      </w:pPr>
      <w:r>
        <w:rPr>
          <w:i/>
          <w:iCs/>
          <w:sz w:val="20"/>
          <w:szCs w:val="20"/>
        </w:rPr>
        <w:t>Lessor Leases</w:t>
      </w:r>
    </w:p>
    <w:p w14:paraId="1CD88D31" w14:textId="77777777" w:rsidR="00000000" w:rsidRDefault="00322B34">
      <w:pPr>
        <w:pStyle w:val="a3"/>
        <w:spacing w:before="0" w:beforeAutospacing="0" w:after="0" w:afterAutospacing="0"/>
        <w:jc w:val="both"/>
        <w:rPr>
          <w:sz w:val="20"/>
          <w:szCs w:val="20"/>
        </w:rPr>
      </w:pPr>
      <w:r>
        <w:rPr>
          <w:sz w:val="20"/>
          <w:szCs w:val="20"/>
        </w:rPr>
        <w:t> </w:t>
      </w:r>
    </w:p>
    <w:p w14:paraId="3AAD5F1A" w14:textId="77777777" w:rsidR="00000000" w:rsidRDefault="00322B34">
      <w:pPr>
        <w:pStyle w:val="a3"/>
        <w:spacing w:before="0" w:beforeAutospacing="0" w:after="0" w:afterAutospacing="0"/>
        <w:ind w:firstLine="360"/>
        <w:jc w:val="both"/>
        <w:rPr>
          <w:sz w:val="20"/>
          <w:szCs w:val="20"/>
        </w:rPr>
      </w:pPr>
      <w:r>
        <w:rPr>
          <w:sz w:val="20"/>
          <w:szCs w:val="20"/>
        </w:rPr>
        <w:t xml:space="preserve">The Company’s primary source of revenues are derived from lease agreements, which includes rental income and expense reimbursement. The Company’s lease income is comprised of minimum base rent, expense reimbursements, percentage rent, lease termination </w:t>
      </w:r>
      <w:r>
        <w:rPr>
          <w:sz w:val="20"/>
          <w:szCs w:val="20"/>
        </w:rPr>
        <w:t>fee income, ancillary income, amortization of above-market and below-market rent adjustments and straight-line rent adjustments.</w:t>
      </w:r>
    </w:p>
    <w:p w14:paraId="28263B2B" w14:textId="77777777" w:rsidR="00000000" w:rsidRDefault="00322B34">
      <w:pPr>
        <w:pStyle w:val="a3"/>
        <w:spacing w:before="0" w:beforeAutospacing="0" w:after="0" w:afterAutospacing="0"/>
        <w:ind w:firstLine="360"/>
        <w:jc w:val="both"/>
        <w:rPr>
          <w:sz w:val="20"/>
          <w:szCs w:val="20"/>
        </w:rPr>
      </w:pPr>
      <w:r>
        <w:rPr>
          <w:sz w:val="20"/>
          <w:szCs w:val="20"/>
        </w:rPr>
        <w:t> </w:t>
      </w:r>
    </w:p>
    <w:p w14:paraId="5DB8A87A" w14:textId="77777777" w:rsidR="00000000" w:rsidRDefault="00322B34">
      <w:pPr>
        <w:pStyle w:val="a3"/>
        <w:spacing w:before="0" w:beforeAutospacing="0" w:after="0" w:afterAutospacing="0"/>
        <w:ind w:firstLine="360"/>
        <w:jc w:val="both"/>
        <w:rPr>
          <w:sz w:val="20"/>
          <w:szCs w:val="20"/>
        </w:rPr>
      </w:pPr>
      <w:r>
        <w:rPr>
          <w:sz w:val="20"/>
          <w:szCs w:val="20"/>
        </w:rPr>
        <w:t>The disaggregation of the Company’s lease income, which is included in Revenue from rental properties on the Company’s Conden</w:t>
      </w:r>
      <w:r>
        <w:rPr>
          <w:sz w:val="20"/>
          <w:szCs w:val="20"/>
        </w:rPr>
        <w:t xml:space="preserve">sed Consolidated Statements of Income, as either fixed or variable lease income based on the criteria specified in ASC </w:t>
      </w:r>
      <w:r>
        <w:rPr>
          <w:rStyle w:val="a6"/>
          <w:sz w:val="20"/>
          <w:szCs w:val="20"/>
        </w:rPr>
        <w:t>842,</w:t>
      </w:r>
      <w:r>
        <w:rPr>
          <w:sz w:val="20"/>
          <w:szCs w:val="20"/>
        </w:rPr>
        <w:t xml:space="preserve"> for the </w:t>
      </w:r>
      <w:r>
        <w:rPr>
          <w:rStyle w:val="a6"/>
          <w:sz w:val="20"/>
          <w:szCs w:val="20"/>
        </w:rPr>
        <w:t>six</w:t>
      </w:r>
      <w:r>
        <w:rPr>
          <w:sz w:val="20"/>
          <w:szCs w:val="20"/>
        </w:rPr>
        <w:t xml:space="preserve"> months ended </w:t>
      </w:r>
      <w:r>
        <w:rPr>
          <w:rStyle w:val="a6"/>
          <w:sz w:val="20"/>
          <w:szCs w:val="20"/>
        </w:rPr>
        <w:t xml:space="preserve">June 30, 2020 </w:t>
      </w:r>
      <w:r>
        <w:rPr>
          <w:sz w:val="20"/>
          <w:szCs w:val="20"/>
        </w:rPr>
        <w:t xml:space="preserve">and </w:t>
      </w:r>
      <w:r>
        <w:rPr>
          <w:rStyle w:val="a6"/>
          <w:sz w:val="20"/>
          <w:szCs w:val="20"/>
        </w:rPr>
        <w:t>2019,</w:t>
      </w:r>
      <w:r>
        <w:rPr>
          <w:sz w:val="20"/>
          <w:szCs w:val="20"/>
        </w:rPr>
        <w:t xml:space="preserve"> is as follows (in thousands):</w:t>
      </w:r>
    </w:p>
    <w:p w14:paraId="10243195"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4000" w:type="pct"/>
        <w:tblCellSpacing w:w="0" w:type="dxa"/>
        <w:tblInd w:w="72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6E36F8B2" w14:textId="77777777">
        <w:trPr>
          <w:tblCellSpacing w:w="0" w:type="dxa"/>
        </w:trPr>
        <w:tc>
          <w:tcPr>
            <w:tcW w:w="0" w:type="auto"/>
            <w:vAlign w:val="bottom"/>
            <w:hideMark/>
          </w:tcPr>
          <w:p w14:paraId="578ECBC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C2BDF3E"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A201A79" w14:textId="77777777" w:rsidR="00000000" w:rsidRDefault="00322B34">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1CA482B4" w14:textId="77777777" w:rsidR="00000000" w:rsidRDefault="00322B34">
            <w:pPr>
              <w:rPr>
                <w:rFonts w:eastAsia="Times New Roman"/>
                <w:sz w:val="20"/>
                <w:szCs w:val="20"/>
              </w:rPr>
            </w:pPr>
            <w:r>
              <w:rPr>
                <w:rFonts w:eastAsia="Times New Roman"/>
                <w:sz w:val="20"/>
                <w:szCs w:val="20"/>
              </w:rPr>
              <w:t> </w:t>
            </w:r>
          </w:p>
        </w:tc>
      </w:tr>
      <w:tr w:rsidR="00000000" w14:paraId="3FB38211" w14:textId="77777777">
        <w:trPr>
          <w:tblCellSpacing w:w="0" w:type="dxa"/>
        </w:trPr>
        <w:tc>
          <w:tcPr>
            <w:tcW w:w="0" w:type="auto"/>
            <w:vAlign w:val="bottom"/>
            <w:hideMark/>
          </w:tcPr>
          <w:p w14:paraId="4DEFC58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27A2929"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389BE32"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765255C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FB10343"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4D7110F"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59B63F9E" w14:textId="77777777" w:rsidR="00000000" w:rsidRDefault="00322B34">
            <w:pPr>
              <w:rPr>
                <w:rFonts w:eastAsia="Times New Roman"/>
                <w:sz w:val="20"/>
                <w:szCs w:val="20"/>
              </w:rPr>
            </w:pPr>
            <w:r>
              <w:rPr>
                <w:rFonts w:eastAsia="Times New Roman"/>
                <w:sz w:val="20"/>
                <w:szCs w:val="20"/>
              </w:rPr>
              <w:t> </w:t>
            </w:r>
          </w:p>
        </w:tc>
      </w:tr>
      <w:tr w:rsidR="00000000" w14:paraId="2C1254D0" w14:textId="77777777">
        <w:trPr>
          <w:tblCellSpacing w:w="0" w:type="dxa"/>
        </w:trPr>
        <w:tc>
          <w:tcPr>
            <w:tcW w:w="3100" w:type="pct"/>
            <w:shd w:val="clear" w:color="auto" w:fill="CCEEFF"/>
            <w:vAlign w:val="bottom"/>
            <w:hideMark/>
          </w:tcPr>
          <w:p w14:paraId="64918EB4" w14:textId="77777777" w:rsidR="00000000" w:rsidRDefault="00322B34">
            <w:pPr>
              <w:pStyle w:val="a3"/>
              <w:spacing w:before="0" w:beforeAutospacing="0" w:after="0" w:afterAutospacing="0"/>
              <w:rPr>
                <w:sz w:val="20"/>
                <w:szCs w:val="20"/>
              </w:rPr>
            </w:pPr>
            <w:r>
              <w:rPr>
                <w:sz w:val="20"/>
                <w:szCs w:val="20"/>
              </w:rPr>
              <w:t>Lease income: </w:t>
            </w:r>
          </w:p>
        </w:tc>
        <w:tc>
          <w:tcPr>
            <w:tcW w:w="0" w:type="auto"/>
            <w:shd w:val="clear" w:color="auto" w:fill="CCEEFF"/>
            <w:vAlign w:val="bottom"/>
            <w:hideMark/>
          </w:tcPr>
          <w:p w14:paraId="3F1C890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C0974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781CD7" w14:textId="77777777" w:rsidR="00000000" w:rsidRDefault="00322B3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39F737B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21A95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6984F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1E807F" w14:textId="77777777" w:rsidR="00000000" w:rsidRDefault="00322B3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2E346BA5" w14:textId="77777777" w:rsidR="00000000" w:rsidRDefault="00322B34">
            <w:pPr>
              <w:rPr>
                <w:rFonts w:eastAsia="Times New Roman"/>
                <w:sz w:val="20"/>
                <w:szCs w:val="20"/>
              </w:rPr>
            </w:pPr>
            <w:r>
              <w:rPr>
                <w:rFonts w:eastAsia="Times New Roman"/>
                <w:sz w:val="20"/>
                <w:szCs w:val="20"/>
              </w:rPr>
              <w:t> </w:t>
            </w:r>
          </w:p>
        </w:tc>
      </w:tr>
      <w:tr w:rsidR="00000000" w14:paraId="1A136752" w14:textId="77777777">
        <w:trPr>
          <w:tblCellSpacing w:w="0" w:type="dxa"/>
        </w:trPr>
        <w:tc>
          <w:tcPr>
            <w:tcW w:w="0" w:type="auto"/>
            <w:shd w:val="clear" w:color="auto" w:fill="FFFFFF"/>
            <w:vAlign w:val="bottom"/>
            <w:hideMark/>
          </w:tcPr>
          <w:p w14:paraId="564C680F" w14:textId="77777777" w:rsidR="00000000" w:rsidRDefault="00322B34">
            <w:pPr>
              <w:pStyle w:val="a3"/>
              <w:spacing w:before="0" w:beforeAutospacing="0" w:after="0" w:afterAutospacing="0"/>
              <w:ind w:left="180"/>
              <w:rPr>
                <w:sz w:val="20"/>
                <w:szCs w:val="20"/>
              </w:rPr>
            </w:pPr>
            <w:r>
              <w:rPr>
                <w:sz w:val="20"/>
                <w:szCs w:val="20"/>
              </w:rPr>
              <w:t>Fixed lease income (1)</w:t>
            </w:r>
          </w:p>
        </w:tc>
        <w:tc>
          <w:tcPr>
            <w:tcW w:w="50" w:type="pct"/>
            <w:shd w:val="clear" w:color="auto" w:fill="FFFFFF"/>
            <w:vAlign w:val="bottom"/>
            <w:hideMark/>
          </w:tcPr>
          <w:p w14:paraId="4C40DFA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D06866" w14:textId="77777777" w:rsidR="00000000" w:rsidRDefault="00322B34">
            <w:pPr>
              <w:rPr>
                <w:rFonts w:eastAsia="Times New Roman"/>
                <w:sz w:val="20"/>
                <w:szCs w:val="20"/>
              </w:rPr>
            </w:pPr>
            <w:r>
              <w:rPr>
                <w:rFonts w:eastAsia="Times New Roman"/>
                <w:sz w:val="20"/>
                <w:szCs w:val="20"/>
              </w:rPr>
              <w:t>$</w:t>
            </w:r>
          </w:p>
        </w:tc>
        <w:tc>
          <w:tcPr>
            <w:tcW w:w="800" w:type="pct"/>
            <w:shd w:val="clear" w:color="auto" w:fill="FFFFFF"/>
            <w:vAlign w:val="bottom"/>
            <w:hideMark/>
          </w:tcPr>
          <w:p w14:paraId="2941F862" w14:textId="77777777" w:rsidR="00000000" w:rsidRDefault="00322B34">
            <w:pPr>
              <w:jc w:val="right"/>
              <w:rPr>
                <w:rFonts w:eastAsia="Times New Roman"/>
                <w:sz w:val="20"/>
                <w:szCs w:val="20"/>
              </w:rPr>
            </w:pPr>
            <w:r>
              <w:rPr>
                <w:rFonts w:eastAsia="Times New Roman"/>
                <w:sz w:val="20"/>
                <w:szCs w:val="20"/>
              </w:rPr>
              <w:t>393,423</w:t>
            </w:r>
          </w:p>
        </w:tc>
        <w:tc>
          <w:tcPr>
            <w:tcW w:w="50" w:type="pct"/>
            <w:shd w:val="clear" w:color="auto" w:fill="FFFFFF"/>
            <w:vAlign w:val="bottom"/>
            <w:hideMark/>
          </w:tcPr>
          <w:p w14:paraId="62E28DA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615FD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A78876" w14:textId="77777777" w:rsidR="00000000" w:rsidRDefault="00322B34">
            <w:pPr>
              <w:rPr>
                <w:rFonts w:eastAsia="Times New Roman"/>
                <w:sz w:val="20"/>
                <w:szCs w:val="20"/>
              </w:rPr>
            </w:pPr>
            <w:r>
              <w:rPr>
                <w:rFonts w:eastAsia="Times New Roman"/>
                <w:sz w:val="20"/>
                <w:szCs w:val="20"/>
              </w:rPr>
              <w:t>$</w:t>
            </w:r>
          </w:p>
        </w:tc>
        <w:tc>
          <w:tcPr>
            <w:tcW w:w="800" w:type="pct"/>
            <w:shd w:val="clear" w:color="auto" w:fill="FFFFFF"/>
            <w:vAlign w:val="bottom"/>
            <w:hideMark/>
          </w:tcPr>
          <w:p w14:paraId="482AF547" w14:textId="77777777" w:rsidR="00000000" w:rsidRDefault="00322B34">
            <w:pPr>
              <w:jc w:val="right"/>
              <w:rPr>
                <w:rFonts w:eastAsia="Times New Roman"/>
                <w:sz w:val="20"/>
                <w:szCs w:val="20"/>
              </w:rPr>
            </w:pPr>
            <w:r>
              <w:rPr>
                <w:rFonts w:eastAsia="Times New Roman"/>
                <w:sz w:val="20"/>
                <w:szCs w:val="20"/>
              </w:rPr>
              <w:t>430,618</w:t>
            </w:r>
          </w:p>
        </w:tc>
        <w:tc>
          <w:tcPr>
            <w:tcW w:w="50" w:type="pct"/>
            <w:shd w:val="clear" w:color="auto" w:fill="FFFFFF"/>
            <w:vAlign w:val="bottom"/>
            <w:hideMark/>
          </w:tcPr>
          <w:p w14:paraId="3310798A" w14:textId="77777777" w:rsidR="00000000" w:rsidRDefault="00322B34">
            <w:pPr>
              <w:rPr>
                <w:rFonts w:eastAsia="Times New Roman"/>
                <w:sz w:val="20"/>
                <w:szCs w:val="20"/>
              </w:rPr>
            </w:pPr>
            <w:r>
              <w:rPr>
                <w:rFonts w:eastAsia="Times New Roman"/>
                <w:sz w:val="20"/>
                <w:szCs w:val="20"/>
              </w:rPr>
              <w:t> </w:t>
            </w:r>
          </w:p>
        </w:tc>
      </w:tr>
      <w:tr w:rsidR="00000000" w14:paraId="6E68D714" w14:textId="77777777">
        <w:trPr>
          <w:tblCellSpacing w:w="0" w:type="dxa"/>
        </w:trPr>
        <w:tc>
          <w:tcPr>
            <w:tcW w:w="0" w:type="auto"/>
            <w:shd w:val="clear" w:color="auto" w:fill="CCEEFF"/>
            <w:vAlign w:val="bottom"/>
            <w:hideMark/>
          </w:tcPr>
          <w:p w14:paraId="756F7380" w14:textId="77777777" w:rsidR="00000000" w:rsidRDefault="00322B34">
            <w:pPr>
              <w:pStyle w:val="a3"/>
              <w:spacing w:before="0" w:beforeAutospacing="0" w:after="0" w:afterAutospacing="0"/>
              <w:ind w:left="180"/>
              <w:rPr>
                <w:sz w:val="20"/>
                <w:szCs w:val="20"/>
              </w:rPr>
            </w:pPr>
            <w:r>
              <w:rPr>
                <w:sz w:val="20"/>
                <w:szCs w:val="20"/>
              </w:rPr>
              <w:t>Variable lease income (2)</w:t>
            </w:r>
          </w:p>
        </w:tc>
        <w:tc>
          <w:tcPr>
            <w:tcW w:w="50" w:type="pct"/>
            <w:shd w:val="clear" w:color="auto" w:fill="CCEEFF"/>
            <w:vAlign w:val="bottom"/>
            <w:hideMark/>
          </w:tcPr>
          <w:p w14:paraId="4FAEF6F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45A9DE" w14:textId="77777777" w:rsidR="00000000" w:rsidRDefault="00322B3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9926358" w14:textId="77777777" w:rsidR="00000000" w:rsidRDefault="00322B34">
            <w:pPr>
              <w:jc w:val="right"/>
              <w:rPr>
                <w:rFonts w:eastAsia="Times New Roman"/>
                <w:sz w:val="20"/>
                <w:szCs w:val="20"/>
              </w:rPr>
            </w:pPr>
            <w:r>
              <w:rPr>
                <w:rFonts w:eastAsia="Times New Roman"/>
                <w:sz w:val="20"/>
                <w:szCs w:val="20"/>
              </w:rPr>
              <w:t>115,018</w:t>
            </w:r>
          </w:p>
        </w:tc>
        <w:tc>
          <w:tcPr>
            <w:tcW w:w="50" w:type="pct"/>
            <w:shd w:val="clear" w:color="auto" w:fill="CCEEFF"/>
            <w:vAlign w:val="bottom"/>
            <w:hideMark/>
          </w:tcPr>
          <w:p w14:paraId="3FF9FB9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349FE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E80E0F" w14:textId="77777777" w:rsidR="00000000" w:rsidRDefault="00322B3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E700986" w14:textId="77777777" w:rsidR="00000000" w:rsidRDefault="00322B34">
            <w:pPr>
              <w:jc w:val="right"/>
              <w:rPr>
                <w:rFonts w:eastAsia="Times New Roman"/>
                <w:sz w:val="20"/>
                <w:szCs w:val="20"/>
              </w:rPr>
            </w:pPr>
            <w:r>
              <w:rPr>
                <w:rFonts w:eastAsia="Times New Roman"/>
                <w:sz w:val="20"/>
                <w:szCs w:val="20"/>
              </w:rPr>
              <w:t>127,234</w:t>
            </w:r>
          </w:p>
        </w:tc>
        <w:tc>
          <w:tcPr>
            <w:tcW w:w="50" w:type="pct"/>
            <w:shd w:val="clear" w:color="auto" w:fill="CCEEFF"/>
            <w:vAlign w:val="bottom"/>
            <w:hideMark/>
          </w:tcPr>
          <w:p w14:paraId="0B2A3CBD" w14:textId="77777777" w:rsidR="00000000" w:rsidRDefault="00322B34">
            <w:pPr>
              <w:rPr>
                <w:rFonts w:eastAsia="Times New Roman"/>
                <w:sz w:val="20"/>
                <w:szCs w:val="20"/>
              </w:rPr>
            </w:pPr>
            <w:r>
              <w:rPr>
                <w:rFonts w:eastAsia="Times New Roman"/>
                <w:sz w:val="20"/>
                <w:szCs w:val="20"/>
              </w:rPr>
              <w:t> </w:t>
            </w:r>
          </w:p>
        </w:tc>
      </w:tr>
      <w:tr w:rsidR="00000000" w14:paraId="0D69F6CE" w14:textId="77777777">
        <w:trPr>
          <w:tblCellSpacing w:w="0" w:type="dxa"/>
        </w:trPr>
        <w:tc>
          <w:tcPr>
            <w:tcW w:w="0" w:type="auto"/>
            <w:shd w:val="clear" w:color="auto" w:fill="FFFFFF"/>
            <w:vAlign w:val="bottom"/>
            <w:hideMark/>
          </w:tcPr>
          <w:p w14:paraId="471011DA" w14:textId="77777777" w:rsidR="00000000" w:rsidRDefault="00322B34">
            <w:pPr>
              <w:pStyle w:val="a3"/>
              <w:spacing w:before="0" w:beforeAutospacing="0" w:after="0" w:afterAutospacing="0"/>
              <w:ind w:left="180"/>
              <w:rPr>
                <w:sz w:val="20"/>
                <w:szCs w:val="20"/>
              </w:rPr>
            </w:pPr>
            <w:r>
              <w:rPr>
                <w:sz w:val="20"/>
                <w:szCs w:val="20"/>
              </w:rPr>
              <w:t>Above-market and below-market leases amortization, net</w:t>
            </w:r>
          </w:p>
        </w:tc>
        <w:tc>
          <w:tcPr>
            <w:tcW w:w="50" w:type="pct"/>
            <w:shd w:val="clear" w:color="auto" w:fill="FFFFFF"/>
            <w:vAlign w:val="bottom"/>
            <w:hideMark/>
          </w:tcPr>
          <w:p w14:paraId="4E89AE23"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2EA5BAB" w14:textId="77777777" w:rsidR="00000000" w:rsidRDefault="00322B3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43CB78A0" w14:textId="77777777" w:rsidR="00000000" w:rsidRDefault="00322B34">
            <w:pPr>
              <w:jc w:val="right"/>
              <w:rPr>
                <w:rFonts w:eastAsia="Times New Roman"/>
                <w:sz w:val="20"/>
                <w:szCs w:val="20"/>
              </w:rPr>
            </w:pPr>
            <w:r>
              <w:rPr>
                <w:rFonts w:eastAsia="Times New Roman"/>
                <w:sz w:val="20"/>
                <w:szCs w:val="20"/>
              </w:rPr>
              <w:t>13,524</w:t>
            </w:r>
          </w:p>
        </w:tc>
        <w:tc>
          <w:tcPr>
            <w:tcW w:w="50" w:type="pct"/>
            <w:shd w:val="clear" w:color="auto" w:fill="FFFFFF"/>
            <w:tcMar>
              <w:top w:w="0" w:type="dxa"/>
              <w:left w:w="0" w:type="dxa"/>
              <w:bottom w:w="15" w:type="dxa"/>
              <w:right w:w="0" w:type="dxa"/>
            </w:tcMar>
            <w:vAlign w:val="bottom"/>
            <w:hideMark/>
          </w:tcPr>
          <w:p w14:paraId="6FDF733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5487DB"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7ECCC47" w14:textId="77777777" w:rsidR="00000000" w:rsidRDefault="00322B3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626592F6" w14:textId="77777777" w:rsidR="00000000" w:rsidRDefault="00322B34">
            <w:pPr>
              <w:jc w:val="right"/>
              <w:rPr>
                <w:rFonts w:eastAsia="Times New Roman"/>
                <w:sz w:val="20"/>
                <w:szCs w:val="20"/>
              </w:rPr>
            </w:pPr>
            <w:r>
              <w:rPr>
                <w:rFonts w:eastAsia="Times New Roman"/>
                <w:sz w:val="20"/>
                <w:szCs w:val="20"/>
              </w:rPr>
              <w:t>13,492</w:t>
            </w:r>
          </w:p>
        </w:tc>
        <w:tc>
          <w:tcPr>
            <w:tcW w:w="50" w:type="pct"/>
            <w:shd w:val="clear" w:color="auto" w:fill="FFFFFF"/>
            <w:tcMar>
              <w:top w:w="0" w:type="dxa"/>
              <w:left w:w="0" w:type="dxa"/>
              <w:bottom w:w="15" w:type="dxa"/>
              <w:right w:w="0" w:type="dxa"/>
            </w:tcMar>
            <w:vAlign w:val="bottom"/>
            <w:hideMark/>
          </w:tcPr>
          <w:p w14:paraId="6DC3D908" w14:textId="77777777" w:rsidR="00000000" w:rsidRDefault="00322B34">
            <w:pPr>
              <w:rPr>
                <w:rFonts w:eastAsia="Times New Roman"/>
                <w:sz w:val="20"/>
                <w:szCs w:val="20"/>
              </w:rPr>
            </w:pPr>
            <w:r>
              <w:rPr>
                <w:rFonts w:eastAsia="Times New Roman"/>
                <w:sz w:val="20"/>
                <w:szCs w:val="20"/>
              </w:rPr>
              <w:t> </w:t>
            </w:r>
          </w:p>
        </w:tc>
      </w:tr>
      <w:tr w:rsidR="00000000" w14:paraId="0210C94B" w14:textId="77777777">
        <w:trPr>
          <w:tblCellSpacing w:w="0" w:type="dxa"/>
        </w:trPr>
        <w:tc>
          <w:tcPr>
            <w:tcW w:w="0" w:type="auto"/>
            <w:shd w:val="clear" w:color="auto" w:fill="CCEEFF"/>
            <w:vAlign w:val="bottom"/>
            <w:hideMark/>
          </w:tcPr>
          <w:p w14:paraId="352DE9B8" w14:textId="77777777" w:rsidR="00000000" w:rsidRDefault="00322B34">
            <w:pPr>
              <w:pStyle w:val="a3"/>
              <w:spacing w:before="0" w:beforeAutospacing="0" w:after="0" w:afterAutospacing="0"/>
              <w:ind w:left="360"/>
              <w:rPr>
                <w:sz w:val="20"/>
                <w:szCs w:val="20"/>
              </w:rPr>
            </w:pPr>
            <w:r>
              <w:rPr>
                <w:sz w:val="20"/>
                <w:szCs w:val="20"/>
              </w:rPr>
              <w:t>Total lease income (3)</w:t>
            </w:r>
          </w:p>
        </w:tc>
        <w:tc>
          <w:tcPr>
            <w:tcW w:w="50" w:type="pct"/>
            <w:shd w:val="clear" w:color="auto" w:fill="CCEEFF"/>
            <w:vAlign w:val="bottom"/>
            <w:hideMark/>
          </w:tcPr>
          <w:p w14:paraId="3D6C0A1E"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4CCE54E" w14:textId="77777777" w:rsidR="00000000" w:rsidRDefault="00322B3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7385DB51" w14:textId="77777777" w:rsidR="00000000" w:rsidRDefault="00322B34">
            <w:pPr>
              <w:jc w:val="right"/>
              <w:rPr>
                <w:rFonts w:eastAsia="Times New Roman"/>
                <w:sz w:val="20"/>
                <w:szCs w:val="20"/>
              </w:rPr>
            </w:pPr>
            <w:r>
              <w:rPr>
                <w:rFonts w:eastAsia="Times New Roman"/>
                <w:sz w:val="20"/>
                <w:szCs w:val="20"/>
              </w:rPr>
              <w:t>521,965</w:t>
            </w:r>
          </w:p>
        </w:tc>
        <w:tc>
          <w:tcPr>
            <w:tcW w:w="50" w:type="pct"/>
            <w:shd w:val="clear" w:color="auto" w:fill="CCEEFF"/>
            <w:tcMar>
              <w:top w:w="0" w:type="dxa"/>
              <w:left w:w="0" w:type="dxa"/>
              <w:bottom w:w="45" w:type="dxa"/>
              <w:right w:w="0" w:type="dxa"/>
            </w:tcMar>
            <w:vAlign w:val="bottom"/>
            <w:hideMark/>
          </w:tcPr>
          <w:p w14:paraId="713BA78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972F61"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B015268" w14:textId="77777777" w:rsidR="00000000" w:rsidRDefault="00322B3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7CC36C7E" w14:textId="77777777" w:rsidR="00000000" w:rsidRDefault="00322B34">
            <w:pPr>
              <w:jc w:val="right"/>
              <w:rPr>
                <w:rFonts w:eastAsia="Times New Roman"/>
                <w:sz w:val="20"/>
                <w:szCs w:val="20"/>
              </w:rPr>
            </w:pPr>
            <w:r>
              <w:rPr>
                <w:rFonts w:eastAsia="Times New Roman"/>
                <w:sz w:val="20"/>
                <w:szCs w:val="20"/>
              </w:rPr>
              <w:t>571,344</w:t>
            </w:r>
          </w:p>
        </w:tc>
        <w:tc>
          <w:tcPr>
            <w:tcW w:w="50" w:type="pct"/>
            <w:shd w:val="clear" w:color="auto" w:fill="CCEEFF"/>
            <w:tcMar>
              <w:top w:w="0" w:type="dxa"/>
              <w:left w:w="0" w:type="dxa"/>
              <w:bottom w:w="45" w:type="dxa"/>
              <w:right w:w="0" w:type="dxa"/>
            </w:tcMar>
            <w:vAlign w:val="bottom"/>
            <w:hideMark/>
          </w:tcPr>
          <w:p w14:paraId="702622C5" w14:textId="77777777" w:rsidR="00000000" w:rsidRDefault="00322B34">
            <w:pPr>
              <w:rPr>
                <w:rFonts w:eastAsia="Times New Roman"/>
                <w:sz w:val="20"/>
                <w:szCs w:val="20"/>
              </w:rPr>
            </w:pPr>
            <w:r>
              <w:rPr>
                <w:rFonts w:eastAsia="Times New Roman"/>
                <w:sz w:val="20"/>
                <w:szCs w:val="20"/>
              </w:rPr>
              <w:t> </w:t>
            </w:r>
          </w:p>
        </w:tc>
      </w:tr>
    </w:tbl>
    <w:p w14:paraId="5907011C" w14:textId="77777777" w:rsidR="00000000" w:rsidRDefault="00322B3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00"/>
        <w:gridCol w:w="360"/>
        <w:gridCol w:w="7046"/>
      </w:tblGrid>
      <w:tr w:rsidR="00000000" w14:paraId="35713641" w14:textId="77777777">
        <w:trPr>
          <w:tblCellSpacing w:w="0" w:type="dxa"/>
        </w:trPr>
        <w:tc>
          <w:tcPr>
            <w:tcW w:w="900" w:type="dxa"/>
            <w:vAlign w:val="center"/>
            <w:hideMark/>
          </w:tcPr>
          <w:p w14:paraId="7CC27838" w14:textId="77777777" w:rsidR="00000000" w:rsidRDefault="00322B34">
            <w:pPr>
              <w:rPr>
                <w:rFonts w:eastAsia="Times New Roman"/>
                <w:sz w:val="20"/>
                <w:szCs w:val="20"/>
              </w:rPr>
            </w:pPr>
            <w:r>
              <w:rPr>
                <w:rFonts w:eastAsia="Times New Roman"/>
                <w:sz w:val="20"/>
                <w:szCs w:val="20"/>
              </w:rPr>
              <w:t> </w:t>
            </w:r>
          </w:p>
        </w:tc>
        <w:tc>
          <w:tcPr>
            <w:tcW w:w="360" w:type="dxa"/>
            <w:hideMark/>
          </w:tcPr>
          <w:p w14:paraId="4B8B0683"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14:paraId="2F85A755" w14:textId="77777777" w:rsidR="00000000" w:rsidRDefault="00322B34">
            <w:pPr>
              <w:rPr>
                <w:rFonts w:eastAsia="Times New Roman"/>
                <w:sz w:val="20"/>
                <w:szCs w:val="20"/>
              </w:rPr>
            </w:pPr>
            <w:r>
              <w:rPr>
                <w:rFonts w:eastAsia="Times New Roman"/>
                <w:sz w:val="20"/>
                <w:szCs w:val="20"/>
              </w:rPr>
              <w:t>Includes minimum base rents, expense reimbursements, ancillary income and straight-line rent adjustments.  </w:t>
            </w:r>
          </w:p>
        </w:tc>
      </w:tr>
    </w:tbl>
    <w:p w14:paraId="533B354D"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900"/>
        <w:gridCol w:w="360"/>
        <w:gridCol w:w="7046"/>
      </w:tblGrid>
      <w:tr w:rsidR="00000000" w14:paraId="216AEFAA" w14:textId="77777777">
        <w:trPr>
          <w:tblCellSpacing w:w="0" w:type="dxa"/>
        </w:trPr>
        <w:tc>
          <w:tcPr>
            <w:tcW w:w="900" w:type="dxa"/>
            <w:vAlign w:val="center"/>
            <w:hideMark/>
          </w:tcPr>
          <w:p w14:paraId="2178B513" w14:textId="77777777" w:rsidR="00000000" w:rsidRDefault="00322B34">
            <w:pPr>
              <w:rPr>
                <w:rFonts w:eastAsia="Times New Roman"/>
                <w:sz w:val="20"/>
                <w:szCs w:val="20"/>
              </w:rPr>
            </w:pPr>
            <w:r>
              <w:rPr>
                <w:rFonts w:eastAsia="Times New Roman"/>
                <w:sz w:val="20"/>
                <w:szCs w:val="20"/>
              </w:rPr>
              <w:t> </w:t>
            </w:r>
          </w:p>
        </w:tc>
        <w:tc>
          <w:tcPr>
            <w:tcW w:w="360" w:type="dxa"/>
            <w:hideMark/>
          </w:tcPr>
          <w:p w14:paraId="2EC7552C"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14:paraId="301B4676" w14:textId="77777777" w:rsidR="00000000" w:rsidRDefault="00322B34">
            <w:pPr>
              <w:rPr>
                <w:rFonts w:eastAsia="Times New Roman"/>
                <w:sz w:val="20"/>
                <w:szCs w:val="20"/>
              </w:rPr>
            </w:pPr>
            <w:r>
              <w:rPr>
                <w:rFonts w:eastAsia="Times New Roman"/>
                <w:sz w:val="20"/>
                <w:szCs w:val="20"/>
              </w:rPr>
              <w:t>Includes minimum base rents, expense reimbursements, percentage rent, lease termination fee income and ancillary income. </w:t>
            </w:r>
          </w:p>
        </w:tc>
      </w:tr>
    </w:tbl>
    <w:p w14:paraId="1E791B96"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900"/>
        <w:gridCol w:w="360"/>
        <w:gridCol w:w="7046"/>
      </w:tblGrid>
      <w:tr w:rsidR="00000000" w14:paraId="6908B55D" w14:textId="77777777">
        <w:trPr>
          <w:tblCellSpacing w:w="0" w:type="dxa"/>
        </w:trPr>
        <w:tc>
          <w:tcPr>
            <w:tcW w:w="900" w:type="dxa"/>
            <w:vAlign w:val="center"/>
            <w:hideMark/>
          </w:tcPr>
          <w:p w14:paraId="27240044" w14:textId="77777777" w:rsidR="00000000" w:rsidRDefault="00322B34">
            <w:pPr>
              <w:rPr>
                <w:rFonts w:eastAsia="Times New Roman"/>
                <w:sz w:val="20"/>
                <w:szCs w:val="20"/>
              </w:rPr>
            </w:pPr>
            <w:r>
              <w:rPr>
                <w:rFonts w:eastAsia="Times New Roman"/>
                <w:sz w:val="20"/>
                <w:szCs w:val="20"/>
              </w:rPr>
              <w:t> </w:t>
            </w:r>
          </w:p>
        </w:tc>
        <w:tc>
          <w:tcPr>
            <w:tcW w:w="360" w:type="dxa"/>
            <w:hideMark/>
          </w:tcPr>
          <w:p w14:paraId="2B2B0214"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3</w:t>
            </w:r>
            <w:r>
              <w:rPr>
                <w:sz w:val="20"/>
                <w:szCs w:val="20"/>
              </w:rPr>
              <w:t>)</w:t>
            </w:r>
          </w:p>
        </w:tc>
        <w:tc>
          <w:tcPr>
            <w:tcW w:w="0" w:type="auto"/>
            <w:hideMark/>
          </w:tcPr>
          <w:p w14:paraId="2BFB76C9" w14:textId="77777777" w:rsidR="00000000" w:rsidRDefault="00322B34">
            <w:pPr>
              <w:rPr>
                <w:rFonts w:eastAsia="Times New Roman"/>
                <w:sz w:val="20"/>
                <w:szCs w:val="20"/>
              </w:rPr>
            </w:pPr>
            <w:r>
              <w:rPr>
                <w:rFonts w:eastAsia="Times New Roman"/>
                <w:sz w:val="20"/>
                <w:szCs w:val="20"/>
              </w:rPr>
              <w:t xml:space="preserve">During the </w:t>
            </w:r>
            <w:r>
              <w:rPr>
                <w:rStyle w:val="a6"/>
                <w:rFonts w:eastAsia="Times New Roman"/>
                <w:sz w:val="20"/>
                <w:szCs w:val="20"/>
              </w:rPr>
              <w:t>six</w:t>
            </w:r>
            <w:r>
              <w:rPr>
                <w:rFonts w:eastAsia="Times New Roman"/>
                <w:sz w:val="20"/>
                <w:szCs w:val="20"/>
              </w:rPr>
              <w:t xml:space="preserve"> months ended </w:t>
            </w:r>
            <w:r>
              <w:rPr>
                <w:rStyle w:val="a6"/>
                <w:rFonts w:eastAsia="Times New Roman"/>
                <w:sz w:val="20"/>
                <w:szCs w:val="20"/>
              </w:rPr>
              <w:t xml:space="preserve">June 30, 2020, </w:t>
            </w:r>
            <w:r>
              <w:rPr>
                <w:rFonts w:eastAsia="Times New Roman"/>
                <w:sz w:val="20"/>
                <w:szCs w:val="20"/>
              </w:rPr>
              <w:t>the Company recorded a $50.5 million adjustment associated with potentially uncollectible revenues and disputed amounts, which includes $11.5 million for straight-line rent receivables, primarily attributable to t</w:t>
            </w:r>
            <w:r>
              <w:rPr>
                <w:rFonts w:eastAsia="Times New Roman"/>
                <w:sz w:val="20"/>
                <w:szCs w:val="20"/>
              </w:rPr>
              <w:t>he COVID-</w:t>
            </w:r>
            <w:r>
              <w:rPr>
                <w:rStyle w:val="a6"/>
                <w:rFonts w:eastAsia="Times New Roman"/>
                <w:sz w:val="20"/>
                <w:szCs w:val="20"/>
              </w:rPr>
              <w:t>19</w:t>
            </w:r>
            <w:r>
              <w:rPr>
                <w:rFonts w:eastAsia="Times New Roman"/>
                <w:sz w:val="20"/>
                <w:szCs w:val="20"/>
              </w:rPr>
              <w:t xml:space="preserve"> pandemic. </w:t>
            </w:r>
          </w:p>
        </w:tc>
      </w:tr>
    </w:tbl>
    <w:p w14:paraId="0E22A168" w14:textId="77777777" w:rsidR="00000000" w:rsidRDefault="00322B34">
      <w:pPr>
        <w:pStyle w:val="a3"/>
        <w:spacing w:before="0" w:beforeAutospacing="0" w:after="0" w:afterAutospacing="0"/>
        <w:jc w:val="both"/>
        <w:rPr>
          <w:sz w:val="20"/>
          <w:szCs w:val="20"/>
        </w:rPr>
      </w:pPr>
      <w:r>
        <w:rPr>
          <w:sz w:val="20"/>
          <w:szCs w:val="20"/>
        </w:rPr>
        <w:t> </w:t>
      </w:r>
    </w:p>
    <w:p w14:paraId="6196C67B" w14:textId="77777777" w:rsidR="00000000" w:rsidRDefault="00322B34">
      <w:pPr>
        <w:pStyle w:val="a3"/>
        <w:spacing w:before="0" w:beforeAutospacing="0" w:after="0" w:afterAutospacing="0"/>
        <w:jc w:val="both"/>
        <w:rPr>
          <w:sz w:val="20"/>
          <w:szCs w:val="20"/>
        </w:rPr>
      </w:pPr>
      <w:r>
        <w:rPr>
          <w:i/>
          <w:iCs/>
          <w:sz w:val="20"/>
          <w:szCs w:val="20"/>
        </w:rPr>
        <w:t>Lessee Leases</w:t>
      </w:r>
    </w:p>
    <w:p w14:paraId="70494342" w14:textId="77777777" w:rsidR="00000000" w:rsidRDefault="00322B34">
      <w:pPr>
        <w:pStyle w:val="a3"/>
        <w:spacing w:before="0" w:beforeAutospacing="0" w:after="0" w:afterAutospacing="0"/>
        <w:ind w:firstLine="360"/>
        <w:jc w:val="both"/>
        <w:rPr>
          <w:sz w:val="20"/>
          <w:szCs w:val="20"/>
        </w:rPr>
      </w:pPr>
      <w:r>
        <w:rPr>
          <w:sz w:val="20"/>
          <w:szCs w:val="20"/>
        </w:rPr>
        <w:t> </w:t>
      </w:r>
    </w:p>
    <w:p w14:paraId="45A62E5E" w14:textId="77777777" w:rsidR="00000000" w:rsidRDefault="00322B34">
      <w:pPr>
        <w:pStyle w:val="a3"/>
        <w:spacing w:before="0" w:beforeAutospacing="0" w:after="0" w:afterAutospacing="0"/>
        <w:ind w:firstLine="360"/>
        <w:jc w:val="both"/>
        <w:rPr>
          <w:sz w:val="20"/>
          <w:szCs w:val="20"/>
        </w:rPr>
      </w:pPr>
      <w:r>
        <w:rPr>
          <w:sz w:val="20"/>
          <w:szCs w:val="20"/>
        </w:rPr>
        <w:t>The Company currently leases real estate space under noncancelable operating lease agreements for ground leases and administrative office leases. The Company’s leases have remaining lease terms ranging from less th</w:t>
      </w:r>
      <w:r>
        <w:rPr>
          <w:sz w:val="20"/>
          <w:szCs w:val="20"/>
        </w:rPr>
        <w:t>an</w:t>
      </w:r>
      <w:r>
        <w:rPr>
          <w:sz w:val="20"/>
          <w:szCs w:val="20"/>
        </w:rPr>
        <w:t xml:space="preserve"> </w:t>
      </w:r>
      <w:r>
        <w:rPr>
          <w:sz w:val="20"/>
          <w:szCs w:val="20"/>
        </w:rPr>
        <w:t>on</w:t>
      </w:r>
      <w:r>
        <w:rPr>
          <w:sz w:val="20"/>
          <w:szCs w:val="20"/>
        </w:rPr>
        <w:t>e</w:t>
      </w:r>
      <w:r>
        <w:rPr>
          <w:sz w:val="20"/>
          <w:szCs w:val="20"/>
        </w:rPr>
        <w:t xml:space="preserve"> year to 51.7 years, some of which include options to extend the terms for up to an additional 75 years. The Company does </w:t>
      </w:r>
      <w:r>
        <w:rPr>
          <w:rStyle w:val="a6"/>
          <w:sz w:val="20"/>
          <w:szCs w:val="20"/>
        </w:rPr>
        <w:t>not</w:t>
      </w:r>
      <w:r>
        <w:rPr>
          <w:sz w:val="20"/>
          <w:szCs w:val="20"/>
        </w:rPr>
        <w:t xml:space="preserve"> include any of its renewal options in its lease terms for calculating its lease liability as the renewal options allow the C</w:t>
      </w:r>
      <w:r>
        <w:rPr>
          <w:sz w:val="20"/>
          <w:szCs w:val="20"/>
        </w:rPr>
        <w:t xml:space="preserve">ompany to maintain operational flexibility, and the Company is </w:t>
      </w:r>
      <w:r>
        <w:rPr>
          <w:rStyle w:val="a6"/>
          <w:sz w:val="20"/>
          <w:szCs w:val="20"/>
        </w:rPr>
        <w:t>not</w:t>
      </w:r>
      <w:r>
        <w:rPr>
          <w:sz w:val="20"/>
          <w:szCs w:val="20"/>
        </w:rPr>
        <w:t xml:space="preserve"> reasonably certain it will exercise these renewal options at this time. The weighted average remaining non-cancelable lease term for the Company’s operating leases was 20.9 years at </w:t>
      </w:r>
      <w:r>
        <w:rPr>
          <w:rStyle w:val="a6"/>
          <w:sz w:val="20"/>
          <w:szCs w:val="20"/>
        </w:rPr>
        <w:t>June 30</w:t>
      </w:r>
      <w:r>
        <w:rPr>
          <w:rStyle w:val="a6"/>
          <w:sz w:val="20"/>
          <w:szCs w:val="20"/>
        </w:rPr>
        <w:t xml:space="preserve">, 2020. </w:t>
      </w:r>
      <w:r>
        <w:rPr>
          <w:sz w:val="20"/>
          <w:szCs w:val="20"/>
        </w:rPr>
        <w:t xml:space="preserve">The weighted average discount rate was 6.65% at </w:t>
      </w:r>
      <w:r>
        <w:rPr>
          <w:rStyle w:val="a6"/>
          <w:sz w:val="20"/>
          <w:szCs w:val="20"/>
        </w:rPr>
        <w:t xml:space="preserve">June 30, 2020. </w:t>
      </w:r>
      <w:r>
        <w:rPr>
          <w:sz w:val="20"/>
          <w:szCs w:val="20"/>
        </w:rPr>
        <w:t xml:space="preserve">The Company’s operating lease liabilities are determined based on the estimated present value of the Company’s minimum lease payments under its lease agreements. The discount rate used </w:t>
      </w:r>
      <w:r>
        <w:rPr>
          <w:sz w:val="20"/>
          <w:szCs w:val="20"/>
        </w:rPr>
        <w:t xml:space="preserve">to determine the lease liabilities is based on the estimated incremental borrowing rate on a lease by lease basis. When calculating the incremental borrowing rates, the Company utilized data from (i) its recent debt issuances, (ii) publicly available data </w:t>
      </w:r>
      <w:r>
        <w:rPr>
          <w:sz w:val="20"/>
          <w:szCs w:val="20"/>
        </w:rPr>
        <w:t xml:space="preserve">for instruments with similar characteristics, (iii) observable mortgage rates and (iv) unlevered property yields and discount rates. The Company then applied adjustments to account for considerations related to term and security that </w:t>
      </w:r>
      <w:r>
        <w:rPr>
          <w:rStyle w:val="a6"/>
          <w:sz w:val="20"/>
          <w:szCs w:val="20"/>
        </w:rPr>
        <w:t>may not</w:t>
      </w:r>
      <w:r>
        <w:rPr>
          <w:sz w:val="20"/>
          <w:szCs w:val="20"/>
        </w:rPr>
        <w:t xml:space="preserve"> be fully incor</w:t>
      </w:r>
      <w:r>
        <w:rPr>
          <w:sz w:val="20"/>
          <w:szCs w:val="20"/>
        </w:rPr>
        <w:t>porated by the data sets.</w:t>
      </w:r>
    </w:p>
    <w:p w14:paraId="134D9B80" w14:textId="77777777" w:rsidR="00000000" w:rsidRDefault="00322B34">
      <w:pPr>
        <w:pStyle w:val="a3"/>
        <w:spacing w:before="0" w:beforeAutospacing="0" w:after="0" w:afterAutospacing="0"/>
        <w:ind w:firstLine="360"/>
        <w:jc w:val="both"/>
        <w:rPr>
          <w:sz w:val="20"/>
          <w:szCs w:val="20"/>
        </w:rPr>
      </w:pPr>
      <w:r>
        <w:rPr>
          <w:sz w:val="20"/>
          <w:szCs w:val="20"/>
        </w:rPr>
        <w:t> </w:t>
      </w:r>
    </w:p>
    <w:p w14:paraId="23533EB1" w14:textId="77777777" w:rsidR="00000000" w:rsidRDefault="00322B34">
      <w:pPr>
        <w:pStyle w:val="a3"/>
        <w:spacing w:before="0" w:beforeAutospacing="0" w:after="0" w:afterAutospacing="0"/>
        <w:ind w:firstLine="360"/>
        <w:jc w:val="both"/>
        <w:rPr>
          <w:sz w:val="20"/>
          <w:szCs w:val="20"/>
        </w:rPr>
      </w:pPr>
      <w:r>
        <w:rPr>
          <w:sz w:val="20"/>
          <w:szCs w:val="20"/>
        </w:rPr>
        <w:t xml:space="preserve">The components of the Company’s lease expense, which are included in rent expense and general and administrative expense on the Company’s Condensed Consolidated Statements of Income for the </w:t>
      </w:r>
      <w:r>
        <w:rPr>
          <w:rStyle w:val="a6"/>
          <w:sz w:val="20"/>
          <w:szCs w:val="20"/>
        </w:rPr>
        <w:t>six</w:t>
      </w:r>
      <w:r>
        <w:rPr>
          <w:sz w:val="20"/>
          <w:szCs w:val="20"/>
        </w:rPr>
        <w:t xml:space="preserve"> months ended </w:t>
      </w:r>
      <w:r>
        <w:rPr>
          <w:rStyle w:val="a6"/>
          <w:sz w:val="20"/>
          <w:szCs w:val="20"/>
        </w:rPr>
        <w:t xml:space="preserve">June 30, 2020 </w:t>
      </w:r>
      <w:r>
        <w:rPr>
          <w:sz w:val="20"/>
          <w:szCs w:val="20"/>
        </w:rPr>
        <w:t xml:space="preserve">and </w:t>
      </w:r>
      <w:r>
        <w:rPr>
          <w:rStyle w:val="a6"/>
          <w:sz w:val="20"/>
          <w:szCs w:val="20"/>
        </w:rPr>
        <w:t>201</w:t>
      </w:r>
      <w:r>
        <w:rPr>
          <w:rStyle w:val="a6"/>
          <w:sz w:val="20"/>
          <w:szCs w:val="20"/>
        </w:rPr>
        <w:t>9,</w:t>
      </w:r>
      <w:r>
        <w:rPr>
          <w:sz w:val="20"/>
          <w:szCs w:val="20"/>
        </w:rPr>
        <w:t xml:space="preserve"> were as follows (in thousands):</w:t>
      </w:r>
    </w:p>
    <w:p w14:paraId="4B98C0D3"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5C7B0CAA" w14:textId="77777777">
        <w:trPr>
          <w:tblCellSpacing w:w="0" w:type="dxa"/>
        </w:trPr>
        <w:tc>
          <w:tcPr>
            <w:tcW w:w="0" w:type="auto"/>
            <w:vAlign w:val="bottom"/>
            <w:hideMark/>
          </w:tcPr>
          <w:p w14:paraId="3E2A4528"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6ABD596"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92DD554" w14:textId="77777777" w:rsidR="00000000" w:rsidRDefault="00322B34">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2E5DB87B" w14:textId="77777777" w:rsidR="00000000" w:rsidRDefault="00322B34">
            <w:pPr>
              <w:rPr>
                <w:rFonts w:eastAsia="Times New Roman"/>
                <w:sz w:val="20"/>
                <w:szCs w:val="20"/>
              </w:rPr>
            </w:pPr>
            <w:r>
              <w:rPr>
                <w:rFonts w:eastAsia="Times New Roman"/>
                <w:sz w:val="20"/>
                <w:szCs w:val="20"/>
              </w:rPr>
              <w:t> </w:t>
            </w:r>
          </w:p>
        </w:tc>
      </w:tr>
      <w:tr w:rsidR="00000000" w14:paraId="09C864B6" w14:textId="77777777">
        <w:trPr>
          <w:tblCellSpacing w:w="0" w:type="dxa"/>
        </w:trPr>
        <w:tc>
          <w:tcPr>
            <w:tcW w:w="0" w:type="auto"/>
            <w:vAlign w:val="bottom"/>
            <w:hideMark/>
          </w:tcPr>
          <w:p w14:paraId="77A1C89F"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49A6710"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270887D"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3230D550"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67436DC"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3694368"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84BAA12" w14:textId="77777777" w:rsidR="00000000" w:rsidRDefault="00322B34">
            <w:pPr>
              <w:rPr>
                <w:rFonts w:eastAsia="Times New Roman"/>
                <w:sz w:val="20"/>
                <w:szCs w:val="20"/>
              </w:rPr>
            </w:pPr>
            <w:r>
              <w:rPr>
                <w:rFonts w:eastAsia="Times New Roman"/>
                <w:sz w:val="20"/>
                <w:szCs w:val="20"/>
              </w:rPr>
              <w:t> </w:t>
            </w:r>
          </w:p>
        </w:tc>
      </w:tr>
      <w:tr w:rsidR="00000000" w14:paraId="277DDBA2" w14:textId="77777777">
        <w:trPr>
          <w:tblCellSpacing w:w="0" w:type="dxa"/>
        </w:trPr>
        <w:tc>
          <w:tcPr>
            <w:tcW w:w="3100" w:type="pct"/>
            <w:shd w:val="clear" w:color="auto" w:fill="CCEEFF"/>
            <w:vAlign w:val="bottom"/>
            <w:hideMark/>
          </w:tcPr>
          <w:p w14:paraId="67CC4A72" w14:textId="77777777" w:rsidR="00000000" w:rsidRDefault="00322B34">
            <w:pPr>
              <w:pStyle w:val="a3"/>
              <w:spacing w:before="0" w:beforeAutospacing="0" w:after="0" w:afterAutospacing="0"/>
              <w:rPr>
                <w:sz w:val="20"/>
                <w:szCs w:val="20"/>
              </w:rPr>
            </w:pPr>
            <w:r>
              <w:rPr>
                <w:sz w:val="20"/>
                <w:szCs w:val="20"/>
              </w:rPr>
              <w:t>Lease cost:</w:t>
            </w:r>
          </w:p>
        </w:tc>
        <w:tc>
          <w:tcPr>
            <w:tcW w:w="0" w:type="auto"/>
            <w:shd w:val="clear" w:color="auto" w:fill="CCEEFF"/>
            <w:vAlign w:val="bottom"/>
            <w:hideMark/>
          </w:tcPr>
          <w:p w14:paraId="2350D75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6151C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8C570F" w14:textId="77777777" w:rsidR="00000000" w:rsidRDefault="00322B3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39F47A7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0A306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EF696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AAB496" w14:textId="77777777" w:rsidR="00000000" w:rsidRDefault="00322B3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06DEAC1F" w14:textId="77777777" w:rsidR="00000000" w:rsidRDefault="00322B34">
            <w:pPr>
              <w:rPr>
                <w:rFonts w:eastAsia="Times New Roman"/>
                <w:sz w:val="20"/>
                <w:szCs w:val="20"/>
              </w:rPr>
            </w:pPr>
            <w:r>
              <w:rPr>
                <w:rFonts w:eastAsia="Times New Roman"/>
                <w:sz w:val="20"/>
                <w:szCs w:val="20"/>
              </w:rPr>
              <w:t> </w:t>
            </w:r>
          </w:p>
        </w:tc>
      </w:tr>
      <w:tr w:rsidR="00000000" w14:paraId="05274021" w14:textId="77777777">
        <w:trPr>
          <w:tblCellSpacing w:w="0" w:type="dxa"/>
        </w:trPr>
        <w:tc>
          <w:tcPr>
            <w:tcW w:w="0" w:type="auto"/>
            <w:shd w:val="clear" w:color="auto" w:fill="FFFFFF"/>
            <w:vAlign w:val="bottom"/>
            <w:hideMark/>
          </w:tcPr>
          <w:p w14:paraId="225F9C70" w14:textId="77777777" w:rsidR="00000000" w:rsidRDefault="00322B34">
            <w:pPr>
              <w:pStyle w:val="a3"/>
              <w:spacing w:before="0" w:beforeAutospacing="0" w:after="0" w:afterAutospacing="0"/>
              <w:ind w:left="180"/>
              <w:rPr>
                <w:sz w:val="20"/>
                <w:szCs w:val="20"/>
              </w:rPr>
            </w:pPr>
            <w:r>
              <w:rPr>
                <w:sz w:val="20"/>
                <w:szCs w:val="20"/>
              </w:rPr>
              <w:t>Operating lease cost</w:t>
            </w:r>
          </w:p>
        </w:tc>
        <w:tc>
          <w:tcPr>
            <w:tcW w:w="50" w:type="pct"/>
            <w:shd w:val="clear" w:color="auto" w:fill="FFFFFF"/>
            <w:vAlign w:val="bottom"/>
            <w:hideMark/>
          </w:tcPr>
          <w:p w14:paraId="49012C3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09DDF2" w14:textId="77777777" w:rsidR="00000000" w:rsidRDefault="00322B34">
            <w:pPr>
              <w:rPr>
                <w:rFonts w:eastAsia="Times New Roman"/>
                <w:sz w:val="20"/>
                <w:szCs w:val="20"/>
              </w:rPr>
            </w:pPr>
            <w:r>
              <w:rPr>
                <w:rFonts w:eastAsia="Times New Roman"/>
                <w:sz w:val="20"/>
                <w:szCs w:val="20"/>
              </w:rPr>
              <w:t>$</w:t>
            </w:r>
          </w:p>
        </w:tc>
        <w:tc>
          <w:tcPr>
            <w:tcW w:w="800" w:type="pct"/>
            <w:shd w:val="clear" w:color="auto" w:fill="FFFFFF"/>
            <w:vAlign w:val="bottom"/>
            <w:hideMark/>
          </w:tcPr>
          <w:p w14:paraId="0E946DF3" w14:textId="77777777" w:rsidR="00000000" w:rsidRDefault="00322B34">
            <w:pPr>
              <w:jc w:val="right"/>
              <w:rPr>
                <w:rFonts w:eastAsia="Times New Roman"/>
                <w:sz w:val="20"/>
                <w:szCs w:val="20"/>
              </w:rPr>
            </w:pPr>
            <w:r>
              <w:rPr>
                <w:rFonts w:eastAsia="Times New Roman"/>
                <w:sz w:val="20"/>
                <w:szCs w:val="20"/>
              </w:rPr>
              <w:t>5,196</w:t>
            </w:r>
          </w:p>
        </w:tc>
        <w:tc>
          <w:tcPr>
            <w:tcW w:w="50" w:type="pct"/>
            <w:shd w:val="clear" w:color="auto" w:fill="FFFFFF"/>
            <w:vAlign w:val="bottom"/>
            <w:hideMark/>
          </w:tcPr>
          <w:p w14:paraId="6F4ABF5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9C6CE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0B18EA" w14:textId="77777777" w:rsidR="00000000" w:rsidRDefault="00322B34">
            <w:pPr>
              <w:rPr>
                <w:rFonts w:eastAsia="Times New Roman"/>
                <w:sz w:val="20"/>
                <w:szCs w:val="20"/>
              </w:rPr>
            </w:pPr>
            <w:r>
              <w:rPr>
                <w:rFonts w:eastAsia="Times New Roman"/>
                <w:sz w:val="20"/>
                <w:szCs w:val="20"/>
              </w:rPr>
              <w:t>$</w:t>
            </w:r>
          </w:p>
        </w:tc>
        <w:tc>
          <w:tcPr>
            <w:tcW w:w="800" w:type="pct"/>
            <w:shd w:val="clear" w:color="auto" w:fill="FFFFFF"/>
            <w:vAlign w:val="bottom"/>
            <w:hideMark/>
          </w:tcPr>
          <w:p w14:paraId="09C77C90" w14:textId="77777777" w:rsidR="00000000" w:rsidRDefault="00322B34">
            <w:pPr>
              <w:jc w:val="right"/>
              <w:rPr>
                <w:rFonts w:eastAsia="Times New Roman"/>
                <w:sz w:val="20"/>
                <w:szCs w:val="20"/>
              </w:rPr>
            </w:pPr>
            <w:r>
              <w:rPr>
                <w:rFonts w:eastAsia="Times New Roman"/>
                <w:sz w:val="20"/>
                <w:szCs w:val="20"/>
              </w:rPr>
              <w:t>6,557</w:t>
            </w:r>
          </w:p>
        </w:tc>
        <w:tc>
          <w:tcPr>
            <w:tcW w:w="50" w:type="pct"/>
            <w:shd w:val="clear" w:color="auto" w:fill="FFFFFF"/>
            <w:vAlign w:val="bottom"/>
            <w:hideMark/>
          </w:tcPr>
          <w:p w14:paraId="45025297" w14:textId="77777777" w:rsidR="00000000" w:rsidRDefault="00322B34">
            <w:pPr>
              <w:rPr>
                <w:rFonts w:eastAsia="Times New Roman"/>
                <w:sz w:val="20"/>
                <w:szCs w:val="20"/>
              </w:rPr>
            </w:pPr>
            <w:r>
              <w:rPr>
                <w:rFonts w:eastAsia="Times New Roman"/>
                <w:sz w:val="20"/>
                <w:szCs w:val="20"/>
              </w:rPr>
              <w:t> </w:t>
            </w:r>
          </w:p>
        </w:tc>
      </w:tr>
      <w:tr w:rsidR="00000000" w14:paraId="7067388B" w14:textId="77777777">
        <w:trPr>
          <w:tblCellSpacing w:w="0" w:type="dxa"/>
        </w:trPr>
        <w:tc>
          <w:tcPr>
            <w:tcW w:w="0" w:type="auto"/>
            <w:shd w:val="clear" w:color="auto" w:fill="CCEEFF"/>
            <w:vAlign w:val="bottom"/>
            <w:hideMark/>
          </w:tcPr>
          <w:p w14:paraId="4DD3DA39" w14:textId="77777777" w:rsidR="00000000" w:rsidRDefault="00322B34">
            <w:pPr>
              <w:pStyle w:val="a3"/>
              <w:spacing w:before="0" w:beforeAutospacing="0" w:after="0" w:afterAutospacing="0"/>
              <w:ind w:left="180"/>
              <w:rPr>
                <w:sz w:val="20"/>
                <w:szCs w:val="20"/>
              </w:rPr>
            </w:pPr>
            <w:r>
              <w:rPr>
                <w:sz w:val="20"/>
                <w:szCs w:val="20"/>
              </w:rPr>
              <w:t>Variable lease cost</w:t>
            </w:r>
          </w:p>
        </w:tc>
        <w:tc>
          <w:tcPr>
            <w:tcW w:w="50" w:type="pct"/>
            <w:shd w:val="clear" w:color="auto" w:fill="CCEEFF"/>
            <w:vAlign w:val="bottom"/>
            <w:hideMark/>
          </w:tcPr>
          <w:p w14:paraId="5367AB4D"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B2386B5" w14:textId="77777777" w:rsidR="00000000" w:rsidRDefault="00322B3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2CF3B083" w14:textId="77777777" w:rsidR="00000000" w:rsidRDefault="00322B34">
            <w:pPr>
              <w:jc w:val="right"/>
              <w:rPr>
                <w:rFonts w:eastAsia="Times New Roman"/>
                <w:sz w:val="20"/>
                <w:szCs w:val="20"/>
              </w:rPr>
            </w:pPr>
            <w:r>
              <w:rPr>
                <w:rFonts w:eastAsia="Times New Roman"/>
                <w:sz w:val="20"/>
                <w:szCs w:val="20"/>
              </w:rPr>
              <w:t>1,455</w:t>
            </w:r>
          </w:p>
        </w:tc>
        <w:tc>
          <w:tcPr>
            <w:tcW w:w="50" w:type="pct"/>
            <w:shd w:val="clear" w:color="auto" w:fill="CCEEFF"/>
            <w:tcMar>
              <w:top w:w="0" w:type="dxa"/>
              <w:left w:w="0" w:type="dxa"/>
              <w:bottom w:w="15" w:type="dxa"/>
              <w:right w:w="0" w:type="dxa"/>
            </w:tcMar>
            <w:vAlign w:val="bottom"/>
            <w:hideMark/>
          </w:tcPr>
          <w:p w14:paraId="1BC7548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019435"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C9F89B2" w14:textId="77777777" w:rsidR="00000000" w:rsidRDefault="00322B3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6F7266B3" w14:textId="77777777" w:rsidR="00000000" w:rsidRDefault="00322B34">
            <w:pPr>
              <w:jc w:val="right"/>
              <w:rPr>
                <w:rFonts w:eastAsia="Times New Roman"/>
                <w:sz w:val="20"/>
                <w:szCs w:val="20"/>
              </w:rPr>
            </w:pPr>
            <w:r>
              <w:rPr>
                <w:rFonts w:eastAsia="Times New Roman"/>
                <w:sz w:val="20"/>
                <w:szCs w:val="20"/>
              </w:rPr>
              <w:t>804</w:t>
            </w:r>
          </w:p>
        </w:tc>
        <w:tc>
          <w:tcPr>
            <w:tcW w:w="50" w:type="pct"/>
            <w:shd w:val="clear" w:color="auto" w:fill="CCEEFF"/>
            <w:tcMar>
              <w:top w:w="0" w:type="dxa"/>
              <w:left w:w="0" w:type="dxa"/>
              <w:bottom w:w="15" w:type="dxa"/>
              <w:right w:w="0" w:type="dxa"/>
            </w:tcMar>
            <w:vAlign w:val="bottom"/>
            <w:hideMark/>
          </w:tcPr>
          <w:p w14:paraId="12DAD698" w14:textId="77777777" w:rsidR="00000000" w:rsidRDefault="00322B34">
            <w:pPr>
              <w:rPr>
                <w:rFonts w:eastAsia="Times New Roman"/>
                <w:sz w:val="20"/>
                <w:szCs w:val="20"/>
              </w:rPr>
            </w:pPr>
            <w:r>
              <w:rPr>
                <w:rFonts w:eastAsia="Times New Roman"/>
                <w:sz w:val="20"/>
                <w:szCs w:val="20"/>
              </w:rPr>
              <w:t> </w:t>
            </w:r>
          </w:p>
        </w:tc>
      </w:tr>
      <w:tr w:rsidR="00000000" w14:paraId="0B13CFD6" w14:textId="77777777">
        <w:trPr>
          <w:tblCellSpacing w:w="0" w:type="dxa"/>
        </w:trPr>
        <w:tc>
          <w:tcPr>
            <w:tcW w:w="0" w:type="auto"/>
            <w:shd w:val="clear" w:color="auto" w:fill="FFFFFF"/>
            <w:vAlign w:val="bottom"/>
            <w:hideMark/>
          </w:tcPr>
          <w:p w14:paraId="42F11698" w14:textId="77777777" w:rsidR="00000000" w:rsidRDefault="00322B34">
            <w:pPr>
              <w:pStyle w:val="a3"/>
              <w:spacing w:before="0" w:beforeAutospacing="0" w:after="0" w:afterAutospacing="0"/>
              <w:ind w:left="360"/>
              <w:rPr>
                <w:sz w:val="20"/>
                <w:szCs w:val="20"/>
              </w:rPr>
            </w:pPr>
            <w:r>
              <w:rPr>
                <w:sz w:val="20"/>
                <w:szCs w:val="20"/>
              </w:rPr>
              <w:t>Total lease cost</w:t>
            </w:r>
          </w:p>
        </w:tc>
        <w:tc>
          <w:tcPr>
            <w:tcW w:w="50" w:type="pct"/>
            <w:shd w:val="clear" w:color="auto" w:fill="FFFFFF"/>
            <w:vAlign w:val="bottom"/>
            <w:hideMark/>
          </w:tcPr>
          <w:p w14:paraId="35FCA6DA"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899C6AC" w14:textId="77777777" w:rsidR="00000000" w:rsidRDefault="00322B3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7E678747" w14:textId="77777777" w:rsidR="00000000" w:rsidRDefault="00322B34">
            <w:pPr>
              <w:jc w:val="right"/>
              <w:rPr>
                <w:rFonts w:eastAsia="Times New Roman"/>
                <w:sz w:val="20"/>
                <w:szCs w:val="20"/>
              </w:rPr>
            </w:pPr>
            <w:r>
              <w:rPr>
                <w:rFonts w:eastAsia="Times New Roman"/>
                <w:sz w:val="20"/>
                <w:szCs w:val="20"/>
              </w:rPr>
              <w:t>6,651</w:t>
            </w:r>
          </w:p>
        </w:tc>
        <w:tc>
          <w:tcPr>
            <w:tcW w:w="50" w:type="pct"/>
            <w:shd w:val="clear" w:color="auto" w:fill="FFFFFF"/>
            <w:tcMar>
              <w:top w:w="0" w:type="dxa"/>
              <w:left w:w="0" w:type="dxa"/>
              <w:bottom w:w="45" w:type="dxa"/>
              <w:right w:w="0" w:type="dxa"/>
            </w:tcMar>
            <w:vAlign w:val="bottom"/>
            <w:hideMark/>
          </w:tcPr>
          <w:p w14:paraId="64BDA3F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48B151"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1C7682A" w14:textId="77777777" w:rsidR="00000000" w:rsidRDefault="00322B3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49F3D0C6" w14:textId="77777777" w:rsidR="00000000" w:rsidRDefault="00322B34">
            <w:pPr>
              <w:jc w:val="right"/>
              <w:rPr>
                <w:rFonts w:eastAsia="Times New Roman"/>
                <w:sz w:val="20"/>
                <w:szCs w:val="20"/>
              </w:rPr>
            </w:pPr>
            <w:r>
              <w:rPr>
                <w:rFonts w:eastAsia="Times New Roman"/>
                <w:sz w:val="20"/>
                <w:szCs w:val="20"/>
              </w:rPr>
              <w:t>7,361</w:t>
            </w:r>
          </w:p>
        </w:tc>
        <w:tc>
          <w:tcPr>
            <w:tcW w:w="50" w:type="pct"/>
            <w:shd w:val="clear" w:color="auto" w:fill="FFFFFF"/>
            <w:tcMar>
              <w:top w:w="0" w:type="dxa"/>
              <w:left w:w="0" w:type="dxa"/>
              <w:bottom w:w="45" w:type="dxa"/>
              <w:right w:w="0" w:type="dxa"/>
            </w:tcMar>
            <w:vAlign w:val="bottom"/>
            <w:hideMark/>
          </w:tcPr>
          <w:p w14:paraId="299D1AA4" w14:textId="77777777" w:rsidR="00000000" w:rsidRDefault="00322B34">
            <w:pPr>
              <w:rPr>
                <w:rFonts w:eastAsia="Times New Roman"/>
                <w:sz w:val="20"/>
                <w:szCs w:val="20"/>
              </w:rPr>
            </w:pPr>
            <w:r>
              <w:rPr>
                <w:rFonts w:eastAsia="Times New Roman"/>
                <w:sz w:val="20"/>
                <w:szCs w:val="20"/>
              </w:rPr>
              <w:t> </w:t>
            </w:r>
          </w:p>
        </w:tc>
      </w:tr>
    </w:tbl>
    <w:p w14:paraId="1218F872" w14:textId="77777777" w:rsidR="00000000" w:rsidRDefault="00322B34">
      <w:pPr>
        <w:pStyle w:val="a3"/>
        <w:spacing w:before="0" w:beforeAutospacing="0" w:after="0" w:afterAutospacing="0"/>
        <w:ind w:firstLine="360"/>
        <w:jc w:val="both"/>
        <w:rPr>
          <w:sz w:val="20"/>
          <w:szCs w:val="20"/>
        </w:rPr>
      </w:pPr>
      <w:r>
        <w:rPr>
          <w:sz w:val="20"/>
          <w:szCs w:val="20"/>
        </w:rPr>
        <w:t> </w:t>
      </w:r>
    </w:p>
    <w:p w14:paraId="62FFEDA0" w14:textId="77777777" w:rsidR="00000000" w:rsidRDefault="00322B34">
      <w:pPr>
        <w:jc w:val="center"/>
        <w:divId w:val="489103229"/>
        <w:rPr>
          <w:rFonts w:eastAsia="Times New Roman"/>
          <w:sz w:val="20"/>
          <w:szCs w:val="20"/>
        </w:rPr>
      </w:pPr>
      <w:r>
        <w:rPr>
          <w:rStyle w:val="a6"/>
          <w:rFonts w:eastAsia="Times New Roman"/>
          <w:sz w:val="20"/>
          <w:szCs w:val="20"/>
        </w:rPr>
        <w:t>15</w:t>
      </w:r>
      <w:r>
        <w:rPr>
          <w:rFonts w:eastAsia="Times New Roman"/>
          <w:sz w:val="20"/>
          <w:szCs w:val="20"/>
        </w:rPr>
        <w:t xml:space="preserve"> </w:t>
      </w:r>
    </w:p>
    <w:p w14:paraId="0F4C0685" w14:textId="77777777" w:rsidR="00000000" w:rsidRDefault="00322B34">
      <w:pPr>
        <w:rPr>
          <w:rFonts w:eastAsia="Times New Roman"/>
          <w:sz w:val="20"/>
          <w:szCs w:val="20"/>
        </w:rPr>
      </w:pPr>
      <w:r>
        <w:rPr>
          <w:rFonts w:eastAsia="Times New Roman"/>
          <w:sz w:val="20"/>
          <w:szCs w:val="20"/>
        </w:rPr>
        <w:pict w14:anchorId="16D6F17F">
          <v:rect id="_x0000_i1043" style="width:415.3pt;height:1.5pt" o:hralign="center" o:hrstd="t" o:hrnoshade="t" o:hr="t" fillcolor="black" stroked="f"/>
        </w:pict>
      </w:r>
    </w:p>
    <w:p w14:paraId="72A2C54D" w14:textId="77777777" w:rsidR="00000000" w:rsidRDefault="00322B34">
      <w:pPr>
        <w:divId w:val="274212108"/>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14:paraId="69780285" w14:textId="77777777" w:rsidR="00000000" w:rsidRDefault="00322B34">
      <w:pPr>
        <w:pStyle w:val="a3"/>
        <w:spacing w:before="0" w:beforeAutospacing="0" w:after="0" w:afterAutospacing="0"/>
        <w:rPr>
          <w:sz w:val="20"/>
          <w:szCs w:val="20"/>
        </w:rPr>
      </w:pPr>
      <w:r>
        <w:rPr>
          <w:sz w:val="20"/>
          <w:szCs w:val="20"/>
        </w:rPr>
        <w:t> </w:t>
      </w:r>
    </w:p>
    <w:p w14:paraId="3C05A9B8" w14:textId="77777777" w:rsidR="00000000" w:rsidRDefault="00322B34">
      <w:pPr>
        <w:divId w:val="1167787560"/>
        <w:rPr>
          <w:rFonts w:eastAsia="Times New Roman"/>
          <w:sz w:val="20"/>
          <w:szCs w:val="20"/>
        </w:rPr>
      </w:pPr>
      <w:r>
        <w:rPr>
          <w:rFonts w:eastAsia="Times New Roman"/>
          <w:sz w:val="20"/>
          <w:szCs w:val="20"/>
        </w:rPr>
        <w:t xml:space="preserve">  </w:t>
      </w:r>
    </w:p>
    <w:p w14:paraId="404CC5EB" w14:textId="77777777" w:rsidR="00000000" w:rsidRDefault="00322B34">
      <w:pPr>
        <w:pStyle w:val="a3"/>
        <w:spacing w:before="0" w:beforeAutospacing="0" w:after="0" w:afterAutospacing="0"/>
        <w:rPr>
          <w:sz w:val="20"/>
          <w:szCs w:val="20"/>
        </w:rPr>
      </w:pPr>
      <w:r>
        <w:rPr>
          <w:rStyle w:val="a6"/>
          <w:sz w:val="20"/>
          <w:szCs w:val="20"/>
        </w:rPr>
        <w:t>8.</w:t>
      </w:r>
      <w:r>
        <w:rPr>
          <w:sz w:val="20"/>
          <w:szCs w:val="20"/>
        </w:rPr>
        <w:t xml:space="preserve"> </w:t>
      </w:r>
      <w:r>
        <w:rPr>
          <w:sz w:val="20"/>
          <w:szCs w:val="20"/>
          <w:u w:val="single"/>
        </w:rPr>
        <w:t>Notes, Mortgages and Construction Loan Payable</w:t>
      </w:r>
    </w:p>
    <w:p w14:paraId="5C51AC8C" w14:textId="77777777" w:rsidR="00000000" w:rsidRDefault="00322B34">
      <w:pPr>
        <w:pStyle w:val="a3"/>
        <w:spacing w:before="0" w:beforeAutospacing="0" w:after="0" w:afterAutospacing="0"/>
        <w:jc w:val="both"/>
        <w:rPr>
          <w:sz w:val="20"/>
          <w:szCs w:val="20"/>
        </w:rPr>
      </w:pPr>
      <w:r>
        <w:rPr>
          <w:sz w:val="20"/>
          <w:szCs w:val="20"/>
        </w:rPr>
        <w:t> </w:t>
      </w:r>
    </w:p>
    <w:p w14:paraId="44557171" w14:textId="77777777" w:rsidR="00000000" w:rsidRDefault="00322B34">
      <w:pPr>
        <w:pStyle w:val="a3"/>
        <w:spacing w:before="0" w:beforeAutospacing="0" w:after="0" w:afterAutospacing="0"/>
        <w:jc w:val="both"/>
        <w:rPr>
          <w:sz w:val="20"/>
          <w:szCs w:val="20"/>
        </w:rPr>
      </w:pPr>
      <w:r>
        <w:rPr>
          <w:i/>
          <w:iCs/>
          <w:sz w:val="20"/>
          <w:szCs w:val="20"/>
        </w:rPr>
        <w:t xml:space="preserve">Notes Payable – </w:t>
      </w:r>
    </w:p>
    <w:p w14:paraId="1CEDDC30" w14:textId="77777777" w:rsidR="00000000" w:rsidRDefault="00322B34">
      <w:pPr>
        <w:pStyle w:val="a3"/>
        <w:spacing w:before="0" w:beforeAutospacing="0" w:after="0" w:afterAutospacing="0"/>
        <w:jc w:val="both"/>
        <w:rPr>
          <w:sz w:val="20"/>
          <w:szCs w:val="20"/>
        </w:rPr>
      </w:pPr>
      <w:r>
        <w:rPr>
          <w:sz w:val="20"/>
          <w:szCs w:val="20"/>
        </w:rPr>
        <w:t> </w:t>
      </w:r>
    </w:p>
    <w:p w14:paraId="6C24D2A2" w14:textId="77777777" w:rsidR="00000000" w:rsidRDefault="00322B34">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February 2020, </w:t>
      </w:r>
      <w:r>
        <w:rPr>
          <w:sz w:val="20"/>
          <w:szCs w:val="20"/>
        </w:rPr>
        <w:t>the Company obtained a new $2.0 billion unsecured revolving credit facility (the “Credit Facility”) with a group of banks, which replaced the Company’s exist</w:t>
      </w:r>
      <w:r>
        <w:rPr>
          <w:sz w:val="20"/>
          <w:szCs w:val="20"/>
        </w:rPr>
        <w:t xml:space="preserve">ing $2.25 billion unsecured revolving credit facility. The Credit Facility is scheduled to expire in </w:t>
      </w:r>
      <w:r>
        <w:rPr>
          <w:rStyle w:val="a6"/>
          <w:sz w:val="20"/>
          <w:szCs w:val="20"/>
        </w:rPr>
        <w:t xml:space="preserve">March 2024, </w:t>
      </w:r>
      <w:r>
        <w:rPr>
          <w:sz w:val="20"/>
          <w:szCs w:val="20"/>
        </w:rPr>
        <w:t xml:space="preserve">with </w:t>
      </w:r>
      <w:r>
        <w:rPr>
          <w:rStyle w:val="a6"/>
          <w:sz w:val="20"/>
          <w:szCs w:val="20"/>
        </w:rPr>
        <w:t>two</w:t>
      </w:r>
      <w:r>
        <w:rPr>
          <w:sz w:val="20"/>
          <w:szCs w:val="20"/>
        </w:rPr>
        <w:t xml:space="preserve"> additional </w:t>
      </w:r>
      <w:r>
        <w:rPr>
          <w:rStyle w:val="a6"/>
          <w:sz w:val="20"/>
          <w:szCs w:val="20"/>
        </w:rPr>
        <w:t>six</w:t>
      </w:r>
      <w:r>
        <w:rPr>
          <w:sz w:val="20"/>
          <w:szCs w:val="20"/>
        </w:rPr>
        <w:t xml:space="preserve">-month options to extend the maturity date, at the Company’s discretion, to </w:t>
      </w:r>
      <w:r>
        <w:rPr>
          <w:rStyle w:val="a6"/>
          <w:sz w:val="20"/>
          <w:szCs w:val="20"/>
        </w:rPr>
        <w:t xml:space="preserve">March 2025. </w:t>
      </w:r>
      <w:r>
        <w:rPr>
          <w:sz w:val="20"/>
          <w:szCs w:val="20"/>
        </w:rPr>
        <w:t>The Credit Facility, which accru</w:t>
      </w:r>
      <w:r>
        <w:rPr>
          <w:sz w:val="20"/>
          <w:szCs w:val="20"/>
        </w:rPr>
        <w:t xml:space="preserve">es interest at a rate of LIBOR plus 77.5 basis points (1.18% as of </w:t>
      </w:r>
      <w:r>
        <w:rPr>
          <w:rStyle w:val="a6"/>
          <w:sz w:val="20"/>
          <w:szCs w:val="20"/>
        </w:rPr>
        <w:t xml:space="preserve">June 30, 2020), </w:t>
      </w:r>
      <w:r>
        <w:rPr>
          <w:sz w:val="20"/>
          <w:szCs w:val="20"/>
        </w:rPr>
        <w:t>can be increased to $2.75 billion through an accordion feature. The Credit Facility is a green credit facility tied to climate actions, as described in the agreement. Upon a</w:t>
      </w:r>
      <w:r>
        <w:rPr>
          <w:sz w:val="20"/>
          <w:szCs w:val="20"/>
        </w:rPr>
        <w:t xml:space="preserve">chieving such climate actions, the rate on the Credit Facility is reduced by </w:t>
      </w:r>
      <w:r>
        <w:rPr>
          <w:rStyle w:val="a6"/>
          <w:sz w:val="20"/>
          <w:szCs w:val="20"/>
        </w:rPr>
        <w:t>1</w:t>
      </w:r>
      <w:r>
        <w:rPr>
          <w:sz w:val="20"/>
          <w:szCs w:val="20"/>
        </w:rPr>
        <w:t xml:space="preserve"> basis point. Pursuant to the terms of the Credit Facility, the Company, among other things, is subject to covenants requiring the maintenance of (i) maximum indebtedness ratios </w:t>
      </w:r>
      <w:r>
        <w:rPr>
          <w:sz w:val="20"/>
          <w:szCs w:val="20"/>
        </w:rPr>
        <w:t xml:space="preserve">and (ii) minimum interest and fixed charge coverage ratios. As of </w:t>
      </w:r>
      <w:r>
        <w:rPr>
          <w:rStyle w:val="a6"/>
          <w:sz w:val="20"/>
          <w:szCs w:val="20"/>
        </w:rPr>
        <w:t xml:space="preserve">June 30, 2020, </w:t>
      </w:r>
      <w:r>
        <w:rPr>
          <w:sz w:val="20"/>
          <w:szCs w:val="20"/>
        </w:rPr>
        <w:t>the Credit Facility had no outstanding balance and $0.3 million appropriated for letters of credit and the Company was in compliance with its covenants.</w:t>
      </w:r>
    </w:p>
    <w:p w14:paraId="5BB18FB4" w14:textId="77777777" w:rsidR="00000000" w:rsidRDefault="00322B34">
      <w:pPr>
        <w:pStyle w:val="a3"/>
        <w:spacing w:before="0" w:beforeAutospacing="0" w:after="0" w:afterAutospacing="0"/>
        <w:ind w:firstLine="360"/>
        <w:jc w:val="both"/>
        <w:rPr>
          <w:sz w:val="20"/>
          <w:szCs w:val="20"/>
        </w:rPr>
      </w:pPr>
      <w:r>
        <w:rPr>
          <w:sz w:val="20"/>
          <w:szCs w:val="20"/>
        </w:rPr>
        <w:t> </w:t>
      </w:r>
    </w:p>
    <w:p w14:paraId="45E2DA29" w14:textId="77777777" w:rsidR="00000000" w:rsidRDefault="00322B34">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April 2020, </w:t>
      </w:r>
      <w:r>
        <w:rPr>
          <w:sz w:val="20"/>
          <w:szCs w:val="20"/>
        </w:rPr>
        <w:t>the C</w:t>
      </w:r>
      <w:r>
        <w:rPr>
          <w:sz w:val="20"/>
          <w:szCs w:val="20"/>
        </w:rPr>
        <w:t xml:space="preserve">ompany entered into a new unsecured term loan credit facility with total outstanding borrowings of $590.0 million (the “Term Loan”) pursuant to a credit agreement with a group of banks. The Term Loan was scheduled to mature in </w:t>
      </w:r>
      <w:r>
        <w:rPr>
          <w:rStyle w:val="a6"/>
          <w:sz w:val="20"/>
          <w:szCs w:val="20"/>
        </w:rPr>
        <w:t xml:space="preserve">April 2021, </w:t>
      </w:r>
      <w:r>
        <w:rPr>
          <w:sz w:val="20"/>
          <w:szCs w:val="20"/>
        </w:rPr>
        <w:t xml:space="preserve">with a </w:t>
      </w:r>
      <w:r>
        <w:rPr>
          <w:rStyle w:val="a6"/>
          <w:sz w:val="20"/>
          <w:szCs w:val="20"/>
        </w:rPr>
        <w:t>one</w:t>
      </w:r>
      <w:r>
        <w:rPr>
          <w:sz w:val="20"/>
          <w:szCs w:val="20"/>
        </w:rPr>
        <w:t>-year e</w:t>
      </w:r>
      <w:r>
        <w:rPr>
          <w:sz w:val="20"/>
          <w:szCs w:val="20"/>
        </w:rPr>
        <w:t xml:space="preserve">xtension option to extend the maturity date, at the Company’s discretion, to </w:t>
      </w:r>
      <w:r>
        <w:rPr>
          <w:rStyle w:val="a6"/>
          <w:sz w:val="20"/>
          <w:szCs w:val="20"/>
        </w:rPr>
        <w:t>April 2022. </w:t>
      </w:r>
      <w:r>
        <w:rPr>
          <w:sz w:val="20"/>
          <w:szCs w:val="20"/>
        </w:rPr>
        <w:t xml:space="preserve">The Term Loan accrued interest at a rate of LIBOR plus 140 basis points (1.65% as of </w:t>
      </w:r>
      <w:r>
        <w:rPr>
          <w:rStyle w:val="a6"/>
          <w:sz w:val="20"/>
          <w:szCs w:val="20"/>
        </w:rPr>
        <w:t xml:space="preserve">June 30, 2020) </w:t>
      </w:r>
      <w:r>
        <w:rPr>
          <w:sz w:val="20"/>
          <w:szCs w:val="20"/>
        </w:rPr>
        <w:t xml:space="preserve">or, at the Company’s option, a spread of 40 </w:t>
      </w:r>
      <w:r>
        <w:rPr>
          <w:sz w:val="20"/>
          <w:szCs w:val="20"/>
        </w:rPr>
        <w:t>basis points to the base rate defined in the Term Loan, that in each case fluctuated in accordance with changes in the Company’s senior debt ratings. The Term Loan could be increased by an additional $750.0 million through an accordion feature. Pursuant to</w:t>
      </w:r>
      <w:r>
        <w:rPr>
          <w:sz w:val="20"/>
          <w:szCs w:val="20"/>
        </w:rPr>
        <w:t xml:space="preserve"> the terms of the Term Loan, the Company was subject to covenants that were substantially the same as those in the Credit Facility. The Company repaid $265.0 million of the outstanding borrowings under the Term Loan in </w:t>
      </w:r>
      <w:r>
        <w:rPr>
          <w:rStyle w:val="a6"/>
          <w:sz w:val="20"/>
          <w:szCs w:val="20"/>
        </w:rPr>
        <w:t xml:space="preserve">June 2020. </w:t>
      </w:r>
      <w:r>
        <w:rPr>
          <w:sz w:val="20"/>
          <w:szCs w:val="20"/>
        </w:rPr>
        <w:t xml:space="preserve">As of </w:t>
      </w:r>
      <w:r>
        <w:rPr>
          <w:rStyle w:val="a6"/>
          <w:sz w:val="20"/>
          <w:szCs w:val="20"/>
        </w:rPr>
        <w:t xml:space="preserve">June 30, 2020, </w:t>
      </w:r>
      <w:r>
        <w:rPr>
          <w:sz w:val="20"/>
          <w:szCs w:val="20"/>
        </w:rPr>
        <w:t>the T</w:t>
      </w:r>
      <w:r>
        <w:rPr>
          <w:sz w:val="20"/>
          <w:szCs w:val="20"/>
        </w:rPr>
        <w:t xml:space="preserve">erm Loan had an outstanding balance of $325.0 million and the Company was in compliance with its covenants. Subsequent to </w:t>
      </w:r>
      <w:r>
        <w:rPr>
          <w:rStyle w:val="a6"/>
          <w:sz w:val="20"/>
          <w:szCs w:val="20"/>
        </w:rPr>
        <w:t xml:space="preserve">June 30, 2020, </w:t>
      </w:r>
      <w:r>
        <w:rPr>
          <w:sz w:val="20"/>
          <w:szCs w:val="20"/>
        </w:rPr>
        <w:t>the Term Loan was fully repaid and the facility was terminated.</w:t>
      </w:r>
    </w:p>
    <w:p w14:paraId="2AD834B5" w14:textId="77777777" w:rsidR="00000000" w:rsidRDefault="00322B34">
      <w:pPr>
        <w:pStyle w:val="a3"/>
        <w:spacing w:before="0" w:beforeAutospacing="0" w:after="0" w:afterAutospacing="0"/>
        <w:ind w:firstLine="360"/>
        <w:jc w:val="both"/>
        <w:rPr>
          <w:sz w:val="20"/>
          <w:szCs w:val="20"/>
        </w:rPr>
      </w:pPr>
      <w:r>
        <w:rPr>
          <w:sz w:val="20"/>
          <w:szCs w:val="20"/>
        </w:rPr>
        <w:t> </w:t>
      </w:r>
    </w:p>
    <w:p w14:paraId="436AC71D" w14:textId="77777777" w:rsidR="00000000" w:rsidRDefault="00322B34">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July 2020, </w:t>
      </w:r>
      <w:r>
        <w:rPr>
          <w:sz w:val="20"/>
          <w:szCs w:val="20"/>
        </w:rPr>
        <w:t xml:space="preserve">the Company issued $500.0 million in unsecured notes (the “Green Bond”), which are scheduled to mature in </w:t>
      </w:r>
      <w:r>
        <w:rPr>
          <w:rStyle w:val="a6"/>
          <w:sz w:val="20"/>
          <w:szCs w:val="20"/>
        </w:rPr>
        <w:t>October 2030 </w:t>
      </w:r>
      <w:r>
        <w:rPr>
          <w:sz w:val="20"/>
          <w:szCs w:val="20"/>
        </w:rPr>
        <w:t xml:space="preserve">and accrue interest at a rate of 2.70% per annum. The net proceeds from this offering are allocated to finance or refinance, in whole or </w:t>
      </w:r>
      <w:r>
        <w:rPr>
          <w:sz w:val="20"/>
          <w:szCs w:val="20"/>
        </w:rPr>
        <w:t xml:space="preserve">in part, recently completed, existing or future Eligible Green Projects, in alignment with the </w:t>
      </w:r>
      <w:r>
        <w:rPr>
          <w:rStyle w:val="a6"/>
          <w:sz w:val="20"/>
          <w:szCs w:val="20"/>
        </w:rPr>
        <w:t>four</w:t>
      </w:r>
      <w:r>
        <w:rPr>
          <w:sz w:val="20"/>
          <w:szCs w:val="20"/>
        </w:rPr>
        <w:t xml:space="preserve"> core components of the Green Bond Principles, </w:t>
      </w:r>
      <w:r>
        <w:rPr>
          <w:rStyle w:val="a6"/>
          <w:sz w:val="20"/>
          <w:szCs w:val="20"/>
        </w:rPr>
        <w:t>2018</w:t>
      </w:r>
      <w:r>
        <w:rPr>
          <w:sz w:val="20"/>
          <w:szCs w:val="20"/>
        </w:rPr>
        <w:t xml:space="preserve"> ("GBP") as administered by the International Capital Market Association. Eligible Green Projects include </w:t>
      </w:r>
      <w:r>
        <w:rPr>
          <w:sz w:val="20"/>
          <w:szCs w:val="20"/>
        </w:rPr>
        <w:t xml:space="preserve">projects with disbursements made in the </w:t>
      </w:r>
      <w:r>
        <w:rPr>
          <w:rStyle w:val="a6"/>
          <w:sz w:val="20"/>
          <w:szCs w:val="20"/>
        </w:rPr>
        <w:t>three</w:t>
      </w:r>
      <w:r>
        <w:rPr>
          <w:sz w:val="20"/>
          <w:szCs w:val="20"/>
        </w:rPr>
        <w:t xml:space="preserve"> years preceding the issue date of the notes.</w:t>
      </w:r>
    </w:p>
    <w:p w14:paraId="726588B0" w14:textId="77777777" w:rsidR="00000000" w:rsidRDefault="00322B34">
      <w:pPr>
        <w:pStyle w:val="a3"/>
        <w:spacing w:before="0" w:beforeAutospacing="0" w:after="0" w:afterAutospacing="0"/>
        <w:ind w:firstLine="360"/>
        <w:jc w:val="both"/>
        <w:rPr>
          <w:sz w:val="20"/>
          <w:szCs w:val="20"/>
        </w:rPr>
      </w:pPr>
      <w:r>
        <w:rPr>
          <w:sz w:val="20"/>
          <w:szCs w:val="20"/>
        </w:rPr>
        <w:t> </w:t>
      </w:r>
    </w:p>
    <w:p w14:paraId="3C39AA05" w14:textId="77777777" w:rsidR="00000000" w:rsidRDefault="00322B34">
      <w:pPr>
        <w:pStyle w:val="a3"/>
        <w:spacing w:before="0" w:beforeAutospacing="0" w:after="0" w:afterAutospacing="0"/>
        <w:ind w:firstLine="360"/>
        <w:jc w:val="both"/>
        <w:rPr>
          <w:sz w:val="20"/>
          <w:szCs w:val="20"/>
        </w:rPr>
      </w:pPr>
      <w:r>
        <w:rPr>
          <w:sz w:val="20"/>
          <w:szCs w:val="20"/>
        </w:rPr>
        <w:t xml:space="preserve">On </w:t>
      </w:r>
      <w:r>
        <w:rPr>
          <w:rStyle w:val="a6"/>
          <w:sz w:val="20"/>
          <w:szCs w:val="20"/>
        </w:rPr>
        <w:t xml:space="preserve">July 15, 2020, </w:t>
      </w:r>
      <w:r>
        <w:rPr>
          <w:sz w:val="20"/>
          <w:szCs w:val="20"/>
        </w:rPr>
        <w:t xml:space="preserve">the Company announced the partial redemption of $200.0 million of its 3.20% senior unsecured notes outstanding, which mature in </w:t>
      </w:r>
      <w:r>
        <w:rPr>
          <w:rStyle w:val="a6"/>
          <w:sz w:val="20"/>
          <w:szCs w:val="20"/>
        </w:rPr>
        <w:t xml:space="preserve">May 2021. </w:t>
      </w:r>
      <w:r>
        <w:rPr>
          <w:sz w:val="20"/>
          <w:szCs w:val="20"/>
        </w:rPr>
        <w:t>These n</w:t>
      </w:r>
      <w:r>
        <w:rPr>
          <w:sz w:val="20"/>
          <w:szCs w:val="20"/>
        </w:rPr>
        <w:t xml:space="preserve">otes will be redeemed on </w:t>
      </w:r>
      <w:r>
        <w:rPr>
          <w:rStyle w:val="a6"/>
          <w:sz w:val="20"/>
          <w:szCs w:val="20"/>
        </w:rPr>
        <w:t xml:space="preserve">July 30, 2020, </w:t>
      </w:r>
      <w:r>
        <w:rPr>
          <w:sz w:val="20"/>
          <w:szCs w:val="20"/>
        </w:rPr>
        <w:t xml:space="preserve">and the Company will incur a prepayment charge of approximately $3.3 million resulting from the partial repayment. As of </w:t>
      </w:r>
      <w:r>
        <w:rPr>
          <w:rStyle w:val="a6"/>
          <w:sz w:val="20"/>
          <w:szCs w:val="20"/>
        </w:rPr>
        <w:t xml:space="preserve">June 30, 2020, </w:t>
      </w:r>
      <w:r>
        <w:rPr>
          <w:sz w:val="20"/>
          <w:szCs w:val="20"/>
        </w:rPr>
        <w:t>$484.9 million was outstanding on these notes.</w:t>
      </w:r>
    </w:p>
    <w:p w14:paraId="0B3C52D1" w14:textId="77777777" w:rsidR="00000000" w:rsidRDefault="00322B34">
      <w:pPr>
        <w:pStyle w:val="a3"/>
        <w:spacing w:before="0" w:beforeAutospacing="0" w:after="0" w:afterAutospacing="0"/>
        <w:ind w:firstLine="360"/>
        <w:jc w:val="both"/>
        <w:rPr>
          <w:sz w:val="20"/>
          <w:szCs w:val="20"/>
        </w:rPr>
      </w:pPr>
      <w:r>
        <w:rPr>
          <w:sz w:val="20"/>
          <w:szCs w:val="20"/>
        </w:rPr>
        <w:t> </w:t>
      </w:r>
    </w:p>
    <w:p w14:paraId="2441DCF7" w14:textId="77777777" w:rsidR="00000000" w:rsidRDefault="00322B34">
      <w:pPr>
        <w:pStyle w:val="a3"/>
        <w:spacing w:before="0" w:beforeAutospacing="0" w:after="0" w:afterAutospacing="0"/>
        <w:jc w:val="both"/>
        <w:rPr>
          <w:sz w:val="20"/>
          <w:szCs w:val="20"/>
        </w:rPr>
      </w:pPr>
      <w:r>
        <w:rPr>
          <w:i/>
          <w:iCs/>
          <w:sz w:val="20"/>
          <w:szCs w:val="20"/>
        </w:rPr>
        <w:t>Mortgages and Construction Loan</w:t>
      </w:r>
      <w:r>
        <w:rPr>
          <w:i/>
          <w:iCs/>
          <w:sz w:val="20"/>
          <w:szCs w:val="20"/>
        </w:rPr>
        <w:t xml:space="preserve"> Payable - </w:t>
      </w:r>
    </w:p>
    <w:p w14:paraId="0DC6BCAF" w14:textId="77777777" w:rsidR="00000000" w:rsidRDefault="00322B34">
      <w:pPr>
        <w:pStyle w:val="a3"/>
        <w:spacing w:before="0" w:beforeAutospacing="0" w:after="0" w:afterAutospacing="0"/>
        <w:jc w:val="both"/>
        <w:rPr>
          <w:sz w:val="20"/>
          <w:szCs w:val="20"/>
        </w:rPr>
      </w:pPr>
      <w:r>
        <w:rPr>
          <w:sz w:val="20"/>
          <w:szCs w:val="20"/>
        </w:rPr>
        <w:t> </w:t>
      </w:r>
    </w:p>
    <w:p w14:paraId="1C414DF5" w14:textId="77777777" w:rsidR="00000000" w:rsidRDefault="00322B34">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August 2018, </w:t>
      </w:r>
      <w:r>
        <w:rPr>
          <w:sz w:val="20"/>
          <w:szCs w:val="20"/>
        </w:rPr>
        <w:t xml:space="preserve">the Company closed on a construction loan commitment of $67.0 million relating to </w:t>
      </w:r>
      <w:r>
        <w:rPr>
          <w:rStyle w:val="a6"/>
          <w:sz w:val="20"/>
          <w:szCs w:val="20"/>
        </w:rPr>
        <w:t>one</w:t>
      </w:r>
      <w:r>
        <w:rPr>
          <w:sz w:val="20"/>
          <w:szCs w:val="20"/>
        </w:rPr>
        <w:t xml:space="preserve"> development property. This loan commitment was scheduled to mature in </w:t>
      </w:r>
      <w:r>
        <w:rPr>
          <w:rStyle w:val="a6"/>
          <w:sz w:val="20"/>
          <w:szCs w:val="20"/>
        </w:rPr>
        <w:t xml:space="preserve">August 2020, </w:t>
      </w:r>
      <w:r>
        <w:rPr>
          <w:sz w:val="20"/>
          <w:szCs w:val="20"/>
        </w:rPr>
        <w:t xml:space="preserve">with </w:t>
      </w:r>
      <w:r>
        <w:rPr>
          <w:rStyle w:val="a6"/>
          <w:sz w:val="20"/>
          <w:szCs w:val="20"/>
        </w:rPr>
        <w:t>six</w:t>
      </w:r>
      <w:r>
        <w:rPr>
          <w:sz w:val="20"/>
          <w:szCs w:val="20"/>
        </w:rPr>
        <w:t xml:space="preserve"> additional </w:t>
      </w:r>
      <w:r>
        <w:rPr>
          <w:rStyle w:val="a6"/>
          <w:sz w:val="20"/>
          <w:szCs w:val="20"/>
        </w:rPr>
        <w:t>six</w:t>
      </w:r>
      <w:r>
        <w:rPr>
          <w:sz w:val="20"/>
          <w:szCs w:val="20"/>
        </w:rPr>
        <w:t>-month options to extend the matur</w:t>
      </w:r>
      <w:r>
        <w:rPr>
          <w:sz w:val="20"/>
          <w:szCs w:val="20"/>
        </w:rPr>
        <w:t xml:space="preserve">ity date to </w:t>
      </w:r>
      <w:r>
        <w:rPr>
          <w:rStyle w:val="a6"/>
          <w:sz w:val="20"/>
          <w:szCs w:val="20"/>
        </w:rPr>
        <w:t xml:space="preserve">August 2023 </w:t>
      </w:r>
      <w:r>
        <w:rPr>
          <w:sz w:val="20"/>
          <w:szCs w:val="20"/>
        </w:rPr>
        <w:t xml:space="preserve">and bore interest at a rate of LIBOR plus 180 basis points. This construction loan was fully repaid in </w:t>
      </w:r>
      <w:r>
        <w:rPr>
          <w:rStyle w:val="a6"/>
          <w:sz w:val="20"/>
          <w:szCs w:val="20"/>
        </w:rPr>
        <w:t>January 2020.</w:t>
      </w:r>
    </w:p>
    <w:p w14:paraId="10587551" w14:textId="77777777" w:rsidR="00000000" w:rsidRDefault="00322B34">
      <w:pPr>
        <w:pStyle w:val="a3"/>
        <w:spacing w:before="0" w:beforeAutospacing="0" w:after="0" w:afterAutospacing="0"/>
        <w:jc w:val="both"/>
        <w:rPr>
          <w:sz w:val="20"/>
          <w:szCs w:val="20"/>
        </w:rPr>
      </w:pPr>
      <w:r>
        <w:rPr>
          <w:sz w:val="20"/>
          <w:szCs w:val="20"/>
        </w:rPr>
        <w:t> </w:t>
      </w:r>
    </w:p>
    <w:p w14:paraId="2C995894" w14:textId="77777777" w:rsidR="00000000" w:rsidRDefault="00322B34">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2020, </w:t>
      </w:r>
      <w:r>
        <w:rPr>
          <w:sz w:val="20"/>
          <w:szCs w:val="20"/>
        </w:rPr>
        <w:t>the Company repaid $21.6 million of mortgage debt (including fair mark</w:t>
      </w:r>
      <w:r>
        <w:rPr>
          <w:sz w:val="20"/>
          <w:szCs w:val="20"/>
        </w:rPr>
        <w:t xml:space="preserve">et value adjustment of $0.2 million) that encumbered </w:t>
      </w:r>
      <w:r>
        <w:rPr>
          <w:rStyle w:val="a6"/>
          <w:sz w:val="20"/>
          <w:szCs w:val="20"/>
        </w:rPr>
        <w:t>two</w:t>
      </w:r>
      <w:r>
        <w:rPr>
          <w:sz w:val="20"/>
          <w:szCs w:val="20"/>
        </w:rPr>
        <w:t xml:space="preserve"> operating properties.</w:t>
      </w:r>
    </w:p>
    <w:p w14:paraId="11E7E96E" w14:textId="77777777" w:rsidR="00000000" w:rsidRDefault="00322B34">
      <w:pPr>
        <w:pStyle w:val="a3"/>
        <w:spacing w:before="0" w:beforeAutospacing="0" w:after="0" w:afterAutospacing="0"/>
        <w:jc w:val="both"/>
        <w:rPr>
          <w:sz w:val="20"/>
          <w:szCs w:val="20"/>
        </w:rPr>
      </w:pPr>
      <w:r>
        <w:rPr>
          <w:sz w:val="20"/>
          <w:szCs w:val="20"/>
        </w:rPr>
        <w:t> </w:t>
      </w:r>
    </w:p>
    <w:p w14:paraId="08F2D544" w14:textId="77777777" w:rsidR="00000000" w:rsidRDefault="00322B34">
      <w:pPr>
        <w:divId w:val="1039208302"/>
        <w:rPr>
          <w:rFonts w:eastAsia="Times New Roman"/>
          <w:sz w:val="20"/>
          <w:szCs w:val="20"/>
        </w:rPr>
      </w:pPr>
      <w:r>
        <w:rPr>
          <w:rFonts w:eastAsia="Times New Roman"/>
          <w:sz w:val="20"/>
          <w:szCs w:val="20"/>
        </w:rPr>
        <w:t xml:space="preserve">  </w:t>
      </w:r>
    </w:p>
    <w:p w14:paraId="66EC3CEF" w14:textId="77777777" w:rsidR="00000000" w:rsidRDefault="00322B34">
      <w:pPr>
        <w:pStyle w:val="a3"/>
        <w:spacing w:before="0" w:beforeAutospacing="0" w:after="0" w:afterAutospacing="0"/>
        <w:rPr>
          <w:sz w:val="20"/>
          <w:szCs w:val="20"/>
        </w:rPr>
      </w:pPr>
      <w:r>
        <w:rPr>
          <w:rStyle w:val="a6"/>
          <w:sz w:val="20"/>
          <w:szCs w:val="20"/>
        </w:rPr>
        <w:t>9.</w:t>
      </w:r>
      <w:r>
        <w:rPr>
          <w:sz w:val="20"/>
          <w:szCs w:val="20"/>
        </w:rPr>
        <w:t xml:space="preserve"> </w:t>
      </w:r>
      <w:r>
        <w:rPr>
          <w:sz w:val="20"/>
          <w:szCs w:val="20"/>
          <w:u w:val="single"/>
        </w:rPr>
        <w:t>Noncontrolling Interests</w:t>
      </w:r>
    </w:p>
    <w:p w14:paraId="0FEA959D" w14:textId="77777777" w:rsidR="00000000" w:rsidRDefault="00322B34">
      <w:pPr>
        <w:pStyle w:val="a3"/>
        <w:spacing w:before="0" w:beforeAutospacing="0" w:after="0" w:afterAutospacing="0"/>
        <w:rPr>
          <w:sz w:val="20"/>
          <w:szCs w:val="20"/>
        </w:rPr>
      </w:pPr>
      <w:r>
        <w:rPr>
          <w:sz w:val="20"/>
          <w:szCs w:val="20"/>
        </w:rPr>
        <w:t> </w:t>
      </w:r>
    </w:p>
    <w:p w14:paraId="357A5405" w14:textId="77777777" w:rsidR="00000000" w:rsidRDefault="00322B34">
      <w:pPr>
        <w:pStyle w:val="a3"/>
        <w:spacing w:before="0" w:beforeAutospacing="0" w:after="0" w:afterAutospacing="0"/>
        <w:jc w:val="both"/>
        <w:rPr>
          <w:sz w:val="20"/>
          <w:szCs w:val="20"/>
        </w:rPr>
      </w:pPr>
      <w:r>
        <w:rPr>
          <w:sz w:val="20"/>
          <w:szCs w:val="20"/>
        </w:rPr>
        <w:t xml:space="preserve">      Noncontrolling interests represent the portion of equity that the Company does </w:t>
      </w:r>
      <w:r>
        <w:rPr>
          <w:rStyle w:val="a6"/>
          <w:sz w:val="20"/>
          <w:szCs w:val="20"/>
        </w:rPr>
        <w:t>not</w:t>
      </w:r>
      <w:r>
        <w:rPr>
          <w:sz w:val="20"/>
          <w:szCs w:val="20"/>
        </w:rPr>
        <w:t xml:space="preserve"> own in entities it consolidates as a result of having</w:t>
      </w:r>
      <w:r>
        <w:rPr>
          <w:sz w:val="20"/>
          <w:szCs w:val="20"/>
        </w:rPr>
        <w:t xml:space="preserve"> a controlling interest or determining that the Company was the primary beneficiary of a VIE in accordance with the provisions of the FASB’s Consolidation guidance.  The Company accounts and reports for noncontrolling interests in accordance with the Conso</w:t>
      </w:r>
      <w:r>
        <w:rPr>
          <w:sz w:val="20"/>
          <w:szCs w:val="20"/>
        </w:rPr>
        <w:t>lidation guidance and the Distinguishing Liabilities from Equity guidance issued by the FASB. The Company identifies its noncontrolling interests separately within the equity section on the Company’s Condensed Consolidated Balance Sheets. The amounts of co</w:t>
      </w:r>
      <w:r>
        <w:rPr>
          <w:sz w:val="20"/>
          <w:szCs w:val="20"/>
        </w:rPr>
        <w:t>nsolidated net income attributable to the Company and to the noncontrolling interests are presented separately on the Company’s Condensed Consolidated Statements of Income.</w:t>
      </w:r>
    </w:p>
    <w:p w14:paraId="30F60F32" w14:textId="77777777" w:rsidR="00000000" w:rsidRDefault="00322B34">
      <w:pPr>
        <w:pStyle w:val="a3"/>
        <w:spacing w:before="0" w:beforeAutospacing="0" w:after="0" w:afterAutospacing="0"/>
        <w:jc w:val="both"/>
        <w:rPr>
          <w:sz w:val="20"/>
          <w:szCs w:val="20"/>
        </w:rPr>
      </w:pPr>
      <w:r>
        <w:rPr>
          <w:sz w:val="20"/>
          <w:szCs w:val="20"/>
        </w:rPr>
        <w:t> </w:t>
      </w:r>
    </w:p>
    <w:p w14:paraId="6AB1C0A9" w14:textId="77777777" w:rsidR="00000000" w:rsidRDefault="00322B34">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2020, </w:t>
      </w:r>
      <w:r>
        <w:rPr>
          <w:sz w:val="20"/>
          <w:szCs w:val="20"/>
        </w:rPr>
        <w:t>the Company acquired its partners’ int</w:t>
      </w:r>
      <w:r>
        <w:rPr>
          <w:sz w:val="20"/>
          <w:szCs w:val="20"/>
        </w:rPr>
        <w:t xml:space="preserve">erests in </w:t>
      </w:r>
      <w:r>
        <w:rPr>
          <w:rStyle w:val="a6"/>
          <w:sz w:val="20"/>
          <w:szCs w:val="20"/>
        </w:rPr>
        <w:t>two</w:t>
      </w:r>
      <w:r>
        <w:rPr>
          <w:sz w:val="20"/>
          <w:szCs w:val="20"/>
        </w:rPr>
        <w:t xml:space="preserve"> consolidated entities, in separate transactions, for an aggregate purchase price of $20.6 million. This transaction resulted in a net decrease in Noncontrolling interests of $1.3 million and a corresponding net increase in Paid-in capital of </w:t>
      </w:r>
      <w:r>
        <w:rPr>
          <w:sz w:val="20"/>
          <w:szCs w:val="20"/>
        </w:rPr>
        <w:t xml:space="preserve">$19.3 million on the Company’s Condensed Consolidated Balance Sheets. There are </w:t>
      </w:r>
      <w:r>
        <w:rPr>
          <w:rStyle w:val="a6"/>
          <w:sz w:val="20"/>
          <w:szCs w:val="20"/>
        </w:rPr>
        <w:t>no</w:t>
      </w:r>
      <w:r>
        <w:rPr>
          <w:sz w:val="20"/>
          <w:szCs w:val="20"/>
        </w:rPr>
        <w:t xml:space="preserve"> remaining partners in </w:t>
      </w:r>
      <w:r>
        <w:rPr>
          <w:rStyle w:val="a6"/>
          <w:sz w:val="20"/>
          <w:szCs w:val="20"/>
        </w:rPr>
        <w:t>one</w:t>
      </w:r>
      <w:r>
        <w:rPr>
          <w:sz w:val="20"/>
          <w:szCs w:val="20"/>
        </w:rPr>
        <w:t xml:space="preserve"> of these consolidated entities.</w:t>
      </w:r>
    </w:p>
    <w:p w14:paraId="403908E2" w14:textId="77777777" w:rsidR="00000000" w:rsidRDefault="00322B34">
      <w:pPr>
        <w:pStyle w:val="a3"/>
        <w:spacing w:before="0" w:beforeAutospacing="0" w:after="0" w:afterAutospacing="0"/>
        <w:jc w:val="both"/>
        <w:rPr>
          <w:sz w:val="20"/>
          <w:szCs w:val="20"/>
        </w:rPr>
      </w:pPr>
      <w:r>
        <w:rPr>
          <w:sz w:val="20"/>
          <w:szCs w:val="20"/>
        </w:rPr>
        <w:t> </w:t>
      </w:r>
    </w:p>
    <w:p w14:paraId="671698BF" w14:textId="77777777" w:rsidR="00000000" w:rsidRDefault="00322B34">
      <w:pPr>
        <w:pStyle w:val="a3"/>
        <w:spacing w:before="0" w:beforeAutospacing="0" w:after="0" w:afterAutospacing="0"/>
        <w:ind w:firstLine="360"/>
        <w:jc w:val="both"/>
        <w:rPr>
          <w:sz w:val="20"/>
          <w:szCs w:val="20"/>
        </w:rPr>
      </w:pPr>
      <w:r>
        <w:rPr>
          <w:sz w:val="20"/>
          <w:szCs w:val="20"/>
        </w:rPr>
        <w:t>Included within noncontrolling interests are units that were determined to be contingently redeemable that are cl</w:t>
      </w:r>
      <w:r>
        <w:rPr>
          <w:sz w:val="20"/>
          <w:szCs w:val="20"/>
        </w:rPr>
        <w:t>assified as Redeemable noncontrolling interests and presented in the mezzanine section between Total liabilities and Stockholder’s equity on the Company’s Condensed Consolidated Balance Sheets.</w:t>
      </w:r>
    </w:p>
    <w:p w14:paraId="68EEBEA3" w14:textId="77777777" w:rsidR="00000000" w:rsidRDefault="00322B34">
      <w:pPr>
        <w:pStyle w:val="a3"/>
        <w:spacing w:before="0" w:beforeAutospacing="0" w:after="0" w:afterAutospacing="0"/>
        <w:jc w:val="both"/>
        <w:rPr>
          <w:sz w:val="20"/>
          <w:szCs w:val="20"/>
        </w:rPr>
      </w:pPr>
      <w:r>
        <w:rPr>
          <w:sz w:val="20"/>
          <w:szCs w:val="20"/>
        </w:rPr>
        <w:t> </w:t>
      </w:r>
    </w:p>
    <w:p w14:paraId="2A145898" w14:textId="77777777" w:rsidR="00000000" w:rsidRDefault="00322B34">
      <w:pPr>
        <w:jc w:val="center"/>
        <w:divId w:val="2111076944"/>
        <w:rPr>
          <w:rFonts w:eastAsia="Times New Roman"/>
          <w:sz w:val="20"/>
          <w:szCs w:val="20"/>
        </w:rPr>
      </w:pPr>
      <w:r>
        <w:rPr>
          <w:rStyle w:val="a6"/>
          <w:rFonts w:eastAsia="Times New Roman"/>
          <w:sz w:val="20"/>
          <w:szCs w:val="20"/>
        </w:rPr>
        <w:t>16</w:t>
      </w:r>
      <w:r>
        <w:rPr>
          <w:rFonts w:eastAsia="Times New Roman"/>
          <w:sz w:val="20"/>
          <w:szCs w:val="20"/>
        </w:rPr>
        <w:t xml:space="preserve"> </w:t>
      </w:r>
    </w:p>
    <w:p w14:paraId="69978FD7" w14:textId="77777777" w:rsidR="00000000" w:rsidRDefault="00322B34">
      <w:pPr>
        <w:rPr>
          <w:rFonts w:eastAsia="Times New Roman"/>
          <w:sz w:val="20"/>
          <w:szCs w:val="20"/>
        </w:rPr>
      </w:pPr>
      <w:r>
        <w:rPr>
          <w:rFonts w:eastAsia="Times New Roman"/>
          <w:sz w:val="20"/>
          <w:szCs w:val="20"/>
        </w:rPr>
        <w:pict w14:anchorId="4EFB43BE">
          <v:rect id="_x0000_i1044" style="width:415.3pt;height:1.5pt" o:hralign="center" o:hrstd="t" o:hrnoshade="t" o:hr="t" fillcolor="black" stroked="f"/>
        </w:pict>
      </w:r>
    </w:p>
    <w:p w14:paraId="76761606" w14:textId="77777777" w:rsidR="00000000" w:rsidRDefault="00322B34">
      <w:pPr>
        <w:divId w:val="21300786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B37EC1A" w14:textId="77777777" w:rsidR="00000000" w:rsidRDefault="00322B34">
      <w:pPr>
        <w:rPr>
          <w:rFonts w:eastAsia="Times New Roman"/>
          <w:sz w:val="20"/>
          <w:szCs w:val="20"/>
        </w:rPr>
      </w:pPr>
      <w:r>
        <w:rPr>
          <w:rFonts w:eastAsia="Times New Roman"/>
          <w:sz w:val="20"/>
          <w:szCs w:val="20"/>
        </w:rPr>
        <w:t xml:space="preserve">  </w:t>
      </w:r>
    </w:p>
    <w:p w14:paraId="1B69681B" w14:textId="77777777" w:rsidR="00000000" w:rsidRDefault="00322B34">
      <w:pPr>
        <w:pStyle w:val="a3"/>
        <w:spacing w:before="0" w:beforeAutospacing="0" w:after="0" w:afterAutospacing="0"/>
        <w:ind w:firstLine="360"/>
        <w:jc w:val="both"/>
        <w:rPr>
          <w:sz w:val="20"/>
          <w:szCs w:val="20"/>
        </w:rPr>
      </w:pPr>
      <w:r>
        <w:rPr>
          <w:sz w:val="20"/>
          <w:szCs w:val="20"/>
        </w:rPr>
        <w:t xml:space="preserve">The following table presents the change in the redemption value of the Redeemable noncontrolling interests for the </w:t>
      </w:r>
      <w:r>
        <w:rPr>
          <w:rStyle w:val="a6"/>
          <w:sz w:val="20"/>
          <w:szCs w:val="20"/>
        </w:rPr>
        <w:t>six</w:t>
      </w:r>
      <w:r>
        <w:rPr>
          <w:sz w:val="20"/>
          <w:szCs w:val="20"/>
        </w:rPr>
        <w:t xml:space="preserve"> months ended </w:t>
      </w:r>
      <w:r>
        <w:rPr>
          <w:rStyle w:val="a6"/>
          <w:sz w:val="20"/>
          <w:szCs w:val="20"/>
        </w:rPr>
        <w:t xml:space="preserve">June 30, 2020 </w:t>
      </w:r>
      <w:r>
        <w:rPr>
          <w:sz w:val="20"/>
          <w:szCs w:val="20"/>
        </w:rPr>
        <w:t xml:space="preserve">and </w:t>
      </w:r>
      <w:r>
        <w:rPr>
          <w:rStyle w:val="a6"/>
          <w:sz w:val="20"/>
          <w:szCs w:val="20"/>
        </w:rPr>
        <w:t>2019</w:t>
      </w:r>
      <w:r>
        <w:rPr>
          <w:sz w:val="20"/>
          <w:szCs w:val="20"/>
        </w:rPr>
        <w:t xml:space="preserve"> (in thousands): </w:t>
      </w:r>
    </w:p>
    <w:p w14:paraId="35CB924D"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367"/>
        <w:gridCol w:w="61"/>
        <w:gridCol w:w="100"/>
        <w:gridCol w:w="1120"/>
        <w:gridCol w:w="67"/>
        <w:gridCol w:w="56"/>
        <w:gridCol w:w="100"/>
        <w:gridCol w:w="1122"/>
        <w:gridCol w:w="67"/>
      </w:tblGrid>
      <w:tr w:rsidR="00000000" w14:paraId="31783AD6" w14:textId="77777777">
        <w:trPr>
          <w:tblCellSpacing w:w="0" w:type="dxa"/>
        </w:trPr>
        <w:tc>
          <w:tcPr>
            <w:tcW w:w="0" w:type="auto"/>
            <w:vAlign w:val="bottom"/>
            <w:hideMark/>
          </w:tcPr>
          <w:p w14:paraId="5DB85A2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468781F"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6D4F5D5" w14:textId="77777777" w:rsidR="00000000" w:rsidRDefault="00322B34">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22E7CB8A" w14:textId="77777777" w:rsidR="00000000" w:rsidRDefault="00322B34">
            <w:pPr>
              <w:rPr>
                <w:rFonts w:eastAsia="Times New Roman"/>
                <w:sz w:val="20"/>
                <w:szCs w:val="20"/>
              </w:rPr>
            </w:pPr>
            <w:r>
              <w:rPr>
                <w:rFonts w:eastAsia="Times New Roman"/>
                <w:sz w:val="20"/>
                <w:szCs w:val="20"/>
              </w:rPr>
              <w:t> </w:t>
            </w:r>
          </w:p>
        </w:tc>
      </w:tr>
      <w:tr w:rsidR="00000000" w14:paraId="2C4384EE" w14:textId="77777777">
        <w:trPr>
          <w:tblCellSpacing w:w="0" w:type="dxa"/>
        </w:trPr>
        <w:tc>
          <w:tcPr>
            <w:tcW w:w="0" w:type="auto"/>
            <w:vAlign w:val="bottom"/>
            <w:hideMark/>
          </w:tcPr>
          <w:p w14:paraId="6C75E514"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1E21918"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9E965B0"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69EF0514"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1A2AF94"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936760B"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295B3D18" w14:textId="77777777" w:rsidR="00000000" w:rsidRDefault="00322B34">
            <w:pPr>
              <w:rPr>
                <w:rFonts w:eastAsia="Times New Roman"/>
                <w:sz w:val="20"/>
                <w:szCs w:val="20"/>
              </w:rPr>
            </w:pPr>
            <w:r>
              <w:rPr>
                <w:rFonts w:eastAsia="Times New Roman"/>
                <w:sz w:val="20"/>
                <w:szCs w:val="20"/>
              </w:rPr>
              <w:t> </w:t>
            </w:r>
          </w:p>
        </w:tc>
      </w:tr>
      <w:tr w:rsidR="00000000" w14:paraId="64EB895C" w14:textId="77777777">
        <w:trPr>
          <w:tblCellSpacing w:w="0" w:type="dxa"/>
        </w:trPr>
        <w:tc>
          <w:tcPr>
            <w:tcW w:w="3100" w:type="pct"/>
            <w:shd w:val="clear" w:color="auto" w:fill="CCEEFF"/>
            <w:vAlign w:val="bottom"/>
            <w:hideMark/>
          </w:tcPr>
          <w:p w14:paraId="354F75AE" w14:textId="77777777" w:rsidR="00000000" w:rsidRDefault="00322B34">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14:paraId="4462582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DD6029" w14:textId="77777777" w:rsidR="00000000" w:rsidRDefault="00322B34">
            <w:pPr>
              <w:rPr>
                <w:rFonts w:eastAsia="Times New Roman"/>
                <w:sz w:val="20"/>
                <w:szCs w:val="20"/>
              </w:rPr>
            </w:pPr>
            <w:r>
              <w:rPr>
                <w:rFonts w:eastAsia="Times New Roman"/>
                <w:sz w:val="20"/>
                <w:szCs w:val="20"/>
              </w:rPr>
              <w:t>$</w:t>
            </w:r>
          </w:p>
        </w:tc>
        <w:tc>
          <w:tcPr>
            <w:tcW w:w="800" w:type="pct"/>
            <w:shd w:val="clear" w:color="auto" w:fill="CCEEFF"/>
            <w:vAlign w:val="bottom"/>
            <w:hideMark/>
          </w:tcPr>
          <w:p w14:paraId="46BEC602" w14:textId="77777777" w:rsidR="00000000" w:rsidRDefault="00322B34">
            <w:pPr>
              <w:jc w:val="right"/>
              <w:rPr>
                <w:rFonts w:eastAsia="Times New Roman"/>
                <w:sz w:val="20"/>
                <w:szCs w:val="20"/>
              </w:rPr>
            </w:pPr>
            <w:r>
              <w:rPr>
                <w:rFonts w:eastAsia="Times New Roman"/>
                <w:sz w:val="20"/>
                <w:szCs w:val="20"/>
              </w:rPr>
              <w:t>17,943</w:t>
            </w:r>
          </w:p>
        </w:tc>
        <w:tc>
          <w:tcPr>
            <w:tcW w:w="50" w:type="pct"/>
            <w:shd w:val="clear" w:color="auto" w:fill="CCEEFF"/>
            <w:vAlign w:val="bottom"/>
            <w:hideMark/>
          </w:tcPr>
          <w:p w14:paraId="1FBF0EA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A1BA9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7F125B" w14:textId="77777777" w:rsidR="00000000" w:rsidRDefault="00322B34">
            <w:pPr>
              <w:rPr>
                <w:rFonts w:eastAsia="Times New Roman"/>
                <w:sz w:val="20"/>
                <w:szCs w:val="20"/>
              </w:rPr>
            </w:pPr>
            <w:r>
              <w:rPr>
                <w:rFonts w:eastAsia="Times New Roman"/>
                <w:sz w:val="20"/>
                <w:szCs w:val="20"/>
              </w:rPr>
              <w:t>$</w:t>
            </w:r>
          </w:p>
        </w:tc>
        <w:tc>
          <w:tcPr>
            <w:tcW w:w="800" w:type="pct"/>
            <w:shd w:val="clear" w:color="auto" w:fill="CCEEFF"/>
            <w:vAlign w:val="bottom"/>
            <w:hideMark/>
          </w:tcPr>
          <w:p w14:paraId="77F02A8F" w14:textId="77777777" w:rsidR="00000000" w:rsidRDefault="00322B34">
            <w:pPr>
              <w:jc w:val="right"/>
              <w:rPr>
                <w:rFonts w:eastAsia="Times New Roman"/>
                <w:sz w:val="20"/>
                <w:szCs w:val="20"/>
              </w:rPr>
            </w:pPr>
            <w:r>
              <w:rPr>
                <w:rFonts w:eastAsia="Times New Roman"/>
                <w:sz w:val="20"/>
                <w:szCs w:val="20"/>
              </w:rPr>
              <w:t>23,682</w:t>
            </w:r>
          </w:p>
        </w:tc>
        <w:tc>
          <w:tcPr>
            <w:tcW w:w="50" w:type="pct"/>
            <w:shd w:val="clear" w:color="auto" w:fill="CCEEFF"/>
            <w:vAlign w:val="bottom"/>
            <w:hideMark/>
          </w:tcPr>
          <w:p w14:paraId="539DB9BE" w14:textId="77777777" w:rsidR="00000000" w:rsidRDefault="00322B34">
            <w:pPr>
              <w:rPr>
                <w:rFonts w:eastAsia="Times New Roman"/>
                <w:sz w:val="20"/>
                <w:szCs w:val="20"/>
              </w:rPr>
            </w:pPr>
            <w:r>
              <w:rPr>
                <w:rFonts w:eastAsia="Times New Roman"/>
                <w:sz w:val="20"/>
                <w:szCs w:val="20"/>
              </w:rPr>
              <w:t> </w:t>
            </w:r>
          </w:p>
        </w:tc>
      </w:tr>
      <w:tr w:rsidR="00000000" w14:paraId="16B179CF" w14:textId="77777777">
        <w:trPr>
          <w:tblCellSpacing w:w="0" w:type="dxa"/>
        </w:trPr>
        <w:tc>
          <w:tcPr>
            <w:tcW w:w="0" w:type="auto"/>
            <w:shd w:val="clear" w:color="auto" w:fill="FFFFFF"/>
            <w:vAlign w:val="bottom"/>
            <w:hideMark/>
          </w:tcPr>
          <w:p w14:paraId="3B01785F" w14:textId="77777777" w:rsidR="00000000" w:rsidRDefault="00322B34">
            <w:pPr>
              <w:pStyle w:val="a3"/>
              <w:spacing w:before="0" w:beforeAutospacing="0" w:after="0" w:afterAutospacing="0"/>
              <w:ind w:left="180"/>
              <w:rPr>
                <w:sz w:val="20"/>
                <w:szCs w:val="20"/>
              </w:rPr>
            </w:pPr>
            <w:r>
              <w:rPr>
                <w:sz w:val="20"/>
                <w:szCs w:val="20"/>
              </w:rPr>
              <w:t>Income</w:t>
            </w:r>
          </w:p>
        </w:tc>
        <w:tc>
          <w:tcPr>
            <w:tcW w:w="50" w:type="pct"/>
            <w:shd w:val="clear" w:color="auto" w:fill="FFFFFF"/>
            <w:vAlign w:val="bottom"/>
            <w:hideMark/>
          </w:tcPr>
          <w:p w14:paraId="4273A83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08CEF8" w14:textId="77777777" w:rsidR="00000000" w:rsidRDefault="00322B3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6EF8F880" w14:textId="77777777" w:rsidR="00000000" w:rsidRDefault="00322B34">
            <w:pPr>
              <w:jc w:val="right"/>
              <w:rPr>
                <w:rFonts w:eastAsia="Times New Roman"/>
                <w:sz w:val="20"/>
                <w:szCs w:val="20"/>
              </w:rPr>
            </w:pPr>
            <w:r>
              <w:rPr>
                <w:rFonts w:eastAsia="Times New Roman"/>
                <w:sz w:val="20"/>
                <w:szCs w:val="20"/>
              </w:rPr>
              <w:t>605</w:t>
            </w:r>
          </w:p>
        </w:tc>
        <w:tc>
          <w:tcPr>
            <w:tcW w:w="50" w:type="pct"/>
            <w:shd w:val="clear" w:color="auto" w:fill="FFFFFF"/>
            <w:vAlign w:val="bottom"/>
            <w:hideMark/>
          </w:tcPr>
          <w:p w14:paraId="606242B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A6E01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EEC7BE" w14:textId="77777777" w:rsidR="00000000" w:rsidRDefault="00322B34">
            <w:pPr>
              <w:rPr>
                <w:rFonts w:eastAsia="Times New Roman"/>
                <w:sz w:val="20"/>
                <w:szCs w:val="20"/>
              </w:rPr>
            </w:pPr>
            <w:r>
              <w:rPr>
                <w:rFonts w:eastAsia="Times New Roman"/>
                <w:sz w:val="20"/>
                <w:szCs w:val="20"/>
              </w:rPr>
              <w:t> </w:t>
            </w:r>
          </w:p>
        </w:tc>
        <w:tc>
          <w:tcPr>
            <w:tcW w:w="800" w:type="pct"/>
            <w:shd w:val="clear" w:color="auto" w:fill="FFFFFF"/>
            <w:vAlign w:val="bottom"/>
            <w:hideMark/>
          </w:tcPr>
          <w:p w14:paraId="63717626" w14:textId="77777777" w:rsidR="00000000" w:rsidRDefault="00322B34">
            <w:pPr>
              <w:jc w:val="right"/>
              <w:rPr>
                <w:rFonts w:eastAsia="Times New Roman"/>
                <w:sz w:val="20"/>
                <w:szCs w:val="20"/>
              </w:rPr>
            </w:pPr>
            <w:r>
              <w:rPr>
                <w:rFonts w:eastAsia="Times New Roman"/>
                <w:sz w:val="20"/>
                <w:szCs w:val="20"/>
              </w:rPr>
              <w:t>185</w:t>
            </w:r>
          </w:p>
        </w:tc>
        <w:tc>
          <w:tcPr>
            <w:tcW w:w="50" w:type="pct"/>
            <w:shd w:val="clear" w:color="auto" w:fill="FFFFFF"/>
            <w:vAlign w:val="bottom"/>
            <w:hideMark/>
          </w:tcPr>
          <w:p w14:paraId="12CE7D81" w14:textId="77777777" w:rsidR="00000000" w:rsidRDefault="00322B34">
            <w:pPr>
              <w:rPr>
                <w:rFonts w:eastAsia="Times New Roman"/>
                <w:sz w:val="20"/>
                <w:szCs w:val="20"/>
              </w:rPr>
            </w:pPr>
            <w:r>
              <w:rPr>
                <w:rFonts w:eastAsia="Times New Roman"/>
                <w:sz w:val="20"/>
                <w:szCs w:val="20"/>
              </w:rPr>
              <w:t> </w:t>
            </w:r>
          </w:p>
        </w:tc>
      </w:tr>
      <w:tr w:rsidR="00000000" w14:paraId="6AF37D95" w14:textId="77777777">
        <w:trPr>
          <w:tblCellSpacing w:w="0" w:type="dxa"/>
        </w:trPr>
        <w:tc>
          <w:tcPr>
            <w:tcW w:w="0" w:type="auto"/>
            <w:shd w:val="clear" w:color="auto" w:fill="CCEEFF"/>
            <w:vAlign w:val="bottom"/>
            <w:hideMark/>
          </w:tcPr>
          <w:p w14:paraId="319AB9AA" w14:textId="77777777" w:rsidR="00000000" w:rsidRDefault="00322B34">
            <w:pPr>
              <w:pStyle w:val="a3"/>
              <w:spacing w:before="0" w:beforeAutospacing="0" w:after="0" w:afterAutospacing="0"/>
              <w:ind w:left="180"/>
              <w:rPr>
                <w:sz w:val="20"/>
                <w:szCs w:val="20"/>
              </w:rPr>
            </w:pPr>
            <w:r>
              <w:rPr>
                <w:sz w:val="20"/>
                <w:szCs w:val="20"/>
              </w:rPr>
              <w:t>Distributions</w:t>
            </w:r>
          </w:p>
        </w:tc>
        <w:tc>
          <w:tcPr>
            <w:tcW w:w="50" w:type="pct"/>
            <w:shd w:val="clear" w:color="auto" w:fill="CCEEFF"/>
            <w:tcMar>
              <w:top w:w="0" w:type="dxa"/>
              <w:left w:w="0" w:type="dxa"/>
              <w:bottom w:w="15" w:type="dxa"/>
              <w:right w:w="0" w:type="dxa"/>
            </w:tcMar>
            <w:vAlign w:val="bottom"/>
            <w:hideMark/>
          </w:tcPr>
          <w:p w14:paraId="17D182D5"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B94D136" w14:textId="77777777" w:rsidR="00000000" w:rsidRDefault="00322B3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772AE86B" w14:textId="77777777" w:rsidR="00000000" w:rsidRDefault="00322B34">
            <w:pPr>
              <w:jc w:val="right"/>
              <w:rPr>
                <w:rFonts w:eastAsia="Times New Roman"/>
                <w:sz w:val="20"/>
                <w:szCs w:val="20"/>
              </w:rPr>
            </w:pPr>
            <w:r>
              <w:rPr>
                <w:rFonts w:eastAsia="Times New Roman"/>
                <w:sz w:val="20"/>
                <w:szCs w:val="20"/>
              </w:rPr>
              <w:t>(605</w:t>
            </w:r>
          </w:p>
        </w:tc>
        <w:tc>
          <w:tcPr>
            <w:tcW w:w="50" w:type="pct"/>
            <w:shd w:val="clear" w:color="auto" w:fill="CCEEFF"/>
            <w:tcMar>
              <w:top w:w="0" w:type="dxa"/>
              <w:left w:w="0" w:type="dxa"/>
              <w:bottom w:w="15" w:type="dxa"/>
              <w:right w:w="0" w:type="dxa"/>
            </w:tcMar>
            <w:vAlign w:val="bottom"/>
            <w:hideMark/>
          </w:tcPr>
          <w:p w14:paraId="44234EFA"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9999B46"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4E686BA" w14:textId="77777777" w:rsidR="00000000" w:rsidRDefault="00322B3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0ACB4D30" w14:textId="77777777" w:rsidR="00000000" w:rsidRDefault="00322B34">
            <w:pPr>
              <w:jc w:val="right"/>
              <w:rPr>
                <w:rFonts w:eastAsia="Times New Roman"/>
                <w:sz w:val="20"/>
                <w:szCs w:val="20"/>
              </w:rPr>
            </w:pPr>
            <w:r>
              <w:rPr>
                <w:rFonts w:eastAsia="Times New Roman"/>
                <w:sz w:val="20"/>
                <w:szCs w:val="20"/>
              </w:rPr>
              <w:t>(177</w:t>
            </w:r>
          </w:p>
        </w:tc>
        <w:tc>
          <w:tcPr>
            <w:tcW w:w="50" w:type="pct"/>
            <w:shd w:val="clear" w:color="auto" w:fill="CCEEFF"/>
            <w:tcMar>
              <w:top w:w="0" w:type="dxa"/>
              <w:left w:w="0" w:type="dxa"/>
              <w:bottom w:w="15" w:type="dxa"/>
              <w:right w:w="0" w:type="dxa"/>
            </w:tcMar>
            <w:vAlign w:val="bottom"/>
            <w:hideMark/>
          </w:tcPr>
          <w:p w14:paraId="345CE615" w14:textId="77777777" w:rsidR="00000000" w:rsidRDefault="00322B34">
            <w:pPr>
              <w:rPr>
                <w:rFonts w:eastAsia="Times New Roman"/>
                <w:sz w:val="20"/>
                <w:szCs w:val="20"/>
              </w:rPr>
            </w:pPr>
            <w:r>
              <w:rPr>
                <w:rFonts w:eastAsia="Times New Roman"/>
                <w:sz w:val="20"/>
                <w:szCs w:val="20"/>
              </w:rPr>
              <w:t>)</w:t>
            </w:r>
          </w:p>
        </w:tc>
      </w:tr>
      <w:tr w:rsidR="00000000" w14:paraId="6E919F8D" w14:textId="77777777">
        <w:trPr>
          <w:tblCellSpacing w:w="0" w:type="dxa"/>
        </w:trPr>
        <w:tc>
          <w:tcPr>
            <w:tcW w:w="0" w:type="auto"/>
            <w:shd w:val="clear" w:color="auto" w:fill="FFFFFF"/>
            <w:vAlign w:val="bottom"/>
            <w:hideMark/>
          </w:tcPr>
          <w:p w14:paraId="1A25A1AF" w14:textId="77777777" w:rsidR="00000000" w:rsidRDefault="00322B34">
            <w:pPr>
              <w:pStyle w:val="a3"/>
              <w:spacing w:before="0" w:beforeAutospacing="0" w:after="0" w:afterAutospacing="0"/>
              <w:rPr>
                <w:sz w:val="20"/>
                <w:szCs w:val="20"/>
              </w:rPr>
            </w:pPr>
            <w:r>
              <w:rPr>
                <w:sz w:val="20"/>
                <w:szCs w:val="20"/>
              </w:rPr>
              <w:t>Balance at June 30,</w:t>
            </w:r>
          </w:p>
        </w:tc>
        <w:tc>
          <w:tcPr>
            <w:tcW w:w="50" w:type="pct"/>
            <w:shd w:val="clear" w:color="auto" w:fill="FFFFFF"/>
            <w:vAlign w:val="bottom"/>
            <w:hideMark/>
          </w:tcPr>
          <w:p w14:paraId="30B8876C"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23013B3" w14:textId="77777777" w:rsidR="00000000" w:rsidRDefault="00322B34">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14:paraId="79708F38" w14:textId="77777777" w:rsidR="00000000" w:rsidRDefault="00322B34">
            <w:pPr>
              <w:jc w:val="right"/>
              <w:rPr>
                <w:rFonts w:eastAsia="Times New Roman"/>
                <w:sz w:val="20"/>
                <w:szCs w:val="20"/>
              </w:rPr>
            </w:pPr>
            <w:r>
              <w:rPr>
                <w:rFonts w:eastAsia="Times New Roman"/>
                <w:b/>
                <w:bCs/>
                <w:sz w:val="20"/>
                <w:szCs w:val="20"/>
              </w:rPr>
              <w:t>17,943</w:t>
            </w:r>
          </w:p>
        </w:tc>
        <w:tc>
          <w:tcPr>
            <w:tcW w:w="50" w:type="pct"/>
            <w:shd w:val="clear" w:color="auto" w:fill="FFFFFF"/>
            <w:tcMar>
              <w:top w:w="0" w:type="dxa"/>
              <w:left w:w="0" w:type="dxa"/>
              <w:bottom w:w="45" w:type="dxa"/>
              <w:right w:w="0" w:type="dxa"/>
            </w:tcMar>
            <w:vAlign w:val="bottom"/>
            <w:hideMark/>
          </w:tcPr>
          <w:p w14:paraId="6E33455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F7E6F5"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4642271" w14:textId="77777777" w:rsidR="00000000" w:rsidRDefault="00322B34">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14:paraId="308A0FEF" w14:textId="77777777" w:rsidR="00000000" w:rsidRDefault="00322B34">
            <w:pPr>
              <w:jc w:val="right"/>
              <w:rPr>
                <w:rFonts w:eastAsia="Times New Roman"/>
                <w:sz w:val="20"/>
                <w:szCs w:val="20"/>
              </w:rPr>
            </w:pPr>
            <w:r>
              <w:rPr>
                <w:rFonts w:eastAsia="Times New Roman"/>
                <w:b/>
                <w:bCs/>
                <w:sz w:val="20"/>
                <w:szCs w:val="20"/>
              </w:rPr>
              <w:t>23,690</w:t>
            </w:r>
          </w:p>
        </w:tc>
        <w:tc>
          <w:tcPr>
            <w:tcW w:w="50" w:type="pct"/>
            <w:shd w:val="clear" w:color="auto" w:fill="FFFFFF"/>
            <w:tcMar>
              <w:top w:w="0" w:type="dxa"/>
              <w:left w:w="0" w:type="dxa"/>
              <w:bottom w:w="45" w:type="dxa"/>
              <w:right w:w="0" w:type="dxa"/>
            </w:tcMar>
            <w:vAlign w:val="bottom"/>
            <w:hideMark/>
          </w:tcPr>
          <w:p w14:paraId="3B921738" w14:textId="77777777" w:rsidR="00000000" w:rsidRDefault="00322B34">
            <w:pPr>
              <w:rPr>
                <w:rFonts w:eastAsia="Times New Roman"/>
                <w:sz w:val="20"/>
                <w:szCs w:val="20"/>
              </w:rPr>
            </w:pPr>
            <w:r>
              <w:rPr>
                <w:rFonts w:eastAsia="Times New Roman"/>
                <w:sz w:val="20"/>
                <w:szCs w:val="20"/>
              </w:rPr>
              <w:t> </w:t>
            </w:r>
          </w:p>
        </w:tc>
      </w:tr>
    </w:tbl>
    <w:p w14:paraId="63A2C6C0" w14:textId="77777777" w:rsidR="00000000" w:rsidRDefault="00322B34">
      <w:pPr>
        <w:pStyle w:val="a3"/>
        <w:spacing w:before="0" w:beforeAutospacing="0" w:after="0" w:afterAutospacing="0"/>
        <w:ind w:left="1440"/>
        <w:jc w:val="both"/>
        <w:rPr>
          <w:sz w:val="20"/>
          <w:szCs w:val="20"/>
        </w:rPr>
      </w:pPr>
      <w:r>
        <w:rPr>
          <w:sz w:val="20"/>
          <w:szCs w:val="20"/>
        </w:rPr>
        <w:t> </w:t>
      </w:r>
    </w:p>
    <w:p w14:paraId="76AFAE8E" w14:textId="77777777" w:rsidR="00000000" w:rsidRDefault="00322B34">
      <w:pPr>
        <w:divId w:val="1682123436"/>
        <w:rPr>
          <w:rFonts w:eastAsia="Times New Roman"/>
          <w:sz w:val="20"/>
          <w:szCs w:val="20"/>
        </w:rPr>
      </w:pPr>
      <w:r>
        <w:rPr>
          <w:rFonts w:eastAsia="Times New Roman"/>
          <w:sz w:val="20"/>
          <w:szCs w:val="20"/>
        </w:rPr>
        <w:t xml:space="preserve">  </w:t>
      </w:r>
    </w:p>
    <w:p w14:paraId="4CC872A0" w14:textId="77777777" w:rsidR="00000000" w:rsidRDefault="00322B34">
      <w:pPr>
        <w:pStyle w:val="a3"/>
        <w:spacing w:before="0" w:beforeAutospacing="0" w:after="0" w:afterAutospacing="0"/>
        <w:jc w:val="both"/>
        <w:rPr>
          <w:sz w:val="20"/>
          <w:szCs w:val="20"/>
        </w:rPr>
      </w:pPr>
      <w:r>
        <w:rPr>
          <w:rStyle w:val="a6"/>
          <w:sz w:val="20"/>
          <w:szCs w:val="20"/>
        </w:rPr>
        <w:t>10.</w:t>
      </w:r>
      <w:r>
        <w:rPr>
          <w:sz w:val="20"/>
          <w:szCs w:val="20"/>
        </w:rPr>
        <w:t xml:space="preserve"> </w:t>
      </w:r>
      <w:r>
        <w:rPr>
          <w:sz w:val="20"/>
          <w:szCs w:val="20"/>
          <w:u w:val="single"/>
        </w:rPr>
        <w:t>Variable Interest Entities (“VIE”)</w:t>
      </w:r>
    </w:p>
    <w:p w14:paraId="40E23379" w14:textId="77777777" w:rsidR="00000000" w:rsidRDefault="00322B34">
      <w:pPr>
        <w:pStyle w:val="a3"/>
        <w:spacing w:before="0" w:beforeAutospacing="0" w:after="0" w:afterAutospacing="0"/>
        <w:jc w:val="both"/>
        <w:rPr>
          <w:sz w:val="20"/>
          <w:szCs w:val="20"/>
        </w:rPr>
      </w:pPr>
      <w:r>
        <w:rPr>
          <w:sz w:val="20"/>
          <w:szCs w:val="20"/>
        </w:rPr>
        <w:t> </w:t>
      </w:r>
    </w:p>
    <w:p w14:paraId="40DD9082" w14:textId="77777777" w:rsidR="00000000" w:rsidRDefault="00322B34">
      <w:pPr>
        <w:pStyle w:val="a3"/>
        <w:spacing w:before="0" w:beforeAutospacing="0" w:after="0" w:afterAutospacing="0"/>
        <w:ind w:firstLine="360"/>
        <w:jc w:val="both"/>
        <w:rPr>
          <w:sz w:val="20"/>
          <w:szCs w:val="20"/>
        </w:rPr>
      </w:pPr>
      <w:r>
        <w:rPr>
          <w:sz w:val="20"/>
          <w:szCs w:val="20"/>
        </w:rPr>
        <w:t xml:space="preserve">Included within the Company’s consolidated operating properties at both </w:t>
      </w:r>
      <w:r>
        <w:rPr>
          <w:rStyle w:val="a6"/>
          <w:sz w:val="20"/>
          <w:szCs w:val="20"/>
        </w:rPr>
        <w:t xml:space="preserve">June 30, 2020 </w:t>
      </w:r>
      <w:r>
        <w:rPr>
          <w:sz w:val="20"/>
          <w:szCs w:val="20"/>
        </w:rPr>
        <w:t xml:space="preserve">and </w:t>
      </w:r>
      <w:r>
        <w:rPr>
          <w:rStyle w:val="a6"/>
          <w:sz w:val="20"/>
          <w:szCs w:val="20"/>
        </w:rPr>
        <w:t xml:space="preserve">December 31, 2019, </w:t>
      </w:r>
      <w:r>
        <w:rPr>
          <w:sz w:val="20"/>
          <w:szCs w:val="20"/>
        </w:rPr>
        <w:t>are 22 consolidated entities that are VIEs, for which the Company is the primary beneficiary. These entities have been established to own and opera</w:t>
      </w:r>
      <w:r>
        <w:rPr>
          <w:sz w:val="20"/>
          <w:szCs w:val="20"/>
        </w:rPr>
        <w:t xml:space="preserve">te real estate property. The Company’s involvement with these entities is through its majority ownership and management of the properties. The entities were deemed VIEs primarily because the unrelated investors do </w:t>
      </w:r>
      <w:r>
        <w:rPr>
          <w:rStyle w:val="a6"/>
          <w:sz w:val="20"/>
          <w:szCs w:val="20"/>
        </w:rPr>
        <w:t>not</w:t>
      </w:r>
      <w:r>
        <w:rPr>
          <w:sz w:val="20"/>
          <w:szCs w:val="20"/>
        </w:rPr>
        <w:t xml:space="preserve"> have substantive kick-out rights to re</w:t>
      </w:r>
      <w:r>
        <w:rPr>
          <w:sz w:val="20"/>
          <w:szCs w:val="20"/>
        </w:rPr>
        <w:t xml:space="preserve">move the general or managing partner by a vote of a simple majority or less, and they do </w:t>
      </w:r>
      <w:r>
        <w:rPr>
          <w:rStyle w:val="a6"/>
          <w:sz w:val="20"/>
          <w:szCs w:val="20"/>
        </w:rPr>
        <w:t>not</w:t>
      </w:r>
      <w:r>
        <w:rPr>
          <w:sz w:val="20"/>
          <w:szCs w:val="20"/>
        </w:rPr>
        <w:t xml:space="preserve"> have substantive participating rights. The Company determined that it was the primary beneficiary of these VIEs as a result of its controlling financial interest. </w:t>
      </w:r>
      <w:r>
        <w:rPr>
          <w:sz w:val="20"/>
          <w:szCs w:val="20"/>
        </w:rPr>
        <w:t xml:space="preserve">At </w:t>
      </w:r>
      <w:r>
        <w:rPr>
          <w:rStyle w:val="a6"/>
          <w:sz w:val="20"/>
          <w:szCs w:val="20"/>
        </w:rPr>
        <w:t xml:space="preserve">June 30, 2020, </w:t>
      </w:r>
      <w:r>
        <w:rPr>
          <w:sz w:val="20"/>
          <w:szCs w:val="20"/>
        </w:rPr>
        <w:t xml:space="preserve">total assets of these VIEs were $1.0 billion and total liabilities were $64.8 million. At </w:t>
      </w:r>
      <w:r>
        <w:rPr>
          <w:rStyle w:val="a6"/>
          <w:sz w:val="20"/>
          <w:szCs w:val="20"/>
        </w:rPr>
        <w:t xml:space="preserve">December 31, 2019, </w:t>
      </w:r>
      <w:r>
        <w:rPr>
          <w:sz w:val="20"/>
          <w:szCs w:val="20"/>
        </w:rPr>
        <w:t>total assets of these VIEs were $0.9 billion and total liabilities were $70.9 million.</w:t>
      </w:r>
    </w:p>
    <w:p w14:paraId="0EFDA61E" w14:textId="77777777" w:rsidR="00000000" w:rsidRDefault="00322B34">
      <w:pPr>
        <w:pStyle w:val="a3"/>
        <w:spacing w:before="0" w:beforeAutospacing="0" w:after="0" w:afterAutospacing="0"/>
        <w:ind w:firstLine="360"/>
        <w:jc w:val="both"/>
        <w:rPr>
          <w:sz w:val="20"/>
          <w:szCs w:val="20"/>
        </w:rPr>
      </w:pPr>
      <w:r>
        <w:rPr>
          <w:sz w:val="20"/>
          <w:szCs w:val="20"/>
        </w:rPr>
        <w:t> </w:t>
      </w:r>
    </w:p>
    <w:p w14:paraId="33DA8D0A" w14:textId="77777777" w:rsidR="00000000" w:rsidRDefault="00322B34">
      <w:pPr>
        <w:pStyle w:val="a3"/>
        <w:spacing w:before="0" w:beforeAutospacing="0" w:after="0" w:afterAutospacing="0"/>
        <w:ind w:firstLine="360"/>
        <w:jc w:val="both"/>
        <w:rPr>
          <w:sz w:val="20"/>
          <w:szCs w:val="20"/>
        </w:rPr>
      </w:pPr>
      <w:r>
        <w:rPr>
          <w:sz w:val="20"/>
          <w:szCs w:val="20"/>
        </w:rPr>
        <w:t xml:space="preserve">The majority of the operations of these VIEs are funded with cash flows generated from the properties. The Company has </w:t>
      </w:r>
      <w:r>
        <w:rPr>
          <w:rStyle w:val="a6"/>
          <w:sz w:val="20"/>
          <w:szCs w:val="20"/>
        </w:rPr>
        <w:t>not</w:t>
      </w:r>
      <w:r>
        <w:rPr>
          <w:sz w:val="20"/>
          <w:szCs w:val="20"/>
        </w:rPr>
        <w:t xml:space="preserve"> provided financial support to any of these VIEs that it was </w:t>
      </w:r>
      <w:r>
        <w:rPr>
          <w:rStyle w:val="a6"/>
          <w:sz w:val="20"/>
          <w:szCs w:val="20"/>
        </w:rPr>
        <w:t>not</w:t>
      </w:r>
      <w:r>
        <w:rPr>
          <w:sz w:val="20"/>
          <w:szCs w:val="20"/>
        </w:rPr>
        <w:t xml:space="preserve"> previously contractually required to provide, which consists primaril</w:t>
      </w:r>
      <w:r>
        <w:rPr>
          <w:sz w:val="20"/>
          <w:szCs w:val="20"/>
        </w:rPr>
        <w:t xml:space="preserve">y of funding any capital expenditures, including tenant improvements, which are deemed necessary to continue to operate the entity and any operating cash shortfalls that the entity </w:t>
      </w:r>
      <w:r>
        <w:rPr>
          <w:rStyle w:val="a6"/>
          <w:sz w:val="20"/>
          <w:szCs w:val="20"/>
        </w:rPr>
        <w:t xml:space="preserve">may </w:t>
      </w:r>
      <w:r>
        <w:rPr>
          <w:sz w:val="20"/>
          <w:szCs w:val="20"/>
        </w:rPr>
        <w:t>experience.</w:t>
      </w:r>
    </w:p>
    <w:p w14:paraId="62617EB0" w14:textId="77777777" w:rsidR="00000000" w:rsidRDefault="00322B34">
      <w:pPr>
        <w:pStyle w:val="a3"/>
        <w:spacing w:before="0" w:beforeAutospacing="0" w:after="0" w:afterAutospacing="0"/>
        <w:ind w:firstLine="720"/>
        <w:jc w:val="both"/>
        <w:rPr>
          <w:sz w:val="20"/>
          <w:szCs w:val="20"/>
        </w:rPr>
      </w:pPr>
      <w:r>
        <w:rPr>
          <w:sz w:val="20"/>
          <w:szCs w:val="20"/>
        </w:rPr>
        <w:t> </w:t>
      </w:r>
    </w:p>
    <w:p w14:paraId="51461FC5" w14:textId="77777777" w:rsidR="00000000" w:rsidRDefault="00322B34">
      <w:pPr>
        <w:pStyle w:val="a3"/>
        <w:spacing w:before="0" w:beforeAutospacing="0" w:after="0" w:afterAutospacing="0"/>
        <w:ind w:firstLine="360"/>
        <w:jc w:val="both"/>
        <w:rPr>
          <w:sz w:val="20"/>
          <w:szCs w:val="20"/>
        </w:rPr>
      </w:pPr>
      <w:r>
        <w:rPr>
          <w:sz w:val="20"/>
          <w:szCs w:val="20"/>
        </w:rPr>
        <w:t>Additionally, included within the Company’s real estate d</w:t>
      </w:r>
      <w:r>
        <w:rPr>
          <w:sz w:val="20"/>
          <w:szCs w:val="20"/>
        </w:rPr>
        <w:t xml:space="preserve">evelopment projects at </w:t>
      </w:r>
      <w:r>
        <w:rPr>
          <w:rStyle w:val="a6"/>
          <w:sz w:val="20"/>
          <w:szCs w:val="20"/>
        </w:rPr>
        <w:t xml:space="preserve">December 31, 2019, </w:t>
      </w:r>
      <w:r>
        <w:rPr>
          <w:sz w:val="20"/>
          <w:szCs w:val="20"/>
        </w:rPr>
        <w:t>is</w:t>
      </w:r>
      <w:r>
        <w:rPr>
          <w:sz w:val="20"/>
          <w:szCs w:val="20"/>
        </w:rPr>
        <w:t xml:space="preserve"> </w:t>
      </w:r>
      <w:r>
        <w:rPr>
          <w:sz w:val="20"/>
          <w:szCs w:val="20"/>
        </w:rPr>
        <w:t>on</w:t>
      </w:r>
      <w:r>
        <w:rPr>
          <w:sz w:val="20"/>
          <w:szCs w:val="20"/>
        </w:rPr>
        <w:t>e</w:t>
      </w:r>
      <w:r>
        <w:rPr>
          <w:sz w:val="20"/>
          <w:szCs w:val="20"/>
        </w:rPr>
        <w:t xml:space="preserve"> consolidated entity that was a VIE, for which the Company was the primary beneficiary. This entity had been established to develop a real estate property to hold as a long-term investment. The Company’s invo</w:t>
      </w:r>
      <w:r>
        <w:rPr>
          <w:sz w:val="20"/>
          <w:szCs w:val="20"/>
        </w:rPr>
        <w:t xml:space="preserve">lvement with this entity is through its majority ownership and management of the property. This entity was deemed a VIE primarily because the equity investments at risk were </w:t>
      </w:r>
      <w:r>
        <w:rPr>
          <w:rStyle w:val="a6"/>
          <w:sz w:val="20"/>
          <w:szCs w:val="20"/>
        </w:rPr>
        <w:t>not</w:t>
      </w:r>
      <w:r>
        <w:rPr>
          <w:sz w:val="20"/>
          <w:szCs w:val="20"/>
        </w:rPr>
        <w:t xml:space="preserve"> sufficient to permit the entity to finance its activities without additional f</w:t>
      </w:r>
      <w:r>
        <w:rPr>
          <w:sz w:val="20"/>
          <w:szCs w:val="20"/>
        </w:rPr>
        <w:t xml:space="preserve">inancial support. The initial equity contributed to this entity was </w:t>
      </w:r>
      <w:r>
        <w:rPr>
          <w:rStyle w:val="a6"/>
          <w:sz w:val="20"/>
          <w:szCs w:val="20"/>
        </w:rPr>
        <w:t>not</w:t>
      </w:r>
      <w:r>
        <w:rPr>
          <w:sz w:val="20"/>
          <w:szCs w:val="20"/>
        </w:rPr>
        <w:t xml:space="preserve"> sufficient to fully finance the real estate construction as development costs are funded by the partners throughout the construction period. The Company determined that it was the prim</w:t>
      </w:r>
      <w:r>
        <w:rPr>
          <w:sz w:val="20"/>
          <w:szCs w:val="20"/>
        </w:rPr>
        <w:t xml:space="preserve">ary beneficiary of this VIE as a result of its controlling financial interest. At </w:t>
      </w:r>
      <w:r>
        <w:rPr>
          <w:rStyle w:val="a6"/>
          <w:sz w:val="20"/>
          <w:szCs w:val="20"/>
        </w:rPr>
        <w:t xml:space="preserve">December 31, 2019, </w:t>
      </w:r>
      <w:r>
        <w:rPr>
          <w:sz w:val="20"/>
          <w:szCs w:val="20"/>
        </w:rPr>
        <w:t xml:space="preserve">total assets of this real estate development VIE were $346.9 million and total liabilities were $82.5 million. During the </w:t>
      </w:r>
      <w:r>
        <w:rPr>
          <w:rStyle w:val="a6"/>
          <w:sz w:val="20"/>
          <w:szCs w:val="20"/>
        </w:rPr>
        <w:t>six</w:t>
      </w:r>
      <w:r>
        <w:rPr>
          <w:sz w:val="20"/>
          <w:szCs w:val="20"/>
        </w:rPr>
        <w:t xml:space="preserve"> months ended </w:t>
      </w:r>
      <w:r>
        <w:rPr>
          <w:rStyle w:val="a6"/>
          <w:sz w:val="20"/>
          <w:szCs w:val="20"/>
        </w:rPr>
        <w:t xml:space="preserve">June 30, 2020 </w:t>
      </w:r>
      <w:r>
        <w:rPr>
          <w:sz w:val="20"/>
          <w:szCs w:val="20"/>
        </w:rPr>
        <w:t>th</w:t>
      </w:r>
      <w:r>
        <w:rPr>
          <w:sz w:val="20"/>
          <w:szCs w:val="20"/>
        </w:rPr>
        <w:t xml:space="preserve">e Company purchased the partner’s noncontrolling interest and maintains full ownership of the entity. As a result, the entity is </w:t>
      </w:r>
      <w:r>
        <w:rPr>
          <w:rStyle w:val="a6"/>
          <w:sz w:val="20"/>
          <w:szCs w:val="20"/>
        </w:rPr>
        <w:t>no</w:t>
      </w:r>
      <w:r>
        <w:rPr>
          <w:sz w:val="20"/>
          <w:szCs w:val="20"/>
        </w:rPr>
        <w:t xml:space="preserve"> longer a VIE.</w:t>
      </w:r>
    </w:p>
    <w:p w14:paraId="0A3DAFBF" w14:textId="77777777" w:rsidR="00000000" w:rsidRDefault="00322B34">
      <w:pPr>
        <w:pStyle w:val="a3"/>
        <w:spacing w:before="0" w:beforeAutospacing="0" w:after="0" w:afterAutospacing="0"/>
        <w:ind w:firstLine="720"/>
        <w:jc w:val="both"/>
        <w:rPr>
          <w:sz w:val="20"/>
          <w:szCs w:val="20"/>
        </w:rPr>
      </w:pPr>
      <w:r>
        <w:rPr>
          <w:sz w:val="20"/>
          <w:szCs w:val="20"/>
        </w:rPr>
        <w:t> </w:t>
      </w:r>
    </w:p>
    <w:p w14:paraId="7B8BEA6E" w14:textId="77777777" w:rsidR="00000000" w:rsidRDefault="00322B34">
      <w:pPr>
        <w:pStyle w:val="a3"/>
        <w:spacing w:before="0" w:beforeAutospacing="0" w:after="0" w:afterAutospacing="0"/>
        <w:ind w:firstLine="360"/>
        <w:jc w:val="both"/>
        <w:rPr>
          <w:sz w:val="20"/>
          <w:szCs w:val="20"/>
        </w:rPr>
      </w:pPr>
      <w:r>
        <w:rPr>
          <w:sz w:val="20"/>
          <w:szCs w:val="20"/>
        </w:rPr>
        <w:t>All liabilities of these consolidated VIEs are non-recourse to the Company (“VIE Liabilities”). The assets o</w:t>
      </w:r>
      <w:r>
        <w:rPr>
          <w:sz w:val="20"/>
          <w:szCs w:val="20"/>
        </w:rPr>
        <w:t xml:space="preserve">f the unencumbered VIEs are </w:t>
      </w:r>
      <w:r>
        <w:rPr>
          <w:rStyle w:val="a6"/>
          <w:sz w:val="20"/>
          <w:szCs w:val="20"/>
        </w:rPr>
        <w:t>not</w:t>
      </w:r>
      <w:r>
        <w:rPr>
          <w:sz w:val="20"/>
          <w:szCs w:val="20"/>
        </w:rPr>
        <w:t xml:space="preserve"> restricted for use to settle only the obligations of these VIEs. The remaining VIE assets are encumbered by </w:t>
      </w:r>
      <w:r>
        <w:rPr>
          <w:rStyle w:val="a6"/>
          <w:sz w:val="20"/>
          <w:szCs w:val="20"/>
        </w:rPr>
        <w:t>third</w:t>
      </w:r>
      <w:r>
        <w:rPr>
          <w:sz w:val="20"/>
          <w:szCs w:val="20"/>
        </w:rPr>
        <w:t xml:space="preserve"> party non-recourse mortgage debt and a construction loan. The assets associated with these encumbered VIEs (“R</w:t>
      </w:r>
      <w:r>
        <w:rPr>
          <w:sz w:val="20"/>
          <w:szCs w:val="20"/>
        </w:rPr>
        <w:t>estricted Assets”) are collateral under the respective mortgages and a construction loan and are therefore restricted and can only be used to settle the corresponding liabilities of the VIE. The table below summarizes the consolidated VIEs and the classifi</w:t>
      </w:r>
      <w:r>
        <w:rPr>
          <w:sz w:val="20"/>
          <w:szCs w:val="20"/>
        </w:rPr>
        <w:t>cation of the Restricted Assets and VIE Liabilities on the Company’s Condensed Consolidated Balance Sheets as follows (dollars in millions):</w:t>
      </w:r>
    </w:p>
    <w:p w14:paraId="41AD7911"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029"/>
        <w:gridCol w:w="67"/>
        <w:gridCol w:w="100"/>
        <w:gridCol w:w="1487"/>
        <w:gridCol w:w="67"/>
        <w:gridCol w:w="68"/>
        <w:gridCol w:w="101"/>
        <w:gridCol w:w="1488"/>
        <w:gridCol w:w="68"/>
      </w:tblGrid>
      <w:tr w:rsidR="00000000" w14:paraId="63972F82" w14:textId="77777777">
        <w:trPr>
          <w:tblCellSpacing w:w="0" w:type="dxa"/>
        </w:trPr>
        <w:tc>
          <w:tcPr>
            <w:tcW w:w="2700" w:type="pct"/>
            <w:vAlign w:val="bottom"/>
            <w:hideMark/>
          </w:tcPr>
          <w:p w14:paraId="370A6BCD" w14:textId="77777777" w:rsidR="00000000" w:rsidRDefault="00322B34">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14:paraId="25D65D28"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BC09E86" w14:textId="77777777" w:rsidR="00000000" w:rsidRDefault="00322B34">
            <w:pPr>
              <w:pStyle w:val="a3"/>
              <w:spacing w:before="0" w:beforeAutospacing="0" w:after="0" w:afterAutospacing="0"/>
              <w:jc w:val="center"/>
              <w:rPr>
                <w:sz w:val="20"/>
                <w:szCs w:val="20"/>
              </w:rPr>
            </w:pPr>
            <w:r>
              <w:rPr>
                <w:b/>
                <w:bCs/>
                <w:sz w:val="20"/>
                <w:szCs w:val="20"/>
              </w:rPr>
              <w:t>As of June 30, 2020</w:t>
            </w:r>
          </w:p>
        </w:tc>
        <w:tc>
          <w:tcPr>
            <w:tcW w:w="50" w:type="pct"/>
            <w:tcMar>
              <w:top w:w="0" w:type="dxa"/>
              <w:left w:w="0" w:type="dxa"/>
              <w:bottom w:w="15" w:type="dxa"/>
              <w:right w:w="0" w:type="dxa"/>
            </w:tcMar>
            <w:vAlign w:val="bottom"/>
            <w:hideMark/>
          </w:tcPr>
          <w:p w14:paraId="178E501A" w14:textId="77777777" w:rsidR="00000000" w:rsidRDefault="00322B34">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14:paraId="49A3AB9E"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6FBB2C1" w14:textId="77777777" w:rsidR="00000000" w:rsidRDefault="00322B34">
            <w:pPr>
              <w:pStyle w:val="a3"/>
              <w:spacing w:before="0" w:beforeAutospacing="0" w:after="0" w:afterAutospacing="0"/>
              <w:jc w:val="center"/>
              <w:rPr>
                <w:sz w:val="20"/>
                <w:szCs w:val="20"/>
              </w:rPr>
            </w:pPr>
            <w:r>
              <w:rPr>
                <w:b/>
                <w:bCs/>
                <w:sz w:val="20"/>
                <w:szCs w:val="20"/>
              </w:rPr>
              <w:t>As of December 31, 2019</w:t>
            </w:r>
          </w:p>
        </w:tc>
        <w:tc>
          <w:tcPr>
            <w:tcW w:w="50" w:type="pct"/>
            <w:tcMar>
              <w:top w:w="0" w:type="dxa"/>
              <w:left w:w="0" w:type="dxa"/>
              <w:bottom w:w="15" w:type="dxa"/>
              <w:right w:w="0" w:type="dxa"/>
            </w:tcMar>
            <w:vAlign w:val="bottom"/>
            <w:hideMark/>
          </w:tcPr>
          <w:p w14:paraId="21054E3D" w14:textId="77777777" w:rsidR="00000000" w:rsidRDefault="00322B34">
            <w:pPr>
              <w:rPr>
                <w:rFonts w:eastAsia="Times New Roman"/>
                <w:sz w:val="20"/>
                <w:szCs w:val="20"/>
              </w:rPr>
            </w:pPr>
            <w:r>
              <w:rPr>
                <w:rFonts w:eastAsia="Times New Roman"/>
                <w:sz w:val="20"/>
                <w:szCs w:val="20"/>
              </w:rPr>
              <w:t> </w:t>
            </w:r>
          </w:p>
        </w:tc>
      </w:tr>
      <w:tr w:rsidR="00000000" w14:paraId="27C26CD9" w14:textId="77777777">
        <w:trPr>
          <w:tblCellSpacing w:w="0" w:type="dxa"/>
        </w:trPr>
        <w:tc>
          <w:tcPr>
            <w:tcW w:w="2700" w:type="pct"/>
            <w:shd w:val="clear" w:color="auto" w:fill="CCEEFF"/>
            <w:vAlign w:val="bottom"/>
            <w:hideMark/>
          </w:tcPr>
          <w:p w14:paraId="3A0674A7" w14:textId="77777777" w:rsidR="00000000" w:rsidRDefault="00322B34">
            <w:pPr>
              <w:pStyle w:val="a3"/>
              <w:spacing w:before="0" w:beforeAutospacing="0" w:after="0" w:afterAutospacing="0"/>
              <w:rPr>
                <w:sz w:val="20"/>
                <w:szCs w:val="20"/>
              </w:rPr>
            </w:pPr>
            <w:r>
              <w:rPr>
                <w:sz w:val="20"/>
                <w:szCs w:val="20"/>
              </w:rPr>
              <w:t>Number of unencumbered VIEs</w:t>
            </w:r>
          </w:p>
        </w:tc>
        <w:tc>
          <w:tcPr>
            <w:tcW w:w="50" w:type="pct"/>
            <w:tcBorders>
              <w:bottom w:val="nil"/>
            </w:tcBorders>
            <w:shd w:val="clear" w:color="auto" w:fill="CCEEFF"/>
            <w:vAlign w:val="bottom"/>
            <w:hideMark/>
          </w:tcPr>
          <w:p w14:paraId="24B6101F"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7954CDA" w14:textId="77777777" w:rsidR="00000000" w:rsidRDefault="00322B34">
            <w:pPr>
              <w:rPr>
                <w:rFonts w:eastAsia="Times New Roman"/>
                <w:sz w:val="20"/>
                <w:szCs w:val="20"/>
              </w:rPr>
            </w:pPr>
            <w:r>
              <w:rPr>
                <w:rFonts w:eastAsia="Times New Roman"/>
                <w:sz w:val="20"/>
                <w:szCs w:val="20"/>
              </w:rPr>
              <w:t> </w:t>
            </w:r>
          </w:p>
        </w:tc>
        <w:tc>
          <w:tcPr>
            <w:tcW w:w="1000" w:type="pct"/>
            <w:tcBorders>
              <w:bottom w:val="nil"/>
            </w:tcBorders>
            <w:shd w:val="clear" w:color="auto" w:fill="CCEEFF"/>
            <w:vAlign w:val="bottom"/>
            <w:hideMark/>
          </w:tcPr>
          <w:p w14:paraId="35B22DFF" w14:textId="77777777" w:rsidR="00000000" w:rsidRDefault="00322B34">
            <w:pPr>
              <w:jc w:val="right"/>
              <w:rPr>
                <w:rFonts w:eastAsia="Times New Roman"/>
                <w:sz w:val="20"/>
                <w:szCs w:val="20"/>
              </w:rPr>
            </w:pPr>
            <w:r>
              <w:rPr>
                <w:rFonts w:eastAsia="Times New Roman"/>
                <w:sz w:val="20"/>
                <w:szCs w:val="20"/>
              </w:rPr>
              <w:t>19</w:t>
            </w:r>
          </w:p>
        </w:tc>
        <w:tc>
          <w:tcPr>
            <w:tcW w:w="50" w:type="pct"/>
            <w:tcBorders>
              <w:bottom w:val="nil"/>
            </w:tcBorders>
            <w:shd w:val="clear" w:color="auto" w:fill="CCEEFF"/>
            <w:vAlign w:val="bottom"/>
            <w:hideMark/>
          </w:tcPr>
          <w:p w14:paraId="0F9B7192"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960B106"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D741BDA" w14:textId="77777777" w:rsidR="00000000" w:rsidRDefault="00322B34">
            <w:pPr>
              <w:rPr>
                <w:rFonts w:eastAsia="Times New Roman"/>
                <w:sz w:val="20"/>
                <w:szCs w:val="20"/>
              </w:rPr>
            </w:pPr>
            <w:r>
              <w:rPr>
                <w:rFonts w:eastAsia="Times New Roman"/>
                <w:sz w:val="20"/>
                <w:szCs w:val="20"/>
              </w:rPr>
              <w:t> </w:t>
            </w:r>
          </w:p>
        </w:tc>
        <w:tc>
          <w:tcPr>
            <w:tcW w:w="1000" w:type="pct"/>
            <w:tcBorders>
              <w:bottom w:val="nil"/>
            </w:tcBorders>
            <w:shd w:val="clear" w:color="auto" w:fill="CCEEFF"/>
            <w:vAlign w:val="bottom"/>
            <w:hideMark/>
          </w:tcPr>
          <w:p w14:paraId="1A5D70E2" w14:textId="77777777" w:rsidR="00000000" w:rsidRDefault="00322B34">
            <w:pPr>
              <w:jc w:val="right"/>
              <w:rPr>
                <w:rFonts w:eastAsia="Times New Roman"/>
                <w:sz w:val="20"/>
                <w:szCs w:val="20"/>
              </w:rPr>
            </w:pPr>
            <w:r>
              <w:rPr>
                <w:rFonts w:eastAsia="Times New Roman"/>
                <w:sz w:val="20"/>
                <w:szCs w:val="20"/>
              </w:rPr>
              <w:t>19</w:t>
            </w:r>
          </w:p>
        </w:tc>
        <w:tc>
          <w:tcPr>
            <w:tcW w:w="50" w:type="pct"/>
            <w:tcBorders>
              <w:bottom w:val="nil"/>
            </w:tcBorders>
            <w:shd w:val="clear" w:color="auto" w:fill="CCEEFF"/>
            <w:vAlign w:val="bottom"/>
            <w:hideMark/>
          </w:tcPr>
          <w:p w14:paraId="0DC05D28" w14:textId="77777777" w:rsidR="00000000" w:rsidRDefault="00322B34">
            <w:pPr>
              <w:rPr>
                <w:rFonts w:eastAsia="Times New Roman"/>
                <w:sz w:val="20"/>
                <w:szCs w:val="20"/>
              </w:rPr>
            </w:pPr>
            <w:r>
              <w:rPr>
                <w:rFonts w:eastAsia="Times New Roman"/>
                <w:sz w:val="20"/>
                <w:szCs w:val="20"/>
              </w:rPr>
              <w:t> </w:t>
            </w:r>
          </w:p>
        </w:tc>
      </w:tr>
      <w:tr w:rsidR="00000000" w14:paraId="40F61CBF" w14:textId="77777777">
        <w:trPr>
          <w:tblCellSpacing w:w="0" w:type="dxa"/>
        </w:trPr>
        <w:tc>
          <w:tcPr>
            <w:tcW w:w="2700" w:type="pct"/>
            <w:shd w:val="clear" w:color="auto" w:fill="FFFFFF"/>
            <w:vAlign w:val="bottom"/>
            <w:hideMark/>
          </w:tcPr>
          <w:p w14:paraId="68D685D7" w14:textId="77777777" w:rsidR="00000000" w:rsidRDefault="00322B34">
            <w:pPr>
              <w:pStyle w:val="a3"/>
              <w:spacing w:before="0" w:beforeAutospacing="0" w:after="0" w:afterAutospacing="0"/>
              <w:rPr>
                <w:sz w:val="20"/>
                <w:szCs w:val="20"/>
              </w:rPr>
            </w:pPr>
            <w:r>
              <w:rPr>
                <w:sz w:val="20"/>
                <w:szCs w:val="20"/>
              </w:rPr>
              <w:t>Number of encumbered VIEs</w:t>
            </w:r>
          </w:p>
        </w:tc>
        <w:tc>
          <w:tcPr>
            <w:tcW w:w="50" w:type="pct"/>
            <w:shd w:val="clear" w:color="auto" w:fill="FFFFFF"/>
            <w:tcMar>
              <w:top w:w="0" w:type="dxa"/>
              <w:left w:w="0" w:type="dxa"/>
              <w:bottom w:w="15" w:type="dxa"/>
              <w:right w:w="0" w:type="dxa"/>
            </w:tcMar>
            <w:vAlign w:val="bottom"/>
            <w:hideMark/>
          </w:tcPr>
          <w:p w14:paraId="08D96E1D"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861FC52" w14:textId="77777777" w:rsidR="00000000" w:rsidRDefault="00322B34">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FFFFFF"/>
            <w:vAlign w:val="bottom"/>
            <w:hideMark/>
          </w:tcPr>
          <w:p w14:paraId="02198898" w14:textId="77777777" w:rsidR="00000000" w:rsidRDefault="00322B34">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14:paraId="2899E88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337ACE40"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9474F1C" w14:textId="77777777" w:rsidR="00000000" w:rsidRDefault="00322B34">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FFFFFF"/>
            <w:vAlign w:val="bottom"/>
            <w:hideMark/>
          </w:tcPr>
          <w:p w14:paraId="0FB2A131" w14:textId="77777777" w:rsidR="00000000" w:rsidRDefault="00322B34">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14:paraId="52DE9B3C" w14:textId="77777777" w:rsidR="00000000" w:rsidRDefault="00322B34">
            <w:pPr>
              <w:rPr>
                <w:rFonts w:eastAsia="Times New Roman"/>
                <w:sz w:val="20"/>
                <w:szCs w:val="20"/>
              </w:rPr>
            </w:pPr>
            <w:r>
              <w:rPr>
                <w:rFonts w:eastAsia="Times New Roman"/>
                <w:sz w:val="20"/>
                <w:szCs w:val="20"/>
              </w:rPr>
              <w:t> </w:t>
            </w:r>
          </w:p>
        </w:tc>
      </w:tr>
      <w:tr w:rsidR="00000000" w14:paraId="6B06702D" w14:textId="77777777">
        <w:trPr>
          <w:tblCellSpacing w:w="0" w:type="dxa"/>
        </w:trPr>
        <w:tc>
          <w:tcPr>
            <w:tcW w:w="2700" w:type="pct"/>
            <w:shd w:val="clear" w:color="auto" w:fill="CCEEFF"/>
            <w:vAlign w:val="bottom"/>
            <w:hideMark/>
          </w:tcPr>
          <w:p w14:paraId="3CB99DF5" w14:textId="77777777" w:rsidR="00000000" w:rsidRDefault="00322B34">
            <w:pPr>
              <w:pStyle w:val="a3"/>
              <w:spacing w:before="0" w:beforeAutospacing="0" w:after="0" w:afterAutospacing="0"/>
              <w:rPr>
                <w:sz w:val="20"/>
                <w:szCs w:val="20"/>
              </w:rPr>
            </w:pPr>
            <w:r>
              <w:rPr>
                <w:sz w:val="20"/>
                <w:szCs w:val="20"/>
              </w:rPr>
              <w:t>Total number of consolidated VIEs</w:t>
            </w:r>
          </w:p>
        </w:tc>
        <w:tc>
          <w:tcPr>
            <w:tcW w:w="50" w:type="pct"/>
            <w:tcBorders>
              <w:bottom w:val="nil"/>
            </w:tcBorders>
            <w:shd w:val="clear" w:color="auto" w:fill="CCEEFF"/>
            <w:vAlign w:val="bottom"/>
            <w:hideMark/>
          </w:tcPr>
          <w:p w14:paraId="37EDA04A"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22AFA05" w14:textId="77777777" w:rsidR="00000000" w:rsidRDefault="00322B34">
            <w:pPr>
              <w:rPr>
                <w:rFonts w:eastAsia="Times New Roman"/>
                <w:sz w:val="20"/>
                <w:szCs w:val="20"/>
              </w:rPr>
            </w:pPr>
            <w:r>
              <w:rPr>
                <w:rFonts w:eastAsia="Times New Roman"/>
                <w:sz w:val="20"/>
                <w:szCs w:val="20"/>
              </w:rPr>
              <w:t> </w:t>
            </w:r>
          </w:p>
        </w:tc>
        <w:tc>
          <w:tcPr>
            <w:tcW w:w="1000" w:type="pct"/>
            <w:tcBorders>
              <w:bottom w:val="nil"/>
            </w:tcBorders>
            <w:shd w:val="clear" w:color="auto" w:fill="CCEEFF"/>
            <w:vAlign w:val="bottom"/>
            <w:hideMark/>
          </w:tcPr>
          <w:p w14:paraId="35C66211" w14:textId="77777777" w:rsidR="00000000" w:rsidRDefault="00322B34">
            <w:pPr>
              <w:jc w:val="right"/>
              <w:rPr>
                <w:rFonts w:eastAsia="Times New Roman"/>
                <w:sz w:val="20"/>
                <w:szCs w:val="20"/>
              </w:rPr>
            </w:pPr>
            <w:r>
              <w:rPr>
                <w:rFonts w:eastAsia="Times New Roman"/>
                <w:sz w:val="20"/>
                <w:szCs w:val="20"/>
              </w:rPr>
              <w:t>22</w:t>
            </w:r>
          </w:p>
        </w:tc>
        <w:tc>
          <w:tcPr>
            <w:tcW w:w="50" w:type="pct"/>
            <w:tcBorders>
              <w:bottom w:val="nil"/>
            </w:tcBorders>
            <w:shd w:val="clear" w:color="auto" w:fill="CCEEFF"/>
            <w:vAlign w:val="bottom"/>
            <w:hideMark/>
          </w:tcPr>
          <w:p w14:paraId="16ACEE42"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33D29C7"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C787BED" w14:textId="77777777" w:rsidR="00000000" w:rsidRDefault="00322B34">
            <w:pPr>
              <w:rPr>
                <w:rFonts w:eastAsia="Times New Roman"/>
                <w:sz w:val="20"/>
                <w:szCs w:val="20"/>
              </w:rPr>
            </w:pPr>
            <w:r>
              <w:rPr>
                <w:rFonts w:eastAsia="Times New Roman"/>
                <w:sz w:val="20"/>
                <w:szCs w:val="20"/>
              </w:rPr>
              <w:t> </w:t>
            </w:r>
          </w:p>
        </w:tc>
        <w:tc>
          <w:tcPr>
            <w:tcW w:w="1000" w:type="pct"/>
            <w:tcBorders>
              <w:bottom w:val="nil"/>
            </w:tcBorders>
            <w:shd w:val="clear" w:color="auto" w:fill="CCEEFF"/>
            <w:vAlign w:val="bottom"/>
            <w:hideMark/>
          </w:tcPr>
          <w:p w14:paraId="15371BA1" w14:textId="77777777" w:rsidR="00000000" w:rsidRDefault="00322B34">
            <w:pPr>
              <w:jc w:val="right"/>
              <w:rPr>
                <w:rFonts w:eastAsia="Times New Roman"/>
                <w:sz w:val="20"/>
                <w:szCs w:val="20"/>
              </w:rPr>
            </w:pPr>
            <w:r>
              <w:rPr>
                <w:rFonts w:eastAsia="Times New Roman"/>
                <w:sz w:val="20"/>
                <w:szCs w:val="20"/>
              </w:rPr>
              <w:t>23</w:t>
            </w:r>
          </w:p>
        </w:tc>
        <w:tc>
          <w:tcPr>
            <w:tcW w:w="50" w:type="pct"/>
            <w:tcBorders>
              <w:bottom w:val="nil"/>
            </w:tcBorders>
            <w:shd w:val="clear" w:color="auto" w:fill="CCEEFF"/>
            <w:vAlign w:val="bottom"/>
            <w:hideMark/>
          </w:tcPr>
          <w:p w14:paraId="7E2BA283" w14:textId="77777777" w:rsidR="00000000" w:rsidRDefault="00322B34">
            <w:pPr>
              <w:rPr>
                <w:rFonts w:eastAsia="Times New Roman"/>
                <w:sz w:val="20"/>
                <w:szCs w:val="20"/>
              </w:rPr>
            </w:pPr>
            <w:r>
              <w:rPr>
                <w:rFonts w:eastAsia="Times New Roman"/>
                <w:sz w:val="20"/>
                <w:szCs w:val="20"/>
              </w:rPr>
              <w:t> </w:t>
            </w:r>
          </w:p>
        </w:tc>
      </w:tr>
      <w:tr w:rsidR="00000000" w14:paraId="26DF0255" w14:textId="77777777">
        <w:trPr>
          <w:tblCellSpacing w:w="0" w:type="dxa"/>
        </w:trPr>
        <w:tc>
          <w:tcPr>
            <w:tcW w:w="2700" w:type="pct"/>
            <w:shd w:val="clear" w:color="auto" w:fill="FFFFFF"/>
            <w:vAlign w:val="bottom"/>
            <w:hideMark/>
          </w:tcPr>
          <w:p w14:paraId="710A607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23814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238F16"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6E34EFF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E7DB8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DDDEC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B84132"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45AA115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678827" w14:textId="77777777" w:rsidR="00000000" w:rsidRDefault="00322B34">
            <w:pPr>
              <w:rPr>
                <w:rFonts w:eastAsia="Times New Roman"/>
                <w:sz w:val="20"/>
                <w:szCs w:val="20"/>
              </w:rPr>
            </w:pPr>
            <w:r>
              <w:rPr>
                <w:rFonts w:eastAsia="Times New Roman"/>
                <w:sz w:val="20"/>
                <w:szCs w:val="20"/>
              </w:rPr>
              <w:t> </w:t>
            </w:r>
          </w:p>
        </w:tc>
      </w:tr>
      <w:tr w:rsidR="00000000" w14:paraId="4E13FA26" w14:textId="77777777">
        <w:trPr>
          <w:tblCellSpacing w:w="0" w:type="dxa"/>
        </w:trPr>
        <w:tc>
          <w:tcPr>
            <w:tcW w:w="2700" w:type="pct"/>
            <w:shd w:val="clear" w:color="auto" w:fill="CCEEFF"/>
            <w:vAlign w:val="bottom"/>
            <w:hideMark/>
          </w:tcPr>
          <w:p w14:paraId="54693944" w14:textId="77777777" w:rsidR="00000000" w:rsidRDefault="00322B34">
            <w:pPr>
              <w:pStyle w:val="a3"/>
              <w:spacing w:before="0" w:beforeAutospacing="0" w:after="0" w:afterAutospacing="0"/>
              <w:rPr>
                <w:sz w:val="20"/>
                <w:szCs w:val="20"/>
              </w:rPr>
            </w:pPr>
            <w:r>
              <w:rPr>
                <w:sz w:val="20"/>
                <w:szCs w:val="20"/>
              </w:rPr>
              <w:t>Restricted Assets:</w:t>
            </w:r>
          </w:p>
        </w:tc>
        <w:tc>
          <w:tcPr>
            <w:tcW w:w="50" w:type="pct"/>
            <w:shd w:val="clear" w:color="auto" w:fill="CCEEFF"/>
            <w:vAlign w:val="bottom"/>
            <w:hideMark/>
          </w:tcPr>
          <w:p w14:paraId="63C6BCF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4D4D90"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62A57FB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21EA6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2B01A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EA79E0"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54523E9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3749B8" w14:textId="77777777" w:rsidR="00000000" w:rsidRDefault="00322B34">
            <w:pPr>
              <w:rPr>
                <w:rFonts w:eastAsia="Times New Roman"/>
                <w:sz w:val="20"/>
                <w:szCs w:val="20"/>
              </w:rPr>
            </w:pPr>
            <w:r>
              <w:rPr>
                <w:rFonts w:eastAsia="Times New Roman"/>
                <w:sz w:val="20"/>
                <w:szCs w:val="20"/>
              </w:rPr>
              <w:t> </w:t>
            </w:r>
          </w:p>
        </w:tc>
      </w:tr>
      <w:tr w:rsidR="00000000" w14:paraId="4DF1EBE5" w14:textId="77777777">
        <w:trPr>
          <w:tblCellSpacing w:w="0" w:type="dxa"/>
        </w:trPr>
        <w:tc>
          <w:tcPr>
            <w:tcW w:w="2700" w:type="pct"/>
            <w:shd w:val="clear" w:color="auto" w:fill="FFFFFF"/>
            <w:vAlign w:val="bottom"/>
            <w:hideMark/>
          </w:tcPr>
          <w:p w14:paraId="6F7069A1" w14:textId="77777777" w:rsidR="00000000" w:rsidRDefault="00322B34">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14:paraId="46913FE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4E1315" w14:textId="77777777" w:rsidR="00000000" w:rsidRDefault="00322B34">
            <w:pPr>
              <w:rPr>
                <w:rFonts w:eastAsia="Times New Roman"/>
                <w:sz w:val="20"/>
                <w:szCs w:val="20"/>
              </w:rPr>
            </w:pPr>
            <w:r>
              <w:rPr>
                <w:rFonts w:eastAsia="Times New Roman"/>
                <w:sz w:val="20"/>
                <w:szCs w:val="20"/>
              </w:rPr>
              <w:t>$</w:t>
            </w:r>
          </w:p>
        </w:tc>
        <w:tc>
          <w:tcPr>
            <w:tcW w:w="1000" w:type="pct"/>
            <w:shd w:val="clear" w:color="auto" w:fill="FFFFFF"/>
            <w:vAlign w:val="bottom"/>
            <w:hideMark/>
          </w:tcPr>
          <w:p w14:paraId="473ED802" w14:textId="77777777" w:rsidR="00000000" w:rsidRDefault="00322B34">
            <w:pPr>
              <w:jc w:val="right"/>
              <w:rPr>
                <w:rFonts w:eastAsia="Times New Roman"/>
                <w:sz w:val="20"/>
                <w:szCs w:val="20"/>
              </w:rPr>
            </w:pPr>
            <w:r>
              <w:rPr>
                <w:rFonts w:eastAsia="Times New Roman"/>
                <w:sz w:val="20"/>
                <w:szCs w:val="20"/>
              </w:rPr>
              <w:t>98.7</w:t>
            </w:r>
          </w:p>
        </w:tc>
        <w:tc>
          <w:tcPr>
            <w:tcW w:w="50" w:type="pct"/>
            <w:shd w:val="clear" w:color="auto" w:fill="FFFFFF"/>
            <w:vAlign w:val="bottom"/>
            <w:hideMark/>
          </w:tcPr>
          <w:p w14:paraId="50F1943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D0443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D504CF" w14:textId="77777777" w:rsidR="00000000" w:rsidRDefault="00322B34">
            <w:pPr>
              <w:rPr>
                <w:rFonts w:eastAsia="Times New Roman"/>
                <w:sz w:val="20"/>
                <w:szCs w:val="20"/>
              </w:rPr>
            </w:pPr>
            <w:r>
              <w:rPr>
                <w:rFonts w:eastAsia="Times New Roman"/>
                <w:sz w:val="20"/>
                <w:szCs w:val="20"/>
              </w:rPr>
              <w:t>$</w:t>
            </w:r>
          </w:p>
        </w:tc>
        <w:tc>
          <w:tcPr>
            <w:tcW w:w="1000" w:type="pct"/>
            <w:shd w:val="clear" w:color="auto" w:fill="FFFFFF"/>
            <w:vAlign w:val="bottom"/>
            <w:hideMark/>
          </w:tcPr>
          <w:p w14:paraId="65266073" w14:textId="77777777" w:rsidR="00000000" w:rsidRDefault="00322B34">
            <w:pPr>
              <w:jc w:val="right"/>
              <w:rPr>
                <w:rFonts w:eastAsia="Times New Roman"/>
                <w:sz w:val="20"/>
                <w:szCs w:val="20"/>
              </w:rPr>
            </w:pPr>
            <w:r>
              <w:rPr>
                <w:rFonts w:eastAsia="Times New Roman"/>
                <w:sz w:val="20"/>
                <w:szCs w:val="20"/>
              </w:rPr>
              <w:t>228.9</w:t>
            </w:r>
          </w:p>
        </w:tc>
        <w:tc>
          <w:tcPr>
            <w:tcW w:w="50" w:type="pct"/>
            <w:shd w:val="clear" w:color="auto" w:fill="FFFFFF"/>
            <w:vAlign w:val="bottom"/>
            <w:hideMark/>
          </w:tcPr>
          <w:p w14:paraId="0C4F014F" w14:textId="77777777" w:rsidR="00000000" w:rsidRDefault="00322B34">
            <w:pPr>
              <w:rPr>
                <w:rFonts w:eastAsia="Times New Roman"/>
                <w:sz w:val="20"/>
                <w:szCs w:val="20"/>
              </w:rPr>
            </w:pPr>
            <w:r>
              <w:rPr>
                <w:rFonts w:eastAsia="Times New Roman"/>
                <w:sz w:val="20"/>
                <w:szCs w:val="20"/>
              </w:rPr>
              <w:t> </w:t>
            </w:r>
          </w:p>
        </w:tc>
      </w:tr>
      <w:tr w:rsidR="00000000" w14:paraId="0D46920E" w14:textId="77777777">
        <w:trPr>
          <w:tblCellSpacing w:w="0" w:type="dxa"/>
        </w:trPr>
        <w:tc>
          <w:tcPr>
            <w:tcW w:w="2700" w:type="pct"/>
            <w:shd w:val="clear" w:color="auto" w:fill="CCEEFF"/>
            <w:vAlign w:val="bottom"/>
            <w:hideMark/>
          </w:tcPr>
          <w:p w14:paraId="54F392DF" w14:textId="77777777" w:rsidR="00000000" w:rsidRDefault="00322B34">
            <w:pPr>
              <w:pStyle w:val="a3"/>
              <w:spacing w:before="0" w:beforeAutospacing="0" w:after="0" w:afterAutospacing="0"/>
              <w:ind w:left="180"/>
              <w:rPr>
                <w:sz w:val="20"/>
                <w:szCs w:val="20"/>
              </w:rPr>
            </w:pPr>
            <w:r>
              <w:rPr>
                <w:sz w:val="20"/>
                <w:szCs w:val="20"/>
              </w:rPr>
              <w:t>Cash and cash equivalents</w:t>
            </w:r>
          </w:p>
        </w:tc>
        <w:tc>
          <w:tcPr>
            <w:tcW w:w="50" w:type="pct"/>
            <w:shd w:val="clear" w:color="auto" w:fill="CCEEFF"/>
            <w:vAlign w:val="bottom"/>
            <w:hideMark/>
          </w:tcPr>
          <w:p w14:paraId="1F56575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60A441"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6C8A25AE" w14:textId="77777777" w:rsidR="00000000" w:rsidRDefault="00322B34">
            <w:pPr>
              <w:jc w:val="right"/>
              <w:rPr>
                <w:rFonts w:eastAsia="Times New Roman"/>
                <w:sz w:val="20"/>
                <w:szCs w:val="20"/>
              </w:rPr>
            </w:pPr>
            <w:r>
              <w:rPr>
                <w:rFonts w:eastAsia="Times New Roman"/>
                <w:sz w:val="20"/>
                <w:szCs w:val="20"/>
              </w:rPr>
              <w:t>2.2</w:t>
            </w:r>
          </w:p>
        </w:tc>
        <w:tc>
          <w:tcPr>
            <w:tcW w:w="50" w:type="pct"/>
            <w:shd w:val="clear" w:color="auto" w:fill="CCEEFF"/>
            <w:vAlign w:val="bottom"/>
            <w:hideMark/>
          </w:tcPr>
          <w:p w14:paraId="0AD47CC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C3757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7D7520"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4D0316E1" w14:textId="77777777" w:rsidR="00000000" w:rsidRDefault="00322B34">
            <w:pPr>
              <w:jc w:val="right"/>
              <w:rPr>
                <w:rFonts w:eastAsia="Times New Roman"/>
                <w:sz w:val="20"/>
                <w:szCs w:val="20"/>
              </w:rPr>
            </w:pPr>
            <w:r>
              <w:rPr>
                <w:rFonts w:eastAsia="Times New Roman"/>
                <w:sz w:val="20"/>
                <w:szCs w:val="20"/>
              </w:rPr>
              <w:t>9.2</w:t>
            </w:r>
          </w:p>
        </w:tc>
        <w:tc>
          <w:tcPr>
            <w:tcW w:w="50" w:type="pct"/>
            <w:shd w:val="clear" w:color="auto" w:fill="CCEEFF"/>
            <w:vAlign w:val="bottom"/>
            <w:hideMark/>
          </w:tcPr>
          <w:p w14:paraId="0A918FCE" w14:textId="77777777" w:rsidR="00000000" w:rsidRDefault="00322B34">
            <w:pPr>
              <w:rPr>
                <w:rFonts w:eastAsia="Times New Roman"/>
                <w:sz w:val="20"/>
                <w:szCs w:val="20"/>
              </w:rPr>
            </w:pPr>
            <w:r>
              <w:rPr>
                <w:rFonts w:eastAsia="Times New Roman"/>
                <w:sz w:val="20"/>
                <w:szCs w:val="20"/>
              </w:rPr>
              <w:t> </w:t>
            </w:r>
          </w:p>
        </w:tc>
      </w:tr>
      <w:tr w:rsidR="00000000" w14:paraId="1BA106AB" w14:textId="77777777">
        <w:trPr>
          <w:tblCellSpacing w:w="0" w:type="dxa"/>
        </w:trPr>
        <w:tc>
          <w:tcPr>
            <w:tcW w:w="2700" w:type="pct"/>
            <w:shd w:val="clear" w:color="auto" w:fill="FFFFFF"/>
            <w:vAlign w:val="bottom"/>
            <w:hideMark/>
          </w:tcPr>
          <w:p w14:paraId="675DC9BF" w14:textId="77777777" w:rsidR="00000000" w:rsidRDefault="00322B34">
            <w:pPr>
              <w:pStyle w:val="a3"/>
              <w:spacing w:before="0" w:beforeAutospacing="0" w:after="0" w:afterAutospacing="0"/>
              <w:ind w:left="180"/>
              <w:rPr>
                <w:sz w:val="20"/>
                <w:szCs w:val="20"/>
              </w:rPr>
            </w:pPr>
            <w:r>
              <w:rPr>
                <w:sz w:val="20"/>
                <w:szCs w:val="20"/>
              </w:rPr>
              <w:t>Accounts and notes receivable, net</w:t>
            </w:r>
          </w:p>
        </w:tc>
        <w:tc>
          <w:tcPr>
            <w:tcW w:w="50" w:type="pct"/>
            <w:shd w:val="clear" w:color="auto" w:fill="FFFFFF"/>
            <w:vAlign w:val="bottom"/>
            <w:hideMark/>
          </w:tcPr>
          <w:p w14:paraId="14119A1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5198A3"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0F5959BE" w14:textId="77777777" w:rsidR="00000000" w:rsidRDefault="00322B34">
            <w:pPr>
              <w:jc w:val="right"/>
              <w:rPr>
                <w:rFonts w:eastAsia="Times New Roman"/>
                <w:sz w:val="20"/>
                <w:szCs w:val="20"/>
              </w:rPr>
            </w:pPr>
            <w:r>
              <w:rPr>
                <w:rFonts w:eastAsia="Times New Roman"/>
                <w:sz w:val="20"/>
                <w:szCs w:val="20"/>
              </w:rPr>
              <w:t>1.7</w:t>
            </w:r>
          </w:p>
        </w:tc>
        <w:tc>
          <w:tcPr>
            <w:tcW w:w="50" w:type="pct"/>
            <w:shd w:val="clear" w:color="auto" w:fill="FFFFFF"/>
            <w:vAlign w:val="bottom"/>
            <w:hideMark/>
          </w:tcPr>
          <w:p w14:paraId="71D48E2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5EBE5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B81A59"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3CD7718C" w14:textId="77777777" w:rsidR="00000000" w:rsidRDefault="00322B34">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14:paraId="302BCE95" w14:textId="77777777" w:rsidR="00000000" w:rsidRDefault="00322B34">
            <w:pPr>
              <w:rPr>
                <w:rFonts w:eastAsia="Times New Roman"/>
                <w:sz w:val="20"/>
                <w:szCs w:val="20"/>
              </w:rPr>
            </w:pPr>
            <w:r>
              <w:rPr>
                <w:rFonts w:eastAsia="Times New Roman"/>
                <w:sz w:val="20"/>
                <w:szCs w:val="20"/>
              </w:rPr>
              <w:t> </w:t>
            </w:r>
          </w:p>
        </w:tc>
      </w:tr>
      <w:tr w:rsidR="00000000" w14:paraId="2EEAD7ED" w14:textId="77777777">
        <w:trPr>
          <w:tblCellSpacing w:w="0" w:type="dxa"/>
        </w:trPr>
        <w:tc>
          <w:tcPr>
            <w:tcW w:w="2700" w:type="pct"/>
            <w:shd w:val="clear" w:color="auto" w:fill="CCEEFF"/>
            <w:vAlign w:val="bottom"/>
            <w:hideMark/>
          </w:tcPr>
          <w:p w14:paraId="0B898E1D" w14:textId="77777777" w:rsidR="00000000" w:rsidRDefault="00322B34">
            <w:pPr>
              <w:pStyle w:val="a3"/>
              <w:spacing w:before="0" w:beforeAutospacing="0" w:after="0" w:afterAutospacing="0"/>
              <w:ind w:left="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14:paraId="371DA6A8"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78F56BF" w14:textId="77777777" w:rsidR="00000000" w:rsidRDefault="00322B34">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vAlign w:val="bottom"/>
            <w:hideMark/>
          </w:tcPr>
          <w:p w14:paraId="20FF9D74" w14:textId="77777777" w:rsidR="00000000" w:rsidRDefault="00322B34">
            <w:pPr>
              <w:jc w:val="right"/>
              <w:rPr>
                <w:rFonts w:eastAsia="Times New Roman"/>
                <w:sz w:val="20"/>
                <w:szCs w:val="20"/>
              </w:rPr>
            </w:pPr>
            <w:r>
              <w:rPr>
                <w:rFonts w:eastAsia="Times New Roman"/>
                <w:sz w:val="20"/>
                <w:szCs w:val="20"/>
              </w:rPr>
              <w:t>1.6</w:t>
            </w:r>
          </w:p>
        </w:tc>
        <w:tc>
          <w:tcPr>
            <w:tcW w:w="50" w:type="pct"/>
            <w:shd w:val="clear" w:color="auto" w:fill="CCEEFF"/>
            <w:tcMar>
              <w:top w:w="0" w:type="dxa"/>
              <w:left w:w="0" w:type="dxa"/>
              <w:bottom w:w="15" w:type="dxa"/>
              <w:right w:w="0" w:type="dxa"/>
            </w:tcMar>
            <w:vAlign w:val="bottom"/>
            <w:hideMark/>
          </w:tcPr>
          <w:p w14:paraId="09482A3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3088F10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09359FC" w14:textId="77777777" w:rsidR="00000000" w:rsidRDefault="00322B34">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vAlign w:val="bottom"/>
            <w:hideMark/>
          </w:tcPr>
          <w:p w14:paraId="7FEFD41C" w14:textId="77777777" w:rsidR="00000000" w:rsidRDefault="00322B34">
            <w:pPr>
              <w:jc w:val="right"/>
              <w:rPr>
                <w:rFonts w:eastAsia="Times New Roman"/>
                <w:sz w:val="20"/>
                <w:szCs w:val="20"/>
              </w:rPr>
            </w:pPr>
            <w:r>
              <w:rPr>
                <w:rFonts w:eastAsia="Times New Roman"/>
                <w:sz w:val="20"/>
                <w:szCs w:val="20"/>
              </w:rPr>
              <w:t>3.6</w:t>
            </w:r>
          </w:p>
        </w:tc>
        <w:tc>
          <w:tcPr>
            <w:tcW w:w="50" w:type="pct"/>
            <w:shd w:val="clear" w:color="auto" w:fill="CCEEFF"/>
            <w:tcMar>
              <w:top w:w="0" w:type="dxa"/>
              <w:left w:w="0" w:type="dxa"/>
              <w:bottom w:w="15" w:type="dxa"/>
              <w:right w:w="0" w:type="dxa"/>
            </w:tcMar>
            <w:vAlign w:val="bottom"/>
            <w:hideMark/>
          </w:tcPr>
          <w:p w14:paraId="2EA945E3" w14:textId="77777777" w:rsidR="00000000" w:rsidRDefault="00322B34">
            <w:pPr>
              <w:rPr>
                <w:rFonts w:eastAsia="Times New Roman"/>
                <w:sz w:val="20"/>
                <w:szCs w:val="20"/>
              </w:rPr>
            </w:pPr>
            <w:r>
              <w:rPr>
                <w:rFonts w:eastAsia="Times New Roman"/>
                <w:sz w:val="20"/>
                <w:szCs w:val="20"/>
              </w:rPr>
              <w:t> </w:t>
            </w:r>
          </w:p>
        </w:tc>
      </w:tr>
      <w:tr w:rsidR="00000000" w14:paraId="47C47155" w14:textId="77777777">
        <w:trPr>
          <w:tblCellSpacing w:w="0" w:type="dxa"/>
        </w:trPr>
        <w:tc>
          <w:tcPr>
            <w:tcW w:w="2700" w:type="pct"/>
            <w:shd w:val="clear" w:color="auto" w:fill="FFFFFF"/>
            <w:vAlign w:val="bottom"/>
            <w:hideMark/>
          </w:tcPr>
          <w:p w14:paraId="026A7D5D" w14:textId="77777777" w:rsidR="00000000" w:rsidRDefault="00322B34">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14:paraId="4A57F93B"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C0118DD" w14:textId="77777777" w:rsidR="00000000" w:rsidRDefault="00322B34">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FFFFFF"/>
            <w:vAlign w:val="bottom"/>
            <w:hideMark/>
          </w:tcPr>
          <w:p w14:paraId="4123AB41" w14:textId="77777777" w:rsidR="00000000" w:rsidRDefault="00322B34">
            <w:pPr>
              <w:jc w:val="right"/>
              <w:rPr>
                <w:rFonts w:eastAsia="Times New Roman"/>
                <w:sz w:val="20"/>
                <w:szCs w:val="20"/>
              </w:rPr>
            </w:pPr>
            <w:r>
              <w:rPr>
                <w:rFonts w:eastAsia="Times New Roman"/>
                <w:sz w:val="20"/>
                <w:szCs w:val="20"/>
              </w:rPr>
              <w:t>104.2</w:t>
            </w:r>
          </w:p>
        </w:tc>
        <w:tc>
          <w:tcPr>
            <w:tcW w:w="50" w:type="pct"/>
            <w:shd w:val="clear" w:color="auto" w:fill="FFFFFF"/>
            <w:tcMar>
              <w:top w:w="0" w:type="dxa"/>
              <w:left w:w="0" w:type="dxa"/>
              <w:bottom w:w="45" w:type="dxa"/>
              <w:right w:w="0" w:type="dxa"/>
            </w:tcMar>
            <w:vAlign w:val="bottom"/>
            <w:hideMark/>
          </w:tcPr>
          <w:p w14:paraId="106DB5B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E0931B"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1784F0B" w14:textId="77777777" w:rsidR="00000000" w:rsidRDefault="00322B34">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FFFFFF"/>
            <w:vAlign w:val="bottom"/>
            <w:hideMark/>
          </w:tcPr>
          <w:p w14:paraId="0F7D49D7" w14:textId="77777777" w:rsidR="00000000" w:rsidRDefault="00322B34">
            <w:pPr>
              <w:jc w:val="right"/>
              <w:rPr>
                <w:rFonts w:eastAsia="Times New Roman"/>
                <w:sz w:val="20"/>
                <w:szCs w:val="20"/>
              </w:rPr>
            </w:pPr>
            <w:r>
              <w:rPr>
                <w:rFonts w:eastAsia="Times New Roman"/>
                <w:sz w:val="20"/>
                <w:szCs w:val="20"/>
              </w:rPr>
              <w:t>245.5</w:t>
            </w:r>
          </w:p>
        </w:tc>
        <w:tc>
          <w:tcPr>
            <w:tcW w:w="50" w:type="pct"/>
            <w:shd w:val="clear" w:color="auto" w:fill="FFFFFF"/>
            <w:tcMar>
              <w:top w:w="0" w:type="dxa"/>
              <w:left w:w="0" w:type="dxa"/>
              <w:bottom w:w="45" w:type="dxa"/>
              <w:right w:w="0" w:type="dxa"/>
            </w:tcMar>
            <w:vAlign w:val="bottom"/>
            <w:hideMark/>
          </w:tcPr>
          <w:p w14:paraId="548685B6" w14:textId="77777777" w:rsidR="00000000" w:rsidRDefault="00322B34">
            <w:pPr>
              <w:rPr>
                <w:rFonts w:eastAsia="Times New Roman"/>
                <w:sz w:val="20"/>
                <w:szCs w:val="20"/>
              </w:rPr>
            </w:pPr>
            <w:r>
              <w:rPr>
                <w:rFonts w:eastAsia="Times New Roman"/>
                <w:sz w:val="20"/>
                <w:szCs w:val="20"/>
              </w:rPr>
              <w:t> </w:t>
            </w:r>
          </w:p>
        </w:tc>
      </w:tr>
      <w:tr w:rsidR="00000000" w14:paraId="3A47FBB7" w14:textId="77777777">
        <w:trPr>
          <w:tblCellSpacing w:w="0" w:type="dxa"/>
        </w:trPr>
        <w:tc>
          <w:tcPr>
            <w:tcW w:w="2700" w:type="pct"/>
            <w:shd w:val="clear" w:color="auto" w:fill="CCEEFF"/>
            <w:vAlign w:val="bottom"/>
            <w:hideMark/>
          </w:tcPr>
          <w:p w14:paraId="563C980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A12FB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AF6966"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736B4EA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B4A23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C04AD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03BD66"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4085BAB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599F7A" w14:textId="77777777" w:rsidR="00000000" w:rsidRDefault="00322B34">
            <w:pPr>
              <w:rPr>
                <w:rFonts w:eastAsia="Times New Roman"/>
                <w:sz w:val="20"/>
                <w:szCs w:val="20"/>
              </w:rPr>
            </w:pPr>
            <w:r>
              <w:rPr>
                <w:rFonts w:eastAsia="Times New Roman"/>
                <w:sz w:val="20"/>
                <w:szCs w:val="20"/>
              </w:rPr>
              <w:t> </w:t>
            </w:r>
          </w:p>
        </w:tc>
      </w:tr>
      <w:tr w:rsidR="00000000" w14:paraId="161E0BB8" w14:textId="77777777">
        <w:trPr>
          <w:tblCellSpacing w:w="0" w:type="dxa"/>
        </w:trPr>
        <w:tc>
          <w:tcPr>
            <w:tcW w:w="2700" w:type="pct"/>
            <w:shd w:val="clear" w:color="auto" w:fill="FFFFFF"/>
            <w:vAlign w:val="bottom"/>
            <w:hideMark/>
          </w:tcPr>
          <w:p w14:paraId="769060A3" w14:textId="77777777" w:rsidR="00000000" w:rsidRDefault="00322B34">
            <w:pPr>
              <w:pStyle w:val="a3"/>
              <w:spacing w:before="0" w:beforeAutospacing="0" w:after="0" w:afterAutospacing="0"/>
              <w:rPr>
                <w:sz w:val="20"/>
                <w:szCs w:val="20"/>
              </w:rPr>
            </w:pPr>
            <w:r>
              <w:rPr>
                <w:sz w:val="20"/>
                <w:szCs w:val="20"/>
              </w:rPr>
              <w:t>VIE Liabilities:</w:t>
            </w:r>
          </w:p>
        </w:tc>
        <w:tc>
          <w:tcPr>
            <w:tcW w:w="50" w:type="pct"/>
            <w:shd w:val="clear" w:color="auto" w:fill="FFFFFF"/>
            <w:vAlign w:val="bottom"/>
            <w:hideMark/>
          </w:tcPr>
          <w:p w14:paraId="1BD8402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220A95"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7EFCDDF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DCB69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55483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C0813B" w14:textId="77777777" w:rsidR="00000000" w:rsidRDefault="00322B34">
            <w:pPr>
              <w:rPr>
                <w:rFonts w:eastAsia="Times New Roman"/>
                <w:sz w:val="20"/>
                <w:szCs w:val="20"/>
              </w:rPr>
            </w:pPr>
            <w:r>
              <w:rPr>
                <w:rFonts w:eastAsia="Times New Roman"/>
                <w:sz w:val="20"/>
                <w:szCs w:val="20"/>
              </w:rPr>
              <w:t> </w:t>
            </w:r>
          </w:p>
        </w:tc>
        <w:tc>
          <w:tcPr>
            <w:tcW w:w="1000" w:type="pct"/>
            <w:shd w:val="clear" w:color="auto" w:fill="FFFFFF"/>
            <w:vAlign w:val="bottom"/>
            <w:hideMark/>
          </w:tcPr>
          <w:p w14:paraId="052A9C1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B1CD4E" w14:textId="77777777" w:rsidR="00000000" w:rsidRDefault="00322B34">
            <w:pPr>
              <w:rPr>
                <w:rFonts w:eastAsia="Times New Roman"/>
                <w:sz w:val="20"/>
                <w:szCs w:val="20"/>
              </w:rPr>
            </w:pPr>
            <w:r>
              <w:rPr>
                <w:rFonts w:eastAsia="Times New Roman"/>
                <w:sz w:val="20"/>
                <w:szCs w:val="20"/>
              </w:rPr>
              <w:t> </w:t>
            </w:r>
          </w:p>
        </w:tc>
      </w:tr>
      <w:tr w:rsidR="00000000" w14:paraId="6E8BF1FE" w14:textId="77777777">
        <w:trPr>
          <w:tblCellSpacing w:w="0" w:type="dxa"/>
        </w:trPr>
        <w:tc>
          <w:tcPr>
            <w:tcW w:w="2700" w:type="pct"/>
            <w:shd w:val="clear" w:color="auto" w:fill="CCEEFF"/>
            <w:vAlign w:val="bottom"/>
            <w:hideMark/>
          </w:tcPr>
          <w:p w14:paraId="19B45847" w14:textId="77777777" w:rsidR="00000000" w:rsidRDefault="00322B34">
            <w:pPr>
              <w:pStyle w:val="a3"/>
              <w:spacing w:before="0" w:beforeAutospacing="0" w:after="0" w:afterAutospacing="0"/>
              <w:ind w:left="180"/>
              <w:rPr>
                <w:sz w:val="20"/>
                <w:szCs w:val="20"/>
              </w:rPr>
            </w:pPr>
            <w:r>
              <w:rPr>
                <w:sz w:val="20"/>
                <w:szCs w:val="20"/>
              </w:rPr>
              <w:t>Mortgages and construction loan payable, net</w:t>
            </w:r>
          </w:p>
        </w:tc>
        <w:tc>
          <w:tcPr>
            <w:tcW w:w="50" w:type="pct"/>
            <w:shd w:val="clear" w:color="auto" w:fill="CCEEFF"/>
            <w:vAlign w:val="bottom"/>
            <w:hideMark/>
          </w:tcPr>
          <w:p w14:paraId="36AB6BB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512A98" w14:textId="77777777" w:rsidR="00000000" w:rsidRDefault="00322B34">
            <w:pPr>
              <w:rPr>
                <w:rFonts w:eastAsia="Times New Roman"/>
                <w:sz w:val="20"/>
                <w:szCs w:val="20"/>
              </w:rPr>
            </w:pPr>
            <w:r>
              <w:rPr>
                <w:rFonts w:eastAsia="Times New Roman"/>
                <w:sz w:val="20"/>
                <w:szCs w:val="20"/>
              </w:rPr>
              <w:t>$</w:t>
            </w:r>
          </w:p>
        </w:tc>
        <w:tc>
          <w:tcPr>
            <w:tcW w:w="1000" w:type="pct"/>
            <w:shd w:val="clear" w:color="auto" w:fill="CCEEFF"/>
            <w:vAlign w:val="bottom"/>
            <w:hideMark/>
          </w:tcPr>
          <w:p w14:paraId="69DBE980" w14:textId="77777777" w:rsidR="00000000" w:rsidRDefault="00322B34">
            <w:pPr>
              <w:jc w:val="right"/>
              <w:rPr>
                <w:rFonts w:eastAsia="Times New Roman"/>
                <w:sz w:val="20"/>
                <w:szCs w:val="20"/>
              </w:rPr>
            </w:pPr>
            <w:r>
              <w:rPr>
                <w:rFonts w:eastAsia="Times New Roman"/>
                <w:sz w:val="20"/>
                <w:szCs w:val="20"/>
              </w:rPr>
              <w:t>37.3</w:t>
            </w:r>
          </w:p>
        </w:tc>
        <w:tc>
          <w:tcPr>
            <w:tcW w:w="50" w:type="pct"/>
            <w:shd w:val="clear" w:color="auto" w:fill="CCEEFF"/>
            <w:vAlign w:val="bottom"/>
            <w:hideMark/>
          </w:tcPr>
          <w:p w14:paraId="3499BD0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F4794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DC5455" w14:textId="77777777" w:rsidR="00000000" w:rsidRDefault="00322B34">
            <w:pPr>
              <w:rPr>
                <w:rFonts w:eastAsia="Times New Roman"/>
                <w:sz w:val="20"/>
                <w:szCs w:val="20"/>
              </w:rPr>
            </w:pPr>
            <w:r>
              <w:rPr>
                <w:rFonts w:eastAsia="Times New Roman"/>
                <w:sz w:val="20"/>
                <w:szCs w:val="20"/>
              </w:rPr>
              <w:t>$</w:t>
            </w:r>
          </w:p>
        </w:tc>
        <w:tc>
          <w:tcPr>
            <w:tcW w:w="1000" w:type="pct"/>
            <w:shd w:val="clear" w:color="auto" w:fill="CCEEFF"/>
            <w:vAlign w:val="bottom"/>
            <w:hideMark/>
          </w:tcPr>
          <w:p w14:paraId="109C10AE" w14:textId="77777777" w:rsidR="00000000" w:rsidRDefault="00322B34">
            <w:pPr>
              <w:jc w:val="right"/>
              <w:rPr>
                <w:rFonts w:eastAsia="Times New Roman"/>
                <w:sz w:val="20"/>
                <w:szCs w:val="20"/>
              </w:rPr>
            </w:pPr>
            <w:r>
              <w:rPr>
                <w:rFonts w:eastAsia="Times New Roman"/>
                <w:sz w:val="20"/>
                <w:szCs w:val="20"/>
              </w:rPr>
              <w:t>104.5</w:t>
            </w:r>
          </w:p>
        </w:tc>
        <w:tc>
          <w:tcPr>
            <w:tcW w:w="50" w:type="pct"/>
            <w:shd w:val="clear" w:color="auto" w:fill="CCEEFF"/>
            <w:vAlign w:val="bottom"/>
            <w:hideMark/>
          </w:tcPr>
          <w:p w14:paraId="4E38A7D8" w14:textId="77777777" w:rsidR="00000000" w:rsidRDefault="00322B34">
            <w:pPr>
              <w:rPr>
                <w:rFonts w:eastAsia="Times New Roman"/>
                <w:sz w:val="20"/>
                <w:szCs w:val="20"/>
              </w:rPr>
            </w:pPr>
            <w:r>
              <w:rPr>
                <w:rFonts w:eastAsia="Times New Roman"/>
                <w:sz w:val="20"/>
                <w:szCs w:val="20"/>
              </w:rPr>
              <w:t> </w:t>
            </w:r>
          </w:p>
        </w:tc>
      </w:tr>
      <w:tr w:rsidR="00000000" w14:paraId="1A2F448D" w14:textId="77777777">
        <w:trPr>
          <w:tblCellSpacing w:w="0" w:type="dxa"/>
        </w:trPr>
        <w:tc>
          <w:tcPr>
            <w:tcW w:w="2700" w:type="pct"/>
            <w:shd w:val="clear" w:color="auto" w:fill="FFFFFF"/>
            <w:vAlign w:val="bottom"/>
            <w:hideMark/>
          </w:tcPr>
          <w:p w14:paraId="09CF8607" w14:textId="77777777" w:rsidR="00000000" w:rsidRDefault="00322B34">
            <w:pPr>
              <w:pStyle w:val="a3"/>
              <w:spacing w:before="0" w:beforeAutospacing="0" w:after="0" w:afterAutospacing="0"/>
              <w:ind w:left="18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14:paraId="79556B9E"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D0E8BA0" w14:textId="77777777" w:rsidR="00000000" w:rsidRDefault="00322B34">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FFFFFF"/>
            <w:vAlign w:val="bottom"/>
            <w:hideMark/>
          </w:tcPr>
          <w:p w14:paraId="120F6374" w14:textId="77777777" w:rsidR="00000000" w:rsidRDefault="00322B34">
            <w:pPr>
              <w:jc w:val="right"/>
              <w:rPr>
                <w:rFonts w:eastAsia="Times New Roman"/>
                <w:sz w:val="20"/>
                <w:szCs w:val="20"/>
              </w:rPr>
            </w:pPr>
            <w:r>
              <w:rPr>
                <w:rFonts w:eastAsia="Times New Roman"/>
                <w:sz w:val="20"/>
                <w:szCs w:val="20"/>
              </w:rPr>
              <w:t>27.5</w:t>
            </w:r>
          </w:p>
        </w:tc>
        <w:tc>
          <w:tcPr>
            <w:tcW w:w="50" w:type="pct"/>
            <w:shd w:val="clear" w:color="auto" w:fill="FFFFFF"/>
            <w:tcMar>
              <w:top w:w="0" w:type="dxa"/>
              <w:left w:w="0" w:type="dxa"/>
              <w:bottom w:w="15" w:type="dxa"/>
              <w:right w:w="0" w:type="dxa"/>
            </w:tcMar>
            <w:vAlign w:val="bottom"/>
            <w:hideMark/>
          </w:tcPr>
          <w:p w14:paraId="736702F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1E90BC1"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474BF1B" w14:textId="77777777" w:rsidR="00000000" w:rsidRDefault="00322B34">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FFFFFF"/>
            <w:vAlign w:val="bottom"/>
            <w:hideMark/>
          </w:tcPr>
          <w:p w14:paraId="3DD46066" w14:textId="77777777" w:rsidR="00000000" w:rsidRDefault="00322B34">
            <w:pPr>
              <w:jc w:val="right"/>
              <w:rPr>
                <w:rFonts w:eastAsia="Times New Roman"/>
                <w:sz w:val="20"/>
                <w:szCs w:val="20"/>
              </w:rPr>
            </w:pPr>
            <w:r>
              <w:rPr>
                <w:rFonts w:eastAsia="Times New Roman"/>
                <w:sz w:val="20"/>
                <w:szCs w:val="20"/>
              </w:rPr>
              <w:t>48.9</w:t>
            </w:r>
          </w:p>
        </w:tc>
        <w:tc>
          <w:tcPr>
            <w:tcW w:w="50" w:type="pct"/>
            <w:shd w:val="clear" w:color="auto" w:fill="FFFFFF"/>
            <w:tcMar>
              <w:top w:w="0" w:type="dxa"/>
              <w:left w:w="0" w:type="dxa"/>
              <w:bottom w:w="15" w:type="dxa"/>
              <w:right w:w="0" w:type="dxa"/>
            </w:tcMar>
            <w:vAlign w:val="bottom"/>
            <w:hideMark/>
          </w:tcPr>
          <w:p w14:paraId="178310FC" w14:textId="77777777" w:rsidR="00000000" w:rsidRDefault="00322B34">
            <w:pPr>
              <w:rPr>
                <w:rFonts w:eastAsia="Times New Roman"/>
                <w:sz w:val="20"/>
                <w:szCs w:val="20"/>
              </w:rPr>
            </w:pPr>
            <w:r>
              <w:rPr>
                <w:rFonts w:eastAsia="Times New Roman"/>
                <w:sz w:val="20"/>
                <w:szCs w:val="20"/>
              </w:rPr>
              <w:t> </w:t>
            </w:r>
          </w:p>
        </w:tc>
      </w:tr>
      <w:tr w:rsidR="00000000" w14:paraId="50AA0EFC" w14:textId="77777777">
        <w:trPr>
          <w:tblCellSpacing w:w="0" w:type="dxa"/>
        </w:trPr>
        <w:tc>
          <w:tcPr>
            <w:tcW w:w="2700" w:type="pct"/>
            <w:shd w:val="clear" w:color="auto" w:fill="CCEEFF"/>
            <w:vAlign w:val="bottom"/>
            <w:hideMark/>
          </w:tcPr>
          <w:p w14:paraId="2265A71F" w14:textId="77777777" w:rsidR="00000000" w:rsidRDefault="00322B34">
            <w:pPr>
              <w:pStyle w:val="a3"/>
              <w:spacing w:before="0" w:beforeAutospacing="0" w:after="0" w:afterAutospacing="0"/>
              <w:rPr>
                <w:sz w:val="20"/>
                <w:szCs w:val="20"/>
              </w:rPr>
            </w:pPr>
            <w:r>
              <w:rPr>
                <w:sz w:val="20"/>
                <w:szCs w:val="20"/>
              </w:rPr>
              <w:t>Total VIE Liabilities</w:t>
            </w:r>
          </w:p>
        </w:tc>
        <w:tc>
          <w:tcPr>
            <w:tcW w:w="50" w:type="pct"/>
            <w:shd w:val="clear" w:color="auto" w:fill="CCEEFF"/>
            <w:vAlign w:val="bottom"/>
            <w:hideMark/>
          </w:tcPr>
          <w:p w14:paraId="30C91832"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DB1F807" w14:textId="77777777" w:rsidR="00000000" w:rsidRDefault="00322B34">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CCEEFF"/>
            <w:vAlign w:val="bottom"/>
            <w:hideMark/>
          </w:tcPr>
          <w:p w14:paraId="1F84F16C" w14:textId="77777777" w:rsidR="00000000" w:rsidRDefault="00322B34">
            <w:pPr>
              <w:jc w:val="right"/>
              <w:rPr>
                <w:rFonts w:eastAsia="Times New Roman"/>
                <w:sz w:val="20"/>
                <w:szCs w:val="20"/>
              </w:rPr>
            </w:pPr>
            <w:r>
              <w:rPr>
                <w:rFonts w:eastAsia="Times New Roman"/>
                <w:sz w:val="20"/>
                <w:szCs w:val="20"/>
              </w:rPr>
              <w:t>64.8</w:t>
            </w:r>
          </w:p>
        </w:tc>
        <w:tc>
          <w:tcPr>
            <w:tcW w:w="50" w:type="pct"/>
            <w:shd w:val="clear" w:color="auto" w:fill="CCEEFF"/>
            <w:tcMar>
              <w:top w:w="0" w:type="dxa"/>
              <w:left w:w="0" w:type="dxa"/>
              <w:bottom w:w="45" w:type="dxa"/>
              <w:right w:w="0" w:type="dxa"/>
            </w:tcMar>
            <w:vAlign w:val="bottom"/>
            <w:hideMark/>
          </w:tcPr>
          <w:p w14:paraId="4A2E7DA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9712BB"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2B6906F" w14:textId="77777777" w:rsidR="00000000" w:rsidRDefault="00322B34">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CCEEFF"/>
            <w:vAlign w:val="bottom"/>
            <w:hideMark/>
          </w:tcPr>
          <w:p w14:paraId="10CFDFF3" w14:textId="77777777" w:rsidR="00000000" w:rsidRDefault="00322B34">
            <w:pPr>
              <w:jc w:val="right"/>
              <w:rPr>
                <w:rFonts w:eastAsia="Times New Roman"/>
                <w:sz w:val="20"/>
                <w:szCs w:val="20"/>
              </w:rPr>
            </w:pPr>
            <w:r>
              <w:rPr>
                <w:rFonts w:eastAsia="Times New Roman"/>
                <w:sz w:val="20"/>
                <w:szCs w:val="20"/>
              </w:rPr>
              <w:t>153.4</w:t>
            </w:r>
          </w:p>
        </w:tc>
        <w:tc>
          <w:tcPr>
            <w:tcW w:w="50" w:type="pct"/>
            <w:shd w:val="clear" w:color="auto" w:fill="CCEEFF"/>
            <w:tcMar>
              <w:top w:w="0" w:type="dxa"/>
              <w:left w:w="0" w:type="dxa"/>
              <w:bottom w:w="45" w:type="dxa"/>
              <w:right w:w="0" w:type="dxa"/>
            </w:tcMar>
            <w:vAlign w:val="bottom"/>
            <w:hideMark/>
          </w:tcPr>
          <w:p w14:paraId="11CF16CA" w14:textId="77777777" w:rsidR="00000000" w:rsidRDefault="00322B34">
            <w:pPr>
              <w:rPr>
                <w:rFonts w:eastAsia="Times New Roman"/>
                <w:sz w:val="20"/>
                <w:szCs w:val="20"/>
              </w:rPr>
            </w:pPr>
            <w:r>
              <w:rPr>
                <w:rFonts w:eastAsia="Times New Roman"/>
                <w:sz w:val="20"/>
                <w:szCs w:val="20"/>
              </w:rPr>
              <w:t> </w:t>
            </w:r>
          </w:p>
        </w:tc>
      </w:tr>
    </w:tbl>
    <w:p w14:paraId="270DBDF4" w14:textId="77777777" w:rsidR="00000000" w:rsidRDefault="00322B34">
      <w:pPr>
        <w:pStyle w:val="a3"/>
        <w:spacing w:before="0" w:beforeAutospacing="0" w:after="0" w:afterAutospacing="0"/>
        <w:rPr>
          <w:sz w:val="20"/>
          <w:szCs w:val="20"/>
        </w:rPr>
      </w:pPr>
      <w:r>
        <w:rPr>
          <w:sz w:val="20"/>
          <w:szCs w:val="20"/>
        </w:rPr>
        <w:t> </w:t>
      </w:r>
    </w:p>
    <w:p w14:paraId="553CFC67" w14:textId="77777777" w:rsidR="00000000" w:rsidRDefault="00322B34">
      <w:pPr>
        <w:jc w:val="center"/>
        <w:divId w:val="1461342411"/>
        <w:rPr>
          <w:rFonts w:eastAsia="Times New Roman"/>
          <w:sz w:val="20"/>
          <w:szCs w:val="20"/>
        </w:rPr>
      </w:pPr>
      <w:r>
        <w:rPr>
          <w:rStyle w:val="a6"/>
          <w:rFonts w:eastAsia="Times New Roman"/>
          <w:sz w:val="20"/>
          <w:szCs w:val="20"/>
        </w:rPr>
        <w:t>17</w:t>
      </w:r>
      <w:r>
        <w:rPr>
          <w:rFonts w:eastAsia="Times New Roman"/>
          <w:sz w:val="20"/>
          <w:szCs w:val="20"/>
        </w:rPr>
        <w:t xml:space="preserve"> </w:t>
      </w:r>
    </w:p>
    <w:p w14:paraId="1FABCF31" w14:textId="77777777" w:rsidR="00000000" w:rsidRDefault="00322B34">
      <w:pPr>
        <w:rPr>
          <w:rFonts w:eastAsia="Times New Roman"/>
          <w:sz w:val="20"/>
          <w:szCs w:val="20"/>
        </w:rPr>
      </w:pPr>
      <w:r>
        <w:rPr>
          <w:rFonts w:eastAsia="Times New Roman"/>
          <w:sz w:val="20"/>
          <w:szCs w:val="20"/>
        </w:rPr>
        <w:pict w14:anchorId="1862A91E">
          <v:rect id="_x0000_i1045" style="width:415.3pt;height:1.5pt" o:hralign="center" o:hrstd="t" o:hrnoshade="t" o:hr="t" fillcolor="black" stroked="f"/>
        </w:pict>
      </w:r>
    </w:p>
    <w:p w14:paraId="1D384120" w14:textId="77777777" w:rsidR="00000000" w:rsidRDefault="00322B34">
      <w:pPr>
        <w:divId w:val="62196239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227368E" w14:textId="77777777" w:rsidR="00000000" w:rsidRDefault="00322B34">
      <w:pPr>
        <w:pStyle w:val="a3"/>
        <w:spacing w:before="0" w:beforeAutospacing="0" w:after="0" w:afterAutospacing="0"/>
        <w:rPr>
          <w:sz w:val="20"/>
          <w:szCs w:val="20"/>
        </w:rPr>
      </w:pPr>
      <w:r>
        <w:rPr>
          <w:sz w:val="20"/>
          <w:szCs w:val="20"/>
        </w:rPr>
        <w:t> </w:t>
      </w:r>
    </w:p>
    <w:p w14:paraId="05649578" w14:textId="77777777" w:rsidR="00000000" w:rsidRDefault="00322B34">
      <w:pPr>
        <w:divId w:val="1926069847"/>
        <w:rPr>
          <w:rFonts w:eastAsia="Times New Roman"/>
          <w:sz w:val="20"/>
          <w:szCs w:val="20"/>
        </w:rPr>
      </w:pPr>
      <w:r>
        <w:rPr>
          <w:rFonts w:eastAsia="Times New Roman"/>
          <w:sz w:val="20"/>
          <w:szCs w:val="20"/>
        </w:rPr>
        <w:t xml:space="preserve">  </w:t>
      </w:r>
    </w:p>
    <w:p w14:paraId="7EC6D2B0" w14:textId="77777777" w:rsidR="00000000" w:rsidRDefault="00322B34">
      <w:pPr>
        <w:pStyle w:val="a3"/>
        <w:spacing w:before="0" w:beforeAutospacing="0" w:after="0" w:afterAutospacing="0"/>
        <w:rPr>
          <w:sz w:val="20"/>
          <w:szCs w:val="20"/>
        </w:rPr>
      </w:pPr>
      <w:r>
        <w:rPr>
          <w:rStyle w:val="a6"/>
          <w:sz w:val="20"/>
          <w:szCs w:val="20"/>
        </w:rPr>
        <w:t>11.</w:t>
      </w:r>
      <w:r>
        <w:rPr>
          <w:sz w:val="20"/>
          <w:szCs w:val="20"/>
        </w:rPr>
        <w:t xml:space="preserve"> </w:t>
      </w:r>
      <w:r>
        <w:rPr>
          <w:sz w:val="20"/>
          <w:szCs w:val="20"/>
          <w:u w:val="single"/>
        </w:rPr>
        <w:t>Fair Value Measurements</w:t>
      </w:r>
    </w:p>
    <w:p w14:paraId="2C8DAFB0" w14:textId="77777777" w:rsidR="00000000" w:rsidRDefault="00322B34">
      <w:pPr>
        <w:pStyle w:val="a3"/>
        <w:spacing w:before="0" w:beforeAutospacing="0" w:after="0" w:afterAutospacing="0"/>
        <w:jc w:val="both"/>
        <w:rPr>
          <w:sz w:val="20"/>
          <w:szCs w:val="20"/>
        </w:rPr>
      </w:pPr>
      <w:r>
        <w:rPr>
          <w:sz w:val="20"/>
          <w:szCs w:val="20"/>
        </w:rPr>
        <w:t> </w:t>
      </w:r>
    </w:p>
    <w:p w14:paraId="5299AF41" w14:textId="77777777" w:rsidR="00000000" w:rsidRDefault="00322B34">
      <w:pPr>
        <w:pStyle w:val="a3"/>
        <w:spacing w:before="0" w:beforeAutospacing="0" w:after="0" w:afterAutospacing="0"/>
        <w:ind w:firstLine="360"/>
        <w:jc w:val="both"/>
        <w:rPr>
          <w:sz w:val="20"/>
          <w:szCs w:val="20"/>
        </w:rPr>
      </w:pPr>
      <w:r>
        <w:rPr>
          <w:sz w:val="20"/>
          <w:szCs w:val="20"/>
        </w:rPr>
        <w:t>All financial instruments of the Company are reflected in the accompanying Condensed Consolidated Balance Sheets at amounts which, in management’s estimation, based upon an interpretation of available market information and valuation methodologies, reasona</w:t>
      </w:r>
      <w:r>
        <w:rPr>
          <w:sz w:val="20"/>
          <w:szCs w:val="20"/>
        </w:rPr>
        <w:t>bly approximate their fair values except those listed below, for which fair values are disclosed. The valuation method used to estimate fair value for fixed-rate and variable-rate debt is based on discounted cash flow analyses, with assumptions that includ</w:t>
      </w:r>
      <w:r>
        <w:rPr>
          <w:sz w:val="20"/>
          <w:szCs w:val="20"/>
        </w:rPr>
        <w:t>e credit spreads, market yield curves, trading activity, loan amounts and debt maturities. The fair values for marketable securities are based on published values, securities dealers’ estimated market values or comparable market sales. Such fair value esti</w:t>
      </w:r>
      <w:r>
        <w:rPr>
          <w:sz w:val="20"/>
          <w:szCs w:val="20"/>
        </w:rPr>
        <w:t xml:space="preserve">mates are </w:t>
      </w:r>
      <w:r>
        <w:rPr>
          <w:rStyle w:val="a6"/>
          <w:sz w:val="20"/>
          <w:szCs w:val="20"/>
        </w:rPr>
        <w:t>not</w:t>
      </w:r>
      <w:r>
        <w:rPr>
          <w:sz w:val="20"/>
          <w:szCs w:val="20"/>
        </w:rPr>
        <w:t xml:space="preserve"> necessarily indicative of the amounts that would be realized upon disposition.</w:t>
      </w:r>
    </w:p>
    <w:p w14:paraId="6CE532EB" w14:textId="77777777" w:rsidR="00000000" w:rsidRDefault="00322B34">
      <w:pPr>
        <w:pStyle w:val="a3"/>
        <w:spacing w:before="0" w:beforeAutospacing="0" w:after="0" w:afterAutospacing="0"/>
        <w:ind w:left="360"/>
        <w:jc w:val="both"/>
        <w:rPr>
          <w:sz w:val="20"/>
          <w:szCs w:val="20"/>
        </w:rPr>
      </w:pPr>
      <w:r>
        <w:rPr>
          <w:sz w:val="20"/>
          <w:szCs w:val="20"/>
        </w:rPr>
        <w:t> </w:t>
      </w:r>
    </w:p>
    <w:p w14:paraId="2FDF4733" w14:textId="77777777" w:rsidR="00000000" w:rsidRDefault="00322B34">
      <w:pPr>
        <w:pStyle w:val="a3"/>
        <w:spacing w:before="0" w:beforeAutospacing="0" w:after="0" w:afterAutospacing="0"/>
        <w:ind w:firstLine="360"/>
        <w:jc w:val="both"/>
        <w:rPr>
          <w:sz w:val="20"/>
          <w:szCs w:val="20"/>
        </w:rPr>
      </w:pPr>
      <w:r>
        <w:rPr>
          <w:sz w:val="20"/>
          <w:szCs w:val="20"/>
        </w:rPr>
        <w:t>As a basis for considering market participant assumptions in fair value measurements, the FASB’s Fair Value Measurements and Disclosures guidance establishes a f</w:t>
      </w:r>
      <w:r>
        <w:rPr>
          <w:sz w:val="20"/>
          <w:szCs w:val="20"/>
        </w:rPr>
        <w:t xml:space="preserve">air value hierarchy that distinguishes between market participant assumptions based on market data obtained from sources independent of the reporting entity (observable inputs that are classified within Levels </w:t>
      </w:r>
      <w:r>
        <w:rPr>
          <w:rStyle w:val="a6"/>
          <w:sz w:val="20"/>
          <w:szCs w:val="20"/>
        </w:rPr>
        <w:t>1</w:t>
      </w:r>
      <w:r>
        <w:rPr>
          <w:sz w:val="20"/>
          <w:szCs w:val="20"/>
        </w:rPr>
        <w:t xml:space="preserve"> and </w:t>
      </w:r>
      <w:r>
        <w:rPr>
          <w:rStyle w:val="a6"/>
          <w:sz w:val="20"/>
          <w:szCs w:val="20"/>
        </w:rPr>
        <w:t>2</w:t>
      </w:r>
      <w:r>
        <w:rPr>
          <w:sz w:val="20"/>
          <w:szCs w:val="20"/>
        </w:rPr>
        <w:t xml:space="preserve"> of the hierarchy) and the reporting en</w:t>
      </w:r>
      <w:r>
        <w:rPr>
          <w:sz w:val="20"/>
          <w:szCs w:val="20"/>
        </w:rPr>
        <w:t xml:space="preserve">tity’s own assumptions about market participant assumptions (unobservable inputs classified within Level </w:t>
      </w:r>
      <w:r>
        <w:rPr>
          <w:rStyle w:val="a6"/>
          <w:sz w:val="20"/>
          <w:szCs w:val="20"/>
        </w:rPr>
        <w:t>3</w:t>
      </w:r>
      <w:r>
        <w:rPr>
          <w:sz w:val="20"/>
          <w:szCs w:val="20"/>
        </w:rPr>
        <w:t xml:space="preserve"> of the hierarchy).</w:t>
      </w:r>
    </w:p>
    <w:p w14:paraId="23BB43AD" w14:textId="77777777" w:rsidR="00000000" w:rsidRDefault="00322B34">
      <w:pPr>
        <w:pStyle w:val="a3"/>
        <w:spacing w:before="0" w:beforeAutospacing="0" w:after="0" w:afterAutospacing="0"/>
        <w:ind w:left="360"/>
        <w:jc w:val="both"/>
        <w:rPr>
          <w:sz w:val="20"/>
          <w:szCs w:val="20"/>
        </w:rPr>
      </w:pPr>
      <w:r>
        <w:rPr>
          <w:sz w:val="20"/>
          <w:szCs w:val="20"/>
        </w:rPr>
        <w:t> </w:t>
      </w:r>
    </w:p>
    <w:p w14:paraId="621FF6A6" w14:textId="77777777" w:rsidR="00000000" w:rsidRDefault="00322B34">
      <w:pPr>
        <w:pStyle w:val="a3"/>
        <w:spacing w:before="0" w:beforeAutospacing="0" w:after="0" w:afterAutospacing="0"/>
        <w:ind w:firstLine="360"/>
        <w:jc w:val="both"/>
        <w:rPr>
          <w:sz w:val="20"/>
          <w:szCs w:val="20"/>
        </w:rPr>
      </w:pPr>
      <w:r>
        <w:rPr>
          <w:sz w:val="20"/>
          <w:szCs w:val="20"/>
        </w:rPr>
        <w:t>The following are financial instruments for which the Company’s estimated fair value differs from the carrying value (in thousan</w:t>
      </w:r>
      <w:r>
        <w:rPr>
          <w:sz w:val="20"/>
          <w:szCs w:val="20"/>
        </w:rPr>
        <w:t>ds):</w:t>
      </w:r>
    </w:p>
    <w:p w14:paraId="7F461DFC"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81"/>
        <w:gridCol w:w="77"/>
        <w:gridCol w:w="100"/>
        <w:gridCol w:w="825"/>
        <w:gridCol w:w="77"/>
        <w:gridCol w:w="78"/>
        <w:gridCol w:w="100"/>
        <w:gridCol w:w="826"/>
        <w:gridCol w:w="78"/>
        <w:gridCol w:w="78"/>
        <w:gridCol w:w="100"/>
        <w:gridCol w:w="826"/>
        <w:gridCol w:w="78"/>
        <w:gridCol w:w="78"/>
        <w:gridCol w:w="100"/>
        <w:gridCol w:w="826"/>
        <w:gridCol w:w="78"/>
      </w:tblGrid>
      <w:tr w:rsidR="00000000" w14:paraId="69AA2FEC" w14:textId="77777777">
        <w:trPr>
          <w:tblCellSpacing w:w="0" w:type="dxa"/>
        </w:trPr>
        <w:tc>
          <w:tcPr>
            <w:tcW w:w="0" w:type="auto"/>
            <w:vAlign w:val="bottom"/>
            <w:hideMark/>
          </w:tcPr>
          <w:p w14:paraId="3FF94B0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9C01665"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9280C24" w14:textId="77777777" w:rsidR="00000000" w:rsidRDefault="00322B34">
            <w:pPr>
              <w:pStyle w:val="a3"/>
              <w:spacing w:before="0" w:beforeAutospacing="0" w:after="0" w:afterAutospacing="0"/>
              <w:jc w:val="center"/>
              <w:rPr>
                <w:sz w:val="20"/>
                <w:szCs w:val="20"/>
              </w:rPr>
            </w:pPr>
            <w:r>
              <w:rPr>
                <w:b/>
                <w:bCs/>
                <w:sz w:val="20"/>
                <w:szCs w:val="20"/>
              </w:rPr>
              <w:t>June 30, 2020</w:t>
            </w:r>
          </w:p>
        </w:tc>
        <w:tc>
          <w:tcPr>
            <w:tcW w:w="0" w:type="auto"/>
            <w:tcMar>
              <w:top w:w="0" w:type="dxa"/>
              <w:left w:w="0" w:type="dxa"/>
              <w:bottom w:w="15" w:type="dxa"/>
              <w:right w:w="0" w:type="dxa"/>
            </w:tcMar>
            <w:vAlign w:val="bottom"/>
            <w:hideMark/>
          </w:tcPr>
          <w:p w14:paraId="506686B0"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849DDF7"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14D4FFE9" w14:textId="77777777" w:rsidR="00000000" w:rsidRDefault="00322B34">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4A6A4371" w14:textId="77777777" w:rsidR="00000000" w:rsidRDefault="00322B34">
            <w:pPr>
              <w:rPr>
                <w:rFonts w:eastAsia="Times New Roman"/>
                <w:sz w:val="20"/>
                <w:szCs w:val="20"/>
              </w:rPr>
            </w:pPr>
            <w:r>
              <w:rPr>
                <w:rFonts w:eastAsia="Times New Roman"/>
                <w:sz w:val="20"/>
                <w:szCs w:val="20"/>
              </w:rPr>
              <w:t> </w:t>
            </w:r>
          </w:p>
        </w:tc>
      </w:tr>
      <w:tr w:rsidR="00000000" w14:paraId="0640E777" w14:textId="77777777">
        <w:trPr>
          <w:tblCellSpacing w:w="0" w:type="dxa"/>
        </w:trPr>
        <w:tc>
          <w:tcPr>
            <w:tcW w:w="0" w:type="auto"/>
            <w:vAlign w:val="bottom"/>
            <w:hideMark/>
          </w:tcPr>
          <w:p w14:paraId="40FD63D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3EB6F7E"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A210673" w14:textId="77777777" w:rsidR="00000000" w:rsidRDefault="00322B34">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14:paraId="30011CC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5BAD910"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C260690" w14:textId="77777777" w:rsidR="00000000" w:rsidRDefault="00322B34">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39D6B4A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CDD4B8C"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0A834BE" w14:textId="77777777" w:rsidR="00000000" w:rsidRDefault="00322B34">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14:paraId="5FFC32A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9309532"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7D89F85" w14:textId="77777777" w:rsidR="00000000" w:rsidRDefault="00322B34">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1C6C6A90" w14:textId="77777777" w:rsidR="00000000" w:rsidRDefault="00322B34">
            <w:pPr>
              <w:rPr>
                <w:rFonts w:eastAsia="Times New Roman"/>
                <w:sz w:val="20"/>
                <w:szCs w:val="20"/>
              </w:rPr>
            </w:pPr>
            <w:r>
              <w:rPr>
                <w:rFonts w:eastAsia="Times New Roman"/>
                <w:sz w:val="20"/>
                <w:szCs w:val="20"/>
              </w:rPr>
              <w:t> </w:t>
            </w:r>
          </w:p>
        </w:tc>
      </w:tr>
      <w:tr w:rsidR="00000000" w14:paraId="28BCE17E" w14:textId="77777777">
        <w:trPr>
          <w:tblCellSpacing w:w="0" w:type="dxa"/>
        </w:trPr>
        <w:tc>
          <w:tcPr>
            <w:tcW w:w="2400" w:type="pct"/>
            <w:shd w:val="clear" w:color="auto" w:fill="CCEEFF"/>
            <w:vAlign w:val="bottom"/>
            <w:hideMark/>
          </w:tcPr>
          <w:p w14:paraId="02FC68D8" w14:textId="77777777" w:rsidR="00000000" w:rsidRDefault="00322B34">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14:paraId="284EEB2E"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6A10CD7"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1B768FBD" w14:textId="77777777" w:rsidR="00000000" w:rsidRDefault="00322B34">
            <w:pPr>
              <w:jc w:val="right"/>
              <w:rPr>
                <w:rFonts w:eastAsia="Times New Roman"/>
                <w:sz w:val="20"/>
                <w:szCs w:val="20"/>
              </w:rPr>
            </w:pPr>
            <w:r>
              <w:rPr>
                <w:rFonts w:eastAsia="Times New Roman"/>
                <w:sz w:val="20"/>
                <w:szCs w:val="20"/>
              </w:rPr>
              <w:t>4,961,972</w:t>
            </w:r>
          </w:p>
        </w:tc>
        <w:tc>
          <w:tcPr>
            <w:tcW w:w="50" w:type="pct"/>
            <w:shd w:val="clear" w:color="auto" w:fill="CCEEFF"/>
            <w:tcMar>
              <w:top w:w="0" w:type="dxa"/>
              <w:left w:w="0" w:type="dxa"/>
              <w:bottom w:w="45" w:type="dxa"/>
              <w:right w:w="0" w:type="dxa"/>
            </w:tcMar>
            <w:vAlign w:val="bottom"/>
            <w:hideMark/>
          </w:tcPr>
          <w:p w14:paraId="2E75146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9CD650"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7D6908F"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4D747B17" w14:textId="77777777" w:rsidR="00000000" w:rsidRDefault="00322B34">
            <w:pPr>
              <w:jc w:val="right"/>
              <w:rPr>
                <w:rFonts w:eastAsia="Times New Roman"/>
                <w:sz w:val="20"/>
                <w:szCs w:val="20"/>
              </w:rPr>
            </w:pPr>
            <w:r>
              <w:rPr>
                <w:rFonts w:eastAsia="Times New Roman"/>
                <w:sz w:val="20"/>
                <w:szCs w:val="20"/>
              </w:rPr>
              <w:t>5,044,336</w:t>
            </w:r>
          </w:p>
        </w:tc>
        <w:tc>
          <w:tcPr>
            <w:tcW w:w="50" w:type="pct"/>
            <w:shd w:val="clear" w:color="auto" w:fill="CCEEFF"/>
            <w:tcMar>
              <w:top w:w="0" w:type="dxa"/>
              <w:left w:w="0" w:type="dxa"/>
              <w:bottom w:w="45" w:type="dxa"/>
              <w:right w:w="0" w:type="dxa"/>
            </w:tcMar>
            <w:vAlign w:val="bottom"/>
            <w:hideMark/>
          </w:tcPr>
          <w:p w14:paraId="08A3039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CD7059"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45C04E4"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29344A5D" w14:textId="77777777" w:rsidR="00000000" w:rsidRDefault="00322B34">
            <w:pPr>
              <w:jc w:val="right"/>
              <w:rPr>
                <w:rFonts w:eastAsia="Times New Roman"/>
                <w:sz w:val="20"/>
                <w:szCs w:val="20"/>
              </w:rPr>
            </w:pPr>
            <w:r>
              <w:rPr>
                <w:rFonts w:eastAsia="Times New Roman"/>
                <w:sz w:val="20"/>
                <w:szCs w:val="20"/>
              </w:rPr>
              <w:t>4,831,759</w:t>
            </w:r>
          </w:p>
        </w:tc>
        <w:tc>
          <w:tcPr>
            <w:tcW w:w="50" w:type="pct"/>
            <w:shd w:val="clear" w:color="auto" w:fill="CCEEFF"/>
            <w:tcMar>
              <w:top w:w="0" w:type="dxa"/>
              <w:left w:w="0" w:type="dxa"/>
              <w:bottom w:w="45" w:type="dxa"/>
              <w:right w:w="0" w:type="dxa"/>
            </w:tcMar>
            <w:vAlign w:val="bottom"/>
            <w:hideMark/>
          </w:tcPr>
          <w:p w14:paraId="561599B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B6E9B5"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53091A2"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534FB543" w14:textId="77777777" w:rsidR="00000000" w:rsidRDefault="00322B34">
            <w:pPr>
              <w:jc w:val="right"/>
              <w:rPr>
                <w:rFonts w:eastAsia="Times New Roman"/>
                <w:sz w:val="20"/>
                <w:szCs w:val="20"/>
              </w:rPr>
            </w:pPr>
            <w:r>
              <w:rPr>
                <w:rFonts w:eastAsia="Times New Roman"/>
                <w:sz w:val="20"/>
                <w:szCs w:val="20"/>
              </w:rPr>
              <w:t>4,983,763</w:t>
            </w:r>
          </w:p>
        </w:tc>
        <w:tc>
          <w:tcPr>
            <w:tcW w:w="50" w:type="pct"/>
            <w:shd w:val="clear" w:color="auto" w:fill="CCEEFF"/>
            <w:tcMar>
              <w:top w:w="0" w:type="dxa"/>
              <w:left w:w="0" w:type="dxa"/>
              <w:bottom w:w="45" w:type="dxa"/>
              <w:right w:w="0" w:type="dxa"/>
            </w:tcMar>
            <w:vAlign w:val="bottom"/>
            <w:hideMark/>
          </w:tcPr>
          <w:p w14:paraId="33E9BB22" w14:textId="77777777" w:rsidR="00000000" w:rsidRDefault="00322B34">
            <w:pPr>
              <w:rPr>
                <w:rFonts w:eastAsia="Times New Roman"/>
                <w:sz w:val="20"/>
                <w:szCs w:val="20"/>
              </w:rPr>
            </w:pPr>
            <w:r>
              <w:rPr>
                <w:rFonts w:eastAsia="Times New Roman"/>
                <w:sz w:val="20"/>
                <w:szCs w:val="20"/>
              </w:rPr>
              <w:t> </w:t>
            </w:r>
          </w:p>
        </w:tc>
      </w:tr>
      <w:tr w:rsidR="00000000" w14:paraId="062CFE67" w14:textId="77777777">
        <w:trPr>
          <w:tblCellSpacing w:w="0" w:type="dxa"/>
        </w:trPr>
        <w:tc>
          <w:tcPr>
            <w:tcW w:w="0" w:type="auto"/>
            <w:shd w:val="clear" w:color="auto" w:fill="FFFFFF"/>
            <w:vAlign w:val="bottom"/>
            <w:hideMark/>
          </w:tcPr>
          <w:p w14:paraId="712365F4" w14:textId="77777777" w:rsidR="00000000" w:rsidRDefault="00322B34">
            <w:pPr>
              <w:pStyle w:val="a3"/>
              <w:spacing w:before="0" w:beforeAutospacing="0" w:after="0" w:afterAutospacing="0"/>
              <w:rPr>
                <w:sz w:val="20"/>
                <w:szCs w:val="20"/>
              </w:rPr>
            </w:pPr>
            <w:r>
              <w:rPr>
                <w:sz w:val="20"/>
                <w:szCs w:val="20"/>
              </w:rPr>
              <w:t>Mortgages and construction loan payable, net (2)</w:t>
            </w:r>
          </w:p>
        </w:tc>
        <w:tc>
          <w:tcPr>
            <w:tcW w:w="50" w:type="pct"/>
            <w:shd w:val="clear" w:color="auto" w:fill="FFFFFF"/>
            <w:vAlign w:val="bottom"/>
            <w:hideMark/>
          </w:tcPr>
          <w:p w14:paraId="760B30E8"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6602A72"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52491C1F" w14:textId="77777777" w:rsidR="00000000" w:rsidRDefault="00322B34">
            <w:pPr>
              <w:jc w:val="right"/>
              <w:rPr>
                <w:rFonts w:eastAsia="Times New Roman"/>
                <w:sz w:val="20"/>
                <w:szCs w:val="20"/>
              </w:rPr>
            </w:pPr>
            <w:r>
              <w:rPr>
                <w:rFonts w:eastAsia="Times New Roman"/>
                <w:sz w:val="20"/>
                <w:szCs w:val="20"/>
              </w:rPr>
              <w:t>388,406</w:t>
            </w:r>
          </w:p>
        </w:tc>
        <w:tc>
          <w:tcPr>
            <w:tcW w:w="50" w:type="pct"/>
            <w:shd w:val="clear" w:color="auto" w:fill="FFFFFF"/>
            <w:tcMar>
              <w:top w:w="0" w:type="dxa"/>
              <w:left w:w="0" w:type="dxa"/>
              <w:bottom w:w="45" w:type="dxa"/>
              <w:right w:w="0" w:type="dxa"/>
            </w:tcMar>
            <w:vAlign w:val="bottom"/>
            <w:hideMark/>
          </w:tcPr>
          <w:p w14:paraId="59C8C0C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9790BF"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298A0B1"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54596DB5" w14:textId="77777777" w:rsidR="00000000" w:rsidRDefault="00322B34">
            <w:pPr>
              <w:jc w:val="right"/>
              <w:rPr>
                <w:rFonts w:eastAsia="Times New Roman"/>
                <w:sz w:val="20"/>
                <w:szCs w:val="20"/>
              </w:rPr>
            </w:pPr>
            <w:r>
              <w:rPr>
                <w:rFonts w:eastAsia="Times New Roman"/>
                <w:sz w:val="20"/>
                <w:szCs w:val="20"/>
              </w:rPr>
              <w:t>387,440</w:t>
            </w:r>
          </w:p>
        </w:tc>
        <w:tc>
          <w:tcPr>
            <w:tcW w:w="50" w:type="pct"/>
            <w:shd w:val="clear" w:color="auto" w:fill="FFFFFF"/>
            <w:tcMar>
              <w:top w:w="0" w:type="dxa"/>
              <w:left w:w="0" w:type="dxa"/>
              <w:bottom w:w="45" w:type="dxa"/>
              <w:right w:w="0" w:type="dxa"/>
            </w:tcMar>
            <w:vAlign w:val="bottom"/>
            <w:hideMark/>
          </w:tcPr>
          <w:p w14:paraId="05D2969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E6FC08"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A5FCA6D"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17E57378" w14:textId="77777777" w:rsidR="00000000" w:rsidRDefault="00322B34">
            <w:pPr>
              <w:jc w:val="right"/>
              <w:rPr>
                <w:rFonts w:eastAsia="Times New Roman"/>
                <w:sz w:val="20"/>
                <w:szCs w:val="20"/>
              </w:rPr>
            </w:pPr>
            <w:r>
              <w:rPr>
                <w:rFonts w:eastAsia="Times New Roman"/>
                <w:sz w:val="20"/>
                <w:szCs w:val="20"/>
              </w:rPr>
              <w:t>484,008</w:t>
            </w:r>
          </w:p>
        </w:tc>
        <w:tc>
          <w:tcPr>
            <w:tcW w:w="50" w:type="pct"/>
            <w:shd w:val="clear" w:color="auto" w:fill="FFFFFF"/>
            <w:tcMar>
              <w:top w:w="0" w:type="dxa"/>
              <w:left w:w="0" w:type="dxa"/>
              <w:bottom w:w="45" w:type="dxa"/>
              <w:right w:w="0" w:type="dxa"/>
            </w:tcMar>
            <w:vAlign w:val="bottom"/>
            <w:hideMark/>
          </w:tcPr>
          <w:p w14:paraId="588B7B1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FDF98B"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F5B41AF"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0AF3978A" w14:textId="77777777" w:rsidR="00000000" w:rsidRDefault="00322B34">
            <w:pPr>
              <w:jc w:val="right"/>
              <w:rPr>
                <w:rFonts w:eastAsia="Times New Roman"/>
                <w:sz w:val="20"/>
                <w:szCs w:val="20"/>
              </w:rPr>
            </w:pPr>
            <w:r>
              <w:rPr>
                <w:rFonts w:eastAsia="Times New Roman"/>
                <w:sz w:val="20"/>
                <w:szCs w:val="20"/>
              </w:rPr>
              <w:t>486,042</w:t>
            </w:r>
          </w:p>
        </w:tc>
        <w:tc>
          <w:tcPr>
            <w:tcW w:w="50" w:type="pct"/>
            <w:shd w:val="clear" w:color="auto" w:fill="FFFFFF"/>
            <w:tcMar>
              <w:top w:w="0" w:type="dxa"/>
              <w:left w:w="0" w:type="dxa"/>
              <w:bottom w:w="45" w:type="dxa"/>
              <w:right w:w="0" w:type="dxa"/>
            </w:tcMar>
            <w:vAlign w:val="bottom"/>
            <w:hideMark/>
          </w:tcPr>
          <w:p w14:paraId="3E094F1E" w14:textId="77777777" w:rsidR="00000000" w:rsidRDefault="00322B34">
            <w:pPr>
              <w:rPr>
                <w:rFonts w:eastAsia="Times New Roman"/>
                <w:sz w:val="20"/>
                <w:szCs w:val="20"/>
              </w:rPr>
            </w:pPr>
            <w:r>
              <w:rPr>
                <w:rFonts w:eastAsia="Times New Roman"/>
                <w:sz w:val="20"/>
                <w:szCs w:val="20"/>
              </w:rPr>
              <w:t> </w:t>
            </w:r>
          </w:p>
        </w:tc>
      </w:tr>
    </w:tbl>
    <w:p w14:paraId="07287A5B" w14:textId="77777777" w:rsidR="00000000" w:rsidRDefault="00322B3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A0A19A1" w14:textId="77777777">
        <w:trPr>
          <w:tblCellSpacing w:w="0" w:type="dxa"/>
        </w:trPr>
        <w:tc>
          <w:tcPr>
            <w:tcW w:w="360" w:type="dxa"/>
            <w:vAlign w:val="center"/>
            <w:hideMark/>
          </w:tcPr>
          <w:p w14:paraId="36EAACBB" w14:textId="77777777" w:rsidR="00000000" w:rsidRDefault="00322B34">
            <w:pPr>
              <w:rPr>
                <w:rFonts w:eastAsia="Times New Roman"/>
                <w:sz w:val="20"/>
                <w:szCs w:val="20"/>
              </w:rPr>
            </w:pPr>
            <w:r>
              <w:rPr>
                <w:rFonts w:eastAsia="Times New Roman"/>
                <w:sz w:val="20"/>
                <w:szCs w:val="20"/>
              </w:rPr>
              <w:t> </w:t>
            </w:r>
          </w:p>
        </w:tc>
        <w:tc>
          <w:tcPr>
            <w:tcW w:w="360" w:type="dxa"/>
            <w:hideMark/>
          </w:tcPr>
          <w:p w14:paraId="63F15A32"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14:paraId="3D1E2F51" w14:textId="77777777" w:rsidR="00000000" w:rsidRDefault="00322B34">
            <w:pPr>
              <w:pStyle w:val="a3"/>
              <w:spacing w:before="0" w:beforeAutospacing="0" w:after="0" w:afterAutospacing="0"/>
              <w:jc w:val="both"/>
              <w:rPr>
                <w:sz w:val="20"/>
                <w:szCs w:val="20"/>
              </w:rPr>
            </w:pPr>
            <w:r>
              <w:rPr>
                <w:sz w:val="20"/>
                <w:szCs w:val="20"/>
              </w:rPr>
              <w:t xml:space="preserve">The Company determined that the valuation of its Senior Unsecured Notes were classified within Level </w:t>
            </w:r>
            <w:r>
              <w:rPr>
                <w:rStyle w:val="a6"/>
                <w:sz w:val="20"/>
                <w:szCs w:val="20"/>
              </w:rPr>
              <w:t>2</w:t>
            </w:r>
            <w:r>
              <w:rPr>
                <w:sz w:val="20"/>
                <w:szCs w:val="20"/>
              </w:rPr>
              <w:t xml:space="preserve"> of the fair value hierarchy and its unsecured revolving credit facility and term loan were classified within Level </w:t>
            </w:r>
            <w:r>
              <w:rPr>
                <w:rStyle w:val="a6"/>
                <w:sz w:val="20"/>
                <w:szCs w:val="20"/>
              </w:rPr>
              <w:t>3</w:t>
            </w:r>
            <w:r>
              <w:rPr>
                <w:sz w:val="20"/>
                <w:szCs w:val="20"/>
              </w:rPr>
              <w:t xml:space="preserve"> of the fair value hierarchy. The est</w:t>
            </w:r>
            <w:r>
              <w:rPr>
                <w:sz w:val="20"/>
                <w:szCs w:val="20"/>
              </w:rPr>
              <w:t xml:space="preserve">imated fair value amounts classified as Level </w:t>
            </w:r>
            <w:r>
              <w:rPr>
                <w:rStyle w:val="a6"/>
                <w:sz w:val="20"/>
                <w:szCs w:val="20"/>
              </w:rPr>
              <w:t>2,</w:t>
            </w:r>
            <w:r>
              <w:rPr>
                <w:sz w:val="20"/>
                <w:szCs w:val="20"/>
              </w:rPr>
              <w:t xml:space="preserve"> as of </w:t>
            </w:r>
            <w:r>
              <w:rPr>
                <w:rStyle w:val="a6"/>
                <w:sz w:val="20"/>
                <w:szCs w:val="20"/>
              </w:rPr>
              <w:t xml:space="preserve">June 30, 2020 </w:t>
            </w:r>
            <w:r>
              <w:rPr>
                <w:sz w:val="20"/>
                <w:szCs w:val="20"/>
              </w:rPr>
              <w:t xml:space="preserve">and </w:t>
            </w:r>
            <w:r>
              <w:rPr>
                <w:rStyle w:val="a6"/>
                <w:sz w:val="20"/>
                <w:szCs w:val="20"/>
              </w:rPr>
              <w:t xml:space="preserve">December 31, 2019, </w:t>
            </w:r>
            <w:r>
              <w:rPr>
                <w:sz w:val="20"/>
                <w:szCs w:val="20"/>
              </w:rPr>
              <w:t xml:space="preserve">were $4.7 billion and $4.8 billion, respectively. The estimated fair value amounts classified as Level </w:t>
            </w:r>
            <w:r>
              <w:rPr>
                <w:rStyle w:val="a6"/>
                <w:sz w:val="20"/>
                <w:szCs w:val="20"/>
              </w:rPr>
              <w:t>3,</w:t>
            </w:r>
            <w:r>
              <w:rPr>
                <w:sz w:val="20"/>
                <w:szCs w:val="20"/>
              </w:rPr>
              <w:t xml:space="preserve"> as of </w:t>
            </w:r>
            <w:r>
              <w:rPr>
                <w:rStyle w:val="a6"/>
                <w:sz w:val="20"/>
                <w:szCs w:val="20"/>
              </w:rPr>
              <w:t xml:space="preserve">June 30, 2020 </w:t>
            </w:r>
            <w:r>
              <w:rPr>
                <w:sz w:val="20"/>
                <w:szCs w:val="20"/>
              </w:rPr>
              <w:t xml:space="preserve">and </w:t>
            </w:r>
            <w:r>
              <w:rPr>
                <w:rStyle w:val="a6"/>
                <w:sz w:val="20"/>
                <w:szCs w:val="20"/>
              </w:rPr>
              <w:t xml:space="preserve">December 31, 2019, </w:t>
            </w:r>
            <w:r>
              <w:rPr>
                <w:sz w:val="20"/>
                <w:szCs w:val="20"/>
              </w:rPr>
              <w:t>were $325.0 mil</w:t>
            </w:r>
            <w:r>
              <w:rPr>
                <w:sz w:val="20"/>
                <w:szCs w:val="20"/>
              </w:rPr>
              <w:t>lion and $199.9 million, respectively.</w:t>
            </w:r>
          </w:p>
        </w:tc>
      </w:tr>
    </w:tbl>
    <w:p w14:paraId="00862237"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A7EDB5F" w14:textId="77777777">
        <w:trPr>
          <w:tblCellSpacing w:w="0" w:type="dxa"/>
        </w:trPr>
        <w:tc>
          <w:tcPr>
            <w:tcW w:w="360" w:type="dxa"/>
            <w:vAlign w:val="center"/>
            <w:hideMark/>
          </w:tcPr>
          <w:p w14:paraId="34DB3A99" w14:textId="77777777" w:rsidR="00000000" w:rsidRDefault="00322B34">
            <w:pPr>
              <w:rPr>
                <w:rFonts w:eastAsia="Times New Roman"/>
                <w:sz w:val="20"/>
                <w:szCs w:val="20"/>
              </w:rPr>
            </w:pPr>
            <w:r>
              <w:rPr>
                <w:rFonts w:eastAsia="Times New Roman"/>
                <w:sz w:val="20"/>
                <w:szCs w:val="20"/>
              </w:rPr>
              <w:t> </w:t>
            </w:r>
          </w:p>
        </w:tc>
        <w:tc>
          <w:tcPr>
            <w:tcW w:w="360" w:type="dxa"/>
            <w:hideMark/>
          </w:tcPr>
          <w:p w14:paraId="5963D646"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14:paraId="662026D6" w14:textId="77777777" w:rsidR="00000000" w:rsidRDefault="00322B34">
            <w:pPr>
              <w:pStyle w:val="a3"/>
              <w:spacing w:before="0" w:beforeAutospacing="0" w:after="0" w:afterAutospacing="0"/>
              <w:jc w:val="both"/>
              <w:rPr>
                <w:sz w:val="20"/>
                <w:szCs w:val="20"/>
              </w:rPr>
            </w:pPr>
            <w:r>
              <w:rPr>
                <w:sz w:val="20"/>
                <w:szCs w:val="20"/>
              </w:rPr>
              <w:t xml:space="preserve">The Company determined that its valuation of its mortgages and construction loan were classified within Level </w:t>
            </w:r>
            <w:r>
              <w:rPr>
                <w:rStyle w:val="a6"/>
                <w:sz w:val="20"/>
                <w:szCs w:val="20"/>
              </w:rPr>
              <w:t>3</w:t>
            </w:r>
            <w:r>
              <w:rPr>
                <w:sz w:val="20"/>
                <w:szCs w:val="20"/>
              </w:rPr>
              <w:t xml:space="preserve"> of the fair value hierarchy. </w:t>
            </w:r>
          </w:p>
        </w:tc>
      </w:tr>
    </w:tbl>
    <w:p w14:paraId="6FB2C079" w14:textId="77777777" w:rsidR="00000000" w:rsidRDefault="00322B34">
      <w:pPr>
        <w:pStyle w:val="a3"/>
        <w:spacing w:before="0" w:beforeAutospacing="0" w:after="0" w:afterAutospacing="0"/>
        <w:jc w:val="both"/>
        <w:rPr>
          <w:sz w:val="20"/>
          <w:szCs w:val="20"/>
        </w:rPr>
      </w:pPr>
      <w:r>
        <w:rPr>
          <w:sz w:val="20"/>
          <w:szCs w:val="20"/>
        </w:rPr>
        <w:t> </w:t>
      </w:r>
    </w:p>
    <w:p w14:paraId="378ED0A1" w14:textId="77777777" w:rsidR="00000000" w:rsidRDefault="00322B34">
      <w:pPr>
        <w:pStyle w:val="a3"/>
        <w:spacing w:before="0" w:beforeAutospacing="0" w:after="0" w:afterAutospacing="0"/>
        <w:ind w:firstLine="360"/>
        <w:jc w:val="both"/>
        <w:rPr>
          <w:sz w:val="20"/>
          <w:szCs w:val="20"/>
        </w:rPr>
      </w:pPr>
      <w:r>
        <w:rPr>
          <w:sz w:val="20"/>
          <w:szCs w:val="20"/>
        </w:rPr>
        <w:t>The Company has certain financial instruments that must be measu</w:t>
      </w:r>
      <w:r>
        <w:rPr>
          <w:sz w:val="20"/>
          <w:szCs w:val="20"/>
        </w:rPr>
        <w:t xml:space="preserve">red under the FASB’s Fair Value Measurements and Disclosures guidance, including available for sale securities. The Company currently does </w:t>
      </w:r>
      <w:r>
        <w:rPr>
          <w:rStyle w:val="a6"/>
          <w:sz w:val="20"/>
          <w:szCs w:val="20"/>
        </w:rPr>
        <w:t>not</w:t>
      </w:r>
      <w:r>
        <w:rPr>
          <w:sz w:val="20"/>
          <w:szCs w:val="20"/>
        </w:rPr>
        <w:t xml:space="preserve"> have non-financial assets and non-financial liabilities that are required to be measured at fair value on a recur</w:t>
      </w:r>
      <w:r>
        <w:rPr>
          <w:sz w:val="20"/>
          <w:szCs w:val="20"/>
        </w:rPr>
        <w:t>ring basis.</w:t>
      </w:r>
    </w:p>
    <w:p w14:paraId="7CE66EE6" w14:textId="77777777" w:rsidR="00000000" w:rsidRDefault="00322B34">
      <w:pPr>
        <w:pStyle w:val="a3"/>
        <w:spacing w:before="0" w:beforeAutospacing="0" w:after="0" w:afterAutospacing="0"/>
        <w:ind w:firstLine="720"/>
        <w:jc w:val="both"/>
        <w:rPr>
          <w:sz w:val="20"/>
          <w:szCs w:val="20"/>
        </w:rPr>
      </w:pPr>
      <w:r>
        <w:rPr>
          <w:sz w:val="20"/>
          <w:szCs w:val="20"/>
        </w:rPr>
        <w:t> </w:t>
      </w:r>
    </w:p>
    <w:p w14:paraId="2F397986" w14:textId="77777777" w:rsidR="00000000" w:rsidRDefault="00322B34">
      <w:pPr>
        <w:pStyle w:val="a3"/>
        <w:spacing w:before="0" w:beforeAutospacing="0" w:after="0" w:afterAutospacing="0"/>
        <w:ind w:firstLine="360"/>
        <w:jc w:val="both"/>
        <w:rPr>
          <w:sz w:val="20"/>
          <w:szCs w:val="20"/>
        </w:rPr>
      </w:pPr>
      <w:r>
        <w:rPr>
          <w:sz w:val="20"/>
          <w:szCs w:val="20"/>
        </w:rPr>
        <w:t>The tables below present the Company’s financial assets measured at fair value on a recurring basis at </w:t>
      </w:r>
      <w:r>
        <w:rPr>
          <w:rStyle w:val="a6"/>
          <w:sz w:val="20"/>
          <w:szCs w:val="20"/>
        </w:rPr>
        <w:t xml:space="preserve"> June 30, 2020 </w:t>
      </w:r>
      <w:r>
        <w:rPr>
          <w:sz w:val="20"/>
          <w:szCs w:val="20"/>
        </w:rPr>
        <w:t xml:space="preserve">and </w:t>
      </w:r>
      <w:r>
        <w:rPr>
          <w:rStyle w:val="a6"/>
          <w:sz w:val="20"/>
          <w:szCs w:val="20"/>
        </w:rPr>
        <w:t xml:space="preserve">December 31, 2019, </w:t>
      </w:r>
      <w:r>
        <w:rPr>
          <w:sz w:val="20"/>
          <w:szCs w:val="20"/>
        </w:rPr>
        <w:t>aggregated by the level in the fair value hierarchy within which those measurements fall (in thousand</w:t>
      </w:r>
      <w:r>
        <w:rPr>
          <w:sz w:val="20"/>
          <w:szCs w:val="20"/>
        </w:rPr>
        <w:t>s):</w:t>
      </w:r>
    </w:p>
    <w:p w14:paraId="4AF7C8D8"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781"/>
        <w:gridCol w:w="72"/>
        <w:gridCol w:w="100"/>
        <w:gridCol w:w="782"/>
        <w:gridCol w:w="72"/>
        <w:gridCol w:w="72"/>
        <w:gridCol w:w="100"/>
        <w:gridCol w:w="782"/>
        <w:gridCol w:w="72"/>
        <w:gridCol w:w="72"/>
        <w:gridCol w:w="101"/>
        <w:gridCol w:w="782"/>
        <w:gridCol w:w="73"/>
        <w:gridCol w:w="73"/>
        <w:gridCol w:w="101"/>
        <w:gridCol w:w="783"/>
        <w:gridCol w:w="73"/>
      </w:tblGrid>
      <w:tr w:rsidR="00000000" w14:paraId="47884B96" w14:textId="77777777">
        <w:trPr>
          <w:tblCellSpacing w:w="0" w:type="dxa"/>
        </w:trPr>
        <w:tc>
          <w:tcPr>
            <w:tcW w:w="0" w:type="auto"/>
            <w:vAlign w:val="bottom"/>
            <w:hideMark/>
          </w:tcPr>
          <w:p w14:paraId="1EE0E508"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4BF2039" w14:textId="77777777" w:rsidR="00000000" w:rsidRDefault="00322B34">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23440D04" w14:textId="77777777" w:rsidR="00000000" w:rsidRDefault="00322B34">
            <w:pPr>
              <w:pStyle w:val="a3"/>
              <w:spacing w:before="0" w:beforeAutospacing="0" w:after="0" w:afterAutospacing="0"/>
              <w:jc w:val="center"/>
              <w:rPr>
                <w:sz w:val="20"/>
                <w:szCs w:val="20"/>
              </w:rPr>
            </w:pPr>
            <w:r>
              <w:rPr>
                <w:b/>
                <w:bCs/>
                <w:sz w:val="20"/>
                <w:szCs w:val="20"/>
              </w:rPr>
              <w:t>Balance at</w:t>
            </w:r>
          </w:p>
          <w:p w14:paraId="04B411EC" w14:textId="77777777" w:rsidR="00000000" w:rsidRDefault="00322B34">
            <w:pPr>
              <w:pStyle w:val="a3"/>
              <w:spacing w:before="0" w:beforeAutospacing="0" w:after="0" w:afterAutospacing="0"/>
              <w:jc w:val="center"/>
              <w:rPr>
                <w:sz w:val="20"/>
                <w:szCs w:val="20"/>
              </w:rPr>
            </w:pPr>
            <w:r>
              <w:rPr>
                <w:b/>
                <w:bCs/>
                <w:sz w:val="20"/>
                <w:szCs w:val="20"/>
              </w:rPr>
              <w:t>June 30, 2020</w:t>
            </w:r>
          </w:p>
        </w:tc>
        <w:tc>
          <w:tcPr>
            <w:tcW w:w="0" w:type="auto"/>
            <w:tcMar>
              <w:top w:w="0" w:type="dxa"/>
              <w:left w:w="0" w:type="dxa"/>
              <w:bottom w:w="15" w:type="dxa"/>
              <w:right w:w="0" w:type="dxa"/>
            </w:tcMar>
            <w:vAlign w:val="bottom"/>
            <w:hideMark/>
          </w:tcPr>
          <w:p w14:paraId="0B203872"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E22193F"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D2F69B1" w14:textId="77777777" w:rsidR="00000000" w:rsidRDefault="00322B34">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0EF6830C"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20E0B60"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FD71534" w14:textId="77777777" w:rsidR="00000000" w:rsidRDefault="00322B34">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49552FA0"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410EEC1"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8A455F3" w14:textId="77777777" w:rsidR="00000000" w:rsidRDefault="00322B34">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5382446F" w14:textId="77777777" w:rsidR="00000000" w:rsidRDefault="00322B34">
            <w:pPr>
              <w:rPr>
                <w:rFonts w:eastAsia="Times New Roman"/>
                <w:sz w:val="20"/>
                <w:szCs w:val="20"/>
              </w:rPr>
            </w:pPr>
            <w:r>
              <w:rPr>
                <w:rFonts w:eastAsia="Times New Roman"/>
                <w:sz w:val="20"/>
                <w:szCs w:val="20"/>
              </w:rPr>
              <w:t> </w:t>
            </w:r>
          </w:p>
        </w:tc>
      </w:tr>
      <w:tr w:rsidR="00000000" w14:paraId="52E24B29" w14:textId="77777777">
        <w:trPr>
          <w:tblCellSpacing w:w="0" w:type="dxa"/>
        </w:trPr>
        <w:tc>
          <w:tcPr>
            <w:tcW w:w="0" w:type="auto"/>
            <w:vAlign w:val="bottom"/>
            <w:hideMark/>
          </w:tcPr>
          <w:p w14:paraId="52C89D98"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552C3D5"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32FA6A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6187030"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294CB64"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14B7FA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86D6969"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871CB05"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0864B8B"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B0CED5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9F9CDE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F5D636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CBB0E49"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F1FABE8"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D12D59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69A15CB"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042EF46" w14:textId="77777777" w:rsidR="00000000" w:rsidRDefault="00322B34">
            <w:pPr>
              <w:rPr>
                <w:rFonts w:eastAsia="Times New Roman"/>
                <w:sz w:val="20"/>
                <w:szCs w:val="20"/>
              </w:rPr>
            </w:pPr>
            <w:r>
              <w:rPr>
                <w:rFonts w:eastAsia="Times New Roman"/>
                <w:sz w:val="20"/>
                <w:szCs w:val="20"/>
              </w:rPr>
              <w:t> </w:t>
            </w:r>
          </w:p>
        </w:tc>
      </w:tr>
      <w:tr w:rsidR="00000000" w14:paraId="30D0A47D" w14:textId="77777777">
        <w:trPr>
          <w:tblCellSpacing w:w="0" w:type="dxa"/>
        </w:trPr>
        <w:tc>
          <w:tcPr>
            <w:tcW w:w="2400" w:type="pct"/>
            <w:shd w:val="clear" w:color="auto" w:fill="CCEEFF"/>
            <w:vAlign w:val="bottom"/>
            <w:hideMark/>
          </w:tcPr>
          <w:p w14:paraId="4E6A521D" w14:textId="77777777" w:rsidR="00000000" w:rsidRDefault="00322B34">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14:paraId="5FDD03C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E753BE"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1184876D" w14:textId="77777777" w:rsidR="00000000" w:rsidRDefault="00322B34">
            <w:pPr>
              <w:jc w:val="right"/>
              <w:rPr>
                <w:rFonts w:eastAsia="Times New Roman"/>
                <w:sz w:val="20"/>
                <w:szCs w:val="20"/>
              </w:rPr>
            </w:pPr>
            <w:r>
              <w:rPr>
                <w:rFonts w:eastAsia="Times New Roman"/>
                <w:sz w:val="20"/>
                <w:szCs w:val="20"/>
              </w:rPr>
              <w:t>633,551</w:t>
            </w:r>
          </w:p>
        </w:tc>
        <w:tc>
          <w:tcPr>
            <w:tcW w:w="50" w:type="pct"/>
            <w:shd w:val="clear" w:color="auto" w:fill="CCEEFF"/>
            <w:vAlign w:val="bottom"/>
            <w:hideMark/>
          </w:tcPr>
          <w:p w14:paraId="244C2D8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7C429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13F99E"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4C5BFCE9" w14:textId="77777777" w:rsidR="00000000" w:rsidRDefault="00322B34">
            <w:pPr>
              <w:jc w:val="right"/>
              <w:rPr>
                <w:rFonts w:eastAsia="Times New Roman"/>
                <w:sz w:val="20"/>
                <w:szCs w:val="20"/>
              </w:rPr>
            </w:pPr>
            <w:r>
              <w:rPr>
                <w:rFonts w:eastAsia="Times New Roman"/>
                <w:sz w:val="20"/>
                <w:szCs w:val="20"/>
              </w:rPr>
              <w:t>633,551</w:t>
            </w:r>
          </w:p>
        </w:tc>
        <w:tc>
          <w:tcPr>
            <w:tcW w:w="50" w:type="pct"/>
            <w:shd w:val="clear" w:color="auto" w:fill="CCEEFF"/>
            <w:vAlign w:val="bottom"/>
            <w:hideMark/>
          </w:tcPr>
          <w:p w14:paraId="000260A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435AC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FEA29F"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13B167AF"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7E367B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0E815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85BB3A"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4A6C963B"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2CC406E" w14:textId="77777777" w:rsidR="00000000" w:rsidRDefault="00322B34">
            <w:pPr>
              <w:rPr>
                <w:rFonts w:eastAsia="Times New Roman"/>
                <w:sz w:val="20"/>
                <w:szCs w:val="20"/>
              </w:rPr>
            </w:pPr>
            <w:r>
              <w:rPr>
                <w:rFonts w:eastAsia="Times New Roman"/>
                <w:sz w:val="20"/>
                <w:szCs w:val="20"/>
              </w:rPr>
              <w:t> </w:t>
            </w:r>
          </w:p>
        </w:tc>
      </w:tr>
    </w:tbl>
    <w:p w14:paraId="4F4311CC" w14:textId="77777777" w:rsidR="00000000" w:rsidRDefault="00322B34">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781"/>
        <w:gridCol w:w="72"/>
        <w:gridCol w:w="101"/>
        <w:gridCol w:w="788"/>
        <w:gridCol w:w="66"/>
        <w:gridCol w:w="72"/>
        <w:gridCol w:w="100"/>
        <w:gridCol w:w="782"/>
        <w:gridCol w:w="72"/>
        <w:gridCol w:w="72"/>
        <w:gridCol w:w="101"/>
        <w:gridCol w:w="782"/>
        <w:gridCol w:w="72"/>
        <w:gridCol w:w="73"/>
        <w:gridCol w:w="101"/>
        <w:gridCol w:w="783"/>
        <w:gridCol w:w="73"/>
      </w:tblGrid>
      <w:tr w:rsidR="00000000" w14:paraId="5AD73102" w14:textId="77777777">
        <w:trPr>
          <w:tblCellSpacing w:w="0" w:type="dxa"/>
        </w:trPr>
        <w:tc>
          <w:tcPr>
            <w:tcW w:w="0" w:type="auto"/>
            <w:vAlign w:val="bottom"/>
            <w:hideMark/>
          </w:tcPr>
          <w:p w14:paraId="5B0E966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9ACB858" w14:textId="77777777" w:rsidR="00000000" w:rsidRDefault="00322B34">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5228FA62" w14:textId="77777777" w:rsidR="00000000" w:rsidRDefault="00322B34">
            <w:pPr>
              <w:pStyle w:val="a3"/>
              <w:spacing w:before="0" w:beforeAutospacing="0" w:after="0" w:afterAutospacing="0"/>
              <w:jc w:val="center"/>
              <w:rPr>
                <w:sz w:val="20"/>
                <w:szCs w:val="20"/>
              </w:rPr>
            </w:pPr>
            <w:r>
              <w:rPr>
                <w:b/>
                <w:bCs/>
                <w:sz w:val="20"/>
                <w:szCs w:val="20"/>
              </w:rPr>
              <w:t>Balance at</w:t>
            </w:r>
          </w:p>
          <w:p w14:paraId="091A6975" w14:textId="77777777" w:rsidR="00000000" w:rsidRDefault="00322B34">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554C578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CC71F26"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E02E2BA" w14:textId="77777777" w:rsidR="00000000" w:rsidRDefault="00322B34">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3FC0BF0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06D57FE"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DD58D0E" w14:textId="77777777" w:rsidR="00000000" w:rsidRDefault="00322B34">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64912D7F"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08B520E"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BD7B2A8" w14:textId="77777777" w:rsidR="00000000" w:rsidRDefault="00322B34">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4CEDD37D" w14:textId="77777777" w:rsidR="00000000" w:rsidRDefault="00322B34">
            <w:pPr>
              <w:rPr>
                <w:rFonts w:eastAsia="Times New Roman"/>
                <w:sz w:val="20"/>
                <w:szCs w:val="20"/>
              </w:rPr>
            </w:pPr>
            <w:r>
              <w:rPr>
                <w:rFonts w:eastAsia="Times New Roman"/>
                <w:sz w:val="20"/>
                <w:szCs w:val="20"/>
              </w:rPr>
              <w:t> </w:t>
            </w:r>
          </w:p>
        </w:tc>
      </w:tr>
      <w:tr w:rsidR="00000000" w14:paraId="499AE74A" w14:textId="77777777">
        <w:trPr>
          <w:tblCellSpacing w:w="0" w:type="dxa"/>
        </w:trPr>
        <w:tc>
          <w:tcPr>
            <w:tcW w:w="0" w:type="auto"/>
            <w:vAlign w:val="bottom"/>
            <w:hideMark/>
          </w:tcPr>
          <w:p w14:paraId="0C80085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6CC0F8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D7C6A6F"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90C0D9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E72885D"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AE6333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C46F61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95B5335"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F93C7FB"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36BDD12"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C0CE32B"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573A41D"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06BCEEB"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2EDD3C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8E355C8"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45ED29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4C1CB23" w14:textId="77777777" w:rsidR="00000000" w:rsidRDefault="00322B34">
            <w:pPr>
              <w:rPr>
                <w:rFonts w:eastAsia="Times New Roman"/>
                <w:sz w:val="20"/>
                <w:szCs w:val="20"/>
              </w:rPr>
            </w:pPr>
            <w:r>
              <w:rPr>
                <w:rFonts w:eastAsia="Times New Roman"/>
                <w:sz w:val="20"/>
                <w:szCs w:val="20"/>
              </w:rPr>
              <w:t> </w:t>
            </w:r>
          </w:p>
        </w:tc>
      </w:tr>
      <w:tr w:rsidR="00000000" w14:paraId="7FC72DFD" w14:textId="77777777">
        <w:trPr>
          <w:tblCellSpacing w:w="0" w:type="dxa"/>
        </w:trPr>
        <w:tc>
          <w:tcPr>
            <w:tcW w:w="2400" w:type="pct"/>
            <w:shd w:val="clear" w:color="auto" w:fill="CCEEFF"/>
            <w:vAlign w:val="bottom"/>
            <w:hideMark/>
          </w:tcPr>
          <w:p w14:paraId="56A7D92C" w14:textId="77777777" w:rsidR="00000000" w:rsidRDefault="00322B34">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14:paraId="00435E4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8495D9"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00756753" w14:textId="77777777" w:rsidR="00000000" w:rsidRDefault="00322B34">
            <w:pPr>
              <w:jc w:val="right"/>
              <w:rPr>
                <w:rFonts w:eastAsia="Times New Roman"/>
                <w:sz w:val="20"/>
                <w:szCs w:val="20"/>
              </w:rPr>
            </w:pPr>
            <w:r>
              <w:rPr>
                <w:rFonts w:eastAsia="Times New Roman"/>
                <w:sz w:val="20"/>
                <w:szCs w:val="20"/>
              </w:rPr>
              <w:t>9,353</w:t>
            </w:r>
          </w:p>
        </w:tc>
        <w:tc>
          <w:tcPr>
            <w:tcW w:w="50" w:type="pct"/>
            <w:shd w:val="clear" w:color="auto" w:fill="CCEEFF"/>
            <w:vAlign w:val="bottom"/>
            <w:hideMark/>
          </w:tcPr>
          <w:p w14:paraId="3309939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6F3FA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E8BE91"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42E3B647" w14:textId="77777777" w:rsidR="00000000" w:rsidRDefault="00322B34">
            <w:pPr>
              <w:jc w:val="right"/>
              <w:rPr>
                <w:rFonts w:eastAsia="Times New Roman"/>
                <w:sz w:val="20"/>
                <w:szCs w:val="20"/>
              </w:rPr>
            </w:pPr>
            <w:r>
              <w:rPr>
                <w:rFonts w:eastAsia="Times New Roman"/>
                <w:sz w:val="20"/>
                <w:szCs w:val="20"/>
              </w:rPr>
              <w:t>9,353</w:t>
            </w:r>
          </w:p>
        </w:tc>
        <w:tc>
          <w:tcPr>
            <w:tcW w:w="50" w:type="pct"/>
            <w:shd w:val="clear" w:color="auto" w:fill="CCEEFF"/>
            <w:vAlign w:val="bottom"/>
            <w:hideMark/>
          </w:tcPr>
          <w:p w14:paraId="34D48BC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0202F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37A840"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1B3E6AC8"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49331B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E799D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04BA53"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656CBBFF"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775082C" w14:textId="77777777" w:rsidR="00000000" w:rsidRDefault="00322B34">
            <w:pPr>
              <w:rPr>
                <w:rFonts w:eastAsia="Times New Roman"/>
                <w:sz w:val="20"/>
                <w:szCs w:val="20"/>
              </w:rPr>
            </w:pPr>
            <w:r>
              <w:rPr>
                <w:rFonts w:eastAsia="Times New Roman"/>
                <w:sz w:val="20"/>
                <w:szCs w:val="20"/>
              </w:rPr>
              <w:t> </w:t>
            </w:r>
          </w:p>
        </w:tc>
      </w:tr>
    </w:tbl>
    <w:p w14:paraId="173C30FC" w14:textId="77777777" w:rsidR="00000000" w:rsidRDefault="00322B34">
      <w:pPr>
        <w:pStyle w:val="a3"/>
        <w:spacing w:before="0" w:beforeAutospacing="0" w:after="0" w:afterAutospacing="0"/>
        <w:jc w:val="both"/>
        <w:rPr>
          <w:sz w:val="20"/>
          <w:szCs w:val="20"/>
        </w:rPr>
      </w:pPr>
      <w:r>
        <w:rPr>
          <w:sz w:val="20"/>
          <w:szCs w:val="20"/>
        </w:rPr>
        <w:t> </w:t>
      </w:r>
    </w:p>
    <w:p w14:paraId="7B2FE093" w14:textId="77777777" w:rsidR="00000000" w:rsidRDefault="00322B34">
      <w:pPr>
        <w:pStyle w:val="a3"/>
        <w:spacing w:before="0" w:beforeAutospacing="0" w:after="0" w:afterAutospacing="0"/>
        <w:ind w:firstLine="360"/>
        <w:jc w:val="both"/>
        <w:rPr>
          <w:sz w:val="20"/>
          <w:szCs w:val="20"/>
        </w:rPr>
      </w:pPr>
      <w:r>
        <w:rPr>
          <w:sz w:val="20"/>
          <w:szCs w:val="20"/>
        </w:rPr>
        <w:t xml:space="preserve">Assets measured at fair value on a non-recurring basis at </w:t>
      </w:r>
      <w:r>
        <w:rPr>
          <w:rStyle w:val="a6"/>
          <w:sz w:val="20"/>
          <w:szCs w:val="20"/>
        </w:rPr>
        <w:t xml:space="preserve">June 30, 2020 </w:t>
      </w:r>
      <w:r>
        <w:rPr>
          <w:sz w:val="20"/>
          <w:szCs w:val="20"/>
        </w:rPr>
        <w:t xml:space="preserve">and </w:t>
      </w:r>
      <w:r>
        <w:rPr>
          <w:rStyle w:val="a6"/>
          <w:sz w:val="20"/>
          <w:szCs w:val="20"/>
        </w:rPr>
        <w:t xml:space="preserve">December 31, 2019, </w:t>
      </w:r>
      <w:r>
        <w:rPr>
          <w:sz w:val="20"/>
          <w:szCs w:val="20"/>
        </w:rPr>
        <w:t>are as follows (in thousands):</w:t>
      </w:r>
    </w:p>
    <w:p w14:paraId="76C76DF8"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781"/>
        <w:gridCol w:w="72"/>
        <w:gridCol w:w="101"/>
        <w:gridCol w:w="782"/>
        <w:gridCol w:w="72"/>
        <w:gridCol w:w="72"/>
        <w:gridCol w:w="101"/>
        <w:gridCol w:w="782"/>
        <w:gridCol w:w="72"/>
        <w:gridCol w:w="72"/>
        <w:gridCol w:w="101"/>
        <w:gridCol w:w="782"/>
        <w:gridCol w:w="72"/>
        <w:gridCol w:w="73"/>
        <w:gridCol w:w="100"/>
        <w:gridCol w:w="783"/>
        <w:gridCol w:w="73"/>
      </w:tblGrid>
      <w:tr w:rsidR="00000000" w14:paraId="0D207E84" w14:textId="77777777">
        <w:trPr>
          <w:tblCellSpacing w:w="0" w:type="dxa"/>
        </w:trPr>
        <w:tc>
          <w:tcPr>
            <w:tcW w:w="0" w:type="auto"/>
            <w:vAlign w:val="bottom"/>
            <w:hideMark/>
          </w:tcPr>
          <w:p w14:paraId="5BD2CBFD"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0E87D5B" w14:textId="77777777" w:rsidR="00000000" w:rsidRDefault="00322B34">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321DDABC" w14:textId="77777777" w:rsidR="00000000" w:rsidRDefault="00322B34">
            <w:pPr>
              <w:pStyle w:val="a3"/>
              <w:spacing w:before="0" w:beforeAutospacing="0" w:after="0" w:afterAutospacing="0"/>
              <w:jc w:val="center"/>
              <w:rPr>
                <w:sz w:val="20"/>
                <w:szCs w:val="20"/>
              </w:rPr>
            </w:pPr>
            <w:r>
              <w:rPr>
                <w:b/>
                <w:bCs/>
                <w:sz w:val="20"/>
                <w:szCs w:val="20"/>
              </w:rPr>
              <w:t>Balance at</w:t>
            </w:r>
          </w:p>
          <w:p w14:paraId="3E5D2D7F" w14:textId="77777777" w:rsidR="00000000" w:rsidRDefault="00322B34">
            <w:pPr>
              <w:pStyle w:val="a3"/>
              <w:spacing w:before="0" w:beforeAutospacing="0" w:after="0" w:afterAutospacing="0"/>
              <w:jc w:val="center"/>
              <w:rPr>
                <w:sz w:val="20"/>
                <w:szCs w:val="20"/>
              </w:rPr>
            </w:pPr>
            <w:r>
              <w:rPr>
                <w:b/>
                <w:bCs/>
                <w:sz w:val="20"/>
                <w:szCs w:val="20"/>
              </w:rPr>
              <w:t>June 30, 2020</w:t>
            </w:r>
          </w:p>
        </w:tc>
        <w:tc>
          <w:tcPr>
            <w:tcW w:w="0" w:type="auto"/>
            <w:tcMar>
              <w:top w:w="0" w:type="dxa"/>
              <w:left w:w="0" w:type="dxa"/>
              <w:bottom w:w="15" w:type="dxa"/>
              <w:right w:w="0" w:type="dxa"/>
            </w:tcMar>
            <w:vAlign w:val="bottom"/>
            <w:hideMark/>
          </w:tcPr>
          <w:p w14:paraId="17A73AC1"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585BAE2"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65F2F7D" w14:textId="77777777" w:rsidR="00000000" w:rsidRDefault="00322B34">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3CADC1E0"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0F384C4"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9393D9A" w14:textId="77777777" w:rsidR="00000000" w:rsidRDefault="00322B34">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33FD141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EF8735A"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C6DF1A0" w14:textId="77777777" w:rsidR="00000000" w:rsidRDefault="00322B34">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50DB6E3A" w14:textId="77777777" w:rsidR="00000000" w:rsidRDefault="00322B34">
            <w:pPr>
              <w:rPr>
                <w:rFonts w:eastAsia="Times New Roman"/>
                <w:sz w:val="20"/>
                <w:szCs w:val="20"/>
              </w:rPr>
            </w:pPr>
            <w:r>
              <w:rPr>
                <w:rFonts w:eastAsia="Times New Roman"/>
                <w:sz w:val="20"/>
                <w:szCs w:val="20"/>
              </w:rPr>
              <w:t> </w:t>
            </w:r>
          </w:p>
        </w:tc>
      </w:tr>
      <w:tr w:rsidR="00000000" w14:paraId="67ECDEFA" w14:textId="77777777">
        <w:trPr>
          <w:tblCellSpacing w:w="0" w:type="dxa"/>
        </w:trPr>
        <w:tc>
          <w:tcPr>
            <w:tcW w:w="0" w:type="auto"/>
            <w:vAlign w:val="bottom"/>
            <w:hideMark/>
          </w:tcPr>
          <w:p w14:paraId="32A24075"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58F8C51"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F06C1A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140601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DB40BB5"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F31EA0F"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8ED157B"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A5DF194"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1098D7D"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685BC45"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3945DF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DE5775C"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721122F"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AC3886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A542CB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A44079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EE37ADB" w14:textId="77777777" w:rsidR="00000000" w:rsidRDefault="00322B34">
            <w:pPr>
              <w:rPr>
                <w:rFonts w:eastAsia="Times New Roman"/>
                <w:sz w:val="20"/>
                <w:szCs w:val="20"/>
              </w:rPr>
            </w:pPr>
            <w:r>
              <w:rPr>
                <w:rFonts w:eastAsia="Times New Roman"/>
                <w:sz w:val="20"/>
                <w:szCs w:val="20"/>
              </w:rPr>
              <w:t> </w:t>
            </w:r>
          </w:p>
        </w:tc>
      </w:tr>
      <w:tr w:rsidR="00000000" w14:paraId="34C0F95E" w14:textId="77777777">
        <w:trPr>
          <w:tblCellSpacing w:w="0" w:type="dxa"/>
        </w:trPr>
        <w:tc>
          <w:tcPr>
            <w:tcW w:w="2400" w:type="pct"/>
            <w:shd w:val="clear" w:color="auto" w:fill="CCEEFF"/>
            <w:vAlign w:val="bottom"/>
            <w:hideMark/>
          </w:tcPr>
          <w:p w14:paraId="0532F83D" w14:textId="77777777" w:rsidR="00000000" w:rsidRDefault="00322B34">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14:paraId="0F69E05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D0AC44"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3F6DA929" w14:textId="77777777" w:rsidR="00000000" w:rsidRDefault="00322B34">
            <w:pPr>
              <w:jc w:val="right"/>
              <w:rPr>
                <w:rFonts w:eastAsia="Times New Roman"/>
                <w:sz w:val="20"/>
                <w:szCs w:val="20"/>
              </w:rPr>
            </w:pPr>
            <w:r>
              <w:rPr>
                <w:rFonts w:eastAsia="Times New Roman"/>
                <w:sz w:val="20"/>
                <w:szCs w:val="20"/>
              </w:rPr>
              <w:t>5,300</w:t>
            </w:r>
          </w:p>
        </w:tc>
        <w:tc>
          <w:tcPr>
            <w:tcW w:w="50" w:type="pct"/>
            <w:shd w:val="clear" w:color="auto" w:fill="CCEEFF"/>
            <w:vAlign w:val="bottom"/>
            <w:hideMark/>
          </w:tcPr>
          <w:p w14:paraId="6CFF587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F2C85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FD9BE2"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12520FDC"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1372DF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EBE5D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DCC25E"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20196D96"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A8DDA6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FF684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4FFF47"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430102F6" w14:textId="77777777" w:rsidR="00000000" w:rsidRDefault="00322B34">
            <w:pPr>
              <w:jc w:val="right"/>
              <w:rPr>
                <w:rFonts w:eastAsia="Times New Roman"/>
                <w:sz w:val="20"/>
                <w:szCs w:val="20"/>
              </w:rPr>
            </w:pPr>
            <w:r>
              <w:rPr>
                <w:rFonts w:eastAsia="Times New Roman"/>
                <w:sz w:val="20"/>
                <w:szCs w:val="20"/>
              </w:rPr>
              <w:t>5,300</w:t>
            </w:r>
          </w:p>
        </w:tc>
        <w:tc>
          <w:tcPr>
            <w:tcW w:w="50" w:type="pct"/>
            <w:shd w:val="clear" w:color="auto" w:fill="CCEEFF"/>
            <w:vAlign w:val="bottom"/>
            <w:hideMark/>
          </w:tcPr>
          <w:p w14:paraId="18DB6BBD" w14:textId="77777777" w:rsidR="00000000" w:rsidRDefault="00322B34">
            <w:pPr>
              <w:rPr>
                <w:rFonts w:eastAsia="Times New Roman"/>
                <w:sz w:val="20"/>
                <w:szCs w:val="20"/>
              </w:rPr>
            </w:pPr>
            <w:r>
              <w:rPr>
                <w:rFonts w:eastAsia="Times New Roman"/>
                <w:sz w:val="20"/>
                <w:szCs w:val="20"/>
              </w:rPr>
              <w:t> </w:t>
            </w:r>
          </w:p>
        </w:tc>
      </w:tr>
    </w:tbl>
    <w:p w14:paraId="6A2B5E77" w14:textId="77777777" w:rsidR="00000000" w:rsidRDefault="00322B34">
      <w:pPr>
        <w:pStyle w:val="a3"/>
        <w:spacing w:before="0" w:beforeAutospacing="0" w:after="0" w:afterAutospacing="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781"/>
        <w:gridCol w:w="72"/>
        <w:gridCol w:w="101"/>
        <w:gridCol w:w="788"/>
        <w:gridCol w:w="66"/>
        <w:gridCol w:w="72"/>
        <w:gridCol w:w="101"/>
        <w:gridCol w:w="782"/>
        <w:gridCol w:w="72"/>
        <w:gridCol w:w="72"/>
        <w:gridCol w:w="101"/>
        <w:gridCol w:w="782"/>
        <w:gridCol w:w="72"/>
        <w:gridCol w:w="73"/>
        <w:gridCol w:w="100"/>
        <w:gridCol w:w="783"/>
        <w:gridCol w:w="73"/>
      </w:tblGrid>
      <w:tr w:rsidR="00000000" w14:paraId="72EBDFC5" w14:textId="77777777">
        <w:trPr>
          <w:tblCellSpacing w:w="0" w:type="dxa"/>
        </w:trPr>
        <w:tc>
          <w:tcPr>
            <w:tcW w:w="0" w:type="auto"/>
            <w:vAlign w:val="bottom"/>
            <w:hideMark/>
          </w:tcPr>
          <w:p w14:paraId="1CD3FAD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B4AA409" w14:textId="77777777" w:rsidR="00000000" w:rsidRDefault="00322B34">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14:paraId="49839AE7" w14:textId="77777777" w:rsidR="00000000" w:rsidRDefault="00322B34">
            <w:pPr>
              <w:pStyle w:val="a3"/>
              <w:spacing w:before="0" w:beforeAutospacing="0" w:after="0" w:afterAutospacing="0"/>
              <w:jc w:val="center"/>
              <w:rPr>
                <w:sz w:val="20"/>
                <w:szCs w:val="20"/>
              </w:rPr>
            </w:pPr>
            <w:r>
              <w:rPr>
                <w:b/>
                <w:bCs/>
                <w:sz w:val="20"/>
                <w:szCs w:val="20"/>
              </w:rPr>
              <w:t>Balance at</w:t>
            </w:r>
          </w:p>
          <w:p w14:paraId="58DA5B25" w14:textId="77777777" w:rsidR="00000000" w:rsidRDefault="00322B34">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14:paraId="4BE7825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B812785"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4D5C4D9" w14:textId="77777777" w:rsidR="00000000" w:rsidRDefault="00322B34">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47EDA720"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3315EDB"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8109E13" w14:textId="77777777" w:rsidR="00000000" w:rsidRDefault="00322B34">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508D0051"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C5203DC"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16AE000" w14:textId="77777777" w:rsidR="00000000" w:rsidRDefault="00322B34">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7C2001A4" w14:textId="77777777" w:rsidR="00000000" w:rsidRDefault="00322B34">
            <w:pPr>
              <w:rPr>
                <w:rFonts w:eastAsia="Times New Roman"/>
                <w:sz w:val="20"/>
                <w:szCs w:val="20"/>
              </w:rPr>
            </w:pPr>
            <w:r>
              <w:rPr>
                <w:rFonts w:eastAsia="Times New Roman"/>
                <w:sz w:val="20"/>
                <w:szCs w:val="20"/>
              </w:rPr>
              <w:t> </w:t>
            </w:r>
          </w:p>
        </w:tc>
      </w:tr>
      <w:tr w:rsidR="00000000" w14:paraId="3AF51EC4" w14:textId="77777777">
        <w:trPr>
          <w:tblCellSpacing w:w="0" w:type="dxa"/>
        </w:trPr>
        <w:tc>
          <w:tcPr>
            <w:tcW w:w="0" w:type="auto"/>
            <w:vAlign w:val="bottom"/>
            <w:hideMark/>
          </w:tcPr>
          <w:p w14:paraId="5DF48339"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85B08E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770A48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7640A5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3ED496D"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126BFA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6942AF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D40F46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FED4BA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D7CABB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2D3BE14"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02FED1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9A8684C"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CB601A1"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D69450B"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A8AA2BF"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3923482" w14:textId="77777777" w:rsidR="00000000" w:rsidRDefault="00322B34">
            <w:pPr>
              <w:rPr>
                <w:rFonts w:eastAsia="Times New Roman"/>
                <w:sz w:val="20"/>
                <w:szCs w:val="20"/>
              </w:rPr>
            </w:pPr>
            <w:r>
              <w:rPr>
                <w:rFonts w:eastAsia="Times New Roman"/>
                <w:sz w:val="20"/>
                <w:szCs w:val="20"/>
              </w:rPr>
              <w:t> </w:t>
            </w:r>
          </w:p>
        </w:tc>
      </w:tr>
      <w:tr w:rsidR="00000000" w14:paraId="42F6FAB0" w14:textId="77777777">
        <w:trPr>
          <w:tblCellSpacing w:w="0" w:type="dxa"/>
        </w:trPr>
        <w:tc>
          <w:tcPr>
            <w:tcW w:w="2400" w:type="pct"/>
            <w:shd w:val="clear" w:color="auto" w:fill="CCEEFF"/>
            <w:vAlign w:val="bottom"/>
            <w:hideMark/>
          </w:tcPr>
          <w:p w14:paraId="68AA203D" w14:textId="77777777" w:rsidR="00000000" w:rsidRDefault="00322B34">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14:paraId="61A3B89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EDA9C2"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18967210" w14:textId="77777777" w:rsidR="00000000" w:rsidRDefault="00322B34">
            <w:pPr>
              <w:jc w:val="right"/>
              <w:rPr>
                <w:rFonts w:eastAsia="Times New Roman"/>
                <w:sz w:val="20"/>
                <w:szCs w:val="20"/>
              </w:rPr>
            </w:pPr>
            <w:r>
              <w:rPr>
                <w:rFonts w:eastAsia="Times New Roman"/>
                <w:sz w:val="20"/>
                <w:szCs w:val="20"/>
              </w:rPr>
              <w:t>39,510</w:t>
            </w:r>
          </w:p>
        </w:tc>
        <w:tc>
          <w:tcPr>
            <w:tcW w:w="50" w:type="pct"/>
            <w:shd w:val="clear" w:color="auto" w:fill="CCEEFF"/>
            <w:vAlign w:val="bottom"/>
            <w:hideMark/>
          </w:tcPr>
          <w:p w14:paraId="5EA2899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84F4B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AC02CB"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68F3ED13"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0DAEF1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13CCA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9F079A"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63F345C2"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6C800C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D2182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F54571" w14:textId="77777777" w:rsidR="00000000" w:rsidRDefault="00322B34">
            <w:pPr>
              <w:rPr>
                <w:rFonts w:eastAsia="Times New Roman"/>
                <w:sz w:val="20"/>
                <w:szCs w:val="20"/>
              </w:rPr>
            </w:pPr>
            <w:r>
              <w:rPr>
                <w:rFonts w:eastAsia="Times New Roman"/>
                <w:sz w:val="20"/>
                <w:szCs w:val="20"/>
              </w:rPr>
              <w:t>$</w:t>
            </w:r>
          </w:p>
        </w:tc>
        <w:tc>
          <w:tcPr>
            <w:tcW w:w="500" w:type="pct"/>
            <w:shd w:val="clear" w:color="auto" w:fill="CCEEFF"/>
            <w:vAlign w:val="bottom"/>
            <w:hideMark/>
          </w:tcPr>
          <w:p w14:paraId="6375DF82" w14:textId="77777777" w:rsidR="00000000" w:rsidRDefault="00322B34">
            <w:pPr>
              <w:jc w:val="right"/>
              <w:rPr>
                <w:rFonts w:eastAsia="Times New Roman"/>
                <w:sz w:val="20"/>
                <w:szCs w:val="20"/>
              </w:rPr>
            </w:pPr>
            <w:r>
              <w:rPr>
                <w:rFonts w:eastAsia="Times New Roman"/>
                <w:sz w:val="20"/>
                <w:szCs w:val="20"/>
              </w:rPr>
              <w:t>39,510</w:t>
            </w:r>
          </w:p>
        </w:tc>
        <w:tc>
          <w:tcPr>
            <w:tcW w:w="50" w:type="pct"/>
            <w:shd w:val="clear" w:color="auto" w:fill="CCEEFF"/>
            <w:vAlign w:val="bottom"/>
            <w:hideMark/>
          </w:tcPr>
          <w:p w14:paraId="3C0C67CD" w14:textId="77777777" w:rsidR="00000000" w:rsidRDefault="00322B34">
            <w:pPr>
              <w:rPr>
                <w:rFonts w:eastAsia="Times New Roman"/>
                <w:sz w:val="20"/>
                <w:szCs w:val="20"/>
              </w:rPr>
            </w:pPr>
            <w:r>
              <w:rPr>
                <w:rFonts w:eastAsia="Times New Roman"/>
                <w:sz w:val="20"/>
                <w:szCs w:val="20"/>
              </w:rPr>
              <w:t> </w:t>
            </w:r>
          </w:p>
        </w:tc>
      </w:tr>
      <w:tr w:rsidR="00000000" w14:paraId="750A90D2" w14:textId="77777777">
        <w:trPr>
          <w:tblCellSpacing w:w="0" w:type="dxa"/>
        </w:trPr>
        <w:tc>
          <w:tcPr>
            <w:tcW w:w="0" w:type="auto"/>
            <w:shd w:val="clear" w:color="auto" w:fill="FFFFFF"/>
            <w:vAlign w:val="bottom"/>
            <w:hideMark/>
          </w:tcPr>
          <w:p w14:paraId="17FC1C43" w14:textId="77777777" w:rsidR="00000000" w:rsidRDefault="00322B34">
            <w:pPr>
              <w:pStyle w:val="a3"/>
              <w:spacing w:before="0" w:beforeAutospacing="0" w:after="0" w:afterAutospacing="0"/>
              <w:rPr>
                <w:sz w:val="20"/>
                <w:szCs w:val="20"/>
              </w:rPr>
            </w:pPr>
            <w:r>
              <w:rPr>
                <w:sz w:val="20"/>
                <w:szCs w:val="20"/>
              </w:rPr>
              <w:t>Other real estate investments</w:t>
            </w:r>
          </w:p>
        </w:tc>
        <w:tc>
          <w:tcPr>
            <w:tcW w:w="50" w:type="pct"/>
            <w:shd w:val="clear" w:color="auto" w:fill="FFFFFF"/>
            <w:vAlign w:val="bottom"/>
            <w:hideMark/>
          </w:tcPr>
          <w:p w14:paraId="3DD5068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67B711" w14:textId="77777777" w:rsidR="00000000" w:rsidRDefault="00322B34">
            <w:pPr>
              <w:rPr>
                <w:rFonts w:eastAsia="Times New Roman"/>
                <w:sz w:val="20"/>
                <w:szCs w:val="20"/>
              </w:rPr>
            </w:pPr>
            <w:r>
              <w:rPr>
                <w:rFonts w:eastAsia="Times New Roman"/>
                <w:sz w:val="20"/>
                <w:szCs w:val="20"/>
              </w:rPr>
              <w:t>$</w:t>
            </w:r>
          </w:p>
        </w:tc>
        <w:tc>
          <w:tcPr>
            <w:tcW w:w="500" w:type="pct"/>
            <w:shd w:val="clear" w:color="auto" w:fill="FFFFFF"/>
            <w:vAlign w:val="bottom"/>
            <w:hideMark/>
          </w:tcPr>
          <w:p w14:paraId="15E6DB19" w14:textId="77777777" w:rsidR="00000000" w:rsidRDefault="00322B34">
            <w:pPr>
              <w:jc w:val="right"/>
              <w:rPr>
                <w:rFonts w:eastAsia="Times New Roman"/>
                <w:sz w:val="20"/>
                <w:szCs w:val="20"/>
              </w:rPr>
            </w:pPr>
            <w:r>
              <w:rPr>
                <w:rFonts w:eastAsia="Times New Roman"/>
                <w:sz w:val="20"/>
                <w:szCs w:val="20"/>
              </w:rPr>
              <w:t>32,974</w:t>
            </w:r>
          </w:p>
        </w:tc>
        <w:tc>
          <w:tcPr>
            <w:tcW w:w="50" w:type="pct"/>
            <w:shd w:val="clear" w:color="auto" w:fill="FFFFFF"/>
            <w:vAlign w:val="bottom"/>
            <w:hideMark/>
          </w:tcPr>
          <w:p w14:paraId="5470125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7C7FA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3A00A9" w14:textId="77777777" w:rsidR="00000000" w:rsidRDefault="00322B34">
            <w:pPr>
              <w:rPr>
                <w:rFonts w:eastAsia="Times New Roman"/>
                <w:sz w:val="20"/>
                <w:szCs w:val="20"/>
              </w:rPr>
            </w:pPr>
            <w:r>
              <w:rPr>
                <w:rFonts w:eastAsia="Times New Roman"/>
                <w:sz w:val="20"/>
                <w:szCs w:val="20"/>
              </w:rPr>
              <w:t>$</w:t>
            </w:r>
          </w:p>
        </w:tc>
        <w:tc>
          <w:tcPr>
            <w:tcW w:w="500" w:type="pct"/>
            <w:shd w:val="clear" w:color="auto" w:fill="FFFFFF"/>
            <w:vAlign w:val="bottom"/>
            <w:hideMark/>
          </w:tcPr>
          <w:p w14:paraId="5D3828D0"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E82901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DEF57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7A81CF" w14:textId="77777777" w:rsidR="00000000" w:rsidRDefault="00322B34">
            <w:pPr>
              <w:rPr>
                <w:rFonts w:eastAsia="Times New Roman"/>
                <w:sz w:val="20"/>
                <w:szCs w:val="20"/>
              </w:rPr>
            </w:pPr>
            <w:r>
              <w:rPr>
                <w:rFonts w:eastAsia="Times New Roman"/>
                <w:sz w:val="20"/>
                <w:szCs w:val="20"/>
              </w:rPr>
              <w:t>$</w:t>
            </w:r>
          </w:p>
        </w:tc>
        <w:tc>
          <w:tcPr>
            <w:tcW w:w="500" w:type="pct"/>
            <w:shd w:val="clear" w:color="auto" w:fill="FFFFFF"/>
            <w:vAlign w:val="bottom"/>
            <w:hideMark/>
          </w:tcPr>
          <w:p w14:paraId="33D2BDEA"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6CC911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E6624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55894D" w14:textId="77777777" w:rsidR="00000000" w:rsidRDefault="00322B34">
            <w:pPr>
              <w:rPr>
                <w:rFonts w:eastAsia="Times New Roman"/>
                <w:sz w:val="20"/>
                <w:szCs w:val="20"/>
              </w:rPr>
            </w:pPr>
            <w:r>
              <w:rPr>
                <w:rFonts w:eastAsia="Times New Roman"/>
                <w:sz w:val="20"/>
                <w:szCs w:val="20"/>
              </w:rPr>
              <w:t>$</w:t>
            </w:r>
          </w:p>
        </w:tc>
        <w:tc>
          <w:tcPr>
            <w:tcW w:w="500" w:type="pct"/>
            <w:shd w:val="clear" w:color="auto" w:fill="FFFFFF"/>
            <w:vAlign w:val="bottom"/>
            <w:hideMark/>
          </w:tcPr>
          <w:p w14:paraId="49810F56" w14:textId="77777777" w:rsidR="00000000" w:rsidRDefault="00322B34">
            <w:pPr>
              <w:jc w:val="right"/>
              <w:rPr>
                <w:rFonts w:eastAsia="Times New Roman"/>
                <w:sz w:val="20"/>
                <w:szCs w:val="20"/>
              </w:rPr>
            </w:pPr>
            <w:r>
              <w:rPr>
                <w:rFonts w:eastAsia="Times New Roman"/>
                <w:sz w:val="20"/>
                <w:szCs w:val="20"/>
              </w:rPr>
              <w:t>32,974</w:t>
            </w:r>
          </w:p>
        </w:tc>
        <w:tc>
          <w:tcPr>
            <w:tcW w:w="50" w:type="pct"/>
            <w:shd w:val="clear" w:color="auto" w:fill="FFFFFF"/>
            <w:vAlign w:val="bottom"/>
            <w:hideMark/>
          </w:tcPr>
          <w:p w14:paraId="77363134" w14:textId="77777777" w:rsidR="00000000" w:rsidRDefault="00322B34">
            <w:pPr>
              <w:rPr>
                <w:rFonts w:eastAsia="Times New Roman"/>
                <w:sz w:val="20"/>
                <w:szCs w:val="20"/>
              </w:rPr>
            </w:pPr>
            <w:r>
              <w:rPr>
                <w:rFonts w:eastAsia="Times New Roman"/>
                <w:sz w:val="20"/>
                <w:szCs w:val="20"/>
              </w:rPr>
              <w:t> </w:t>
            </w:r>
          </w:p>
        </w:tc>
      </w:tr>
    </w:tbl>
    <w:p w14:paraId="3162CF16" w14:textId="77777777" w:rsidR="00000000" w:rsidRDefault="00322B34">
      <w:pPr>
        <w:pStyle w:val="a3"/>
        <w:spacing w:before="0" w:beforeAutospacing="0" w:after="0" w:afterAutospacing="0"/>
        <w:jc w:val="both"/>
        <w:rPr>
          <w:sz w:val="20"/>
          <w:szCs w:val="20"/>
        </w:rPr>
      </w:pPr>
      <w:r>
        <w:rPr>
          <w:sz w:val="20"/>
          <w:szCs w:val="20"/>
        </w:rPr>
        <w:t> </w:t>
      </w:r>
    </w:p>
    <w:p w14:paraId="36AF5024" w14:textId="77777777" w:rsidR="00000000" w:rsidRDefault="00322B34">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2020 </w:t>
      </w:r>
      <w:r>
        <w:rPr>
          <w:sz w:val="20"/>
          <w:szCs w:val="20"/>
        </w:rPr>
        <w:t xml:space="preserve">and </w:t>
      </w:r>
      <w:r>
        <w:rPr>
          <w:rStyle w:val="a6"/>
          <w:sz w:val="20"/>
          <w:szCs w:val="20"/>
        </w:rPr>
        <w:t>2019,</w:t>
      </w:r>
      <w:r>
        <w:rPr>
          <w:sz w:val="20"/>
          <w:szCs w:val="20"/>
        </w:rPr>
        <w:t xml:space="preserve"> </w:t>
      </w:r>
      <w:r>
        <w:rPr>
          <w:sz w:val="20"/>
          <w:szCs w:val="20"/>
        </w:rPr>
        <w:t>the Company recognized impairment charges related to adjustments to property carrying values of $3.1 million and $21.6 million, respectively. The Company’s estimated fair values of these properties were primarily based upon estimated sales prices from sign</w:t>
      </w:r>
      <w:r>
        <w:rPr>
          <w:sz w:val="20"/>
          <w:szCs w:val="20"/>
        </w:rPr>
        <w:t xml:space="preserve">ed contracts or letters of intent from </w:t>
      </w:r>
      <w:r>
        <w:rPr>
          <w:rStyle w:val="a6"/>
          <w:sz w:val="20"/>
          <w:szCs w:val="20"/>
        </w:rPr>
        <w:t>third</w:t>
      </w:r>
      <w:r>
        <w:rPr>
          <w:sz w:val="20"/>
          <w:szCs w:val="20"/>
        </w:rPr>
        <w:t xml:space="preserve"> party offers. The Company does </w:t>
      </w:r>
      <w:r>
        <w:rPr>
          <w:rStyle w:val="a6"/>
          <w:sz w:val="20"/>
          <w:szCs w:val="20"/>
        </w:rPr>
        <w:t>not</w:t>
      </w:r>
      <w:r>
        <w:rPr>
          <w:sz w:val="20"/>
          <w:szCs w:val="20"/>
        </w:rPr>
        <w:t xml:space="preserve"> have access to the unobservable inputs used to determine the estimated fair values of </w:t>
      </w:r>
      <w:r>
        <w:rPr>
          <w:rStyle w:val="a6"/>
          <w:sz w:val="20"/>
          <w:szCs w:val="20"/>
        </w:rPr>
        <w:t>third</w:t>
      </w:r>
      <w:r>
        <w:rPr>
          <w:sz w:val="20"/>
          <w:szCs w:val="20"/>
        </w:rPr>
        <w:t xml:space="preserve"> party offers. Based on these inputs, the Company determined that its valuation of th</w:t>
      </w:r>
      <w:r>
        <w:rPr>
          <w:sz w:val="20"/>
          <w:szCs w:val="20"/>
        </w:rPr>
        <w:t xml:space="preserve">ese investments was classified within Level </w:t>
      </w:r>
      <w:r>
        <w:rPr>
          <w:rStyle w:val="a6"/>
          <w:sz w:val="20"/>
          <w:szCs w:val="20"/>
        </w:rPr>
        <w:t>3</w:t>
      </w:r>
      <w:r>
        <w:rPr>
          <w:sz w:val="20"/>
          <w:szCs w:val="20"/>
        </w:rPr>
        <w:t xml:space="preserve"> of the fair value hierarchy. (See Footnote </w:t>
      </w:r>
      <w:r>
        <w:rPr>
          <w:rStyle w:val="a6"/>
          <w:sz w:val="20"/>
          <w:szCs w:val="20"/>
        </w:rPr>
        <w:t>3</w:t>
      </w:r>
      <w:r>
        <w:rPr>
          <w:sz w:val="20"/>
          <w:szCs w:val="20"/>
        </w:rPr>
        <w:t xml:space="preserve"> to the Notes to the Company’s Condensed Consolidated Financial Statements for additional discussion regarding impairment charges).</w:t>
      </w:r>
    </w:p>
    <w:p w14:paraId="7EA2440D" w14:textId="77777777" w:rsidR="00000000" w:rsidRDefault="00322B34">
      <w:pPr>
        <w:pStyle w:val="a3"/>
        <w:spacing w:before="0" w:beforeAutospacing="0" w:after="0" w:afterAutospacing="0"/>
        <w:rPr>
          <w:sz w:val="20"/>
          <w:szCs w:val="20"/>
        </w:rPr>
      </w:pPr>
      <w:r>
        <w:rPr>
          <w:sz w:val="20"/>
          <w:szCs w:val="20"/>
        </w:rPr>
        <w:t> </w:t>
      </w:r>
    </w:p>
    <w:p w14:paraId="321991CC" w14:textId="77777777" w:rsidR="00000000" w:rsidRDefault="00322B34">
      <w:pPr>
        <w:jc w:val="center"/>
        <w:divId w:val="15543851"/>
        <w:rPr>
          <w:rFonts w:eastAsia="Times New Roman"/>
          <w:sz w:val="20"/>
          <w:szCs w:val="20"/>
        </w:rPr>
      </w:pPr>
      <w:r>
        <w:rPr>
          <w:rStyle w:val="a6"/>
          <w:rFonts w:eastAsia="Times New Roman"/>
          <w:sz w:val="20"/>
          <w:szCs w:val="20"/>
        </w:rPr>
        <w:t>18</w:t>
      </w:r>
      <w:r>
        <w:rPr>
          <w:rFonts w:eastAsia="Times New Roman"/>
          <w:sz w:val="20"/>
          <w:szCs w:val="20"/>
        </w:rPr>
        <w:t xml:space="preserve"> </w:t>
      </w:r>
    </w:p>
    <w:p w14:paraId="19FB0851" w14:textId="77777777" w:rsidR="00000000" w:rsidRDefault="00322B34">
      <w:pPr>
        <w:rPr>
          <w:rFonts w:eastAsia="Times New Roman"/>
          <w:sz w:val="20"/>
          <w:szCs w:val="20"/>
        </w:rPr>
      </w:pPr>
      <w:r>
        <w:rPr>
          <w:rFonts w:eastAsia="Times New Roman"/>
          <w:sz w:val="20"/>
          <w:szCs w:val="20"/>
        </w:rPr>
        <w:pict w14:anchorId="1BFE9641">
          <v:rect id="_x0000_i1046" style="width:415.3pt;height:1.5pt" o:hralign="center" o:hrstd="t" o:hrnoshade="t" o:hr="t" fillcolor="black" stroked="f"/>
        </w:pict>
      </w:r>
    </w:p>
    <w:p w14:paraId="4E7AD0A9" w14:textId="77777777" w:rsidR="00000000" w:rsidRDefault="00322B34">
      <w:pPr>
        <w:divId w:val="72784896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8A3B6F0" w14:textId="77777777" w:rsidR="00000000" w:rsidRDefault="00322B34">
      <w:pPr>
        <w:pStyle w:val="a3"/>
        <w:spacing w:before="0" w:beforeAutospacing="0" w:after="0" w:afterAutospacing="0"/>
        <w:rPr>
          <w:sz w:val="20"/>
          <w:szCs w:val="20"/>
        </w:rPr>
      </w:pPr>
      <w:r>
        <w:rPr>
          <w:sz w:val="20"/>
          <w:szCs w:val="20"/>
        </w:rPr>
        <w:t> </w:t>
      </w:r>
    </w:p>
    <w:p w14:paraId="1BAE0356" w14:textId="77777777" w:rsidR="00000000" w:rsidRDefault="00322B34">
      <w:pPr>
        <w:divId w:val="1550653568"/>
        <w:rPr>
          <w:rFonts w:eastAsia="Times New Roman"/>
          <w:sz w:val="20"/>
          <w:szCs w:val="20"/>
        </w:rPr>
      </w:pPr>
      <w:r>
        <w:rPr>
          <w:rFonts w:eastAsia="Times New Roman"/>
          <w:sz w:val="20"/>
          <w:szCs w:val="20"/>
        </w:rPr>
        <w:t xml:space="preserve">  </w:t>
      </w:r>
    </w:p>
    <w:p w14:paraId="7DC2AE2A" w14:textId="77777777" w:rsidR="00000000" w:rsidRDefault="00322B34">
      <w:pPr>
        <w:pStyle w:val="a3"/>
        <w:spacing w:before="0" w:beforeAutospacing="0" w:after="0" w:afterAutospacing="0"/>
        <w:rPr>
          <w:sz w:val="20"/>
          <w:szCs w:val="20"/>
        </w:rPr>
      </w:pPr>
      <w:r>
        <w:rPr>
          <w:rStyle w:val="a6"/>
          <w:sz w:val="20"/>
          <w:szCs w:val="20"/>
        </w:rPr>
        <w:t>12.</w:t>
      </w:r>
      <w:r>
        <w:rPr>
          <w:sz w:val="20"/>
          <w:szCs w:val="20"/>
        </w:rPr>
        <w:t xml:space="preserve"> </w:t>
      </w:r>
      <w:r>
        <w:rPr>
          <w:sz w:val="20"/>
          <w:szCs w:val="20"/>
          <w:u w:val="single"/>
        </w:rPr>
        <w:t>Incentive Plans</w:t>
      </w:r>
    </w:p>
    <w:p w14:paraId="30A07CBE" w14:textId="77777777" w:rsidR="00000000" w:rsidRDefault="00322B34">
      <w:pPr>
        <w:pStyle w:val="a3"/>
        <w:spacing w:before="0" w:beforeAutospacing="0" w:after="0" w:afterAutospacing="0"/>
        <w:jc w:val="both"/>
        <w:rPr>
          <w:sz w:val="20"/>
          <w:szCs w:val="20"/>
        </w:rPr>
      </w:pPr>
      <w:r>
        <w:rPr>
          <w:sz w:val="20"/>
          <w:szCs w:val="20"/>
        </w:rPr>
        <w:t> </w:t>
      </w:r>
    </w:p>
    <w:p w14:paraId="17DE45B0" w14:textId="77777777" w:rsidR="00000000" w:rsidRDefault="00322B34">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May 2020, </w:t>
      </w:r>
      <w:r>
        <w:rPr>
          <w:sz w:val="20"/>
          <w:szCs w:val="20"/>
        </w:rPr>
        <w:t>the Company’s stockholders appr</w:t>
      </w:r>
      <w:r>
        <w:rPr>
          <w:sz w:val="20"/>
          <w:szCs w:val="20"/>
        </w:rPr>
        <w:t xml:space="preserve">oved the </w:t>
      </w:r>
      <w:r>
        <w:rPr>
          <w:rStyle w:val="a6"/>
          <w:sz w:val="20"/>
          <w:szCs w:val="20"/>
        </w:rPr>
        <w:t>2020</w:t>
      </w:r>
      <w:r>
        <w:rPr>
          <w:sz w:val="20"/>
          <w:szCs w:val="20"/>
        </w:rPr>
        <w:t xml:space="preserve"> Equity Participation Plan (the </w:t>
      </w:r>
      <w:r>
        <w:rPr>
          <w:rStyle w:val="a6"/>
          <w:sz w:val="20"/>
          <w:szCs w:val="20"/>
        </w:rPr>
        <w:t>“2020</w:t>
      </w:r>
      <w:r>
        <w:rPr>
          <w:sz w:val="20"/>
          <w:szCs w:val="20"/>
        </w:rPr>
        <w:t xml:space="preserve"> Plan”), which is a successor to the Restated Kimco Realty Corporation </w:t>
      </w:r>
      <w:r>
        <w:rPr>
          <w:rStyle w:val="a6"/>
          <w:sz w:val="20"/>
          <w:szCs w:val="20"/>
        </w:rPr>
        <w:t>2010</w:t>
      </w:r>
      <w:r>
        <w:rPr>
          <w:sz w:val="20"/>
          <w:szCs w:val="20"/>
        </w:rPr>
        <w:t xml:space="preserve"> Equity Participation Plan that expired in </w:t>
      </w:r>
      <w:r>
        <w:rPr>
          <w:rStyle w:val="a6"/>
          <w:sz w:val="20"/>
          <w:szCs w:val="20"/>
        </w:rPr>
        <w:t>March 2020.  </w:t>
      </w:r>
      <w:r>
        <w:rPr>
          <w:sz w:val="20"/>
          <w:szCs w:val="20"/>
        </w:rPr>
        <w:t xml:space="preserve">The </w:t>
      </w:r>
      <w:r>
        <w:rPr>
          <w:rStyle w:val="a6"/>
          <w:sz w:val="20"/>
          <w:szCs w:val="20"/>
        </w:rPr>
        <w:t>2020</w:t>
      </w:r>
      <w:r>
        <w:rPr>
          <w:sz w:val="20"/>
          <w:szCs w:val="20"/>
        </w:rPr>
        <w:t xml:space="preserve"> Plan provides for a maximum of 10,000,000 </w:t>
      </w:r>
      <w:r>
        <w:rPr>
          <w:sz w:val="20"/>
          <w:szCs w:val="20"/>
        </w:rPr>
        <w:t xml:space="preserve">shares of the Company’s common stock to be reserved for the issuance of stock options, stock appreciation rights, restricted stock, restricted stock units, performance awards, dividend equivalents, stock payments and deferred stock awards.  At </w:t>
      </w:r>
      <w:r>
        <w:rPr>
          <w:rStyle w:val="a6"/>
          <w:sz w:val="20"/>
          <w:szCs w:val="20"/>
        </w:rPr>
        <w:t>June 30, 202</w:t>
      </w:r>
      <w:r>
        <w:rPr>
          <w:rStyle w:val="a6"/>
          <w:sz w:val="20"/>
          <w:szCs w:val="20"/>
        </w:rPr>
        <w:t xml:space="preserve">0, </w:t>
      </w:r>
      <w:r>
        <w:rPr>
          <w:sz w:val="20"/>
          <w:szCs w:val="20"/>
        </w:rPr>
        <w:t xml:space="preserve">the Company had 10.0 million shares of common stock available for issuance under the </w:t>
      </w:r>
      <w:r>
        <w:rPr>
          <w:rStyle w:val="a6"/>
          <w:sz w:val="20"/>
          <w:szCs w:val="20"/>
        </w:rPr>
        <w:t>2020</w:t>
      </w:r>
      <w:r>
        <w:rPr>
          <w:sz w:val="20"/>
          <w:szCs w:val="20"/>
        </w:rPr>
        <w:t xml:space="preserve"> Plan.</w:t>
      </w:r>
    </w:p>
    <w:p w14:paraId="45244169" w14:textId="77777777" w:rsidR="00000000" w:rsidRDefault="00322B34">
      <w:pPr>
        <w:pStyle w:val="a3"/>
        <w:spacing w:before="0" w:beforeAutospacing="0" w:after="0" w:afterAutospacing="0"/>
        <w:ind w:firstLine="360"/>
        <w:jc w:val="both"/>
        <w:rPr>
          <w:sz w:val="20"/>
          <w:szCs w:val="20"/>
        </w:rPr>
      </w:pPr>
      <w:r>
        <w:rPr>
          <w:sz w:val="20"/>
          <w:szCs w:val="20"/>
        </w:rPr>
        <w:t> </w:t>
      </w:r>
    </w:p>
    <w:p w14:paraId="1AEE3622" w14:textId="77777777" w:rsidR="00000000" w:rsidRDefault="00322B34">
      <w:pPr>
        <w:pStyle w:val="a3"/>
        <w:spacing w:before="0" w:beforeAutospacing="0" w:after="0" w:afterAutospacing="0"/>
        <w:ind w:firstLine="360"/>
        <w:jc w:val="both"/>
        <w:rPr>
          <w:sz w:val="20"/>
          <w:szCs w:val="20"/>
        </w:rPr>
      </w:pPr>
      <w:r>
        <w:rPr>
          <w:sz w:val="20"/>
          <w:szCs w:val="20"/>
        </w:rPr>
        <w:t>The Company accounts for equity awards in accordance with FASB’s Compensation – Stock Compensation guidance which requires that all share-based payments to</w:t>
      </w:r>
      <w:r>
        <w:rPr>
          <w:sz w:val="20"/>
          <w:szCs w:val="20"/>
        </w:rPr>
        <w:t xml:space="preserve"> employees, including grants of employee stock options, restricted stock and performance shares, be recognized in the Condensed Consolidated Statements of Income over the service period based on their fair values. Fair value is determined, depending on the</w:t>
      </w:r>
      <w:r>
        <w:rPr>
          <w:sz w:val="20"/>
          <w:szCs w:val="20"/>
        </w:rPr>
        <w:t xml:space="preserve"> type of award, using either the Black-Scholes option pricing formula or the Monte Carlo method for performance shares, both of which are intended to estimate the fair value of the awards at the grant date. Fair value of restricted shares is calculated bas</w:t>
      </w:r>
      <w:r>
        <w:rPr>
          <w:sz w:val="20"/>
          <w:szCs w:val="20"/>
        </w:rPr>
        <w:t>ed on the price on the date of grant.</w:t>
      </w:r>
    </w:p>
    <w:p w14:paraId="3F9F79CA" w14:textId="77777777" w:rsidR="00000000" w:rsidRDefault="00322B34">
      <w:pPr>
        <w:pStyle w:val="a3"/>
        <w:spacing w:before="0" w:beforeAutospacing="0" w:after="0" w:afterAutospacing="0"/>
        <w:ind w:left="360"/>
        <w:jc w:val="both"/>
        <w:rPr>
          <w:sz w:val="20"/>
          <w:szCs w:val="20"/>
        </w:rPr>
      </w:pPr>
      <w:r>
        <w:rPr>
          <w:sz w:val="20"/>
          <w:szCs w:val="20"/>
        </w:rPr>
        <w:t> </w:t>
      </w:r>
    </w:p>
    <w:p w14:paraId="64100024" w14:textId="77777777" w:rsidR="00000000" w:rsidRDefault="00322B34">
      <w:pPr>
        <w:pStyle w:val="a3"/>
        <w:spacing w:before="0" w:beforeAutospacing="0" w:after="0" w:afterAutospacing="0"/>
        <w:ind w:firstLine="360"/>
        <w:jc w:val="both"/>
        <w:rPr>
          <w:sz w:val="20"/>
          <w:szCs w:val="20"/>
        </w:rPr>
      </w:pPr>
      <w:r>
        <w:rPr>
          <w:sz w:val="20"/>
          <w:szCs w:val="20"/>
        </w:rPr>
        <w:t xml:space="preserve">The Company recognized expenses associated with its equity awards of $11.5 million and $10.3 million for the </w:t>
      </w:r>
      <w:r>
        <w:rPr>
          <w:rStyle w:val="a6"/>
          <w:sz w:val="20"/>
          <w:szCs w:val="20"/>
        </w:rPr>
        <w:t>six</w:t>
      </w:r>
      <w:r>
        <w:rPr>
          <w:sz w:val="20"/>
          <w:szCs w:val="20"/>
        </w:rPr>
        <w:t xml:space="preserve"> months ended </w:t>
      </w:r>
      <w:r>
        <w:rPr>
          <w:rStyle w:val="a6"/>
          <w:sz w:val="20"/>
          <w:szCs w:val="20"/>
        </w:rPr>
        <w:t xml:space="preserve">June 30, 2020 </w:t>
      </w:r>
      <w:r>
        <w:rPr>
          <w:sz w:val="20"/>
          <w:szCs w:val="20"/>
        </w:rPr>
        <w:t xml:space="preserve">and </w:t>
      </w:r>
      <w:r>
        <w:rPr>
          <w:rStyle w:val="a6"/>
          <w:sz w:val="20"/>
          <w:szCs w:val="20"/>
        </w:rPr>
        <w:t>2019,</w:t>
      </w:r>
      <w:r>
        <w:rPr>
          <w:sz w:val="20"/>
          <w:szCs w:val="20"/>
        </w:rPr>
        <w:t xml:space="preserve"> respectively.  As of </w:t>
      </w:r>
      <w:r>
        <w:rPr>
          <w:rStyle w:val="a6"/>
          <w:sz w:val="20"/>
          <w:szCs w:val="20"/>
        </w:rPr>
        <w:t xml:space="preserve">June 30, 2020, </w:t>
      </w:r>
      <w:r>
        <w:rPr>
          <w:sz w:val="20"/>
          <w:szCs w:val="20"/>
        </w:rPr>
        <w:t xml:space="preserve">the Company had $46.3 million </w:t>
      </w:r>
      <w:r>
        <w:rPr>
          <w:sz w:val="20"/>
          <w:szCs w:val="20"/>
        </w:rPr>
        <w:t>of total unrecognized compensation cost related to unvested stock compensation granted under the Plans.  That cost is expected to be recognized over a weighted average period of approximately 3.1 years.</w:t>
      </w:r>
    </w:p>
    <w:p w14:paraId="54E2430A" w14:textId="77777777" w:rsidR="00000000" w:rsidRDefault="00322B34">
      <w:pPr>
        <w:pStyle w:val="a3"/>
        <w:spacing w:before="0" w:beforeAutospacing="0" w:after="0" w:afterAutospacing="0"/>
        <w:rPr>
          <w:sz w:val="20"/>
          <w:szCs w:val="20"/>
        </w:rPr>
      </w:pPr>
      <w:r>
        <w:rPr>
          <w:sz w:val="20"/>
          <w:szCs w:val="20"/>
        </w:rPr>
        <w:t> </w:t>
      </w:r>
    </w:p>
    <w:p w14:paraId="0732A7EF" w14:textId="77777777" w:rsidR="00000000" w:rsidRDefault="00322B34">
      <w:pPr>
        <w:divId w:val="1886671703"/>
        <w:rPr>
          <w:rFonts w:eastAsia="Times New Roman"/>
          <w:sz w:val="20"/>
          <w:szCs w:val="20"/>
        </w:rPr>
      </w:pPr>
      <w:r>
        <w:rPr>
          <w:rFonts w:eastAsia="Times New Roman"/>
          <w:sz w:val="20"/>
          <w:szCs w:val="20"/>
        </w:rPr>
        <w:t xml:space="preserve">  </w:t>
      </w:r>
    </w:p>
    <w:p w14:paraId="3D61325F" w14:textId="77777777" w:rsidR="00000000" w:rsidRDefault="00322B34">
      <w:pPr>
        <w:pStyle w:val="a3"/>
        <w:spacing w:before="0" w:beforeAutospacing="0" w:after="0" w:afterAutospacing="0"/>
        <w:rPr>
          <w:sz w:val="20"/>
          <w:szCs w:val="20"/>
        </w:rPr>
      </w:pPr>
      <w:r>
        <w:rPr>
          <w:rStyle w:val="a6"/>
          <w:sz w:val="20"/>
          <w:szCs w:val="20"/>
        </w:rPr>
        <w:t>13.</w:t>
      </w:r>
      <w:r>
        <w:rPr>
          <w:sz w:val="20"/>
          <w:szCs w:val="20"/>
        </w:rPr>
        <w:t xml:space="preserve"> </w:t>
      </w:r>
      <w:r>
        <w:rPr>
          <w:sz w:val="20"/>
          <w:szCs w:val="20"/>
          <w:u w:val="single"/>
        </w:rPr>
        <w:t>Earnings Per Share</w:t>
      </w:r>
    </w:p>
    <w:p w14:paraId="54D64957" w14:textId="77777777" w:rsidR="00000000" w:rsidRDefault="00322B34">
      <w:pPr>
        <w:pStyle w:val="a3"/>
        <w:spacing w:before="0" w:beforeAutospacing="0" w:after="0" w:afterAutospacing="0"/>
        <w:jc w:val="both"/>
        <w:rPr>
          <w:sz w:val="20"/>
          <w:szCs w:val="20"/>
        </w:rPr>
      </w:pPr>
      <w:r>
        <w:rPr>
          <w:sz w:val="20"/>
          <w:szCs w:val="20"/>
        </w:rPr>
        <w:t> </w:t>
      </w:r>
    </w:p>
    <w:p w14:paraId="3BC87ED9" w14:textId="77777777" w:rsidR="00000000" w:rsidRDefault="00322B34">
      <w:pPr>
        <w:pStyle w:val="a3"/>
        <w:spacing w:before="0" w:beforeAutospacing="0" w:after="0" w:afterAutospacing="0"/>
        <w:ind w:firstLine="360"/>
        <w:jc w:val="both"/>
        <w:rPr>
          <w:sz w:val="20"/>
          <w:szCs w:val="20"/>
        </w:rPr>
      </w:pPr>
      <w:r>
        <w:rPr>
          <w:sz w:val="20"/>
          <w:szCs w:val="20"/>
        </w:rPr>
        <w:t>The following table set</w:t>
      </w:r>
      <w:r>
        <w:rPr>
          <w:sz w:val="20"/>
          <w:szCs w:val="20"/>
        </w:rPr>
        <w:t>s forth the reconciliation of earnings and the weighted average number of shares used in the calculation of basic and diluted earnings per share (amounts presented in thousands except per share data):</w:t>
      </w:r>
    </w:p>
    <w:p w14:paraId="15B7286C"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81"/>
        <w:gridCol w:w="77"/>
        <w:gridCol w:w="100"/>
        <w:gridCol w:w="825"/>
        <w:gridCol w:w="77"/>
        <w:gridCol w:w="78"/>
        <w:gridCol w:w="100"/>
        <w:gridCol w:w="826"/>
        <w:gridCol w:w="78"/>
        <w:gridCol w:w="78"/>
        <w:gridCol w:w="100"/>
        <w:gridCol w:w="826"/>
        <w:gridCol w:w="78"/>
        <w:gridCol w:w="78"/>
        <w:gridCol w:w="100"/>
        <w:gridCol w:w="826"/>
        <w:gridCol w:w="78"/>
      </w:tblGrid>
      <w:tr w:rsidR="00000000" w14:paraId="731AD67C" w14:textId="77777777">
        <w:trPr>
          <w:tblCellSpacing w:w="0" w:type="dxa"/>
        </w:trPr>
        <w:tc>
          <w:tcPr>
            <w:tcW w:w="0" w:type="auto"/>
            <w:vAlign w:val="bottom"/>
            <w:hideMark/>
          </w:tcPr>
          <w:p w14:paraId="2E9665B1"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AC80274" w14:textId="77777777" w:rsidR="00000000" w:rsidRDefault="00322B34">
            <w:pPr>
              <w:rPr>
                <w:rFonts w:eastAsia="Times New Roman"/>
                <w:sz w:val="20"/>
                <w:szCs w:val="20"/>
              </w:rPr>
            </w:pPr>
            <w:r>
              <w:rPr>
                <w:rFonts w:eastAsia="Times New Roman"/>
                <w:sz w:val="20"/>
                <w:szCs w:val="20"/>
              </w:rPr>
              <w:t> </w:t>
            </w:r>
          </w:p>
        </w:tc>
        <w:tc>
          <w:tcPr>
            <w:tcW w:w="0" w:type="auto"/>
            <w:gridSpan w:val="6"/>
            <w:vAlign w:val="bottom"/>
            <w:hideMark/>
          </w:tcPr>
          <w:p w14:paraId="4612FD19" w14:textId="77777777" w:rsidR="00000000" w:rsidRDefault="00322B34">
            <w:pPr>
              <w:pStyle w:val="a3"/>
              <w:spacing w:before="0" w:beforeAutospacing="0" w:after="0" w:afterAutospacing="0"/>
              <w:jc w:val="center"/>
              <w:rPr>
                <w:sz w:val="20"/>
                <w:szCs w:val="20"/>
              </w:rPr>
            </w:pPr>
            <w:r>
              <w:rPr>
                <w:b/>
                <w:bCs/>
                <w:sz w:val="20"/>
                <w:szCs w:val="20"/>
              </w:rPr>
              <w:t>Three Months Ended</w:t>
            </w:r>
          </w:p>
        </w:tc>
        <w:tc>
          <w:tcPr>
            <w:tcW w:w="0" w:type="auto"/>
            <w:vAlign w:val="bottom"/>
            <w:hideMark/>
          </w:tcPr>
          <w:p w14:paraId="61848391"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3B84990" w14:textId="77777777" w:rsidR="00000000" w:rsidRDefault="00322B34">
            <w:pPr>
              <w:rPr>
                <w:rFonts w:eastAsia="Times New Roman"/>
                <w:sz w:val="20"/>
                <w:szCs w:val="20"/>
              </w:rPr>
            </w:pPr>
            <w:r>
              <w:rPr>
                <w:rFonts w:eastAsia="Times New Roman"/>
                <w:sz w:val="20"/>
                <w:szCs w:val="20"/>
              </w:rPr>
              <w:t> </w:t>
            </w:r>
          </w:p>
        </w:tc>
        <w:tc>
          <w:tcPr>
            <w:tcW w:w="0" w:type="auto"/>
            <w:gridSpan w:val="6"/>
            <w:vAlign w:val="bottom"/>
            <w:hideMark/>
          </w:tcPr>
          <w:p w14:paraId="3FEAE4C4" w14:textId="77777777" w:rsidR="00000000" w:rsidRDefault="00322B34">
            <w:pPr>
              <w:pStyle w:val="a3"/>
              <w:spacing w:before="0" w:beforeAutospacing="0" w:after="0" w:afterAutospacing="0"/>
              <w:jc w:val="center"/>
              <w:rPr>
                <w:sz w:val="20"/>
                <w:szCs w:val="20"/>
              </w:rPr>
            </w:pPr>
            <w:r>
              <w:rPr>
                <w:b/>
                <w:bCs/>
                <w:sz w:val="20"/>
                <w:szCs w:val="20"/>
              </w:rPr>
              <w:t>Six Months Ended</w:t>
            </w:r>
          </w:p>
        </w:tc>
        <w:tc>
          <w:tcPr>
            <w:tcW w:w="0" w:type="auto"/>
            <w:vAlign w:val="bottom"/>
            <w:hideMark/>
          </w:tcPr>
          <w:p w14:paraId="315709AC" w14:textId="77777777" w:rsidR="00000000" w:rsidRDefault="00322B34">
            <w:pPr>
              <w:rPr>
                <w:rFonts w:eastAsia="Times New Roman"/>
                <w:sz w:val="20"/>
                <w:szCs w:val="20"/>
              </w:rPr>
            </w:pPr>
            <w:r>
              <w:rPr>
                <w:rFonts w:eastAsia="Times New Roman"/>
                <w:sz w:val="20"/>
                <w:szCs w:val="20"/>
              </w:rPr>
              <w:t> </w:t>
            </w:r>
          </w:p>
        </w:tc>
      </w:tr>
      <w:tr w:rsidR="00000000" w14:paraId="03024899" w14:textId="77777777">
        <w:trPr>
          <w:tblCellSpacing w:w="0" w:type="dxa"/>
        </w:trPr>
        <w:tc>
          <w:tcPr>
            <w:tcW w:w="0" w:type="auto"/>
            <w:vAlign w:val="bottom"/>
            <w:hideMark/>
          </w:tcPr>
          <w:p w14:paraId="67A34C6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EB7FBB0"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733F8612" w14:textId="77777777" w:rsidR="00000000" w:rsidRDefault="00322B34">
            <w:pPr>
              <w:pStyle w:val="a3"/>
              <w:spacing w:before="0" w:beforeAutospacing="0" w:after="0" w:afterAutospacing="0"/>
              <w:jc w:val="center"/>
              <w:rPr>
                <w:sz w:val="20"/>
                <w:szCs w:val="20"/>
              </w:rPr>
            </w:pPr>
            <w:r>
              <w:rPr>
                <w:b/>
                <w:bCs/>
                <w:sz w:val="20"/>
                <w:szCs w:val="20"/>
              </w:rPr>
              <w:t>June 30,</w:t>
            </w:r>
          </w:p>
        </w:tc>
        <w:tc>
          <w:tcPr>
            <w:tcW w:w="0" w:type="auto"/>
            <w:tcMar>
              <w:top w:w="0" w:type="dxa"/>
              <w:left w:w="0" w:type="dxa"/>
              <w:bottom w:w="15" w:type="dxa"/>
              <w:right w:w="0" w:type="dxa"/>
            </w:tcMar>
            <w:vAlign w:val="bottom"/>
            <w:hideMark/>
          </w:tcPr>
          <w:p w14:paraId="6707598C"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0033730"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668F26C" w14:textId="77777777" w:rsidR="00000000" w:rsidRDefault="00322B34">
            <w:pPr>
              <w:jc w:val="center"/>
              <w:rPr>
                <w:rFonts w:eastAsia="Times New Roman"/>
                <w:sz w:val="20"/>
                <w:szCs w:val="20"/>
              </w:rPr>
            </w:pPr>
            <w:r>
              <w:rPr>
                <w:rFonts w:eastAsia="Times New Roman"/>
                <w:b/>
                <w:bCs/>
                <w:sz w:val="20"/>
                <w:szCs w:val="20"/>
              </w:rPr>
              <w:t>     June 30,</w:t>
            </w:r>
          </w:p>
        </w:tc>
        <w:tc>
          <w:tcPr>
            <w:tcW w:w="0" w:type="auto"/>
            <w:tcMar>
              <w:top w:w="0" w:type="dxa"/>
              <w:left w:w="0" w:type="dxa"/>
              <w:bottom w:w="15" w:type="dxa"/>
              <w:right w:w="0" w:type="dxa"/>
            </w:tcMar>
            <w:vAlign w:val="bottom"/>
            <w:hideMark/>
          </w:tcPr>
          <w:p w14:paraId="7328E5BC" w14:textId="77777777" w:rsidR="00000000" w:rsidRDefault="00322B34">
            <w:pPr>
              <w:rPr>
                <w:rFonts w:eastAsia="Times New Roman"/>
                <w:sz w:val="20"/>
                <w:szCs w:val="20"/>
              </w:rPr>
            </w:pPr>
            <w:r>
              <w:rPr>
                <w:rFonts w:eastAsia="Times New Roman"/>
                <w:b/>
                <w:bCs/>
                <w:sz w:val="20"/>
                <w:szCs w:val="20"/>
              </w:rPr>
              <w:t> </w:t>
            </w:r>
          </w:p>
        </w:tc>
      </w:tr>
      <w:tr w:rsidR="00000000" w14:paraId="4B1AA166" w14:textId="77777777">
        <w:trPr>
          <w:tblCellSpacing w:w="0" w:type="dxa"/>
        </w:trPr>
        <w:tc>
          <w:tcPr>
            <w:tcW w:w="0" w:type="auto"/>
            <w:vAlign w:val="bottom"/>
            <w:hideMark/>
          </w:tcPr>
          <w:p w14:paraId="09A7CD42"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57A0EE3"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699BD86"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43088890"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96BC8D1"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703BEDB"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5BDDBF4"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FAC1E58"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914F5BA"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4423BFA8"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A7C56C4"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F1962A8"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0BEAD5D9" w14:textId="77777777" w:rsidR="00000000" w:rsidRDefault="00322B34">
            <w:pPr>
              <w:rPr>
                <w:rFonts w:eastAsia="Times New Roman"/>
                <w:sz w:val="20"/>
                <w:szCs w:val="20"/>
              </w:rPr>
            </w:pPr>
            <w:r>
              <w:rPr>
                <w:rFonts w:eastAsia="Times New Roman"/>
                <w:sz w:val="20"/>
                <w:szCs w:val="20"/>
              </w:rPr>
              <w:t> </w:t>
            </w:r>
          </w:p>
        </w:tc>
      </w:tr>
      <w:tr w:rsidR="00000000" w14:paraId="7D32972A" w14:textId="77777777">
        <w:trPr>
          <w:tblCellSpacing w:w="0" w:type="dxa"/>
        </w:trPr>
        <w:tc>
          <w:tcPr>
            <w:tcW w:w="2400" w:type="pct"/>
            <w:shd w:val="clear" w:color="auto" w:fill="CCEEFF"/>
            <w:vAlign w:val="bottom"/>
            <w:hideMark/>
          </w:tcPr>
          <w:p w14:paraId="57AEAF67" w14:textId="77777777" w:rsidR="00000000" w:rsidRDefault="00322B34">
            <w:pPr>
              <w:pStyle w:val="a3"/>
              <w:spacing w:before="0" w:beforeAutospacing="0" w:after="0" w:afterAutospacing="0"/>
              <w:rPr>
                <w:sz w:val="20"/>
                <w:szCs w:val="20"/>
              </w:rPr>
            </w:pPr>
            <w:r>
              <w:rPr>
                <w:i/>
                <w:iCs/>
                <w:sz w:val="20"/>
                <w:szCs w:val="20"/>
              </w:rPr>
              <w:t>Computation of Basic and Diluted Earnings Per Share:</w:t>
            </w:r>
          </w:p>
        </w:tc>
        <w:tc>
          <w:tcPr>
            <w:tcW w:w="0" w:type="auto"/>
            <w:shd w:val="clear" w:color="auto" w:fill="CCEEFF"/>
            <w:vAlign w:val="bottom"/>
            <w:hideMark/>
          </w:tcPr>
          <w:p w14:paraId="638BEB1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C6C80C" w14:textId="77777777" w:rsidR="00000000" w:rsidRDefault="00322B3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29F51D0C" w14:textId="77777777" w:rsidR="00000000" w:rsidRDefault="00322B3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3B68210A" w14:textId="77777777" w:rsidR="00000000" w:rsidRDefault="00322B3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24C841A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8B1595" w14:textId="77777777" w:rsidR="00000000" w:rsidRDefault="00322B3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3FC7C946" w14:textId="77777777" w:rsidR="00000000" w:rsidRDefault="00322B3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6E815B98" w14:textId="77777777" w:rsidR="00000000" w:rsidRDefault="00322B3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73A3B5E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86371B" w14:textId="77777777" w:rsidR="00000000" w:rsidRDefault="00322B3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39FCFF12" w14:textId="77777777" w:rsidR="00000000" w:rsidRDefault="00322B3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39D21D79" w14:textId="77777777" w:rsidR="00000000" w:rsidRDefault="00322B3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4CC16CD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78812B" w14:textId="77777777" w:rsidR="00000000" w:rsidRDefault="00322B3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31001009" w14:textId="77777777" w:rsidR="00000000" w:rsidRDefault="00322B34">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6A73F2B2" w14:textId="77777777" w:rsidR="00000000" w:rsidRDefault="00322B34">
            <w:pPr>
              <w:rPr>
                <w:rFonts w:eastAsia="Times New Roman"/>
                <w:sz w:val="20"/>
                <w:szCs w:val="20"/>
              </w:rPr>
            </w:pPr>
            <w:r>
              <w:rPr>
                <w:rFonts w:eastAsia="Times New Roman"/>
                <w:i/>
                <w:iCs/>
                <w:sz w:val="20"/>
                <w:szCs w:val="20"/>
              </w:rPr>
              <w:t> </w:t>
            </w:r>
          </w:p>
        </w:tc>
      </w:tr>
      <w:tr w:rsidR="00000000" w14:paraId="7B35FA63" w14:textId="77777777">
        <w:trPr>
          <w:tblCellSpacing w:w="0" w:type="dxa"/>
        </w:trPr>
        <w:tc>
          <w:tcPr>
            <w:tcW w:w="0" w:type="auto"/>
            <w:shd w:val="clear" w:color="auto" w:fill="FFFFFF"/>
            <w:vAlign w:val="bottom"/>
            <w:hideMark/>
          </w:tcPr>
          <w:p w14:paraId="18DE13CE" w14:textId="77777777" w:rsidR="00000000" w:rsidRDefault="00322B34">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14:paraId="1AAA8EE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389E7E" w14:textId="77777777" w:rsidR="00000000" w:rsidRDefault="00322B34">
            <w:pPr>
              <w:rPr>
                <w:rFonts w:eastAsia="Times New Roman"/>
                <w:sz w:val="20"/>
                <w:szCs w:val="20"/>
              </w:rPr>
            </w:pPr>
            <w:r>
              <w:rPr>
                <w:rFonts w:eastAsia="Times New Roman"/>
                <w:sz w:val="20"/>
                <w:szCs w:val="20"/>
              </w:rPr>
              <w:t>$</w:t>
            </w:r>
          </w:p>
        </w:tc>
        <w:tc>
          <w:tcPr>
            <w:tcW w:w="500" w:type="pct"/>
            <w:shd w:val="clear" w:color="auto" w:fill="FFFFFF"/>
            <w:vAlign w:val="bottom"/>
            <w:hideMark/>
          </w:tcPr>
          <w:p w14:paraId="4324FD33" w14:textId="77777777" w:rsidR="00000000" w:rsidRDefault="00322B34">
            <w:pPr>
              <w:jc w:val="right"/>
              <w:rPr>
                <w:rFonts w:eastAsia="Times New Roman"/>
                <w:sz w:val="20"/>
                <w:szCs w:val="20"/>
              </w:rPr>
            </w:pPr>
            <w:r>
              <w:rPr>
                <w:rFonts w:eastAsia="Times New Roman"/>
                <w:sz w:val="20"/>
                <w:szCs w:val="20"/>
              </w:rPr>
              <w:t>741,539</w:t>
            </w:r>
          </w:p>
        </w:tc>
        <w:tc>
          <w:tcPr>
            <w:tcW w:w="50" w:type="pct"/>
            <w:shd w:val="clear" w:color="auto" w:fill="FFFFFF"/>
            <w:vAlign w:val="bottom"/>
            <w:hideMark/>
          </w:tcPr>
          <w:p w14:paraId="7D12548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42D34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B04932" w14:textId="77777777" w:rsidR="00000000" w:rsidRDefault="00322B34">
            <w:pPr>
              <w:rPr>
                <w:rFonts w:eastAsia="Times New Roman"/>
                <w:sz w:val="20"/>
                <w:szCs w:val="20"/>
              </w:rPr>
            </w:pPr>
            <w:r>
              <w:rPr>
                <w:rFonts w:eastAsia="Times New Roman"/>
                <w:sz w:val="20"/>
                <w:szCs w:val="20"/>
              </w:rPr>
              <w:t>$</w:t>
            </w:r>
          </w:p>
        </w:tc>
        <w:tc>
          <w:tcPr>
            <w:tcW w:w="500" w:type="pct"/>
            <w:shd w:val="clear" w:color="auto" w:fill="FFFFFF"/>
            <w:vAlign w:val="bottom"/>
            <w:hideMark/>
          </w:tcPr>
          <w:p w14:paraId="06F4ED6B" w14:textId="77777777" w:rsidR="00000000" w:rsidRDefault="00322B34">
            <w:pPr>
              <w:jc w:val="right"/>
              <w:rPr>
                <w:rFonts w:eastAsia="Times New Roman"/>
                <w:sz w:val="20"/>
                <w:szCs w:val="20"/>
              </w:rPr>
            </w:pPr>
            <w:r>
              <w:rPr>
                <w:rFonts w:eastAsia="Times New Roman"/>
                <w:sz w:val="20"/>
                <w:szCs w:val="20"/>
              </w:rPr>
              <w:t>86,493</w:t>
            </w:r>
          </w:p>
        </w:tc>
        <w:tc>
          <w:tcPr>
            <w:tcW w:w="50" w:type="pct"/>
            <w:shd w:val="clear" w:color="auto" w:fill="FFFFFF"/>
            <w:vAlign w:val="bottom"/>
            <w:hideMark/>
          </w:tcPr>
          <w:p w14:paraId="7D44C4D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41257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46C4F5" w14:textId="77777777" w:rsidR="00000000" w:rsidRDefault="00322B34">
            <w:pPr>
              <w:rPr>
                <w:rFonts w:eastAsia="Times New Roman"/>
                <w:sz w:val="20"/>
                <w:szCs w:val="20"/>
              </w:rPr>
            </w:pPr>
            <w:r>
              <w:rPr>
                <w:rFonts w:eastAsia="Times New Roman"/>
                <w:sz w:val="20"/>
                <w:szCs w:val="20"/>
              </w:rPr>
              <w:t>$</w:t>
            </w:r>
          </w:p>
        </w:tc>
        <w:tc>
          <w:tcPr>
            <w:tcW w:w="500" w:type="pct"/>
            <w:shd w:val="clear" w:color="auto" w:fill="FFFFFF"/>
            <w:vAlign w:val="bottom"/>
            <w:hideMark/>
          </w:tcPr>
          <w:p w14:paraId="3DFEC179" w14:textId="77777777" w:rsidR="00000000" w:rsidRDefault="00322B34">
            <w:pPr>
              <w:jc w:val="right"/>
              <w:rPr>
                <w:rFonts w:eastAsia="Times New Roman"/>
                <w:sz w:val="20"/>
                <w:szCs w:val="20"/>
              </w:rPr>
            </w:pPr>
            <w:r>
              <w:rPr>
                <w:rFonts w:eastAsia="Times New Roman"/>
                <w:sz w:val="20"/>
                <w:szCs w:val="20"/>
              </w:rPr>
              <w:t>825,285</w:t>
            </w:r>
          </w:p>
        </w:tc>
        <w:tc>
          <w:tcPr>
            <w:tcW w:w="50" w:type="pct"/>
            <w:shd w:val="clear" w:color="auto" w:fill="FFFFFF"/>
            <w:vAlign w:val="bottom"/>
            <w:hideMark/>
          </w:tcPr>
          <w:p w14:paraId="715109F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F7F56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8DBAB1" w14:textId="77777777" w:rsidR="00000000" w:rsidRDefault="00322B34">
            <w:pPr>
              <w:rPr>
                <w:rFonts w:eastAsia="Times New Roman"/>
                <w:sz w:val="20"/>
                <w:szCs w:val="20"/>
              </w:rPr>
            </w:pPr>
            <w:r>
              <w:rPr>
                <w:rFonts w:eastAsia="Times New Roman"/>
                <w:sz w:val="20"/>
                <w:szCs w:val="20"/>
              </w:rPr>
              <w:t>$</w:t>
            </w:r>
          </w:p>
        </w:tc>
        <w:tc>
          <w:tcPr>
            <w:tcW w:w="500" w:type="pct"/>
            <w:shd w:val="clear" w:color="auto" w:fill="FFFFFF"/>
            <w:vAlign w:val="bottom"/>
            <w:hideMark/>
          </w:tcPr>
          <w:p w14:paraId="5B400F6F" w14:textId="77777777" w:rsidR="00000000" w:rsidRDefault="00322B34">
            <w:pPr>
              <w:jc w:val="right"/>
              <w:rPr>
                <w:rFonts w:eastAsia="Times New Roman"/>
                <w:sz w:val="20"/>
                <w:szCs w:val="20"/>
              </w:rPr>
            </w:pPr>
            <w:r>
              <w:rPr>
                <w:rFonts w:eastAsia="Times New Roman"/>
                <w:sz w:val="20"/>
                <w:szCs w:val="20"/>
              </w:rPr>
              <w:t>188,128</w:t>
            </w:r>
          </w:p>
        </w:tc>
        <w:tc>
          <w:tcPr>
            <w:tcW w:w="50" w:type="pct"/>
            <w:shd w:val="clear" w:color="auto" w:fill="FFFFFF"/>
            <w:vAlign w:val="bottom"/>
            <w:hideMark/>
          </w:tcPr>
          <w:p w14:paraId="439D0E2F" w14:textId="77777777" w:rsidR="00000000" w:rsidRDefault="00322B34">
            <w:pPr>
              <w:rPr>
                <w:rFonts w:eastAsia="Times New Roman"/>
                <w:sz w:val="20"/>
                <w:szCs w:val="20"/>
              </w:rPr>
            </w:pPr>
            <w:r>
              <w:rPr>
                <w:rFonts w:eastAsia="Times New Roman"/>
                <w:sz w:val="20"/>
                <w:szCs w:val="20"/>
              </w:rPr>
              <w:t> </w:t>
            </w:r>
          </w:p>
        </w:tc>
      </w:tr>
      <w:tr w:rsidR="00000000" w14:paraId="5AB8ECEE" w14:textId="77777777">
        <w:trPr>
          <w:tblCellSpacing w:w="0" w:type="dxa"/>
        </w:trPr>
        <w:tc>
          <w:tcPr>
            <w:tcW w:w="0" w:type="auto"/>
            <w:shd w:val="clear" w:color="auto" w:fill="CCEEFF"/>
            <w:vAlign w:val="bottom"/>
            <w:hideMark/>
          </w:tcPr>
          <w:p w14:paraId="60D39595" w14:textId="77777777" w:rsidR="00000000" w:rsidRDefault="00322B34">
            <w:pPr>
              <w:pStyle w:val="a3"/>
              <w:spacing w:before="0" w:beforeAutospacing="0" w:after="0" w:afterAutospacing="0"/>
              <w:rPr>
                <w:sz w:val="20"/>
                <w:szCs w:val="20"/>
              </w:rPr>
            </w:pPr>
            <w:r>
              <w:rPr>
                <w:sz w:val="20"/>
                <w:szCs w:val="20"/>
              </w:rPr>
              <w:t>Earnings attributable to participating securities</w:t>
            </w:r>
          </w:p>
        </w:tc>
        <w:tc>
          <w:tcPr>
            <w:tcW w:w="50" w:type="pct"/>
            <w:shd w:val="clear" w:color="auto" w:fill="CCEEFF"/>
            <w:vAlign w:val="bottom"/>
            <w:hideMark/>
          </w:tcPr>
          <w:p w14:paraId="301E6B71"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A0CA0A0" w14:textId="77777777" w:rsidR="00000000" w:rsidRDefault="00322B3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717AD40B" w14:textId="77777777" w:rsidR="00000000" w:rsidRDefault="00322B34">
            <w:pPr>
              <w:jc w:val="right"/>
              <w:rPr>
                <w:rFonts w:eastAsia="Times New Roman"/>
                <w:sz w:val="20"/>
                <w:szCs w:val="20"/>
              </w:rPr>
            </w:pPr>
            <w:r>
              <w:rPr>
                <w:rFonts w:eastAsia="Times New Roman"/>
                <w:sz w:val="20"/>
                <w:szCs w:val="20"/>
              </w:rPr>
              <w:t>(5,253</w:t>
            </w:r>
          </w:p>
        </w:tc>
        <w:tc>
          <w:tcPr>
            <w:tcW w:w="50" w:type="pct"/>
            <w:shd w:val="clear" w:color="auto" w:fill="CCEEFF"/>
            <w:tcMar>
              <w:top w:w="0" w:type="dxa"/>
              <w:left w:w="0" w:type="dxa"/>
              <w:bottom w:w="15" w:type="dxa"/>
              <w:right w:w="0" w:type="dxa"/>
            </w:tcMar>
            <w:vAlign w:val="bottom"/>
            <w:hideMark/>
          </w:tcPr>
          <w:p w14:paraId="10259380"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C983F63"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7C4810C" w14:textId="77777777" w:rsidR="00000000" w:rsidRDefault="00322B3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58977928" w14:textId="77777777" w:rsidR="00000000" w:rsidRDefault="00322B34">
            <w:pPr>
              <w:jc w:val="right"/>
              <w:rPr>
                <w:rFonts w:eastAsia="Times New Roman"/>
                <w:sz w:val="20"/>
                <w:szCs w:val="20"/>
              </w:rPr>
            </w:pPr>
            <w:r>
              <w:rPr>
                <w:rFonts w:eastAsia="Times New Roman"/>
                <w:sz w:val="20"/>
                <w:szCs w:val="20"/>
              </w:rPr>
              <w:t>(660</w:t>
            </w:r>
          </w:p>
        </w:tc>
        <w:tc>
          <w:tcPr>
            <w:tcW w:w="50" w:type="pct"/>
            <w:shd w:val="clear" w:color="auto" w:fill="CCEEFF"/>
            <w:tcMar>
              <w:top w:w="0" w:type="dxa"/>
              <w:left w:w="0" w:type="dxa"/>
              <w:bottom w:w="15" w:type="dxa"/>
              <w:right w:w="0" w:type="dxa"/>
            </w:tcMar>
            <w:vAlign w:val="bottom"/>
            <w:hideMark/>
          </w:tcPr>
          <w:p w14:paraId="460FDE87"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69D8C991"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CB9A86D" w14:textId="77777777" w:rsidR="00000000" w:rsidRDefault="00322B3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397F34E4" w14:textId="77777777" w:rsidR="00000000" w:rsidRDefault="00322B34">
            <w:pPr>
              <w:jc w:val="right"/>
              <w:rPr>
                <w:rFonts w:eastAsia="Times New Roman"/>
                <w:sz w:val="20"/>
                <w:szCs w:val="20"/>
              </w:rPr>
            </w:pPr>
            <w:r>
              <w:rPr>
                <w:rFonts w:eastAsia="Times New Roman"/>
                <w:sz w:val="20"/>
                <w:szCs w:val="20"/>
              </w:rPr>
              <w:t>(5,687</w:t>
            </w:r>
          </w:p>
        </w:tc>
        <w:tc>
          <w:tcPr>
            <w:tcW w:w="50" w:type="pct"/>
            <w:shd w:val="clear" w:color="auto" w:fill="CCEEFF"/>
            <w:tcMar>
              <w:top w:w="0" w:type="dxa"/>
              <w:left w:w="0" w:type="dxa"/>
              <w:bottom w:w="15" w:type="dxa"/>
              <w:right w:w="0" w:type="dxa"/>
            </w:tcMar>
            <w:vAlign w:val="bottom"/>
            <w:hideMark/>
          </w:tcPr>
          <w:p w14:paraId="601CD9C1"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4DDAB38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A2629E4" w14:textId="77777777" w:rsidR="00000000" w:rsidRDefault="00322B3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05220698" w14:textId="77777777" w:rsidR="00000000" w:rsidRDefault="00322B34">
            <w:pPr>
              <w:jc w:val="right"/>
              <w:rPr>
                <w:rFonts w:eastAsia="Times New Roman"/>
                <w:sz w:val="20"/>
                <w:szCs w:val="20"/>
              </w:rPr>
            </w:pPr>
            <w:r>
              <w:rPr>
                <w:rFonts w:eastAsia="Times New Roman"/>
                <w:sz w:val="20"/>
                <w:szCs w:val="20"/>
              </w:rPr>
              <w:t>(1,285</w:t>
            </w:r>
          </w:p>
        </w:tc>
        <w:tc>
          <w:tcPr>
            <w:tcW w:w="50" w:type="pct"/>
            <w:shd w:val="clear" w:color="auto" w:fill="CCEEFF"/>
            <w:tcMar>
              <w:top w:w="0" w:type="dxa"/>
              <w:left w:w="0" w:type="dxa"/>
              <w:bottom w:w="15" w:type="dxa"/>
              <w:right w:w="0" w:type="dxa"/>
            </w:tcMar>
            <w:vAlign w:val="bottom"/>
            <w:hideMark/>
          </w:tcPr>
          <w:p w14:paraId="0563A4E1" w14:textId="77777777" w:rsidR="00000000" w:rsidRDefault="00322B34">
            <w:pPr>
              <w:rPr>
                <w:rFonts w:eastAsia="Times New Roman"/>
                <w:sz w:val="20"/>
                <w:szCs w:val="20"/>
              </w:rPr>
            </w:pPr>
            <w:r>
              <w:rPr>
                <w:rFonts w:eastAsia="Times New Roman"/>
                <w:sz w:val="20"/>
                <w:szCs w:val="20"/>
              </w:rPr>
              <w:t>)</w:t>
            </w:r>
          </w:p>
        </w:tc>
      </w:tr>
      <w:tr w:rsidR="00000000" w14:paraId="0704B33F" w14:textId="77777777">
        <w:trPr>
          <w:tblCellSpacing w:w="0" w:type="dxa"/>
        </w:trPr>
        <w:tc>
          <w:tcPr>
            <w:tcW w:w="0" w:type="auto"/>
            <w:shd w:val="clear" w:color="auto" w:fill="FFFFFF"/>
            <w:vAlign w:val="bottom"/>
            <w:hideMark/>
          </w:tcPr>
          <w:p w14:paraId="03665236" w14:textId="77777777" w:rsidR="00000000" w:rsidRDefault="00322B34">
            <w:pPr>
              <w:pStyle w:val="a3"/>
              <w:spacing w:before="0" w:beforeAutospacing="0" w:after="0" w:afterAutospacing="0"/>
              <w:ind w:left="180" w:hanging="180"/>
              <w:rPr>
                <w:sz w:val="20"/>
                <w:szCs w:val="20"/>
              </w:rPr>
            </w:pPr>
            <w:r>
              <w:rPr>
                <w:sz w:val="20"/>
                <w:szCs w:val="20"/>
              </w:rPr>
              <w:t>Net income available to the Company’s common shareholders for basic earnings per share</w:t>
            </w:r>
          </w:p>
        </w:tc>
        <w:tc>
          <w:tcPr>
            <w:tcW w:w="50" w:type="pct"/>
            <w:tcBorders>
              <w:bottom w:val="nil"/>
            </w:tcBorders>
            <w:shd w:val="clear" w:color="auto" w:fill="FFFFFF"/>
            <w:vAlign w:val="bottom"/>
            <w:hideMark/>
          </w:tcPr>
          <w:p w14:paraId="076C9CBD"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6CC5BE32" w14:textId="77777777" w:rsidR="00000000" w:rsidRDefault="00322B34">
            <w:pPr>
              <w:rPr>
                <w:rFonts w:eastAsia="Times New Roman"/>
                <w:sz w:val="20"/>
                <w:szCs w:val="20"/>
              </w:rPr>
            </w:pPr>
            <w:r>
              <w:rPr>
                <w:rFonts w:eastAsia="Times New Roman"/>
                <w:sz w:val="20"/>
                <w:szCs w:val="20"/>
              </w:rPr>
              <w:t> </w:t>
            </w:r>
          </w:p>
        </w:tc>
        <w:tc>
          <w:tcPr>
            <w:tcW w:w="500" w:type="pct"/>
            <w:tcBorders>
              <w:bottom w:val="nil"/>
            </w:tcBorders>
            <w:shd w:val="clear" w:color="auto" w:fill="FFFFFF"/>
            <w:vAlign w:val="bottom"/>
            <w:hideMark/>
          </w:tcPr>
          <w:p w14:paraId="791E8590" w14:textId="77777777" w:rsidR="00000000" w:rsidRDefault="00322B34">
            <w:pPr>
              <w:jc w:val="right"/>
              <w:rPr>
                <w:rFonts w:eastAsia="Times New Roman"/>
                <w:sz w:val="20"/>
                <w:szCs w:val="20"/>
              </w:rPr>
            </w:pPr>
            <w:r>
              <w:rPr>
                <w:rFonts w:eastAsia="Times New Roman"/>
                <w:sz w:val="20"/>
                <w:szCs w:val="20"/>
              </w:rPr>
              <w:t>736,286</w:t>
            </w:r>
          </w:p>
        </w:tc>
        <w:tc>
          <w:tcPr>
            <w:tcW w:w="50" w:type="pct"/>
            <w:tcBorders>
              <w:bottom w:val="nil"/>
            </w:tcBorders>
            <w:shd w:val="clear" w:color="auto" w:fill="FFFFFF"/>
            <w:vAlign w:val="bottom"/>
            <w:hideMark/>
          </w:tcPr>
          <w:p w14:paraId="22F6D9D4"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730F5EDF"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2FB78E71" w14:textId="77777777" w:rsidR="00000000" w:rsidRDefault="00322B34">
            <w:pPr>
              <w:rPr>
                <w:rFonts w:eastAsia="Times New Roman"/>
                <w:sz w:val="20"/>
                <w:szCs w:val="20"/>
              </w:rPr>
            </w:pPr>
            <w:r>
              <w:rPr>
                <w:rFonts w:eastAsia="Times New Roman"/>
                <w:sz w:val="20"/>
                <w:szCs w:val="20"/>
              </w:rPr>
              <w:t> </w:t>
            </w:r>
          </w:p>
        </w:tc>
        <w:tc>
          <w:tcPr>
            <w:tcW w:w="500" w:type="pct"/>
            <w:tcBorders>
              <w:bottom w:val="nil"/>
            </w:tcBorders>
            <w:shd w:val="clear" w:color="auto" w:fill="FFFFFF"/>
            <w:vAlign w:val="bottom"/>
            <w:hideMark/>
          </w:tcPr>
          <w:p w14:paraId="2FE06197" w14:textId="77777777" w:rsidR="00000000" w:rsidRDefault="00322B34">
            <w:pPr>
              <w:jc w:val="right"/>
              <w:rPr>
                <w:rFonts w:eastAsia="Times New Roman"/>
                <w:sz w:val="20"/>
                <w:szCs w:val="20"/>
              </w:rPr>
            </w:pPr>
            <w:r>
              <w:rPr>
                <w:rFonts w:eastAsia="Times New Roman"/>
                <w:sz w:val="20"/>
                <w:szCs w:val="20"/>
              </w:rPr>
              <w:t>85,833</w:t>
            </w:r>
          </w:p>
        </w:tc>
        <w:tc>
          <w:tcPr>
            <w:tcW w:w="50" w:type="pct"/>
            <w:tcBorders>
              <w:bottom w:val="nil"/>
            </w:tcBorders>
            <w:shd w:val="clear" w:color="auto" w:fill="FFFFFF"/>
            <w:vAlign w:val="bottom"/>
            <w:hideMark/>
          </w:tcPr>
          <w:p w14:paraId="4E0C9DD8"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551045F4"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6C587D5A" w14:textId="77777777" w:rsidR="00000000" w:rsidRDefault="00322B34">
            <w:pPr>
              <w:rPr>
                <w:rFonts w:eastAsia="Times New Roman"/>
                <w:sz w:val="20"/>
                <w:szCs w:val="20"/>
              </w:rPr>
            </w:pPr>
            <w:r>
              <w:rPr>
                <w:rFonts w:eastAsia="Times New Roman"/>
                <w:sz w:val="20"/>
                <w:szCs w:val="20"/>
              </w:rPr>
              <w:t> </w:t>
            </w:r>
          </w:p>
        </w:tc>
        <w:tc>
          <w:tcPr>
            <w:tcW w:w="500" w:type="pct"/>
            <w:tcBorders>
              <w:bottom w:val="nil"/>
            </w:tcBorders>
            <w:shd w:val="clear" w:color="auto" w:fill="FFFFFF"/>
            <w:vAlign w:val="bottom"/>
            <w:hideMark/>
          </w:tcPr>
          <w:p w14:paraId="19CDCC20" w14:textId="77777777" w:rsidR="00000000" w:rsidRDefault="00322B34">
            <w:pPr>
              <w:jc w:val="right"/>
              <w:rPr>
                <w:rFonts w:eastAsia="Times New Roman"/>
                <w:sz w:val="20"/>
                <w:szCs w:val="20"/>
              </w:rPr>
            </w:pPr>
            <w:r>
              <w:rPr>
                <w:rFonts w:eastAsia="Times New Roman"/>
                <w:sz w:val="20"/>
                <w:szCs w:val="20"/>
              </w:rPr>
              <w:t>819,598</w:t>
            </w:r>
          </w:p>
        </w:tc>
        <w:tc>
          <w:tcPr>
            <w:tcW w:w="50" w:type="pct"/>
            <w:tcBorders>
              <w:bottom w:val="nil"/>
            </w:tcBorders>
            <w:shd w:val="clear" w:color="auto" w:fill="FFFFFF"/>
            <w:vAlign w:val="bottom"/>
            <w:hideMark/>
          </w:tcPr>
          <w:p w14:paraId="071CA6CB"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713771F1"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771B0D3A" w14:textId="77777777" w:rsidR="00000000" w:rsidRDefault="00322B34">
            <w:pPr>
              <w:rPr>
                <w:rFonts w:eastAsia="Times New Roman"/>
                <w:sz w:val="20"/>
                <w:szCs w:val="20"/>
              </w:rPr>
            </w:pPr>
            <w:r>
              <w:rPr>
                <w:rFonts w:eastAsia="Times New Roman"/>
                <w:sz w:val="20"/>
                <w:szCs w:val="20"/>
              </w:rPr>
              <w:t> </w:t>
            </w:r>
          </w:p>
        </w:tc>
        <w:tc>
          <w:tcPr>
            <w:tcW w:w="500" w:type="pct"/>
            <w:tcBorders>
              <w:bottom w:val="nil"/>
            </w:tcBorders>
            <w:shd w:val="clear" w:color="auto" w:fill="FFFFFF"/>
            <w:vAlign w:val="bottom"/>
            <w:hideMark/>
          </w:tcPr>
          <w:p w14:paraId="63D772D0" w14:textId="77777777" w:rsidR="00000000" w:rsidRDefault="00322B34">
            <w:pPr>
              <w:jc w:val="right"/>
              <w:rPr>
                <w:rFonts w:eastAsia="Times New Roman"/>
                <w:sz w:val="20"/>
                <w:szCs w:val="20"/>
              </w:rPr>
            </w:pPr>
            <w:r>
              <w:rPr>
                <w:rFonts w:eastAsia="Times New Roman"/>
                <w:sz w:val="20"/>
                <w:szCs w:val="20"/>
              </w:rPr>
              <w:t>186,843</w:t>
            </w:r>
          </w:p>
        </w:tc>
        <w:tc>
          <w:tcPr>
            <w:tcW w:w="50" w:type="pct"/>
            <w:tcBorders>
              <w:bottom w:val="nil"/>
            </w:tcBorders>
            <w:shd w:val="clear" w:color="auto" w:fill="FFFFFF"/>
            <w:vAlign w:val="bottom"/>
            <w:hideMark/>
          </w:tcPr>
          <w:p w14:paraId="5B5C826F" w14:textId="77777777" w:rsidR="00000000" w:rsidRDefault="00322B34">
            <w:pPr>
              <w:rPr>
                <w:rFonts w:eastAsia="Times New Roman"/>
                <w:sz w:val="20"/>
                <w:szCs w:val="20"/>
              </w:rPr>
            </w:pPr>
            <w:r>
              <w:rPr>
                <w:rFonts w:eastAsia="Times New Roman"/>
                <w:sz w:val="20"/>
                <w:szCs w:val="20"/>
              </w:rPr>
              <w:t> </w:t>
            </w:r>
          </w:p>
        </w:tc>
      </w:tr>
      <w:tr w:rsidR="00000000" w14:paraId="530DBE4B" w14:textId="77777777">
        <w:trPr>
          <w:tblCellSpacing w:w="0" w:type="dxa"/>
        </w:trPr>
        <w:tc>
          <w:tcPr>
            <w:tcW w:w="0" w:type="auto"/>
            <w:shd w:val="clear" w:color="auto" w:fill="CCEEFF"/>
            <w:vAlign w:val="bottom"/>
            <w:hideMark/>
          </w:tcPr>
          <w:p w14:paraId="5A5D1FF9" w14:textId="77777777" w:rsidR="00000000" w:rsidRDefault="00322B34">
            <w:pPr>
              <w:pStyle w:val="a3"/>
              <w:spacing w:before="0" w:beforeAutospacing="0" w:after="0" w:afterAutospacing="0"/>
              <w:rPr>
                <w:sz w:val="20"/>
                <w:szCs w:val="20"/>
              </w:rPr>
            </w:pPr>
            <w:r>
              <w:rPr>
                <w:sz w:val="20"/>
                <w:szCs w:val="20"/>
              </w:rPr>
              <w:t>Distributions on convertible units</w:t>
            </w:r>
          </w:p>
        </w:tc>
        <w:tc>
          <w:tcPr>
            <w:tcW w:w="50" w:type="pct"/>
            <w:shd w:val="clear" w:color="auto" w:fill="CCEEFF"/>
            <w:vAlign w:val="bottom"/>
            <w:hideMark/>
          </w:tcPr>
          <w:p w14:paraId="41A0741D"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3936283" w14:textId="77777777" w:rsidR="00000000" w:rsidRDefault="00322B3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08371D9A" w14:textId="77777777" w:rsidR="00000000" w:rsidRDefault="00322B34">
            <w:pPr>
              <w:jc w:val="right"/>
              <w:rPr>
                <w:rFonts w:eastAsia="Times New Roman"/>
                <w:sz w:val="20"/>
                <w:szCs w:val="20"/>
              </w:rPr>
            </w:pPr>
            <w:r>
              <w:rPr>
                <w:rFonts w:eastAsia="Times New Roman"/>
                <w:sz w:val="20"/>
                <w:szCs w:val="20"/>
              </w:rPr>
              <w:t>33</w:t>
            </w:r>
          </w:p>
        </w:tc>
        <w:tc>
          <w:tcPr>
            <w:tcW w:w="50" w:type="pct"/>
            <w:shd w:val="clear" w:color="auto" w:fill="CCEEFF"/>
            <w:tcMar>
              <w:top w:w="0" w:type="dxa"/>
              <w:left w:w="0" w:type="dxa"/>
              <w:bottom w:w="15" w:type="dxa"/>
              <w:right w:w="0" w:type="dxa"/>
            </w:tcMar>
            <w:vAlign w:val="bottom"/>
            <w:hideMark/>
          </w:tcPr>
          <w:p w14:paraId="4577408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F3AC54"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126BCDA" w14:textId="77777777" w:rsidR="00000000" w:rsidRDefault="00322B3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0627C2BA"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3E6610A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9950D2"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0BE820C" w14:textId="77777777" w:rsidR="00000000" w:rsidRDefault="00322B3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378FE6A5" w14:textId="77777777" w:rsidR="00000000" w:rsidRDefault="00322B34">
            <w:pPr>
              <w:jc w:val="right"/>
              <w:rPr>
                <w:rFonts w:eastAsia="Times New Roman"/>
                <w:sz w:val="20"/>
                <w:szCs w:val="20"/>
              </w:rPr>
            </w:pPr>
            <w:r>
              <w:rPr>
                <w:rFonts w:eastAsia="Times New Roman"/>
                <w:sz w:val="20"/>
                <w:szCs w:val="20"/>
              </w:rPr>
              <w:t>81</w:t>
            </w:r>
          </w:p>
        </w:tc>
        <w:tc>
          <w:tcPr>
            <w:tcW w:w="50" w:type="pct"/>
            <w:shd w:val="clear" w:color="auto" w:fill="CCEEFF"/>
            <w:tcMar>
              <w:top w:w="0" w:type="dxa"/>
              <w:left w:w="0" w:type="dxa"/>
              <w:bottom w:w="15" w:type="dxa"/>
              <w:right w:w="0" w:type="dxa"/>
            </w:tcMar>
            <w:vAlign w:val="bottom"/>
            <w:hideMark/>
          </w:tcPr>
          <w:p w14:paraId="26900B1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05CE83"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CD06609" w14:textId="77777777" w:rsidR="00000000" w:rsidRDefault="00322B3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01E73739" w14:textId="77777777" w:rsidR="00000000" w:rsidRDefault="00322B34">
            <w:pPr>
              <w:jc w:val="right"/>
              <w:rPr>
                <w:rFonts w:eastAsia="Times New Roman"/>
                <w:sz w:val="20"/>
                <w:szCs w:val="20"/>
              </w:rPr>
            </w:pPr>
            <w:r>
              <w:rPr>
                <w:rFonts w:eastAsia="Times New Roman"/>
                <w:sz w:val="20"/>
                <w:szCs w:val="20"/>
              </w:rPr>
              <w:t>20</w:t>
            </w:r>
          </w:p>
        </w:tc>
        <w:tc>
          <w:tcPr>
            <w:tcW w:w="50" w:type="pct"/>
            <w:shd w:val="clear" w:color="auto" w:fill="CCEEFF"/>
            <w:tcMar>
              <w:top w:w="0" w:type="dxa"/>
              <w:left w:w="0" w:type="dxa"/>
              <w:bottom w:w="15" w:type="dxa"/>
              <w:right w:w="0" w:type="dxa"/>
            </w:tcMar>
            <w:vAlign w:val="bottom"/>
            <w:hideMark/>
          </w:tcPr>
          <w:p w14:paraId="1E3E31EB" w14:textId="77777777" w:rsidR="00000000" w:rsidRDefault="00322B34">
            <w:pPr>
              <w:rPr>
                <w:rFonts w:eastAsia="Times New Roman"/>
                <w:sz w:val="20"/>
                <w:szCs w:val="20"/>
              </w:rPr>
            </w:pPr>
            <w:r>
              <w:rPr>
                <w:rFonts w:eastAsia="Times New Roman"/>
                <w:sz w:val="20"/>
                <w:szCs w:val="20"/>
              </w:rPr>
              <w:t> </w:t>
            </w:r>
          </w:p>
        </w:tc>
      </w:tr>
      <w:tr w:rsidR="00000000" w14:paraId="3EDF0789" w14:textId="77777777">
        <w:trPr>
          <w:tblCellSpacing w:w="0" w:type="dxa"/>
        </w:trPr>
        <w:tc>
          <w:tcPr>
            <w:tcW w:w="0" w:type="auto"/>
            <w:shd w:val="clear" w:color="auto" w:fill="FFFFFF"/>
            <w:vAlign w:val="bottom"/>
            <w:hideMark/>
          </w:tcPr>
          <w:p w14:paraId="514A1D62" w14:textId="77777777" w:rsidR="00000000" w:rsidRDefault="00322B34">
            <w:pPr>
              <w:pStyle w:val="a3"/>
              <w:spacing w:before="0" w:beforeAutospacing="0" w:after="0" w:afterAutospacing="0"/>
              <w:ind w:left="180" w:hanging="180"/>
              <w:rPr>
                <w:sz w:val="20"/>
                <w:szCs w:val="20"/>
              </w:rPr>
            </w:pPr>
            <w:r>
              <w:rPr>
                <w:sz w:val="20"/>
                <w:szCs w:val="20"/>
              </w:rPr>
              <w:t>Net income available to the Company’s common shareholders for diluted earnings per share</w:t>
            </w:r>
          </w:p>
        </w:tc>
        <w:tc>
          <w:tcPr>
            <w:tcW w:w="50" w:type="pct"/>
            <w:shd w:val="clear" w:color="auto" w:fill="FFFFFF"/>
            <w:vAlign w:val="bottom"/>
            <w:hideMark/>
          </w:tcPr>
          <w:p w14:paraId="23562626"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B0248B6"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61AC3DD7" w14:textId="77777777" w:rsidR="00000000" w:rsidRDefault="00322B34">
            <w:pPr>
              <w:jc w:val="right"/>
              <w:rPr>
                <w:rFonts w:eastAsia="Times New Roman"/>
                <w:sz w:val="20"/>
                <w:szCs w:val="20"/>
              </w:rPr>
            </w:pPr>
            <w:r>
              <w:rPr>
                <w:rFonts w:eastAsia="Times New Roman"/>
                <w:sz w:val="20"/>
                <w:szCs w:val="20"/>
              </w:rPr>
              <w:t>736,319</w:t>
            </w:r>
          </w:p>
        </w:tc>
        <w:tc>
          <w:tcPr>
            <w:tcW w:w="50" w:type="pct"/>
            <w:shd w:val="clear" w:color="auto" w:fill="FFFFFF"/>
            <w:tcMar>
              <w:top w:w="0" w:type="dxa"/>
              <w:left w:w="0" w:type="dxa"/>
              <w:bottom w:w="45" w:type="dxa"/>
              <w:right w:w="0" w:type="dxa"/>
            </w:tcMar>
            <w:vAlign w:val="bottom"/>
            <w:hideMark/>
          </w:tcPr>
          <w:p w14:paraId="27CD452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E21600"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472C003"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213D0DE8" w14:textId="77777777" w:rsidR="00000000" w:rsidRDefault="00322B34">
            <w:pPr>
              <w:jc w:val="right"/>
              <w:rPr>
                <w:rFonts w:eastAsia="Times New Roman"/>
                <w:sz w:val="20"/>
                <w:szCs w:val="20"/>
              </w:rPr>
            </w:pPr>
            <w:r>
              <w:rPr>
                <w:rFonts w:eastAsia="Times New Roman"/>
                <w:sz w:val="20"/>
                <w:szCs w:val="20"/>
              </w:rPr>
              <w:t>85,833</w:t>
            </w:r>
          </w:p>
        </w:tc>
        <w:tc>
          <w:tcPr>
            <w:tcW w:w="50" w:type="pct"/>
            <w:shd w:val="clear" w:color="auto" w:fill="FFFFFF"/>
            <w:tcMar>
              <w:top w:w="0" w:type="dxa"/>
              <w:left w:w="0" w:type="dxa"/>
              <w:bottom w:w="45" w:type="dxa"/>
              <w:right w:w="0" w:type="dxa"/>
            </w:tcMar>
            <w:vAlign w:val="bottom"/>
            <w:hideMark/>
          </w:tcPr>
          <w:p w14:paraId="3E4B367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74CA51"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9827EE3"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0E4A8ECE" w14:textId="77777777" w:rsidR="00000000" w:rsidRDefault="00322B34">
            <w:pPr>
              <w:jc w:val="right"/>
              <w:rPr>
                <w:rFonts w:eastAsia="Times New Roman"/>
                <w:sz w:val="20"/>
                <w:szCs w:val="20"/>
              </w:rPr>
            </w:pPr>
            <w:r>
              <w:rPr>
                <w:rFonts w:eastAsia="Times New Roman"/>
                <w:sz w:val="20"/>
                <w:szCs w:val="20"/>
              </w:rPr>
              <w:t>819,679</w:t>
            </w:r>
          </w:p>
        </w:tc>
        <w:tc>
          <w:tcPr>
            <w:tcW w:w="50" w:type="pct"/>
            <w:shd w:val="clear" w:color="auto" w:fill="FFFFFF"/>
            <w:tcMar>
              <w:top w:w="0" w:type="dxa"/>
              <w:left w:w="0" w:type="dxa"/>
              <w:bottom w:w="45" w:type="dxa"/>
              <w:right w:w="0" w:type="dxa"/>
            </w:tcMar>
            <w:vAlign w:val="bottom"/>
            <w:hideMark/>
          </w:tcPr>
          <w:p w14:paraId="5D551B1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FE6D7F"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FBB76EE"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65CE6179" w14:textId="77777777" w:rsidR="00000000" w:rsidRDefault="00322B34">
            <w:pPr>
              <w:jc w:val="right"/>
              <w:rPr>
                <w:rFonts w:eastAsia="Times New Roman"/>
                <w:sz w:val="20"/>
                <w:szCs w:val="20"/>
              </w:rPr>
            </w:pPr>
            <w:r>
              <w:rPr>
                <w:rFonts w:eastAsia="Times New Roman"/>
                <w:sz w:val="20"/>
                <w:szCs w:val="20"/>
              </w:rPr>
              <w:t>186,863</w:t>
            </w:r>
          </w:p>
        </w:tc>
        <w:tc>
          <w:tcPr>
            <w:tcW w:w="50" w:type="pct"/>
            <w:shd w:val="clear" w:color="auto" w:fill="FFFFFF"/>
            <w:tcMar>
              <w:top w:w="0" w:type="dxa"/>
              <w:left w:w="0" w:type="dxa"/>
              <w:bottom w:w="45" w:type="dxa"/>
              <w:right w:w="0" w:type="dxa"/>
            </w:tcMar>
            <w:vAlign w:val="bottom"/>
            <w:hideMark/>
          </w:tcPr>
          <w:p w14:paraId="397E5711" w14:textId="77777777" w:rsidR="00000000" w:rsidRDefault="00322B34">
            <w:pPr>
              <w:rPr>
                <w:rFonts w:eastAsia="Times New Roman"/>
                <w:sz w:val="20"/>
                <w:szCs w:val="20"/>
              </w:rPr>
            </w:pPr>
            <w:r>
              <w:rPr>
                <w:rFonts w:eastAsia="Times New Roman"/>
                <w:sz w:val="20"/>
                <w:szCs w:val="20"/>
              </w:rPr>
              <w:t> </w:t>
            </w:r>
          </w:p>
        </w:tc>
      </w:tr>
      <w:tr w:rsidR="00000000" w14:paraId="4ACE0932" w14:textId="77777777">
        <w:trPr>
          <w:tblCellSpacing w:w="0" w:type="dxa"/>
        </w:trPr>
        <w:tc>
          <w:tcPr>
            <w:tcW w:w="0" w:type="auto"/>
            <w:shd w:val="clear" w:color="auto" w:fill="CCEEFF"/>
            <w:vAlign w:val="bottom"/>
            <w:hideMark/>
          </w:tcPr>
          <w:p w14:paraId="0D30DCE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96498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8EA25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F5F01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0792B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946EE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6EF6B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FAEAA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08AFE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521E3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5D2AB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DBF4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DFAAC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A6B58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8E1EC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3ECCD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4568B0" w14:textId="77777777" w:rsidR="00000000" w:rsidRDefault="00322B34">
            <w:pPr>
              <w:rPr>
                <w:rFonts w:eastAsia="Times New Roman"/>
                <w:sz w:val="20"/>
                <w:szCs w:val="20"/>
              </w:rPr>
            </w:pPr>
            <w:r>
              <w:rPr>
                <w:rFonts w:eastAsia="Times New Roman"/>
                <w:sz w:val="20"/>
                <w:szCs w:val="20"/>
              </w:rPr>
              <w:t> </w:t>
            </w:r>
          </w:p>
        </w:tc>
      </w:tr>
      <w:tr w:rsidR="00000000" w14:paraId="192F78DB" w14:textId="77777777">
        <w:trPr>
          <w:tblCellSpacing w:w="0" w:type="dxa"/>
        </w:trPr>
        <w:tc>
          <w:tcPr>
            <w:tcW w:w="0" w:type="auto"/>
            <w:shd w:val="clear" w:color="auto" w:fill="FFFFFF"/>
            <w:vAlign w:val="bottom"/>
            <w:hideMark/>
          </w:tcPr>
          <w:p w14:paraId="5D439429" w14:textId="77777777" w:rsidR="00000000" w:rsidRDefault="00322B34">
            <w:pPr>
              <w:pStyle w:val="a3"/>
              <w:spacing w:before="0" w:beforeAutospacing="0" w:after="0" w:afterAutospacing="0"/>
              <w:rPr>
                <w:sz w:val="20"/>
                <w:szCs w:val="20"/>
              </w:rPr>
            </w:pPr>
            <w:r>
              <w:rPr>
                <w:sz w:val="20"/>
                <w:szCs w:val="20"/>
              </w:rPr>
              <w:t>Weighted average common shares outstanding – basic</w:t>
            </w:r>
          </w:p>
        </w:tc>
        <w:tc>
          <w:tcPr>
            <w:tcW w:w="50" w:type="pct"/>
            <w:shd w:val="clear" w:color="auto" w:fill="FFFFFF"/>
            <w:vAlign w:val="bottom"/>
            <w:hideMark/>
          </w:tcPr>
          <w:p w14:paraId="0497D04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1EC08F" w14:textId="77777777" w:rsidR="00000000" w:rsidRDefault="00322B3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9CE1CB1" w14:textId="77777777" w:rsidR="00000000" w:rsidRDefault="00322B34">
            <w:pPr>
              <w:jc w:val="right"/>
              <w:rPr>
                <w:rFonts w:eastAsia="Times New Roman"/>
                <w:sz w:val="20"/>
                <w:szCs w:val="20"/>
              </w:rPr>
            </w:pPr>
            <w:r>
              <w:rPr>
                <w:rFonts w:eastAsia="Times New Roman"/>
                <w:sz w:val="20"/>
                <w:szCs w:val="20"/>
              </w:rPr>
              <w:t>429,967</w:t>
            </w:r>
          </w:p>
        </w:tc>
        <w:tc>
          <w:tcPr>
            <w:tcW w:w="50" w:type="pct"/>
            <w:shd w:val="clear" w:color="auto" w:fill="FFFFFF"/>
            <w:vAlign w:val="bottom"/>
            <w:hideMark/>
          </w:tcPr>
          <w:p w14:paraId="232F9DF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CC33F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F29B1E" w14:textId="77777777" w:rsidR="00000000" w:rsidRDefault="00322B3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E35A8A2" w14:textId="77777777" w:rsidR="00000000" w:rsidRDefault="00322B34">
            <w:pPr>
              <w:jc w:val="right"/>
              <w:rPr>
                <w:rFonts w:eastAsia="Times New Roman"/>
                <w:sz w:val="20"/>
                <w:szCs w:val="20"/>
              </w:rPr>
            </w:pPr>
            <w:r>
              <w:rPr>
                <w:rFonts w:eastAsia="Times New Roman"/>
                <w:sz w:val="20"/>
                <w:szCs w:val="20"/>
              </w:rPr>
              <w:t>419,697</w:t>
            </w:r>
          </w:p>
        </w:tc>
        <w:tc>
          <w:tcPr>
            <w:tcW w:w="50" w:type="pct"/>
            <w:shd w:val="clear" w:color="auto" w:fill="FFFFFF"/>
            <w:vAlign w:val="bottom"/>
            <w:hideMark/>
          </w:tcPr>
          <w:p w14:paraId="1B934DC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1BC01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A5AC78" w14:textId="77777777" w:rsidR="00000000" w:rsidRDefault="00322B3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AD6375B" w14:textId="77777777" w:rsidR="00000000" w:rsidRDefault="00322B34">
            <w:pPr>
              <w:jc w:val="right"/>
              <w:rPr>
                <w:rFonts w:eastAsia="Times New Roman"/>
                <w:sz w:val="20"/>
                <w:szCs w:val="20"/>
              </w:rPr>
            </w:pPr>
            <w:r>
              <w:rPr>
                <w:rFonts w:eastAsia="Times New Roman"/>
                <w:sz w:val="20"/>
                <w:szCs w:val="20"/>
              </w:rPr>
              <w:t>429,851</w:t>
            </w:r>
          </w:p>
        </w:tc>
        <w:tc>
          <w:tcPr>
            <w:tcW w:w="50" w:type="pct"/>
            <w:shd w:val="clear" w:color="auto" w:fill="FFFFFF"/>
            <w:vAlign w:val="bottom"/>
            <w:hideMark/>
          </w:tcPr>
          <w:p w14:paraId="37168E0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527E3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C143F3" w14:textId="77777777" w:rsidR="00000000" w:rsidRDefault="00322B3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B5882D7" w14:textId="77777777" w:rsidR="00000000" w:rsidRDefault="00322B34">
            <w:pPr>
              <w:jc w:val="right"/>
              <w:rPr>
                <w:rFonts w:eastAsia="Times New Roman"/>
                <w:sz w:val="20"/>
                <w:szCs w:val="20"/>
              </w:rPr>
            </w:pPr>
            <w:r>
              <w:rPr>
                <w:rFonts w:eastAsia="Times New Roman"/>
                <w:sz w:val="20"/>
                <w:szCs w:val="20"/>
              </w:rPr>
              <w:t>419,581</w:t>
            </w:r>
          </w:p>
        </w:tc>
        <w:tc>
          <w:tcPr>
            <w:tcW w:w="50" w:type="pct"/>
            <w:shd w:val="clear" w:color="auto" w:fill="FFFFFF"/>
            <w:vAlign w:val="bottom"/>
            <w:hideMark/>
          </w:tcPr>
          <w:p w14:paraId="4DA04979" w14:textId="77777777" w:rsidR="00000000" w:rsidRDefault="00322B34">
            <w:pPr>
              <w:rPr>
                <w:rFonts w:eastAsia="Times New Roman"/>
                <w:sz w:val="20"/>
                <w:szCs w:val="20"/>
              </w:rPr>
            </w:pPr>
            <w:r>
              <w:rPr>
                <w:rFonts w:eastAsia="Times New Roman"/>
                <w:sz w:val="20"/>
                <w:szCs w:val="20"/>
              </w:rPr>
              <w:t> </w:t>
            </w:r>
          </w:p>
        </w:tc>
      </w:tr>
      <w:tr w:rsidR="00000000" w14:paraId="7C49D207" w14:textId="77777777">
        <w:trPr>
          <w:tblCellSpacing w:w="0" w:type="dxa"/>
        </w:trPr>
        <w:tc>
          <w:tcPr>
            <w:tcW w:w="0" w:type="auto"/>
            <w:shd w:val="clear" w:color="auto" w:fill="CCEEFF"/>
            <w:vAlign w:val="bottom"/>
            <w:hideMark/>
          </w:tcPr>
          <w:p w14:paraId="4D3C317D" w14:textId="77777777" w:rsidR="00000000" w:rsidRDefault="00322B34">
            <w:pPr>
              <w:pStyle w:val="a3"/>
              <w:spacing w:before="0" w:beforeAutospacing="0" w:after="0" w:afterAutospacing="0"/>
              <w:rPr>
                <w:sz w:val="20"/>
                <w:szCs w:val="20"/>
              </w:rPr>
            </w:pPr>
            <w:r>
              <w:rPr>
                <w:sz w:val="20"/>
                <w:szCs w:val="20"/>
              </w:rPr>
              <w:t>Effect of dilutive securities (1):</w:t>
            </w:r>
          </w:p>
        </w:tc>
        <w:tc>
          <w:tcPr>
            <w:tcW w:w="0" w:type="auto"/>
            <w:shd w:val="clear" w:color="auto" w:fill="CCEEFF"/>
            <w:vAlign w:val="bottom"/>
            <w:hideMark/>
          </w:tcPr>
          <w:p w14:paraId="194370A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44EA1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D55C2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3C4DC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80CBC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17185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0E9E0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D117C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8A380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95809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725B2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2083A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682B7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59114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F7E95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BEA843" w14:textId="77777777" w:rsidR="00000000" w:rsidRDefault="00322B34">
            <w:pPr>
              <w:rPr>
                <w:rFonts w:eastAsia="Times New Roman"/>
                <w:sz w:val="20"/>
                <w:szCs w:val="20"/>
              </w:rPr>
            </w:pPr>
            <w:r>
              <w:rPr>
                <w:rFonts w:eastAsia="Times New Roman"/>
                <w:sz w:val="20"/>
                <w:szCs w:val="20"/>
              </w:rPr>
              <w:t> </w:t>
            </w:r>
          </w:p>
        </w:tc>
      </w:tr>
      <w:tr w:rsidR="00000000" w14:paraId="772612BE" w14:textId="77777777">
        <w:trPr>
          <w:tblCellSpacing w:w="0" w:type="dxa"/>
        </w:trPr>
        <w:tc>
          <w:tcPr>
            <w:tcW w:w="0" w:type="auto"/>
            <w:shd w:val="clear" w:color="auto" w:fill="FFFFFF"/>
            <w:vAlign w:val="bottom"/>
            <w:hideMark/>
          </w:tcPr>
          <w:p w14:paraId="370B3F85" w14:textId="77777777" w:rsidR="00000000" w:rsidRDefault="00322B34">
            <w:pPr>
              <w:pStyle w:val="a3"/>
              <w:spacing w:before="0" w:beforeAutospacing="0" w:after="0" w:afterAutospacing="0"/>
              <w:ind w:left="180"/>
              <w:rPr>
                <w:sz w:val="20"/>
                <w:szCs w:val="20"/>
              </w:rPr>
            </w:pPr>
            <w:r>
              <w:rPr>
                <w:sz w:val="20"/>
                <w:szCs w:val="20"/>
              </w:rPr>
              <w:t>Equity awards</w:t>
            </w:r>
          </w:p>
        </w:tc>
        <w:tc>
          <w:tcPr>
            <w:tcW w:w="50" w:type="pct"/>
            <w:shd w:val="clear" w:color="auto" w:fill="FFFFFF"/>
            <w:vAlign w:val="bottom"/>
            <w:hideMark/>
          </w:tcPr>
          <w:p w14:paraId="4590973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06519A" w14:textId="77777777" w:rsidR="00000000" w:rsidRDefault="00322B3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875705E" w14:textId="77777777" w:rsidR="00000000" w:rsidRDefault="00322B34">
            <w:pPr>
              <w:jc w:val="right"/>
              <w:rPr>
                <w:rFonts w:eastAsia="Times New Roman"/>
                <w:sz w:val="20"/>
                <w:szCs w:val="20"/>
              </w:rPr>
            </w:pPr>
            <w:r>
              <w:rPr>
                <w:rFonts w:eastAsia="Times New Roman"/>
                <w:sz w:val="20"/>
                <w:szCs w:val="20"/>
              </w:rPr>
              <w:t>970</w:t>
            </w:r>
          </w:p>
        </w:tc>
        <w:tc>
          <w:tcPr>
            <w:tcW w:w="50" w:type="pct"/>
            <w:shd w:val="clear" w:color="auto" w:fill="FFFFFF"/>
            <w:vAlign w:val="bottom"/>
            <w:hideMark/>
          </w:tcPr>
          <w:p w14:paraId="3C647D7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2D5A3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EA43EC" w14:textId="77777777" w:rsidR="00000000" w:rsidRDefault="00322B3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A3C9610" w14:textId="77777777" w:rsidR="00000000" w:rsidRDefault="00322B34">
            <w:pPr>
              <w:jc w:val="right"/>
              <w:rPr>
                <w:rFonts w:eastAsia="Times New Roman"/>
                <w:sz w:val="20"/>
                <w:szCs w:val="20"/>
              </w:rPr>
            </w:pPr>
            <w:r>
              <w:rPr>
                <w:rFonts w:eastAsia="Times New Roman"/>
                <w:sz w:val="20"/>
                <w:szCs w:val="20"/>
              </w:rPr>
              <w:t>949</w:t>
            </w:r>
          </w:p>
        </w:tc>
        <w:tc>
          <w:tcPr>
            <w:tcW w:w="50" w:type="pct"/>
            <w:shd w:val="clear" w:color="auto" w:fill="FFFFFF"/>
            <w:vAlign w:val="bottom"/>
            <w:hideMark/>
          </w:tcPr>
          <w:p w14:paraId="3155E22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D1625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B730BF" w14:textId="77777777" w:rsidR="00000000" w:rsidRDefault="00322B3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3D5FA9C" w14:textId="77777777" w:rsidR="00000000" w:rsidRDefault="00322B34">
            <w:pPr>
              <w:jc w:val="right"/>
              <w:rPr>
                <w:rFonts w:eastAsia="Times New Roman"/>
                <w:sz w:val="20"/>
                <w:szCs w:val="20"/>
              </w:rPr>
            </w:pPr>
            <w:r>
              <w:rPr>
                <w:rFonts w:eastAsia="Times New Roman"/>
                <w:sz w:val="20"/>
                <w:szCs w:val="20"/>
              </w:rPr>
              <w:t>1,469</w:t>
            </w:r>
          </w:p>
        </w:tc>
        <w:tc>
          <w:tcPr>
            <w:tcW w:w="50" w:type="pct"/>
            <w:shd w:val="clear" w:color="auto" w:fill="FFFFFF"/>
            <w:vAlign w:val="bottom"/>
            <w:hideMark/>
          </w:tcPr>
          <w:p w14:paraId="32FC09B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0E740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86C8C6" w14:textId="77777777" w:rsidR="00000000" w:rsidRDefault="00322B34">
            <w:pPr>
              <w:rPr>
                <w:rFonts w:eastAsia="Times New Roman"/>
                <w:sz w:val="20"/>
                <w:szCs w:val="20"/>
              </w:rPr>
            </w:pPr>
            <w:r>
              <w:rPr>
                <w:rFonts w:eastAsia="Times New Roman"/>
                <w:sz w:val="20"/>
                <w:szCs w:val="20"/>
              </w:rPr>
              <w:t> </w:t>
            </w:r>
          </w:p>
        </w:tc>
        <w:tc>
          <w:tcPr>
            <w:tcW w:w="500" w:type="pct"/>
            <w:shd w:val="clear" w:color="auto" w:fill="FFFFFF"/>
            <w:vAlign w:val="bottom"/>
            <w:hideMark/>
          </w:tcPr>
          <w:p w14:paraId="38D13AA8" w14:textId="77777777" w:rsidR="00000000" w:rsidRDefault="00322B34">
            <w:pPr>
              <w:jc w:val="right"/>
              <w:rPr>
                <w:rFonts w:eastAsia="Times New Roman"/>
                <w:sz w:val="20"/>
                <w:szCs w:val="20"/>
              </w:rPr>
            </w:pPr>
            <w:r>
              <w:rPr>
                <w:rFonts w:eastAsia="Times New Roman"/>
                <w:sz w:val="20"/>
                <w:szCs w:val="20"/>
              </w:rPr>
              <w:t>1,166</w:t>
            </w:r>
          </w:p>
        </w:tc>
        <w:tc>
          <w:tcPr>
            <w:tcW w:w="50" w:type="pct"/>
            <w:shd w:val="clear" w:color="auto" w:fill="FFFFFF"/>
            <w:vAlign w:val="bottom"/>
            <w:hideMark/>
          </w:tcPr>
          <w:p w14:paraId="4DC419FE" w14:textId="77777777" w:rsidR="00000000" w:rsidRDefault="00322B34">
            <w:pPr>
              <w:rPr>
                <w:rFonts w:eastAsia="Times New Roman"/>
                <w:sz w:val="20"/>
                <w:szCs w:val="20"/>
              </w:rPr>
            </w:pPr>
            <w:r>
              <w:rPr>
                <w:rFonts w:eastAsia="Times New Roman"/>
                <w:sz w:val="20"/>
                <w:szCs w:val="20"/>
              </w:rPr>
              <w:t> </w:t>
            </w:r>
          </w:p>
        </w:tc>
      </w:tr>
      <w:tr w:rsidR="00000000" w14:paraId="53BE8423" w14:textId="77777777">
        <w:trPr>
          <w:tblCellSpacing w:w="0" w:type="dxa"/>
        </w:trPr>
        <w:tc>
          <w:tcPr>
            <w:tcW w:w="0" w:type="auto"/>
            <w:shd w:val="clear" w:color="auto" w:fill="CCEEFF"/>
            <w:vAlign w:val="bottom"/>
            <w:hideMark/>
          </w:tcPr>
          <w:p w14:paraId="0AA9EB54" w14:textId="77777777" w:rsidR="00000000" w:rsidRDefault="00322B34">
            <w:pPr>
              <w:pStyle w:val="a3"/>
              <w:spacing w:before="0" w:beforeAutospacing="0" w:after="0" w:afterAutospacing="0"/>
              <w:ind w:left="180"/>
              <w:rPr>
                <w:sz w:val="20"/>
                <w:szCs w:val="20"/>
              </w:rPr>
            </w:pPr>
            <w:r>
              <w:rPr>
                <w:sz w:val="20"/>
                <w:szCs w:val="20"/>
              </w:rPr>
              <w:t>Assumed conversion of convertible units</w:t>
            </w:r>
          </w:p>
        </w:tc>
        <w:tc>
          <w:tcPr>
            <w:tcW w:w="50" w:type="pct"/>
            <w:shd w:val="clear" w:color="auto" w:fill="CCEEFF"/>
            <w:vAlign w:val="bottom"/>
            <w:hideMark/>
          </w:tcPr>
          <w:p w14:paraId="33B5A300"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A3AF44A" w14:textId="77777777" w:rsidR="00000000" w:rsidRDefault="00322B3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22BAAB0D" w14:textId="77777777" w:rsidR="00000000" w:rsidRDefault="00322B34">
            <w:pPr>
              <w:jc w:val="right"/>
              <w:rPr>
                <w:rFonts w:eastAsia="Times New Roman"/>
                <w:sz w:val="20"/>
                <w:szCs w:val="20"/>
              </w:rPr>
            </w:pPr>
            <w:r>
              <w:rPr>
                <w:rFonts w:eastAsia="Times New Roman"/>
                <w:sz w:val="20"/>
                <w:szCs w:val="20"/>
              </w:rPr>
              <w:t>233</w:t>
            </w:r>
          </w:p>
        </w:tc>
        <w:tc>
          <w:tcPr>
            <w:tcW w:w="50" w:type="pct"/>
            <w:shd w:val="clear" w:color="auto" w:fill="CCEEFF"/>
            <w:tcMar>
              <w:top w:w="0" w:type="dxa"/>
              <w:left w:w="0" w:type="dxa"/>
              <w:bottom w:w="15" w:type="dxa"/>
              <w:right w:w="0" w:type="dxa"/>
            </w:tcMar>
            <w:vAlign w:val="bottom"/>
            <w:hideMark/>
          </w:tcPr>
          <w:p w14:paraId="6E40E85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1E2A8C"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F5307B6" w14:textId="77777777" w:rsidR="00000000" w:rsidRDefault="00322B3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0F5BBC91"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4D5DCC4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72DC8C"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B839A09" w14:textId="77777777" w:rsidR="00000000" w:rsidRDefault="00322B3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72B9276E" w14:textId="77777777" w:rsidR="00000000" w:rsidRDefault="00322B34">
            <w:pPr>
              <w:jc w:val="right"/>
              <w:rPr>
                <w:rFonts w:eastAsia="Times New Roman"/>
                <w:sz w:val="20"/>
                <w:szCs w:val="20"/>
              </w:rPr>
            </w:pPr>
            <w:r>
              <w:rPr>
                <w:rFonts w:eastAsia="Times New Roman"/>
                <w:sz w:val="20"/>
                <w:szCs w:val="20"/>
              </w:rPr>
              <w:t>207</w:t>
            </w:r>
          </w:p>
        </w:tc>
        <w:tc>
          <w:tcPr>
            <w:tcW w:w="50" w:type="pct"/>
            <w:shd w:val="clear" w:color="auto" w:fill="CCEEFF"/>
            <w:tcMar>
              <w:top w:w="0" w:type="dxa"/>
              <w:left w:w="0" w:type="dxa"/>
              <w:bottom w:w="15" w:type="dxa"/>
              <w:right w:w="0" w:type="dxa"/>
            </w:tcMar>
            <w:vAlign w:val="bottom"/>
            <w:hideMark/>
          </w:tcPr>
          <w:p w14:paraId="442A90D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032E8C"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51D6B4F" w14:textId="77777777" w:rsidR="00000000" w:rsidRDefault="00322B34">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14:paraId="54AA5CE3" w14:textId="77777777" w:rsidR="00000000" w:rsidRDefault="00322B34">
            <w:pPr>
              <w:jc w:val="right"/>
              <w:rPr>
                <w:rFonts w:eastAsia="Times New Roman"/>
                <w:sz w:val="20"/>
                <w:szCs w:val="20"/>
              </w:rPr>
            </w:pPr>
            <w:r>
              <w:rPr>
                <w:rFonts w:eastAsia="Times New Roman"/>
                <w:sz w:val="20"/>
                <w:szCs w:val="20"/>
              </w:rPr>
              <w:t>51</w:t>
            </w:r>
          </w:p>
        </w:tc>
        <w:tc>
          <w:tcPr>
            <w:tcW w:w="50" w:type="pct"/>
            <w:shd w:val="clear" w:color="auto" w:fill="CCEEFF"/>
            <w:tcMar>
              <w:top w:w="0" w:type="dxa"/>
              <w:left w:w="0" w:type="dxa"/>
              <w:bottom w:w="15" w:type="dxa"/>
              <w:right w:w="0" w:type="dxa"/>
            </w:tcMar>
            <w:vAlign w:val="bottom"/>
            <w:hideMark/>
          </w:tcPr>
          <w:p w14:paraId="26BA4A3B" w14:textId="77777777" w:rsidR="00000000" w:rsidRDefault="00322B34">
            <w:pPr>
              <w:rPr>
                <w:rFonts w:eastAsia="Times New Roman"/>
                <w:sz w:val="20"/>
                <w:szCs w:val="20"/>
              </w:rPr>
            </w:pPr>
            <w:r>
              <w:rPr>
                <w:rFonts w:eastAsia="Times New Roman"/>
                <w:sz w:val="20"/>
                <w:szCs w:val="20"/>
              </w:rPr>
              <w:t> </w:t>
            </w:r>
          </w:p>
        </w:tc>
      </w:tr>
      <w:tr w:rsidR="00000000" w14:paraId="1BC28F7A" w14:textId="77777777">
        <w:trPr>
          <w:tblCellSpacing w:w="0" w:type="dxa"/>
        </w:trPr>
        <w:tc>
          <w:tcPr>
            <w:tcW w:w="0" w:type="auto"/>
            <w:shd w:val="clear" w:color="auto" w:fill="FFFFFF"/>
            <w:vAlign w:val="bottom"/>
            <w:hideMark/>
          </w:tcPr>
          <w:p w14:paraId="4EE0103A" w14:textId="77777777" w:rsidR="00000000" w:rsidRDefault="00322B34">
            <w:pPr>
              <w:pStyle w:val="a3"/>
              <w:spacing w:before="0" w:beforeAutospacing="0" w:after="0" w:afterAutospacing="0"/>
              <w:rPr>
                <w:sz w:val="20"/>
                <w:szCs w:val="20"/>
              </w:rPr>
            </w:pPr>
            <w:r>
              <w:rPr>
                <w:sz w:val="20"/>
                <w:szCs w:val="20"/>
              </w:rPr>
              <w:t>Weighted average common shares outstanding – diluted</w:t>
            </w:r>
          </w:p>
        </w:tc>
        <w:tc>
          <w:tcPr>
            <w:tcW w:w="50" w:type="pct"/>
            <w:shd w:val="clear" w:color="auto" w:fill="FFFFFF"/>
            <w:vAlign w:val="bottom"/>
            <w:hideMark/>
          </w:tcPr>
          <w:p w14:paraId="04DB4EED"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C6F8302" w14:textId="77777777" w:rsidR="00000000" w:rsidRDefault="00322B34">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14:paraId="0D01C450" w14:textId="77777777" w:rsidR="00000000" w:rsidRDefault="00322B34">
            <w:pPr>
              <w:jc w:val="right"/>
              <w:rPr>
                <w:rFonts w:eastAsia="Times New Roman"/>
                <w:sz w:val="20"/>
                <w:szCs w:val="20"/>
              </w:rPr>
            </w:pPr>
            <w:r>
              <w:rPr>
                <w:rFonts w:eastAsia="Times New Roman"/>
                <w:sz w:val="20"/>
                <w:szCs w:val="20"/>
              </w:rPr>
              <w:t>431,170</w:t>
            </w:r>
          </w:p>
        </w:tc>
        <w:tc>
          <w:tcPr>
            <w:tcW w:w="50" w:type="pct"/>
            <w:shd w:val="clear" w:color="auto" w:fill="FFFFFF"/>
            <w:tcMar>
              <w:top w:w="0" w:type="dxa"/>
              <w:left w:w="0" w:type="dxa"/>
              <w:bottom w:w="45" w:type="dxa"/>
              <w:right w:w="0" w:type="dxa"/>
            </w:tcMar>
            <w:vAlign w:val="bottom"/>
            <w:hideMark/>
          </w:tcPr>
          <w:p w14:paraId="17D4E9C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198AC0"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4ECD393" w14:textId="77777777" w:rsidR="00000000" w:rsidRDefault="00322B34">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14:paraId="5C7D707D" w14:textId="77777777" w:rsidR="00000000" w:rsidRDefault="00322B34">
            <w:pPr>
              <w:jc w:val="right"/>
              <w:rPr>
                <w:rFonts w:eastAsia="Times New Roman"/>
                <w:sz w:val="20"/>
                <w:szCs w:val="20"/>
              </w:rPr>
            </w:pPr>
            <w:r>
              <w:rPr>
                <w:rFonts w:eastAsia="Times New Roman"/>
                <w:sz w:val="20"/>
                <w:szCs w:val="20"/>
              </w:rPr>
              <w:t>420,646</w:t>
            </w:r>
          </w:p>
        </w:tc>
        <w:tc>
          <w:tcPr>
            <w:tcW w:w="50" w:type="pct"/>
            <w:shd w:val="clear" w:color="auto" w:fill="FFFFFF"/>
            <w:tcMar>
              <w:top w:w="0" w:type="dxa"/>
              <w:left w:w="0" w:type="dxa"/>
              <w:bottom w:w="45" w:type="dxa"/>
              <w:right w:w="0" w:type="dxa"/>
            </w:tcMar>
            <w:vAlign w:val="bottom"/>
            <w:hideMark/>
          </w:tcPr>
          <w:p w14:paraId="53514D3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0B2C36"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4AC0488" w14:textId="77777777" w:rsidR="00000000" w:rsidRDefault="00322B34">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14:paraId="6636CB6B" w14:textId="77777777" w:rsidR="00000000" w:rsidRDefault="00322B34">
            <w:pPr>
              <w:jc w:val="right"/>
              <w:rPr>
                <w:rFonts w:eastAsia="Times New Roman"/>
                <w:sz w:val="20"/>
                <w:szCs w:val="20"/>
              </w:rPr>
            </w:pPr>
            <w:r>
              <w:rPr>
                <w:rFonts w:eastAsia="Times New Roman"/>
                <w:sz w:val="20"/>
                <w:szCs w:val="20"/>
              </w:rPr>
              <w:t>431,527</w:t>
            </w:r>
          </w:p>
        </w:tc>
        <w:tc>
          <w:tcPr>
            <w:tcW w:w="50" w:type="pct"/>
            <w:shd w:val="clear" w:color="auto" w:fill="FFFFFF"/>
            <w:tcMar>
              <w:top w:w="0" w:type="dxa"/>
              <w:left w:w="0" w:type="dxa"/>
              <w:bottom w:w="45" w:type="dxa"/>
              <w:right w:w="0" w:type="dxa"/>
            </w:tcMar>
            <w:vAlign w:val="bottom"/>
            <w:hideMark/>
          </w:tcPr>
          <w:p w14:paraId="5F26A4E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922F3A"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B2AAC12" w14:textId="77777777" w:rsidR="00000000" w:rsidRDefault="00322B34">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14:paraId="3F180CE0" w14:textId="77777777" w:rsidR="00000000" w:rsidRDefault="00322B34">
            <w:pPr>
              <w:jc w:val="right"/>
              <w:rPr>
                <w:rFonts w:eastAsia="Times New Roman"/>
                <w:sz w:val="20"/>
                <w:szCs w:val="20"/>
              </w:rPr>
            </w:pPr>
            <w:r>
              <w:rPr>
                <w:rFonts w:eastAsia="Times New Roman"/>
                <w:sz w:val="20"/>
                <w:szCs w:val="20"/>
              </w:rPr>
              <w:t>420,798</w:t>
            </w:r>
          </w:p>
        </w:tc>
        <w:tc>
          <w:tcPr>
            <w:tcW w:w="50" w:type="pct"/>
            <w:shd w:val="clear" w:color="auto" w:fill="FFFFFF"/>
            <w:tcMar>
              <w:top w:w="0" w:type="dxa"/>
              <w:left w:w="0" w:type="dxa"/>
              <w:bottom w:w="45" w:type="dxa"/>
              <w:right w:w="0" w:type="dxa"/>
            </w:tcMar>
            <w:vAlign w:val="bottom"/>
            <w:hideMark/>
          </w:tcPr>
          <w:p w14:paraId="18B2BB27" w14:textId="77777777" w:rsidR="00000000" w:rsidRDefault="00322B34">
            <w:pPr>
              <w:rPr>
                <w:rFonts w:eastAsia="Times New Roman"/>
                <w:sz w:val="20"/>
                <w:szCs w:val="20"/>
              </w:rPr>
            </w:pPr>
            <w:r>
              <w:rPr>
                <w:rFonts w:eastAsia="Times New Roman"/>
                <w:sz w:val="20"/>
                <w:szCs w:val="20"/>
              </w:rPr>
              <w:t> </w:t>
            </w:r>
          </w:p>
        </w:tc>
      </w:tr>
      <w:tr w:rsidR="00000000" w14:paraId="3BA71CCE" w14:textId="77777777">
        <w:trPr>
          <w:tblCellSpacing w:w="0" w:type="dxa"/>
        </w:trPr>
        <w:tc>
          <w:tcPr>
            <w:tcW w:w="0" w:type="auto"/>
            <w:shd w:val="clear" w:color="auto" w:fill="CCEEFF"/>
            <w:vAlign w:val="bottom"/>
            <w:hideMark/>
          </w:tcPr>
          <w:p w14:paraId="1206F9A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A4A70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A8A13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3CB2F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AB53C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B8BD4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42F09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13A9F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6D3B6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8CDF3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5C4A6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9F09D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494E5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4EC27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86E97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B6F70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2EE8D5" w14:textId="77777777" w:rsidR="00000000" w:rsidRDefault="00322B34">
            <w:pPr>
              <w:rPr>
                <w:rFonts w:eastAsia="Times New Roman"/>
                <w:sz w:val="20"/>
                <w:szCs w:val="20"/>
              </w:rPr>
            </w:pPr>
            <w:r>
              <w:rPr>
                <w:rFonts w:eastAsia="Times New Roman"/>
                <w:sz w:val="20"/>
                <w:szCs w:val="20"/>
              </w:rPr>
              <w:t> </w:t>
            </w:r>
          </w:p>
        </w:tc>
      </w:tr>
      <w:tr w:rsidR="00000000" w14:paraId="05254166" w14:textId="77777777">
        <w:trPr>
          <w:tblCellSpacing w:w="0" w:type="dxa"/>
        </w:trPr>
        <w:tc>
          <w:tcPr>
            <w:tcW w:w="0" w:type="auto"/>
            <w:shd w:val="clear" w:color="auto" w:fill="FFFFFF"/>
            <w:vAlign w:val="bottom"/>
            <w:hideMark/>
          </w:tcPr>
          <w:p w14:paraId="1508D432" w14:textId="77777777" w:rsidR="00000000" w:rsidRDefault="00322B34">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FFFFFF"/>
            <w:vAlign w:val="bottom"/>
            <w:hideMark/>
          </w:tcPr>
          <w:p w14:paraId="0EC12EF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33D1C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02EE5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7F85C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3B35D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8CAB0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8A216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306D5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E0A02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6C5B9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03B4B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395F3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05E54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39555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8AF42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C6728D" w14:textId="77777777" w:rsidR="00000000" w:rsidRDefault="00322B34">
            <w:pPr>
              <w:rPr>
                <w:rFonts w:eastAsia="Times New Roman"/>
                <w:sz w:val="20"/>
                <w:szCs w:val="20"/>
              </w:rPr>
            </w:pPr>
            <w:r>
              <w:rPr>
                <w:rFonts w:eastAsia="Times New Roman"/>
                <w:sz w:val="20"/>
                <w:szCs w:val="20"/>
              </w:rPr>
              <w:t> </w:t>
            </w:r>
          </w:p>
        </w:tc>
      </w:tr>
      <w:tr w:rsidR="00000000" w14:paraId="7881EF7F" w14:textId="77777777">
        <w:trPr>
          <w:tblCellSpacing w:w="0" w:type="dxa"/>
        </w:trPr>
        <w:tc>
          <w:tcPr>
            <w:tcW w:w="0" w:type="auto"/>
            <w:shd w:val="clear" w:color="auto" w:fill="CCEEFF"/>
            <w:vAlign w:val="bottom"/>
            <w:hideMark/>
          </w:tcPr>
          <w:p w14:paraId="014AA60C" w14:textId="77777777" w:rsidR="00000000" w:rsidRDefault="00322B34">
            <w:pPr>
              <w:pStyle w:val="a3"/>
              <w:spacing w:before="0" w:beforeAutospacing="0" w:after="0" w:afterAutospacing="0"/>
              <w:ind w:left="180"/>
              <w:rPr>
                <w:sz w:val="20"/>
                <w:szCs w:val="20"/>
              </w:rPr>
            </w:pPr>
            <w:r>
              <w:rPr>
                <w:sz w:val="20"/>
                <w:szCs w:val="20"/>
              </w:rPr>
              <w:t>Basic earnings per share</w:t>
            </w:r>
          </w:p>
        </w:tc>
        <w:tc>
          <w:tcPr>
            <w:tcW w:w="50" w:type="pct"/>
            <w:shd w:val="clear" w:color="auto" w:fill="CCEEFF"/>
            <w:vAlign w:val="bottom"/>
            <w:hideMark/>
          </w:tcPr>
          <w:p w14:paraId="27D0D27C"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1279466"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3674D89F" w14:textId="77777777" w:rsidR="00000000" w:rsidRDefault="00322B34">
            <w:pPr>
              <w:jc w:val="right"/>
              <w:rPr>
                <w:rFonts w:eastAsia="Times New Roman"/>
                <w:sz w:val="20"/>
                <w:szCs w:val="20"/>
              </w:rPr>
            </w:pPr>
            <w:r>
              <w:rPr>
                <w:rFonts w:eastAsia="Times New Roman"/>
                <w:sz w:val="20"/>
                <w:szCs w:val="20"/>
              </w:rPr>
              <w:t>1.71</w:t>
            </w:r>
          </w:p>
        </w:tc>
        <w:tc>
          <w:tcPr>
            <w:tcW w:w="50" w:type="pct"/>
            <w:shd w:val="clear" w:color="auto" w:fill="CCEEFF"/>
            <w:tcMar>
              <w:top w:w="0" w:type="dxa"/>
              <w:left w:w="0" w:type="dxa"/>
              <w:bottom w:w="45" w:type="dxa"/>
              <w:right w:w="0" w:type="dxa"/>
            </w:tcMar>
            <w:vAlign w:val="bottom"/>
            <w:hideMark/>
          </w:tcPr>
          <w:p w14:paraId="3BA7198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8A1B78"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14C8783"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3FF779EB" w14:textId="77777777" w:rsidR="00000000" w:rsidRDefault="00322B34">
            <w:pPr>
              <w:jc w:val="right"/>
              <w:rPr>
                <w:rFonts w:eastAsia="Times New Roman"/>
                <w:sz w:val="20"/>
                <w:szCs w:val="20"/>
              </w:rPr>
            </w:pPr>
            <w:r>
              <w:rPr>
                <w:rFonts w:eastAsia="Times New Roman"/>
                <w:sz w:val="20"/>
                <w:szCs w:val="20"/>
              </w:rPr>
              <w:t>0.20</w:t>
            </w:r>
          </w:p>
        </w:tc>
        <w:tc>
          <w:tcPr>
            <w:tcW w:w="50" w:type="pct"/>
            <w:shd w:val="clear" w:color="auto" w:fill="CCEEFF"/>
            <w:tcMar>
              <w:top w:w="0" w:type="dxa"/>
              <w:left w:w="0" w:type="dxa"/>
              <w:bottom w:w="45" w:type="dxa"/>
              <w:right w:w="0" w:type="dxa"/>
            </w:tcMar>
            <w:vAlign w:val="bottom"/>
            <w:hideMark/>
          </w:tcPr>
          <w:p w14:paraId="140CF13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8F3B80"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4EA79E3"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7252D1E1" w14:textId="77777777" w:rsidR="00000000" w:rsidRDefault="00322B34">
            <w:pPr>
              <w:jc w:val="right"/>
              <w:rPr>
                <w:rFonts w:eastAsia="Times New Roman"/>
                <w:sz w:val="20"/>
                <w:szCs w:val="20"/>
              </w:rPr>
            </w:pPr>
            <w:r>
              <w:rPr>
                <w:rFonts w:eastAsia="Times New Roman"/>
                <w:sz w:val="20"/>
                <w:szCs w:val="20"/>
              </w:rPr>
              <w:t>1.91</w:t>
            </w:r>
          </w:p>
        </w:tc>
        <w:tc>
          <w:tcPr>
            <w:tcW w:w="50" w:type="pct"/>
            <w:shd w:val="clear" w:color="auto" w:fill="CCEEFF"/>
            <w:tcMar>
              <w:top w:w="0" w:type="dxa"/>
              <w:left w:w="0" w:type="dxa"/>
              <w:bottom w:w="45" w:type="dxa"/>
              <w:right w:w="0" w:type="dxa"/>
            </w:tcMar>
            <w:vAlign w:val="bottom"/>
            <w:hideMark/>
          </w:tcPr>
          <w:p w14:paraId="6E4A8B7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D52F45"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9833837"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1A108121" w14:textId="77777777" w:rsidR="00000000" w:rsidRDefault="00322B34">
            <w:pPr>
              <w:jc w:val="right"/>
              <w:rPr>
                <w:rFonts w:eastAsia="Times New Roman"/>
                <w:sz w:val="20"/>
                <w:szCs w:val="20"/>
              </w:rPr>
            </w:pPr>
            <w:r>
              <w:rPr>
                <w:rFonts w:eastAsia="Times New Roman"/>
                <w:sz w:val="20"/>
                <w:szCs w:val="20"/>
              </w:rPr>
              <w:t>0.45</w:t>
            </w:r>
          </w:p>
        </w:tc>
        <w:tc>
          <w:tcPr>
            <w:tcW w:w="50" w:type="pct"/>
            <w:shd w:val="clear" w:color="auto" w:fill="CCEEFF"/>
            <w:tcMar>
              <w:top w:w="0" w:type="dxa"/>
              <w:left w:w="0" w:type="dxa"/>
              <w:bottom w:w="45" w:type="dxa"/>
              <w:right w:w="0" w:type="dxa"/>
            </w:tcMar>
            <w:vAlign w:val="bottom"/>
            <w:hideMark/>
          </w:tcPr>
          <w:p w14:paraId="06369F17" w14:textId="77777777" w:rsidR="00000000" w:rsidRDefault="00322B34">
            <w:pPr>
              <w:rPr>
                <w:rFonts w:eastAsia="Times New Roman"/>
                <w:sz w:val="20"/>
                <w:szCs w:val="20"/>
              </w:rPr>
            </w:pPr>
            <w:r>
              <w:rPr>
                <w:rFonts w:eastAsia="Times New Roman"/>
                <w:sz w:val="20"/>
                <w:szCs w:val="20"/>
              </w:rPr>
              <w:t> </w:t>
            </w:r>
          </w:p>
        </w:tc>
      </w:tr>
      <w:tr w:rsidR="00000000" w14:paraId="5C2F5A15" w14:textId="77777777">
        <w:trPr>
          <w:tblCellSpacing w:w="0" w:type="dxa"/>
        </w:trPr>
        <w:tc>
          <w:tcPr>
            <w:tcW w:w="0" w:type="auto"/>
            <w:shd w:val="clear" w:color="auto" w:fill="FFFFFF"/>
            <w:vAlign w:val="bottom"/>
            <w:hideMark/>
          </w:tcPr>
          <w:p w14:paraId="2BCDD98B" w14:textId="77777777" w:rsidR="00000000" w:rsidRDefault="00322B34">
            <w:pPr>
              <w:pStyle w:val="a3"/>
              <w:spacing w:before="0" w:beforeAutospacing="0" w:after="0" w:afterAutospacing="0"/>
              <w:ind w:left="180"/>
              <w:rPr>
                <w:sz w:val="20"/>
                <w:szCs w:val="20"/>
              </w:rPr>
            </w:pPr>
            <w:r>
              <w:rPr>
                <w:sz w:val="20"/>
                <w:szCs w:val="20"/>
              </w:rPr>
              <w:t>Diluted earnings per share</w:t>
            </w:r>
          </w:p>
        </w:tc>
        <w:tc>
          <w:tcPr>
            <w:tcW w:w="50" w:type="pct"/>
            <w:shd w:val="clear" w:color="auto" w:fill="FFFFFF"/>
            <w:vAlign w:val="bottom"/>
            <w:hideMark/>
          </w:tcPr>
          <w:p w14:paraId="131F6D76"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7B6F1AE"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00626154" w14:textId="77777777" w:rsidR="00000000" w:rsidRDefault="00322B34">
            <w:pPr>
              <w:jc w:val="right"/>
              <w:rPr>
                <w:rFonts w:eastAsia="Times New Roman"/>
                <w:sz w:val="20"/>
                <w:szCs w:val="20"/>
              </w:rPr>
            </w:pPr>
            <w:r>
              <w:rPr>
                <w:rFonts w:eastAsia="Times New Roman"/>
                <w:sz w:val="20"/>
                <w:szCs w:val="20"/>
              </w:rPr>
              <w:t>1.71</w:t>
            </w:r>
          </w:p>
        </w:tc>
        <w:tc>
          <w:tcPr>
            <w:tcW w:w="50" w:type="pct"/>
            <w:shd w:val="clear" w:color="auto" w:fill="FFFFFF"/>
            <w:tcMar>
              <w:top w:w="0" w:type="dxa"/>
              <w:left w:w="0" w:type="dxa"/>
              <w:bottom w:w="45" w:type="dxa"/>
              <w:right w:w="0" w:type="dxa"/>
            </w:tcMar>
            <w:vAlign w:val="bottom"/>
            <w:hideMark/>
          </w:tcPr>
          <w:p w14:paraId="593C811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307A2B"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BCB7154"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06C775B8" w14:textId="77777777" w:rsidR="00000000" w:rsidRDefault="00322B34">
            <w:pPr>
              <w:jc w:val="right"/>
              <w:rPr>
                <w:rFonts w:eastAsia="Times New Roman"/>
                <w:sz w:val="20"/>
                <w:szCs w:val="20"/>
              </w:rPr>
            </w:pPr>
            <w:r>
              <w:rPr>
                <w:rFonts w:eastAsia="Times New Roman"/>
                <w:sz w:val="20"/>
                <w:szCs w:val="20"/>
              </w:rPr>
              <w:t>0.20</w:t>
            </w:r>
          </w:p>
        </w:tc>
        <w:tc>
          <w:tcPr>
            <w:tcW w:w="50" w:type="pct"/>
            <w:shd w:val="clear" w:color="auto" w:fill="FFFFFF"/>
            <w:tcMar>
              <w:top w:w="0" w:type="dxa"/>
              <w:left w:w="0" w:type="dxa"/>
              <w:bottom w:w="45" w:type="dxa"/>
              <w:right w:w="0" w:type="dxa"/>
            </w:tcMar>
            <w:vAlign w:val="bottom"/>
            <w:hideMark/>
          </w:tcPr>
          <w:p w14:paraId="2CFBB66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90C3B0"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FB01AF7"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22076261" w14:textId="77777777" w:rsidR="00000000" w:rsidRDefault="00322B34">
            <w:pPr>
              <w:jc w:val="right"/>
              <w:rPr>
                <w:rFonts w:eastAsia="Times New Roman"/>
                <w:sz w:val="20"/>
                <w:szCs w:val="20"/>
              </w:rPr>
            </w:pPr>
            <w:r>
              <w:rPr>
                <w:rFonts w:eastAsia="Times New Roman"/>
                <w:sz w:val="20"/>
                <w:szCs w:val="20"/>
              </w:rPr>
              <w:t>1.90</w:t>
            </w:r>
          </w:p>
        </w:tc>
        <w:tc>
          <w:tcPr>
            <w:tcW w:w="50" w:type="pct"/>
            <w:shd w:val="clear" w:color="auto" w:fill="FFFFFF"/>
            <w:tcMar>
              <w:top w:w="0" w:type="dxa"/>
              <w:left w:w="0" w:type="dxa"/>
              <w:bottom w:w="45" w:type="dxa"/>
              <w:right w:w="0" w:type="dxa"/>
            </w:tcMar>
            <w:vAlign w:val="bottom"/>
            <w:hideMark/>
          </w:tcPr>
          <w:p w14:paraId="1055E56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4E62CE"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C315021" w14:textId="77777777" w:rsidR="00000000" w:rsidRDefault="00322B34">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4ADBCCEB" w14:textId="77777777" w:rsidR="00000000" w:rsidRDefault="00322B34">
            <w:pPr>
              <w:jc w:val="right"/>
              <w:rPr>
                <w:rFonts w:eastAsia="Times New Roman"/>
                <w:sz w:val="20"/>
                <w:szCs w:val="20"/>
              </w:rPr>
            </w:pPr>
            <w:r>
              <w:rPr>
                <w:rFonts w:eastAsia="Times New Roman"/>
                <w:sz w:val="20"/>
                <w:szCs w:val="20"/>
              </w:rPr>
              <w:t>0.44</w:t>
            </w:r>
          </w:p>
        </w:tc>
        <w:tc>
          <w:tcPr>
            <w:tcW w:w="50" w:type="pct"/>
            <w:shd w:val="clear" w:color="auto" w:fill="FFFFFF"/>
            <w:tcMar>
              <w:top w:w="0" w:type="dxa"/>
              <w:left w:w="0" w:type="dxa"/>
              <w:bottom w:w="45" w:type="dxa"/>
              <w:right w:w="0" w:type="dxa"/>
            </w:tcMar>
            <w:vAlign w:val="bottom"/>
            <w:hideMark/>
          </w:tcPr>
          <w:p w14:paraId="6D511F6C" w14:textId="77777777" w:rsidR="00000000" w:rsidRDefault="00322B34">
            <w:pPr>
              <w:rPr>
                <w:rFonts w:eastAsia="Times New Roman"/>
                <w:sz w:val="20"/>
                <w:szCs w:val="20"/>
              </w:rPr>
            </w:pPr>
            <w:r>
              <w:rPr>
                <w:rFonts w:eastAsia="Times New Roman"/>
                <w:sz w:val="20"/>
                <w:szCs w:val="20"/>
              </w:rPr>
              <w:t> </w:t>
            </w:r>
          </w:p>
        </w:tc>
      </w:tr>
    </w:tbl>
    <w:p w14:paraId="1F9FCE8B" w14:textId="77777777" w:rsidR="00000000" w:rsidRDefault="00322B3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C83019F" w14:textId="77777777">
        <w:trPr>
          <w:tblCellSpacing w:w="0" w:type="dxa"/>
        </w:trPr>
        <w:tc>
          <w:tcPr>
            <w:tcW w:w="360" w:type="dxa"/>
            <w:hideMark/>
          </w:tcPr>
          <w:p w14:paraId="50C36816" w14:textId="77777777" w:rsidR="00000000" w:rsidRDefault="00322B34">
            <w:pPr>
              <w:rPr>
                <w:rFonts w:eastAsia="Times New Roman"/>
                <w:sz w:val="20"/>
                <w:szCs w:val="20"/>
              </w:rPr>
            </w:pPr>
            <w:r>
              <w:rPr>
                <w:rFonts w:eastAsia="Times New Roman"/>
                <w:sz w:val="20"/>
                <w:szCs w:val="20"/>
              </w:rPr>
              <w:t>(</w:t>
            </w:r>
            <w:r>
              <w:rPr>
                <w:rStyle w:val="a6"/>
                <w:rFonts w:eastAsia="Times New Roman"/>
                <w:sz w:val="20"/>
                <w:szCs w:val="20"/>
              </w:rPr>
              <w:t>1</w:t>
            </w:r>
            <w:r>
              <w:rPr>
                <w:rFonts w:eastAsia="Times New Roman"/>
                <w:sz w:val="20"/>
                <w:szCs w:val="20"/>
              </w:rPr>
              <w:t>)</w:t>
            </w:r>
          </w:p>
        </w:tc>
        <w:tc>
          <w:tcPr>
            <w:tcW w:w="0" w:type="auto"/>
            <w:hideMark/>
          </w:tcPr>
          <w:p w14:paraId="737CF9AB" w14:textId="77777777" w:rsidR="00000000" w:rsidRDefault="00322B34">
            <w:pPr>
              <w:rPr>
                <w:rFonts w:eastAsia="Times New Roman"/>
                <w:sz w:val="20"/>
                <w:szCs w:val="20"/>
              </w:rPr>
            </w:pPr>
            <w:r>
              <w:rPr>
                <w:rFonts w:eastAsia="Times New Roman"/>
                <w:sz w:val="20"/>
                <w:szCs w:val="20"/>
              </w:rPr>
              <w:t xml:space="preserve">The effect of the assumed conversion of certain convertible units had an anti-dilutive effect upon the calculation of Net income available to the Company’s common shareholders per share. Accordingly, the impact of such conversions has </w:t>
            </w:r>
            <w:r>
              <w:rPr>
                <w:rStyle w:val="a6"/>
                <w:rFonts w:eastAsia="Times New Roman"/>
                <w:sz w:val="20"/>
                <w:szCs w:val="20"/>
              </w:rPr>
              <w:t>not</w:t>
            </w:r>
            <w:r>
              <w:rPr>
                <w:rFonts w:eastAsia="Times New Roman"/>
                <w:sz w:val="20"/>
                <w:szCs w:val="20"/>
              </w:rPr>
              <w:t xml:space="preserve"> been included in </w:t>
            </w:r>
            <w:r>
              <w:rPr>
                <w:rFonts w:eastAsia="Times New Roman"/>
                <w:sz w:val="20"/>
                <w:szCs w:val="20"/>
              </w:rPr>
              <w:t xml:space="preserve">the determination of diluted earnings per share calculations. Additionally, there were 1.2 million and 1.3 million stock options that were </w:t>
            </w:r>
            <w:r>
              <w:rPr>
                <w:rStyle w:val="a6"/>
                <w:rFonts w:eastAsia="Times New Roman"/>
                <w:sz w:val="20"/>
                <w:szCs w:val="20"/>
              </w:rPr>
              <w:t>not</w:t>
            </w:r>
            <w:r>
              <w:rPr>
                <w:rFonts w:eastAsia="Times New Roman"/>
                <w:sz w:val="20"/>
                <w:szCs w:val="20"/>
              </w:rPr>
              <w:t xml:space="preserve"> dilutive as of </w:t>
            </w:r>
            <w:r>
              <w:rPr>
                <w:rStyle w:val="a6"/>
                <w:rFonts w:eastAsia="Times New Roman"/>
                <w:sz w:val="20"/>
                <w:szCs w:val="20"/>
              </w:rPr>
              <w:t xml:space="preserve">June 30, 2020 </w:t>
            </w:r>
            <w:r>
              <w:rPr>
                <w:rFonts w:eastAsia="Times New Roman"/>
                <w:sz w:val="20"/>
                <w:szCs w:val="20"/>
              </w:rPr>
              <w:t xml:space="preserve">and </w:t>
            </w:r>
            <w:r>
              <w:rPr>
                <w:rStyle w:val="a6"/>
                <w:rFonts w:eastAsia="Times New Roman"/>
                <w:sz w:val="20"/>
                <w:szCs w:val="20"/>
              </w:rPr>
              <w:t>2019,</w:t>
            </w:r>
            <w:r>
              <w:rPr>
                <w:rFonts w:eastAsia="Times New Roman"/>
                <w:sz w:val="20"/>
                <w:szCs w:val="20"/>
              </w:rPr>
              <w:t xml:space="preserve"> respectively, and 2.5 million shares of restricted stock that were </w:t>
            </w:r>
            <w:r>
              <w:rPr>
                <w:rStyle w:val="a6"/>
                <w:rFonts w:eastAsia="Times New Roman"/>
                <w:sz w:val="20"/>
                <w:szCs w:val="20"/>
              </w:rPr>
              <w:t>not</w:t>
            </w:r>
            <w:r>
              <w:rPr>
                <w:rFonts w:eastAsia="Times New Roman"/>
                <w:sz w:val="20"/>
                <w:szCs w:val="20"/>
              </w:rPr>
              <w:t xml:space="preserve"> dil</w:t>
            </w:r>
            <w:r>
              <w:rPr>
                <w:rFonts w:eastAsia="Times New Roman"/>
                <w:sz w:val="20"/>
                <w:szCs w:val="20"/>
              </w:rPr>
              <w:t xml:space="preserve">utive for the </w:t>
            </w:r>
            <w:r>
              <w:rPr>
                <w:rStyle w:val="a6"/>
                <w:rFonts w:eastAsia="Times New Roman"/>
                <w:sz w:val="20"/>
                <w:szCs w:val="20"/>
              </w:rPr>
              <w:t>three</w:t>
            </w:r>
            <w:r>
              <w:rPr>
                <w:rFonts w:eastAsia="Times New Roman"/>
                <w:sz w:val="20"/>
                <w:szCs w:val="20"/>
              </w:rPr>
              <w:t xml:space="preserve"> months ended </w:t>
            </w:r>
            <w:r>
              <w:rPr>
                <w:rStyle w:val="a6"/>
                <w:rFonts w:eastAsia="Times New Roman"/>
                <w:sz w:val="20"/>
                <w:szCs w:val="20"/>
              </w:rPr>
              <w:t>June 30, 2020.</w:t>
            </w:r>
          </w:p>
        </w:tc>
      </w:tr>
    </w:tbl>
    <w:p w14:paraId="68E1E4D6" w14:textId="77777777" w:rsidR="00000000" w:rsidRDefault="00322B34">
      <w:pPr>
        <w:pStyle w:val="a3"/>
        <w:spacing w:before="0" w:beforeAutospacing="0" w:after="0" w:afterAutospacing="0"/>
        <w:rPr>
          <w:sz w:val="20"/>
          <w:szCs w:val="20"/>
        </w:rPr>
      </w:pPr>
      <w:r>
        <w:rPr>
          <w:sz w:val="20"/>
          <w:szCs w:val="20"/>
        </w:rPr>
        <w:t> </w:t>
      </w:r>
    </w:p>
    <w:p w14:paraId="3D14C8CC" w14:textId="77777777" w:rsidR="00000000" w:rsidRDefault="00322B34">
      <w:pPr>
        <w:pStyle w:val="a3"/>
        <w:spacing w:before="0" w:beforeAutospacing="0" w:after="0" w:afterAutospacing="0"/>
        <w:ind w:firstLine="360"/>
        <w:jc w:val="both"/>
        <w:rPr>
          <w:sz w:val="20"/>
          <w:szCs w:val="20"/>
        </w:rPr>
      </w:pPr>
      <w:r>
        <w:rPr>
          <w:sz w:val="20"/>
          <w:szCs w:val="20"/>
        </w:rPr>
        <w:t>The Company's unvested restricted share awards contain non-forfeitable rights to distributions or distribution equivalents. The impact of the unvested restricted share awards on earnings per share has been</w:t>
      </w:r>
      <w:r>
        <w:rPr>
          <w:sz w:val="20"/>
          <w:szCs w:val="20"/>
        </w:rPr>
        <w:t xml:space="preserve"> calculated using the </w:t>
      </w:r>
      <w:r>
        <w:rPr>
          <w:rStyle w:val="a6"/>
          <w:sz w:val="20"/>
          <w:szCs w:val="20"/>
        </w:rPr>
        <w:t>two</w:t>
      </w:r>
      <w:r>
        <w:rPr>
          <w:sz w:val="20"/>
          <w:szCs w:val="20"/>
        </w:rPr>
        <w:t>-class method whereby earnings are allocated to the unvested restricted share awards based on dividends declared and the unvested restricted shares' participation rights in undistributed earnings.</w:t>
      </w:r>
    </w:p>
    <w:p w14:paraId="616818E4" w14:textId="77777777" w:rsidR="00000000" w:rsidRDefault="00322B34">
      <w:pPr>
        <w:pStyle w:val="a3"/>
        <w:spacing w:before="0" w:beforeAutospacing="0" w:after="0" w:afterAutospacing="0"/>
        <w:rPr>
          <w:sz w:val="20"/>
          <w:szCs w:val="20"/>
        </w:rPr>
      </w:pPr>
      <w:r>
        <w:rPr>
          <w:sz w:val="20"/>
          <w:szCs w:val="20"/>
        </w:rPr>
        <w:t> </w:t>
      </w:r>
    </w:p>
    <w:p w14:paraId="718FDA69" w14:textId="77777777" w:rsidR="00000000" w:rsidRDefault="00322B34">
      <w:pPr>
        <w:jc w:val="center"/>
        <w:divId w:val="2134132045"/>
        <w:rPr>
          <w:rFonts w:eastAsia="Times New Roman"/>
          <w:sz w:val="20"/>
          <w:szCs w:val="20"/>
        </w:rPr>
      </w:pPr>
      <w:r>
        <w:rPr>
          <w:rStyle w:val="a6"/>
          <w:rFonts w:eastAsia="Times New Roman"/>
          <w:sz w:val="20"/>
          <w:szCs w:val="20"/>
        </w:rPr>
        <w:t>19</w:t>
      </w:r>
      <w:r>
        <w:rPr>
          <w:rFonts w:eastAsia="Times New Roman"/>
          <w:sz w:val="20"/>
          <w:szCs w:val="20"/>
        </w:rPr>
        <w:t xml:space="preserve"> </w:t>
      </w:r>
    </w:p>
    <w:p w14:paraId="36BAEA74" w14:textId="77777777" w:rsidR="00000000" w:rsidRDefault="00322B34">
      <w:pPr>
        <w:rPr>
          <w:rFonts w:eastAsia="Times New Roman"/>
          <w:sz w:val="20"/>
          <w:szCs w:val="20"/>
        </w:rPr>
      </w:pPr>
      <w:r>
        <w:rPr>
          <w:rFonts w:eastAsia="Times New Roman"/>
          <w:sz w:val="20"/>
          <w:szCs w:val="20"/>
        </w:rPr>
        <w:pict w14:anchorId="10D6F17D">
          <v:rect id="_x0000_i1047" style="width:415.3pt;height:1.5pt" o:hralign="center" o:hrstd="t" o:hrnoshade="t" o:hr="t" fillcolor="black" stroked="f"/>
        </w:pict>
      </w:r>
    </w:p>
    <w:p w14:paraId="3BC124CE" w14:textId="77777777" w:rsidR="00000000" w:rsidRDefault="00322B34">
      <w:pPr>
        <w:divId w:val="111281960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BADC34E" w14:textId="77777777" w:rsidR="00000000" w:rsidRDefault="00322B34">
      <w:pPr>
        <w:pStyle w:val="a3"/>
        <w:spacing w:before="0" w:beforeAutospacing="0" w:after="0" w:afterAutospacing="0"/>
        <w:rPr>
          <w:sz w:val="20"/>
          <w:szCs w:val="20"/>
        </w:rPr>
      </w:pPr>
      <w:r>
        <w:rPr>
          <w:sz w:val="20"/>
          <w:szCs w:val="20"/>
        </w:rPr>
        <w:t> </w:t>
      </w:r>
    </w:p>
    <w:p w14:paraId="542A8AAF" w14:textId="77777777" w:rsidR="00000000" w:rsidRDefault="00322B34">
      <w:pPr>
        <w:divId w:val="367460833"/>
        <w:rPr>
          <w:rFonts w:eastAsia="Times New Roman"/>
          <w:sz w:val="20"/>
          <w:szCs w:val="20"/>
        </w:rPr>
      </w:pPr>
      <w:r>
        <w:rPr>
          <w:rFonts w:eastAsia="Times New Roman"/>
          <w:sz w:val="20"/>
          <w:szCs w:val="20"/>
        </w:rPr>
        <w:t xml:space="preserve">  </w:t>
      </w:r>
    </w:p>
    <w:p w14:paraId="7F174572" w14:textId="77777777" w:rsidR="00000000" w:rsidRDefault="00322B34">
      <w:pPr>
        <w:pStyle w:val="a3"/>
        <w:spacing w:before="0" w:beforeAutospacing="0" w:after="0" w:afterAutospacing="0"/>
        <w:rPr>
          <w:sz w:val="20"/>
          <w:szCs w:val="20"/>
        </w:rPr>
      </w:pPr>
      <w:r>
        <w:rPr>
          <w:rStyle w:val="a6"/>
          <w:sz w:val="20"/>
          <w:szCs w:val="20"/>
        </w:rPr>
        <w:t>14.</w:t>
      </w:r>
      <w:r>
        <w:rPr>
          <w:sz w:val="20"/>
          <w:szCs w:val="20"/>
        </w:rPr>
        <w:t xml:space="preserve"> </w:t>
      </w:r>
      <w:r>
        <w:rPr>
          <w:sz w:val="20"/>
          <w:szCs w:val="20"/>
          <w:u w:val="single"/>
        </w:rPr>
        <w:t>Stockholders’ Equity</w:t>
      </w:r>
    </w:p>
    <w:p w14:paraId="3AD01981" w14:textId="77777777" w:rsidR="00000000" w:rsidRDefault="00322B34">
      <w:pPr>
        <w:pStyle w:val="a3"/>
        <w:spacing w:before="0" w:beforeAutospacing="0" w:after="0" w:afterAutospacing="0"/>
        <w:rPr>
          <w:sz w:val="20"/>
          <w:szCs w:val="20"/>
        </w:rPr>
      </w:pPr>
      <w:r>
        <w:rPr>
          <w:sz w:val="20"/>
          <w:szCs w:val="20"/>
        </w:rPr>
        <w:t> </w:t>
      </w:r>
    </w:p>
    <w:p w14:paraId="5C6F43B3" w14:textId="77777777" w:rsidR="00000000" w:rsidRDefault="00322B34">
      <w:pPr>
        <w:pStyle w:val="a3"/>
        <w:spacing w:before="0" w:beforeAutospacing="0" w:after="0" w:afterAutospacing="0"/>
        <w:jc w:val="both"/>
        <w:rPr>
          <w:sz w:val="20"/>
          <w:szCs w:val="20"/>
        </w:rPr>
      </w:pPr>
      <w:r>
        <w:rPr>
          <w:i/>
          <w:iCs/>
          <w:sz w:val="20"/>
          <w:szCs w:val="20"/>
        </w:rPr>
        <w:t>Preferred Stock -</w:t>
      </w:r>
    </w:p>
    <w:p w14:paraId="33852210" w14:textId="77777777" w:rsidR="00000000" w:rsidRDefault="00322B34">
      <w:pPr>
        <w:pStyle w:val="a3"/>
        <w:spacing w:before="0" w:beforeAutospacing="0" w:after="0" w:afterAutospacing="0"/>
        <w:ind w:left="360"/>
        <w:jc w:val="both"/>
        <w:rPr>
          <w:sz w:val="20"/>
          <w:szCs w:val="20"/>
        </w:rPr>
      </w:pPr>
      <w:r>
        <w:rPr>
          <w:sz w:val="20"/>
          <w:szCs w:val="20"/>
        </w:rPr>
        <w:t> </w:t>
      </w:r>
    </w:p>
    <w:p w14:paraId="15789934" w14:textId="77777777" w:rsidR="00000000" w:rsidRDefault="00322B34">
      <w:pPr>
        <w:pStyle w:val="a3"/>
        <w:spacing w:before="0" w:beforeAutospacing="0" w:after="0" w:afterAutospacing="0"/>
        <w:ind w:left="360"/>
        <w:jc w:val="both"/>
        <w:rPr>
          <w:sz w:val="20"/>
          <w:szCs w:val="20"/>
        </w:rPr>
      </w:pPr>
      <w:r>
        <w:rPr>
          <w:sz w:val="20"/>
          <w:szCs w:val="20"/>
        </w:rPr>
        <w:t>The Company’s outstanding Preferred Stock is detailed below:</w:t>
      </w:r>
    </w:p>
    <w:p w14:paraId="4E9A2E1D" w14:textId="77777777" w:rsidR="00000000" w:rsidRDefault="00322B3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66"/>
        <w:gridCol w:w="50"/>
        <w:gridCol w:w="97"/>
        <w:gridCol w:w="870"/>
        <w:gridCol w:w="50"/>
        <w:gridCol w:w="50"/>
        <w:gridCol w:w="107"/>
        <w:gridCol w:w="961"/>
        <w:gridCol w:w="50"/>
        <w:gridCol w:w="50"/>
        <w:gridCol w:w="460"/>
        <w:gridCol w:w="1010"/>
        <w:gridCol w:w="50"/>
        <w:gridCol w:w="50"/>
        <w:gridCol w:w="78"/>
        <w:gridCol w:w="701"/>
        <w:gridCol w:w="50"/>
        <w:gridCol w:w="50"/>
        <w:gridCol w:w="101"/>
        <w:gridCol w:w="840"/>
        <w:gridCol w:w="50"/>
        <w:gridCol w:w="50"/>
        <w:gridCol w:w="120"/>
        <w:gridCol w:w="450"/>
        <w:gridCol w:w="50"/>
        <w:gridCol w:w="1045"/>
      </w:tblGrid>
      <w:tr w:rsidR="00000000" w14:paraId="5E6DD2A5" w14:textId="77777777">
        <w:trPr>
          <w:tblCellSpacing w:w="0" w:type="dxa"/>
        </w:trPr>
        <w:tc>
          <w:tcPr>
            <w:tcW w:w="0" w:type="auto"/>
            <w:gridSpan w:val="26"/>
            <w:tcBorders>
              <w:bottom w:val="single" w:sz="6" w:space="0" w:color="000000"/>
            </w:tcBorders>
            <w:tcMar>
              <w:top w:w="0" w:type="dxa"/>
              <w:left w:w="0" w:type="dxa"/>
              <w:bottom w:w="15" w:type="dxa"/>
              <w:right w:w="0" w:type="dxa"/>
            </w:tcMar>
            <w:vAlign w:val="bottom"/>
            <w:hideMark/>
          </w:tcPr>
          <w:p w14:paraId="0BE800A8" w14:textId="77777777" w:rsidR="00000000" w:rsidRDefault="00322B34">
            <w:pPr>
              <w:pStyle w:val="a3"/>
              <w:spacing w:before="0" w:beforeAutospacing="0" w:after="0" w:afterAutospacing="0"/>
              <w:jc w:val="center"/>
              <w:rPr>
                <w:sz w:val="20"/>
                <w:szCs w:val="20"/>
              </w:rPr>
            </w:pPr>
            <w:r>
              <w:rPr>
                <w:b/>
                <w:bCs/>
                <w:sz w:val="20"/>
                <w:szCs w:val="20"/>
              </w:rPr>
              <w:t>As of June 30, 2020 and December 31, 2019</w:t>
            </w:r>
          </w:p>
        </w:tc>
      </w:tr>
      <w:tr w:rsidR="00000000" w14:paraId="1861B071" w14:textId="77777777">
        <w:trPr>
          <w:tblCellSpacing w:w="0" w:type="dxa"/>
        </w:trPr>
        <w:tc>
          <w:tcPr>
            <w:tcW w:w="670" w:type="pct"/>
            <w:tcBorders>
              <w:bottom w:val="single" w:sz="6" w:space="0" w:color="000000"/>
            </w:tcBorders>
            <w:vAlign w:val="bottom"/>
            <w:hideMark/>
          </w:tcPr>
          <w:p w14:paraId="3636E4D3" w14:textId="77777777" w:rsidR="00000000" w:rsidRDefault="00322B34">
            <w:pPr>
              <w:pStyle w:val="a3"/>
              <w:spacing w:before="0" w:beforeAutospacing="0" w:after="0" w:afterAutospacing="0"/>
              <w:jc w:val="center"/>
              <w:rPr>
                <w:sz w:val="20"/>
                <w:szCs w:val="20"/>
              </w:rPr>
            </w:pPr>
            <w:r>
              <w:rPr>
                <w:b/>
                <w:bCs/>
                <w:sz w:val="20"/>
                <w:szCs w:val="20"/>
              </w:rPr>
              <w:t>Class of</w:t>
            </w:r>
          </w:p>
          <w:p w14:paraId="72F5472B" w14:textId="77777777" w:rsidR="00000000" w:rsidRDefault="00322B34">
            <w:pPr>
              <w:pStyle w:val="a3"/>
              <w:spacing w:before="0" w:beforeAutospacing="0" w:after="0" w:afterAutospacing="0"/>
              <w:jc w:val="center"/>
              <w:rPr>
                <w:sz w:val="20"/>
                <w:szCs w:val="20"/>
              </w:rPr>
            </w:pPr>
            <w:r>
              <w:rPr>
                <w:b/>
                <w:bCs/>
                <w:sz w:val="20"/>
                <w:szCs w:val="20"/>
              </w:rPr>
              <w:t>Preferred</w:t>
            </w:r>
          </w:p>
          <w:p w14:paraId="46B838A1" w14:textId="77777777" w:rsidR="00000000" w:rsidRDefault="00322B34">
            <w:pPr>
              <w:pStyle w:val="a3"/>
              <w:spacing w:before="0" w:beforeAutospacing="0" w:after="0" w:afterAutospacing="0"/>
              <w:jc w:val="center"/>
              <w:rPr>
                <w:sz w:val="20"/>
                <w:szCs w:val="20"/>
              </w:rPr>
            </w:pPr>
            <w:r>
              <w:rPr>
                <w:b/>
                <w:bCs/>
                <w:sz w:val="20"/>
                <w:szCs w:val="20"/>
              </w:rPr>
              <w:t>Stock</w:t>
            </w:r>
          </w:p>
        </w:tc>
        <w:tc>
          <w:tcPr>
            <w:tcW w:w="0" w:type="auto"/>
            <w:vAlign w:val="bottom"/>
            <w:hideMark/>
          </w:tcPr>
          <w:p w14:paraId="246143A5"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26CCB89" w14:textId="77777777" w:rsidR="00000000" w:rsidRDefault="00322B34">
            <w:pPr>
              <w:pStyle w:val="a3"/>
              <w:spacing w:before="0" w:beforeAutospacing="0" w:after="0" w:afterAutospacing="0"/>
              <w:jc w:val="center"/>
              <w:rPr>
                <w:sz w:val="20"/>
                <w:szCs w:val="20"/>
              </w:rPr>
            </w:pPr>
            <w:r>
              <w:rPr>
                <w:b/>
                <w:bCs/>
                <w:sz w:val="20"/>
                <w:szCs w:val="20"/>
              </w:rPr>
              <w:t>Shares</w:t>
            </w:r>
          </w:p>
          <w:p w14:paraId="62C92241" w14:textId="77777777" w:rsidR="00000000" w:rsidRDefault="00322B34">
            <w:pPr>
              <w:pStyle w:val="a3"/>
              <w:spacing w:before="0" w:beforeAutospacing="0" w:after="0" w:afterAutospacing="0"/>
              <w:jc w:val="center"/>
              <w:rPr>
                <w:sz w:val="20"/>
                <w:szCs w:val="20"/>
              </w:rPr>
            </w:pPr>
            <w:r>
              <w:rPr>
                <w:b/>
                <w:bCs/>
                <w:sz w:val="20"/>
                <w:szCs w:val="20"/>
              </w:rPr>
              <w:t>Authorized</w:t>
            </w:r>
          </w:p>
        </w:tc>
        <w:tc>
          <w:tcPr>
            <w:tcW w:w="0" w:type="auto"/>
            <w:tcMar>
              <w:top w:w="0" w:type="dxa"/>
              <w:left w:w="0" w:type="dxa"/>
              <w:bottom w:w="15" w:type="dxa"/>
              <w:right w:w="0" w:type="dxa"/>
            </w:tcMar>
            <w:vAlign w:val="bottom"/>
            <w:hideMark/>
          </w:tcPr>
          <w:p w14:paraId="59340F7F"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D436CF4"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EB7A31B" w14:textId="77777777" w:rsidR="00000000" w:rsidRDefault="00322B34">
            <w:pPr>
              <w:pStyle w:val="a3"/>
              <w:spacing w:before="0" w:beforeAutospacing="0" w:after="0" w:afterAutospacing="0"/>
              <w:jc w:val="center"/>
              <w:rPr>
                <w:sz w:val="20"/>
                <w:szCs w:val="20"/>
              </w:rPr>
            </w:pPr>
            <w:r>
              <w:rPr>
                <w:b/>
                <w:bCs/>
                <w:sz w:val="20"/>
                <w:szCs w:val="20"/>
              </w:rPr>
              <w:t>Shares</w:t>
            </w:r>
          </w:p>
          <w:p w14:paraId="45F9342D" w14:textId="77777777" w:rsidR="00000000" w:rsidRDefault="00322B34">
            <w:pPr>
              <w:pStyle w:val="a3"/>
              <w:spacing w:before="0" w:beforeAutospacing="0" w:after="0" w:afterAutospacing="0"/>
              <w:jc w:val="center"/>
              <w:rPr>
                <w:sz w:val="20"/>
                <w:szCs w:val="20"/>
              </w:rPr>
            </w:pPr>
            <w:r>
              <w:rPr>
                <w:b/>
                <w:bCs/>
                <w:sz w:val="20"/>
                <w:szCs w:val="20"/>
              </w:rPr>
              <w:t>Issued and Outstanding</w:t>
            </w:r>
          </w:p>
        </w:tc>
        <w:tc>
          <w:tcPr>
            <w:tcW w:w="0" w:type="auto"/>
            <w:tcMar>
              <w:top w:w="0" w:type="dxa"/>
              <w:left w:w="0" w:type="dxa"/>
              <w:bottom w:w="15" w:type="dxa"/>
              <w:right w:w="0" w:type="dxa"/>
            </w:tcMar>
            <w:vAlign w:val="bottom"/>
            <w:hideMark/>
          </w:tcPr>
          <w:p w14:paraId="0453755F"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0CA7AE2"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2D8DA83" w14:textId="77777777" w:rsidR="00000000" w:rsidRDefault="00322B34">
            <w:pPr>
              <w:pStyle w:val="a3"/>
              <w:spacing w:before="0" w:beforeAutospacing="0" w:after="0" w:afterAutospacing="0"/>
              <w:jc w:val="center"/>
              <w:rPr>
                <w:sz w:val="20"/>
                <w:szCs w:val="20"/>
              </w:rPr>
            </w:pPr>
            <w:r>
              <w:rPr>
                <w:b/>
                <w:bCs/>
                <w:sz w:val="20"/>
                <w:szCs w:val="20"/>
              </w:rPr>
              <w:t>Liquidation Preference</w:t>
            </w:r>
          </w:p>
          <w:p w14:paraId="1443A617" w14:textId="77777777" w:rsidR="00000000" w:rsidRDefault="00322B34">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14:paraId="02477350"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A1F64F6"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170DAE1" w14:textId="77777777" w:rsidR="00000000" w:rsidRDefault="00322B34">
            <w:pPr>
              <w:pStyle w:val="a3"/>
              <w:spacing w:before="0" w:beforeAutospacing="0" w:after="0" w:afterAutospacing="0"/>
              <w:jc w:val="center"/>
              <w:rPr>
                <w:sz w:val="20"/>
                <w:szCs w:val="20"/>
              </w:rPr>
            </w:pPr>
            <w:r>
              <w:rPr>
                <w:b/>
                <w:bCs/>
                <w:sz w:val="20"/>
                <w:szCs w:val="20"/>
              </w:rPr>
              <w:t>Dividend</w:t>
            </w:r>
          </w:p>
          <w:p w14:paraId="1189CC56" w14:textId="77777777" w:rsidR="00000000" w:rsidRDefault="00322B34">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14:paraId="6E70CB71"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839A3D6"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64F3743" w14:textId="77777777" w:rsidR="00000000" w:rsidRDefault="00322B34">
            <w:pPr>
              <w:pStyle w:val="a3"/>
              <w:spacing w:before="0" w:beforeAutospacing="0" w:after="0" w:afterAutospacing="0"/>
              <w:jc w:val="center"/>
              <w:rPr>
                <w:sz w:val="20"/>
                <w:szCs w:val="20"/>
              </w:rPr>
            </w:pPr>
            <w:r>
              <w:rPr>
                <w:b/>
                <w:bCs/>
                <w:sz w:val="20"/>
                <w:szCs w:val="20"/>
              </w:rPr>
              <w:t>Annual</w:t>
            </w:r>
          </w:p>
          <w:p w14:paraId="3807DC2F" w14:textId="77777777" w:rsidR="00000000" w:rsidRDefault="00322B34">
            <w:pPr>
              <w:pStyle w:val="a3"/>
              <w:spacing w:before="0" w:beforeAutospacing="0" w:after="0" w:afterAutospacing="0"/>
              <w:jc w:val="center"/>
              <w:rPr>
                <w:sz w:val="20"/>
                <w:szCs w:val="20"/>
              </w:rPr>
            </w:pPr>
            <w:r>
              <w:rPr>
                <w:b/>
                <w:bCs/>
                <w:sz w:val="20"/>
                <w:szCs w:val="20"/>
              </w:rPr>
              <w:t xml:space="preserve">Dividend per </w:t>
            </w:r>
          </w:p>
          <w:p w14:paraId="2096BE8F" w14:textId="77777777" w:rsidR="00000000" w:rsidRDefault="00322B34">
            <w:pPr>
              <w:pStyle w:val="a3"/>
              <w:spacing w:before="0" w:beforeAutospacing="0" w:after="0" w:afterAutospacing="0"/>
              <w:jc w:val="center"/>
              <w:rPr>
                <w:sz w:val="20"/>
                <w:szCs w:val="20"/>
              </w:rPr>
            </w:pPr>
            <w:r>
              <w:rPr>
                <w:b/>
                <w:bCs/>
                <w:sz w:val="20"/>
                <w:szCs w:val="20"/>
              </w:rPr>
              <w:t>Depositary</w:t>
            </w:r>
          </w:p>
          <w:p w14:paraId="5219325D" w14:textId="77777777" w:rsidR="00000000" w:rsidRDefault="00322B34">
            <w:pPr>
              <w:pStyle w:val="a3"/>
              <w:spacing w:before="0" w:beforeAutospacing="0" w:after="0" w:afterAutospacing="0"/>
              <w:jc w:val="center"/>
              <w:rPr>
                <w:sz w:val="20"/>
                <w:szCs w:val="20"/>
              </w:rPr>
            </w:pPr>
            <w:r>
              <w:rPr>
                <w:b/>
                <w:bCs/>
                <w:sz w:val="20"/>
                <w:szCs w:val="20"/>
              </w:rPr>
              <w:t>Share</w:t>
            </w:r>
          </w:p>
        </w:tc>
        <w:tc>
          <w:tcPr>
            <w:tcW w:w="0" w:type="auto"/>
            <w:tcMar>
              <w:top w:w="0" w:type="dxa"/>
              <w:left w:w="0" w:type="dxa"/>
              <w:bottom w:w="15" w:type="dxa"/>
              <w:right w:w="0" w:type="dxa"/>
            </w:tcMar>
            <w:vAlign w:val="bottom"/>
            <w:hideMark/>
          </w:tcPr>
          <w:p w14:paraId="2BADFF64"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4D2B5E7E"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3D4E656" w14:textId="77777777" w:rsidR="00000000" w:rsidRDefault="00322B34">
            <w:pPr>
              <w:pStyle w:val="a3"/>
              <w:spacing w:before="0" w:beforeAutospacing="0" w:after="0" w:afterAutospacing="0"/>
              <w:jc w:val="center"/>
              <w:rPr>
                <w:sz w:val="20"/>
                <w:szCs w:val="20"/>
              </w:rPr>
            </w:pPr>
            <w:r>
              <w:rPr>
                <w:sz w:val="20"/>
                <w:szCs w:val="20"/>
              </w:rPr>
              <w:t> </w:t>
            </w:r>
          </w:p>
          <w:p w14:paraId="69952D8F" w14:textId="77777777" w:rsidR="00000000" w:rsidRDefault="00322B34">
            <w:pPr>
              <w:pStyle w:val="a3"/>
              <w:spacing w:before="0" w:beforeAutospacing="0" w:after="0" w:afterAutospacing="0"/>
              <w:jc w:val="center"/>
              <w:rPr>
                <w:sz w:val="20"/>
                <w:szCs w:val="20"/>
              </w:rPr>
            </w:pPr>
            <w:r>
              <w:rPr>
                <w:b/>
                <w:bCs/>
                <w:sz w:val="20"/>
                <w:szCs w:val="20"/>
              </w:rPr>
              <w:t>Par</w:t>
            </w:r>
          </w:p>
          <w:p w14:paraId="1B01A942" w14:textId="77777777" w:rsidR="00000000" w:rsidRDefault="00322B34">
            <w:pPr>
              <w:pStyle w:val="a3"/>
              <w:spacing w:before="0" w:beforeAutospacing="0" w:after="0" w:afterAutospacing="0"/>
              <w:jc w:val="center"/>
              <w:rPr>
                <w:sz w:val="20"/>
                <w:szCs w:val="20"/>
              </w:rPr>
            </w:pPr>
            <w:r>
              <w:rPr>
                <w:b/>
                <w:bCs/>
                <w:sz w:val="20"/>
                <w:szCs w:val="20"/>
              </w:rPr>
              <w:t>Value</w:t>
            </w:r>
          </w:p>
        </w:tc>
        <w:tc>
          <w:tcPr>
            <w:tcW w:w="0" w:type="auto"/>
            <w:tcMar>
              <w:top w:w="0" w:type="dxa"/>
              <w:left w:w="0" w:type="dxa"/>
              <w:bottom w:w="15" w:type="dxa"/>
              <w:right w:w="0" w:type="dxa"/>
            </w:tcMar>
            <w:vAlign w:val="bottom"/>
            <w:hideMark/>
          </w:tcPr>
          <w:p w14:paraId="29C70871" w14:textId="77777777" w:rsidR="00000000" w:rsidRDefault="00322B34">
            <w:pPr>
              <w:rPr>
                <w:rFonts w:eastAsia="Times New Roman"/>
                <w:sz w:val="20"/>
                <w:szCs w:val="20"/>
              </w:rPr>
            </w:pPr>
            <w:r>
              <w:rPr>
                <w:rFonts w:eastAsia="Times New Roman"/>
                <w:sz w:val="20"/>
                <w:szCs w:val="20"/>
              </w:rPr>
              <w:t> </w:t>
            </w:r>
          </w:p>
        </w:tc>
        <w:tc>
          <w:tcPr>
            <w:tcW w:w="730" w:type="pct"/>
            <w:tcBorders>
              <w:bottom w:val="single" w:sz="6" w:space="0" w:color="000000"/>
            </w:tcBorders>
            <w:vAlign w:val="bottom"/>
            <w:hideMark/>
          </w:tcPr>
          <w:p w14:paraId="539BAB1F" w14:textId="77777777" w:rsidR="00000000" w:rsidRDefault="00322B34">
            <w:pPr>
              <w:pStyle w:val="a3"/>
              <w:spacing w:before="0" w:beforeAutospacing="0" w:after="0" w:afterAutospacing="0"/>
              <w:jc w:val="center"/>
              <w:rPr>
                <w:sz w:val="20"/>
                <w:szCs w:val="20"/>
              </w:rPr>
            </w:pPr>
            <w:r>
              <w:rPr>
                <w:b/>
                <w:bCs/>
                <w:sz w:val="20"/>
                <w:szCs w:val="20"/>
              </w:rPr>
              <w:t>Optional</w:t>
            </w:r>
          </w:p>
          <w:p w14:paraId="16009676" w14:textId="77777777" w:rsidR="00000000" w:rsidRDefault="00322B34">
            <w:pPr>
              <w:pStyle w:val="a3"/>
              <w:spacing w:before="0" w:beforeAutospacing="0" w:after="0" w:afterAutospacing="0"/>
              <w:jc w:val="center"/>
              <w:rPr>
                <w:sz w:val="20"/>
                <w:szCs w:val="20"/>
              </w:rPr>
            </w:pPr>
            <w:r>
              <w:rPr>
                <w:b/>
                <w:bCs/>
                <w:sz w:val="20"/>
                <w:szCs w:val="20"/>
              </w:rPr>
              <w:t>Redemption</w:t>
            </w:r>
          </w:p>
          <w:p w14:paraId="2F98EA4F" w14:textId="77777777" w:rsidR="00000000" w:rsidRDefault="00322B34">
            <w:pPr>
              <w:pStyle w:val="a3"/>
              <w:spacing w:before="0" w:beforeAutospacing="0" w:after="0" w:afterAutospacing="0"/>
              <w:jc w:val="center"/>
              <w:rPr>
                <w:sz w:val="20"/>
                <w:szCs w:val="20"/>
              </w:rPr>
            </w:pPr>
            <w:r>
              <w:rPr>
                <w:b/>
                <w:bCs/>
                <w:sz w:val="20"/>
                <w:szCs w:val="20"/>
              </w:rPr>
              <w:t>Date</w:t>
            </w:r>
          </w:p>
        </w:tc>
      </w:tr>
      <w:tr w:rsidR="00000000" w14:paraId="104D2EE7" w14:textId="77777777">
        <w:trPr>
          <w:tblCellSpacing w:w="0" w:type="dxa"/>
        </w:trPr>
        <w:tc>
          <w:tcPr>
            <w:tcW w:w="0" w:type="auto"/>
            <w:shd w:val="clear" w:color="auto" w:fill="CCEEFF"/>
            <w:vAlign w:val="bottom"/>
            <w:hideMark/>
          </w:tcPr>
          <w:p w14:paraId="76BAAD6C" w14:textId="77777777" w:rsidR="00000000" w:rsidRDefault="00322B34">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14:paraId="729C084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F6C2B1"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397E8FA" w14:textId="77777777" w:rsidR="00000000" w:rsidRDefault="00322B34">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14:paraId="15D18F2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6D4D7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42A674"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EF87527" w14:textId="77777777" w:rsidR="00000000" w:rsidRDefault="00322B34">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14:paraId="3CB317C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A5345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D5ED23" w14:textId="77777777" w:rsidR="00000000" w:rsidRDefault="00322B34">
            <w:pPr>
              <w:rPr>
                <w:rFonts w:eastAsia="Times New Roman"/>
                <w:sz w:val="20"/>
                <w:szCs w:val="20"/>
              </w:rPr>
            </w:pPr>
            <w:r>
              <w:rPr>
                <w:rFonts w:eastAsia="Times New Roman"/>
                <w:sz w:val="20"/>
                <w:szCs w:val="20"/>
              </w:rPr>
              <w:t>$</w:t>
            </w:r>
          </w:p>
        </w:tc>
        <w:tc>
          <w:tcPr>
            <w:tcW w:w="450" w:type="pct"/>
            <w:shd w:val="clear" w:color="auto" w:fill="CCEEFF"/>
            <w:vAlign w:val="bottom"/>
            <w:hideMark/>
          </w:tcPr>
          <w:p w14:paraId="7AF71108" w14:textId="77777777" w:rsidR="00000000" w:rsidRDefault="00322B34">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14:paraId="73555E6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12C6D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622B73"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529A75C" w14:textId="77777777" w:rsidR="00000000" w:rsidRDefault="00322B34">
            <w:pPr>
              <w:jc w:val="center"/>
              <w:rPr>
                <w:rFonts w:eastAsia="Times New Roman"/>
                <w:sz w:val="20"/>
                <w:szCs w:val="20"/>
              </w:rPr>
            </w:pPr>
            <w:r>
              <w:rPr>
                <w:rFonts w:eastAsia="Times New Roman"/>
                <w:sz w:val="20"/>
                <w:szCs w:val="20"/>
              </w:rPr>
              <w:t>5.125%</w:t>
            </w:r>
          </w:p>
        </w:tc>
        <w:tc>
          <w:tcPr>
            <w:tcW w:w="50" w:type="pct"/>
            <w:shd w:val="clear" w:color="auto" w:fill="CCEEFF"/>
            <w:vAlign w:val="bottom"/>
            <w:hideMark/>
          </w:tcPr>
          <w:p w14:paraId="2A0619F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1ECC4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8FBECD" w14:textId="77777777" w:rsidR="00000000" w:rsidRDefault="00322B34">
            <w:pPr>
              <w:rPr>
                <w:rFonts w:eastAsia="Times New Roman"/>
                <w:sz w:val="20"/>
                <w:szCs w:val="20"/>
              </w:rPr>
            </w:pPr>
            <w:r>
              <w:rPr>
                <w:rFonts w:eastAsia="Times New Roman"/>
                <w:sz w:val="20"/>
                <w:szCs w:val="20"/>
              </w:rPr>
              <w:t>$</w:t>
            </w:r>
          </w:p>
        </w:tc>
        <w:tc>
          <w:tcPr>
            <w:tcW w:w="450" w:type="pct"/>
            <w:shd w:val="clear" w:color="auto" w:fill="CCEEFF"/>
            <w:vAlign w:val="bottom"/>
            <w:hideMark/>
          </w:tcPr>
          <w:p w14:paraId="3C976D61" w14:textId="77777777" w:rsidR="00000000" w:rsidRDefault="00322B34">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14:paraId="184BF0D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63305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4230FA" w14:textId="77777777" w:rsidR="00000000" w:rsidRDefault="00322B34">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14:paraId="725DC993" w14:textId="77777777" w:rsidR="00000000" w:rsidRDefault="00322B34">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14:paraId="130AF5A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7FCFA2" w14:textId="77777777" w:rsidR="00000000" w:rsidRDefault="00322B34">
            <w:pPr>
              <w:pStyle w:val="a3"/>
              <w:spacing w:before="0" w:beforeAutospacing="0" w:after="0" w:afterAutospacing="0"/>
              <w:ind w:left="40"/>
              <w:jc w:val="center"/>
              <w:rPr>
                <w:sz w:val="20"/>
                <w:szCs w:val="20"/>
              </w:rPr>
            </w:pPr>
            <w:r>
              <w:rPr>
                <w:rStyle w:val="a6"/>
                <w:sz w:val="20"/>
                <w:szCs w:val="20"/>
              </w:rPr>
              <w:t>8/16/2022</w:t>
            </w:r>
          </w:p>
        </w:tc>
      </w:tr>
      <w:tr w:rsidR="00000000" w14:paraId="6F8E6E99" w14:textId="77777777">
        <w:trPr>
          <w:tblCellSpacing w:w="0" w:type="dxa"/>
        </w:trPr>
        <w:tc>
          <w:tcPr>
            <w:tcW w:w="0" w:type="auto"/>
            <w:shd w:val="clear" w:color="auto" w:fill="FFFFFF"/>
            <w:vAlign w:val="bottom"/>
            <w:hideMark/>
          </w:tcPr>
          <w:p w14:paraId="7C0D1E78" w14:textId="77777777" w:rsidR="00000000" w:rsidRDefault="00322B34">
            <w:pPr>
              <w:pStyle w:val="a3"/>
              <w:spacing w:before="0" w:beforeAutospacing="0" w:after="0" w:afterAutospacing="0"/>
              <w:jc w:val="center"/>
              <w:rPr>
                <w:sz w:val="20"/>
                <w:szCs w:val="20"/>
              </w:rPr>
            </w:pPr>
            <w:r>
              <w:rPr>
                <w:sz w:val="20"/>
                <w:szCs w:val="20"/>
              </w:rPr>
              <w:t>Class M</w:t>
            </w:r>
          </w:p>
        </w:tc>
        <w:tc>
          <w:tcPr>
            <w:tcW w:w="50" w:type="pct"/>
            <w:shd w:val="clear" w:color="auto" w:fill="FFFFFF"/>
            <w:vAlign w:val="bottom"/>
            <w:hideMark/>
          </w:tcPr>
          <w:p w14:paraId="1E56D78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9752A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C4A86C4" w14:textId="77777777" w:rsidR="00000000" w:rsidRDefault="00322B34">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14:paraId="1220EC9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21191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CCAF6B"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B7285D2" w14:textId="77777777" w:rsidR="00000000" w:rsidRDefault="00322B34">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14:paraId="03849CF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87454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7913C1"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8F7829D" w14:textId="77777777" w:rsidR="00000000" w:rsidRDefault="00322B34">
            <w:pPr>
              <w:jc w:val="right"/>
              <w:rPr>
                <w:rFonts w:eastAsia="Times New Roman"/>
                <w:sz w:val="20"/>
                <w:szCs w:val="20"/>
              </w:rPr>
            </w:pPr>
            <w:r>
              <w:rPr>
                <w:rFonts w:eastAsia="Times New Roman"/>
                <w:sz w:val="20"/>
                <w:szCs w:val="20"/>
              </w:rPr>
              <w:t>264,500</w:t>
            </w:r>
          </w:p>
        </w:tc>
        <w:tc>
          <w:tcPr>
            <w:tcW w:w="50" w:type="pct"/>
            <w:shd w:val="clear" w:color="auto" w:fill="FFFFFF"/>
            <w:vAlign w:val="bottom"/>
            <w:hideMark/>
          </w:tcPr>
          <w:p w14:paraId="4A5AC76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9FC84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D419AC"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EE9C44F" w14:textId="77777777" w:rsidR="00000000" w:rsidRDefault="00322B34">
            <w:pPr>
              <w:jc w:val="center"/>
              <w:rPr>
                <w:rFonts w:eastAsia="Times New Roman"/>
                <w:sz w:val="20"/>
                <w:szCs w:val="20"/>
              </w:rPr>
            </w:pPr>
            <w:r>
              <w:rPr>
                <w:rFonts w:eastAsia="Times New Roman"/>
                <w:sz w:val="20"/>
                <w:szCs w:val="20"/>
              </w:rPr>
              <w:t>5.250%</w:t>
            </w:r>
          </w:p>
        </w:tc>
        <w:tc>
          <w:tcPr>
            <w:tcW w:w="50" w:type="pct"/>
            <w:shd w:val="clear" w:color="auto" w:fill="FFFFFF"/>
            <w:vAlign w:val="bottom"/>
            <w:hideMark/>
          </w:tcPr>
          <w:p w14:paraId="791CE8F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21EC2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6E46D9" w14:textId="77777777" w:rsidR="00000000" w:rsidRDefault="00322B34">
            <w:pPr>
              <w:rPr>
                <w:rFonts w:eastAsia="Times New Roman"/>
                <w:sz w:val="20"/>
                <w:szCs w:val="20"/>
              </w:rPr>
            </w:pPr>
            <w:r>
              <w:rPr>
                <w:rFonts w:eastAsia="Times New Roman"/>
                <w:sz w:val="20"/>
                <w:szCs w:val="20"/>
              </w:rPr>
              <w:t>$</w:t>
            </w:r>
          </w:p>
        </w:tc>
        <w:tc>
          <w:tcPr>
            <w:tcW w:w="450" w:type="pct"/>
            <w:shd w:val="clear" w:color="auto" w:fill="FFFFFF"/>
            <w:vAlign w:val="bottom"/>
            <w:hideMark/>
          </w:tcPr>
          <w:p w14:paraId="5EA0DE21" w14:textId="77777777" w:rsidR="00000000" w:rsidRDefault="00322B34">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14:paraId="5C76760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9A9C7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709A35" w14:textId="77777777" w:rsidR="00000000" w:rsidRDefault="00322B34">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14:paraId="27D8A019" w14:textId="77777777" w:rsidR="00000000" w:rsidRDefault="00322B34">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3C82A57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11A907" w14:textId="77777777" w:rsidR="00000000" w:rsidRDefault="00322B34">
            <w:pPr>
              <w:pStyle w:val="a3"/>
              <w:spacing w:before="0" w:beforeAutospacing="0" w:after="0" w:afterAutospacing="0"/>
              <w:ind w:left="40"/>
              <w:jc w:val="center"/>
              <w:rPr>
                <w:sz w:val="20"/>
                <w:szCs w:val="20"/>
              </w:rPr>
            </w:pPr>
            <w:r>
              <w:rPr>
                <w:rStyle w:val="a6"/>
                <w:sz w:val="20"/>
                <w:szCs w:val="20"/>
              </w:rPr>
              <w:t>12/20/2022</w:t>
            </w:r>
          </w:p>
        </w:tc>
      </w:tr>
      <w:tr w:rsidR="00000000" w14:paraId="4D8493C9" w14:textId="77777777">
        <w:trPr>
          <w:tblCellSpacing w:w="0" w:type="dxa"/>
        </w:trPr>
        <w:tc>
          <w:tcPr>
            <w:tcW w:w="0" w:type="auto"/>
            <w:shd w:val="clear" w:color="auto" w:fill="CCEEFF"/>
            <w:vAlign w:val="bottom"/>
            <w:hideMark/>
          </w:tcPr>
          <w:p w14:paraId="4635C39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9C5F6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03CD9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F2693A" w14:textId="77777777" w:rsidR="00000000" w:rsidRDefault="00322B3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14:paraId="37BBB45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01E7B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22175D" w14:textId="77777777" w:rsidR="00000000" w:rsidRDefault="00322B3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39E72F1D" w14:textId="77777777" w:rsidR="00000000" w:rsidRDefault="00322B34">
            <w:pPr>
              <w:jc w:val="right"/>
              <w:rPr>
                <w:rFonts w:eastAsia="Times New Roman"/>
                <w:sz w:val="20"/>
                <w:szCs w:val="20"/>
              </w:rPr>
            </w:pPr>
            <w:r>
              <w:rPr>
                <w:rFonts w:eastAsia="Times New Roman"/>
                <w:sz w:val="20"/>
                <w:szCs w:val="20"/>
              </w:rPr>
              <w:t>19,580</w:t>
            </w:r>
          </w:p>
        </w:tc>
        <w:tc>
          <w:tcPr>
            <w:tcW w:w="50" w:type="pct"/>
            <w:shd w:val="clear" w:color="auto" w:fill="CCEEFF"/>
            <w:vAlign w:val="bottom"/>
            <w:hideMark/>
          </w:tcPr>
          <w:p w14:paraId="75074DB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3C573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E9CF31" w14:textId="77777777" w:rsidR="00000000" w:rsidRDefault="00322B34">
            <w:pPr>
              <w:ind w:left="360"/>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9BE3CDA" w14:textId="77777777" w:rsidR="00000000" w:rsidRDefault="00322B34">
            <w:pPr>
              <w:ind w:left="360"/>
              <w:jc w:val="right"/>
              <w:rPr>
                <w:rFonts w:eastAsia="Times New Roman"/>
                <w:sz w:val="20"/>
                <w:szCs w:val="20"/>
              </w:rPr>
            </w:pPr>
            <w:r>
              <w:rPr>
                <w:rFonts w:eastAsia="Times New Roman"/>
                <w:sz w:val="20"/>
                <w:szCs w:val="20"/>
              </w:rPr>
              <w:t>489,500</w:t>
            </w:r>
          </w:p>
        </w:tc>
        <w:tc>
          <w:tcPr>
            <w:tcW w:w="50" w:type="pct"/>
            <w:shd w:val="clear" w:color="auto" w:fill="CCEEFF"/>
            <w:vAlign w:val="bottom"/>
            <w:hideMark/>
          </w:tcPr>
          <w:p w14:paraId="42315DE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ED01B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66F72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23BBBB" w14:textId="77777777" w:rsidR="00000000" w:rsidRDefault="00322B3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14:paraId="73E5A97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A2D40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AC16C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F2F07D" w14:textId="77777777" w:rsidR="00000000" w:rsidRDefault="00322B3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14:paraId="1C00D29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9BA2F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C82C8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6143D5" w14:textId="77777777" w:rsidR="00000000" w:rsidRDefault="00322B34">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14:paraId="337427E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2BCDD8" w14:textId="77777777" w:rsidR="00000000" w:rsidRDefault="00322B34">
            <w:pPr>
              <w:rPr>
                <w:rFonts w:eastAsia="Times New Roman"/>
                <w:sz w:val="20"/>
                <w:szCs w:val="20"/>
              </w:rPr>
            </w:pPr>
            <w:r>
              <w:rPr>
                <w:rStyle w:val="a6"/>
                <w:rFonts w:eastAsia="Times New Roman"/>
                <w:sz w:val="20"/>
                <w:szCs w:val="20"/>
              </w:rPr>
              <w:t> </w:t>
            </w:r>
          </w:p>
        </w:tc>
      </w:tr>
    </w:tbl>
    <w:p w14:paraId="72266853" w14:textId="77777777" w:rsidR="00000000" w:rsidRDefault="00322B34">
      <w:pPr>
        <w:pStyle w:val="a3"/>
        <w:spacing w:before="0" w:beforeAutospacing="0" w:after="0" w:afterAutospacing="0"/>
        <w:jc w:val="both"/>
        <w:rPr>
          <w:sz w:val="20"/>
          <w:szCs w:val="20"/>
        </w:rPr>
      </w:pPr>
      <w:r>
        <w:rPr>
          <w:sz w:val="20"/>
          <w:szCs w:val="20"/>
        </w:rPr>
        <w:t> </w:t>
      </w:r>
    </w:p>
    <w:p w14:paraId="467D1DFB" w14:textId="77777777" w:rsidR="00000000" w:rsidRDefault="00322B34">
      <w:pPr>
        <w:pStyle w:val="a3"/>
        <w:spacing w:before="0" w:beforeAutospacing="0" w:after="0" w:afterAutospacing="0"/>
        <w:jc w:val="both"/>
        <w:rPr>
          <w:sz w:val="20"/>
          <w:szCs w:val="20"/>
        </w:rPr>
      </w:pPr>
      <w:r>
        <w:rPr>
          <w:i/>
          <w:iCs/>
          <w:sz w:val="20"/>
          <w:szCs w:val="20"/>
        </w:rPr>
        <w:t>Common Stock -</w:t>
      </w:r>
    </w:p>
    <w:p w14:paraId="48F3FA54" w14:textId="77777777" w:rsidR="00000000" w:rsidRDefault="00322B34">
      <w:pPr>
        <w:pStyle w:val="a3"/>
        <w:spacing w:before="0" w:beforeAutospacing="0" w:after="0" w:afterAutospacing="0"/>
        <w:jc w:val="both"/>
        <w:rPr>
          <w:sz w:val="20"/>
          <w:szCs w:val="20"/>
        </w:rPr>
      </w:pPr>
      <w:r>
        <w:rPr>
          <w:i/>
          <w:iCs/>
          <w:sz w:val="20"/>
          <w:szCs w:val="20"/>
        </w:rPr>
        <w:t> </w:t>
      </w:r>
    </w:p>
    <w:p w14:paraId="52D741AE" w14:textId="77777777" w:rsidR="00000000" w:rsidRDefault="00322B34">
      <w:pPr>
        <w:pStyle w:val="a3"/>
        <w:spacing w:before="0" w:beforeAutospacing="0" w:after="0" w:afterAutospacing="0"/>
        <w:ind w:firstLine="360"/>
        <w:jc w:val="both"/>
        <w:rPr>
          <w:sz w:val="20"/>
          <w:szCs w:val="20"/>
        </w:rPr>
      </w:pPr>
      <w:r>
        <w:rPr>
          <w:sz w:val="20"/>
          <w:szCs w:val="20"/>
        </w:rPr>
        <w:t xml:space="preserve">During </w:t>
      </w:r>
      <w:r>
        <w:rPr>
          <w:rStyle w:val="a6"/>
          <w:sz w:val="20"/>
          <w:szCs w:val="20"/>
        </w:rPr>
        <w:t xml:space="preserve">February 2020, </w:t>
      </w:r>
      <w:r>
        <w:rPr>
          <w:sz w:val="20"/>
          <w:szCs w:val="20"/>
        </w:rPr>
        <w:t>the Company extended its share repurchase program for a term of</w:t>
      </w:r>
      <w:r>
        <w:rPr>
          <w:sz w:val="20"/>
          <w:szCs w:val="20"/>
        </w:rPr>
        <w:t xml:space="preserve"> </w:t>
      </w:r>
      <w:r>
        <w:rPr>
          <w:sz w:val="20"/>
          <w:szCs w:val="20"/>
        </w:rPr>
        <w:t>tw</w:t>
      </w:r>
      <w:r>
        <w:rPr>
          <w:sz w:val="20"/>
          <w:szCs w:val="20"/>
        </w:rPr>
        <w:t>o</w:t>
      </w:r>
      <w:r>
        <w:rPr>
          <w:sz w:val="20"/>
          <w:szCs w:val="20"/>
        </w:rPr>
        <w:t xml:space="preserve"> years, which will expire in </w:t>
      </w:r>
      <w:r>
        <w:rPr>
          <w:rStyle w:val="a6"/>
          <w:sz w:val="20"/>
          <w:szCs w:val="20"/>
        </w:rPr>
        <w:t xml:space="preserve">February 2022, </w:t>
      </w:r>
      <w:r>
        <w:rPr>
          <w:sz w:val="20"/>
          <w:szCs w:val="20"/>
        </w:rPr>
        <w:t xml:space="preserve">pursuant to which the Company </w:t>
      </w:r>
      <w:r>
        <w:rPr>
          <w:rStyle w:val="a6"/>
          <w:sz w:val="20"/>
          <w:szCs w:val="20"/>
        </w:rPr>
        <w:t xml:space="preserve">may </w:t>
      </w:r>
      <w:r>
        <w:rPr>
          <w:sz w:val="20"/>
          <w:szCs w:val="20"/>
        </w:rPr>
        <w:t xml:space="preserve">repurchase shares of its common stock, par value $0.01 per share, with an aggregate gross purchase price of up </w:t>
      </w:r>
      <w:r>
        <w:rPr>
          <w:sz w:val="20"/>
          <w:szCs w:val="20"/>
        </w:rPr>
        <w:t xml:space="preserve">to $300.0 million. The Company did </w:t>
      </w:r>
      <w:r>
        <w:rPr>
          <w:rStyle w:val="a6"/>
          <w:sz w:val="20"/>
          <w:szCs w:val="20"/>
        </w:rPr>
        <w:t>not</w:t>
      </w:r>
      <w:r>
        <w:rPr>
          <w:sz w:val="20"/>
          <w:szCs w:val="20"/>
        </w:rPr>
        <w:t xml:space="preserve"> repurchase any shares under the share repurchase program during the </w:t>
      </w:r>
      <w:r>
        <w:rPr>
          <w:rStyle w:val="a6"/>
          <w:sz w:val="20"/>
          <w:szCs w:val="20"/>
        </w:rPr>
        <w:t>six</w:t>
      </w:r>
      <w:r>
        <w:rPr>
          <w:sz w:val="20"/>
          <w:szCs w:val="20"/>
        </w:rPr>
        <w:t xml:space="preserve"> months ended </w:t>
      </w:r>
      <w:r>
        <w:rPr>
          <w:rStyle w:val="a6"/>
          <w:sz w:val="20"/>
          <w:szCs w:val="20"/>
        </w:rPr>
        <w:t xml:space="preserve">June 30, 2020. </w:t>
      </w:r>
      <w:r>
        <w:rPr>
          <w:sz w:val="20"/>
          <w:szCs w:val="20"/>
        </w:rPr>
        <w:t xml:space="preserve">As of </w:t>
      </w:r>
      <w:r>
        <w:rPr>
          <w:rStyle w:val="a6"/>
          <w:sz w:val="20"/>
          <w:szCs w:val="20"/>
        </w:rPr>
        <w:t xml:space="preserve">June 30, 2020, </w:t>
      </w:r>
      <w:r>
        <w:rPr>
          <w:sz w:val="20"/>
          <w:szCs w:val="20"/>
        </w:rPr>
        <w:t>the Company had $224.9 million available under this share repurchase program.</w:t>
      </w:r>
    </w:p>
    <w:p w14:paraId="26FF8FE5" w14:textId="77777777" w:rsidR="00000000" w:rsidRDefault="00322B34">
      <w:pPr>
        <w:pStyle w:val="a3"/>
        <w:spacing w:before="0" w:beforeAutospacing="0" w:after="0" w:afterAutospacing="0"/>
        <w:ind w:firstLine="360"/>
        <w:jc w:val="both"/>
        <w:rPr>
          <w:sz w:val="20"/>
          <w:szCs w:val="20"/>
        </w:rPr>
      </w:pPr>
      <w:r>
        <w:rPr>
          <w:sz w:val="20"/>
          <w:szCs w:val="20"/>
        </w:rPr>
        <w:t> </w:t>
      </w:r>
    </w:p>
    <w:p w14:paraId="35401C4F" w14:textId="77777777" w:rsidR="00000000" w:rsidRDefault="00322B34">
      <w:pPr>
        <w:pStyle w:val="a3"/>
        <w:spacing w:before="0" w:beforeAutospacing="0" w:after="0" w:afterAutospacing="0"/>
        <w:ind w:firstLine="360"/>
        <w:jc w:val="both"/>
        <w:rPr>
          <w:sz w:val="20"/>
          <w:szCs w:val="20"/>
        </w:rPr>
      </w:pPr>
      <w:r>
        <w:rPr>
          <w:sz w:val="20"/>
          <w:szCs w:val="20"/>
        </w:rPr>
        <w:t xml:space="preserve">During </w:t>
      </w:r>
      <w:r>
        <w:rPr>
          <w:rStyle w:val="a6"/>
          <w:sz w:val="20"/>
          <w:szCs w:val="20"/>
        </w:rPr>
        <w:t xml:space="preserve">September 2019, </w:t>
      </w:r>
      <w:r>
        <w:rPr>
          <w:sz w:val="20"/>
          <w:szCs w:val="20"/>
        </w:rPr>
        <w:t xml:space="preserve">the Company established an at the market continuous offering program (“ATM program”), pursuant to which the Company </w:t>
      </w:r>
      <w:r>
        <w:rPr>
          <w:rStyle w:val="a6"/>
          <w:sz w:val="20"/>
          <w:szCs w:val="20"/>
        </w:rPr>
        <w:t xml:space="preserve">may </w:t>
      </w:r>
      <w:r>
        <w:rPr>
          <w:sz w:val="20"/>
          <w:szCs w:val="20"/>
        </w:rPr>
        <w:t>offer and sell from time to time shares of its common stock, par value $0.01 per share, with an aggregate gross sales pr</w:t>
      </w:r>
      <w:r>
        <w:rPr>
          <w:sz w:val="20"/>
          <w:szCs w:val="20"/>
        </w:rPr>
        <w:t xml:space="preserve">ice of up to $500.0 million through a consortium of banks acting as sales agents. Sales of the shares of common stock </w:t>
      </w:r>
      <w:r>
        <w:rPr>
          <w:rStyle w:val="a6"/>
          <w:sz w:val="20"/>
          <w:szCs w:val="20"/>
        </w:rPr>
        <w:t xml:space="preserve">may </w:t>
      </w:r>
      <w:r>
        <w:rPr>
          <w:sz w:val="20"/>
          <w:szCs w:val="20"/>
        </w:rPr>
        <w:t xml:space="preserve">be made, as needed, from time to time in “at the market” offerings as defined in Rule </w:t>
      </w:r>
      <w:r>
        <w:rPr>
          <w:rStyle w:val="a6"/>
          <w:sz w:val="20"/>
          <w:szCs w:val="20"/>
        </w:rPr>
        <w:t>415</w:t>
      </w:r>
      <w:r>
        <w:rPr>
          <w:sz w:val="20"/>
          <w:szCs w:val="20"/>
        </w:rPr>
        <w:t xml:space="preserve"> of the Securities Act of </w:t>
      </w:r>
      <w:r>
        <w:rPr>
          <w:rStyle w:val="a6"/>
          <w:sz w:val="20"/>
          <w:szCs w:val="20"/>
        </w:rPr>
        <w:t>1933,</w:t>
      </w:r>
      <w:r>
        <w:rPr>
          <w:sz w:val="20"/>
          <w:szCs w:val="20"/>
        </w:rPr>
        <w:t xml:space="preserve"> including by </w:t>
      </w:r>
      <w:r>
        <w:rPr>
          <w:sz w:val="20"/>
          <w:szCs w:val="20"/>
        </w:rPr>
        <w:t>means of ordinary brokers’ transactions on the New York Stock Exchange or otherwise (i) at market prices prevailing at the time of sale, (ii) at prices related to prevailing market prices or (iii) as otherwise agreed to with the applicable sales agent. The</w:t>
      </w:r>
      <w:r>
        <w:rPr>
          <w:sz w:val="20"/>
          <w:szCs w:val="20"/>
        </w:rPr>
        <w:t xml:space="preserve"> Company did </w:t>
      </w:r>
      <w:r>
        <w:rPr>
          <w:rStyle w:val="a6"/>
          <w:sz w:val="20"/>
          <w:szCs w:val="20"/>
        </w:rPr>
        <w:t>not</w:t>
      </w:r>
      <w:r>
        <w:rPr>
          <w:sz w:val="20"/>
          <w:szCs w:val="20"/>
        </w:rPr>
        <w:t xml:space="preserve"> offer for sale any shares of common stock under the ATM program during the </w:t>
      </w:r>
      <w:r>
        <w:rPr>
          <w:rStyle w:val="a6"/>
          <w:sz w:val="20"/>
          <w:szCs w:val="20"/>
        </w:rPr>
        <w:t>six</w:t>
      </w:r>
      <w:r>
        <w:rPr>
          <w:sz w:val="20"/>
          <w:szCs w:val="20"/>
        </w:rPr>
        <w:t xml:space="preserve"> months ended </w:t>
      </w:r>
      <w:r>
        <w:rPr>
          <w:rStyle w:val="a6"/>
          <w:sz w:val="20"/>
          <w:szCs w:val="20"/>
        </w:rPr>
        <w:t>June 30, 2020.</w:t>
      </w:r>
    </w:p>
    <w:p w14:paraId="778ACD8D" w14:textId="77777777" w:rsidR="00000000" w:rsidRDefault="00322B34">
      <w:pPr>
        <w:pStyle w:val="a3"/>
        <w:spacing w:before="0" w:beforeAutospacing="0" w:after="0" w:afterAutospacing="0"/>
        <w:jc w:val="both"/>
        <w:rPr>
          <w:sz w:val="20"/>
          <w:szCs w:val="20"/>
        </w:rPr>
      </w:pPr>
      <w:r>
        <w:rPr>
          <w:i/>
          <w:iCs/>
          <w:sz w:val="20"/>
          <w:szCs w:val="20"/>
        </w:rPr>
        <w:t> </w:t>
      </w:r>
    </w:p>
    <w:p w14:paraId="22FC85AC" w14:textId="77777777" w:rsidR="00000000" w:rsidRDefault="00322B34">
      <w:pPr>
        <w:pStyle w:val="a3"/>
        <w:spacing w:before="0" w:beforeAutospacing="0" w:after="0" w:afterAutospacing="0"/>
        <w:jc w:val="both"/>
        <w:rPr>
          <w:sz w:val="20"/>
          <w:szCs w:val="20"/>
        </w:rPr>
      </w:pPr>
      <w:r>
        <w:rPr>
          <w:i/>
          <w:iCs/>
          <w:sz w:val="20"/>
          <w:szCs w:val="20"/>
        </w:rPr>
        <w:t>Dividends Declared -</w:t>
      </w:r>
    </w:p>
    <w:p w14:paraId="4CA0DD3E" w14:textId="77777777" w:rsidR="00000000" w:rsidRDefault="00322B34">
      <w:pPr>
        <w:pStyle w:val="a3"/>
        <w:spacing w:before="0" w:beforeAutospacing="0" w:after="0" w:afterAutospacing="0"/>
        <w:rPr>
          <w:sz w:val="20"/>
          <w:szCs w:val="20"/>
        </w:rPr>
      </w:pPr>
      <w:r>
        <w:rPr>
          <w:sz w:val="20"/>
          <w:szCs w:val="20"/>
        </w:rPr>
        <w:t> </w:t>
      </w:r>
    </w:p>
    <w:p w14:paraId="5254717C" w14:textId="77777777" w:rsidR="00000000" w:rsidRDefault="00322B34">
      <w:pPr>
        <w:pStyle w:val="a3"/>
        <w:spacing w:before="0" w:beforeAutospacing="0" w:after="0" w:afterAutospacing="0"/>
        <w:ind w:left="360"/>
        <w:jc w:val="both"/>
        <w:rPr>
          <w:sz w:val="20"/>
          <w:szCs w:val="20"/>
        </w:rPr>
      </w:pPr>
      <w:r>
        <w:rPr>
          <w:sz w:val="20"/>
          <w:szCs w:val="20"/>
        </w:rPr>
        <w:t>The following table provides a summary of the dividends declared per share:</w:t>
      </w:r>
    </w:p>
    <w:p w14:paraId="0C927359" w14:textId="77777777" w:rsidR="00000000" w:rsidRDefault="00322B34">
      <w:pPr>
        <w:pStyle w:val="a3"/>
        <w:spacing w:before="0" w:beforeAutospacing="0" w:after="0" w:afterAutospacing="0"/>
        <w:ind w:left="360"/>
        <w:jc w:val="both"/>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281"/>
        <w:gridCol w:w="67"/>
        <w:gridCol w:w="100"/>
        <w:gridCol w:w="814"/>
        <w:gridCol w:w="67"/>
        <w:gridCol w:w="67"/>
        <w:gridCol w:w="100"/>
        <w:gridCol w:w="814"/>
        <w:gridCol w:w="67"/>
        <w:gridCol w:w="67"/>
        <w:gridCol w:w="100"/>
        <w:gridCol w:w="814"/>
        <w:gridCol w:w="67"/>
        <w:gridCol w:w="67"/>
        <w:gridCol w:w="100"/>
        <w:gridCol w:w="815"/>
        <w:gridCol w:w="68"/>
      </w:tblGrid>
      <w:tr w:rsidR="00000000" w14:paraId="243EE13C" w14:textId="77777777">
        <w:trPr>
          <w:tblCellSpacing w:w="0" w:type="dxa"/>
        </w:trPr>
        <w:tc>
          <w:tcPr>
            <w:tcW w:w="0" w:type="auto"/>
            <w:vAlign w:val="bottom"/>
            <w:hideMark/>
          </w:tcPr>
          <w:p w14:paraId="695FD3E1"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C504192"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DF047EB" w14:textId="77777777" w:rsidR="00000000" w:rsidRDefault="00322B34">
            <w:pPr>
              <w:pStyle w:val="a3"/>
              <w:spacing w:before="0" w:beforeAutospacing="0" w:after="0" w:afterAutospacing="0"/>
              <w:jc w:val="center"/>
              <w:rPr>
                <w:sz w:val="20"/>
                <w:szCs w:val="20"/>
              </w:rPr>
            </w:pPr>
            <w:r>
              <w:rPr>
                <w:b/>
                <w:bCs/>
                <w:sz w:val="20"/>
                <w:szCs w:val="20"/>
              </w:rPr>
              <w:t>Three Months Ended June 30,</w:t>
            </w:r>
          </w:p>
        </w:tc>
        <w:tc>
          <w:tcPr>
            <w:tcW w:w="0" w:type="auto"/>
            <w:tcMar>
              <w:top w:w="0" w:type="dxa"/>
              <w:left w:w="0" w:type="dxa"/>
              <w:bottom w:w="15" w:type="dxa"/>
              <w:right w:w="0" w:type="dxa"/>
            </w:tcMar>
            <w:vAlign w:val="bottom"/>
            <w:hideMark/>
          </w:tcPr>
          <w:p w14:paraId="1603DFF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DB38ED3"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C7AFFCE" w14:textId="77777777" w:rsidR="00000000" w:rsidRDefault="00322B34">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75B462CA" w14:textId="77777777" w:rsidR="00000000" w:rsidRDefault="00322B34">
            <w:pPr>
              <w:rPr>
                <w:rFonts w:eastAsia="Times New Roman"/>
                <w:sz w:val="20"/>
                <w:szCs w:val="20"/>
              </w:rPr>
            </w:pPr>
            <w:r>
              <w:rPr>
                <w:rFonts w:eastAsia="Times New Roman"/>
                <w:sz w:val="20"/>
                <w:szCs w:val="20"/>
              </w:rPr>
              <w:t> </w:t>
            </w:r>
          </w:p>
        </w:tc>
      </w:tr>
      <w:tr w:rsidR="00000000" w14:paraId="06E6547D" w14:textId="77777777">
        <w:trPr>
          <w:tblCellSpacing w:w="0" w:type="dxa"/>
        </w:trPr>
        <w:tc>
          <w:tcPr>
            <w:tcW w:w="0" w:type="auto"/>
            <w:vAlign w:val="bottom"/>
            <w:hideMark/>
          </w:tcPr>
          <w:p w14:paraId="1B538C65"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F3DD11C"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18C17E2"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667D048D"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524920D"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703EE17"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CD1BB5F"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50E359C"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D2B4C28"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611573F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F0FD2D5"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D17FD02"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4C522871" w14:textId="77777777" w:rsidR="00000000" w:rsidRDefault="00322B34">
            <w:pPr>
              <w:rPr>
                <w:rFonts w:eastAsia="Times New Roman"/>
                <w:sz w:val="20"/>
                <w:szCs w:val="20"/>
              </w:rPr>
            </w:pPr>
            <w:r>
              <w:rPr>
                <w:rFonts w:eastAsia="Times New Roman"/>
                <w:sz w:val="20"/>
                <w:szCs w:val="20"/>
              </w:rPr>
              <w:t> </w:t>
            </w:r>
          </w:p>
        </w:tc>
      </w:tr>
      <w:tr w:rsidR="00000000" w14:paraId="0A18E670" w14:textId="77777777">
        <w:trPr>
          <w:tblCellSpacing w:w="0" w:type="dxa"/>
        </w:trPr>
        <w:tc>
          <w:tcPr>
            <w:tcW w:w="2200" w:type="pct"/>
            <w:shd w:val="clear" w:color="auto" w:fill="CCEEFF"/>
            <w:vAlign w:val="bottom"/>
            <w:hideMark/>
          </w:tcPr>
          <w:p w14:paraId="4D44064B" w14:textId="77777777" w:rsidR="00000000" w:rsidRDefault="00322B34">
            <w:pPr>
              <w:pStyle w:val="a3"/>
              <w:spacing w:before="0" w:beforeAutospacing="0" w:after="0" w:afterAutospacing="0"/>
              <w:rPr>
                <w:sz w:val="20"/>
                <w:szCs w:val="20"/>
              </w:rPr>
            </w:pPr>
            <w:r>
              <w:rPr>
                <w:sz w:val="20"/>
                <w:szCs w:val="20"/>
              </w:rPr>
              <w:t>Common Shares (1)</w:t>
            </w:r>
          </w:p>
        </w:tc>
        <w:tc>
          <w:tcPr>
            <w:tcW w:w="50" w:type="pct"/>
            <w:tcBorders>
              <w:bottom w:val="nil"/>
            </w:tcBorders>
            <w:shd w:val="clear" w:color="auto" w:fill="CCEEFF"/>
            <w:vAlign w:val="bottom"/>
            <w:hideMark/>
          </w:tcPr>
          <w:p w14:paraId="45B23EA4"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219F9C9" w14:textId="77777777" w:rsidR="00000000" w:rsidRDefault="00322B34">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1990768E" w14:textId="77777777" w:rsidR="00000000" w:rsidRDefault="00322B34">
            <w:pPr>
              <w:jc w:val="right"/>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14:paraId="5620D397"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46235ED"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6BB986C" w14:textId="77777777" w:rsidR="00000000" w:rsidRDefault="00322B34">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65D31A1C" w14:textId="77777777" w:rsidR="00000000" w:rsidRDefault="00322B34">
            <w:pPr>
              <w:jc w:val="right"/>
              <w:rPr>
                <w:rFonts w:eastAsia="Times New Roman"/>
                <w:sz w:val="20"/>
                <w:szCs w:val="20"/>
              </w:rPr>
            </w:pPr>
            <w:r>
              <w:rPr>
                <w:rFonts w:eastAsia="Times New Roman"/>
                <w:sz w:val="20"/>
                <w:szCs w:val="20"/>
              </w:rPr>
              <w:t>0.28000</w:t>
            </w:r>
          </w:p>
        </w:tc>
        <w:tc>
          <w:tcPr>
            <w:tcW w:w="50" w:type="pct"/>
            <w:tcBorders>
              <w:bottom w:val="nil"/>
            </w:tcBorders>
            <w:shd w:val="clear" w:color="auto" w:fill="CCEEFF"/>
            <w:vAlign w:val="bottom"/>
            <w:hideMark/>
          </w:tcPr>
          <w:p w14:paraId="6E9D8AD2"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CE394A6"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1CA6F9C" w14:textId="77777777" w:rsidR="00000000" w:rsidRDefault="00322B34">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3E287C34" w14:textId="77777777" w:rsidR="00000000" w:rsidRDefault="00322B34">
            <w:pPr>
              <w:jc w:val="right"/>
              <w:rPr>
                <w:rFonts w:eastAsia="Times New Roman"/>
                <w:sz w:val="20"/>
                <w:szCs w:val="20"/>
              </w:rPr>
            </w:pPr>
            <w:r>
              <w:rPr>
                <w:rFonts w:eastAsia="Times New Roman"/>
                <w:sz w:val="20"/>
                <w:szCs w:val="20"/>
              </w:rPr>
              <w:t>0.28000</w:t>
            </w:r>
          </w:p>
        </w:tc>
        <w:tc>
          <w:tcPr>
            <w:tcW w:w="50" w:type="pct"/>
            <w:tcBorders>
              <w:bottom w:val="nil"/>
            </w:tcBorders>
            <w:shd w:val="clear" w:color="auto" w:fill="CCEEFF"/>
            <w:vAlign w:val="bottom"/>
            <w:hideMark/>
          </w:tcPr>
          <w:p w14:paraId="3231AA23"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658D2FD"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8A2F853" w14:textId="77777777" w:rsidR="00000000" w:rsidRDefault="00322B34">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14:paraId="6F1D3568" w14:textId="77777777" w:rsidR="00000000" w:rsidRDefault="00322B34">
            <w:pPr>
              <w:jc w:val="right"/>
              <w:rPr>
                <w:rFonts w:eastAsia="Times New Roman"/>
                <w:sz w:val="20"/>
                <w:szCs w:val="20"/>
              </w:rPr>
            </w:pPr>
            <w:r>
              <w:rPr>
                <w:rFonts w:eastAsia="Times New Roman"/>
                <w:sz w:val="20"/>
                <w:szCs w:val="20"/>
              </w:rPr>
              <w:t>0.56000</w:t>
            </w:r>
          </w:p>
        </w:tc>
        <w:tc>
          <w:tcPr>
            <w:tcW w:w="50" w:type="pct"/>
            <w:tcBorders>
              <w:bottom w:val="nil"/>
            </w:tcBorders>
            <w:shd w:val="clear" w:color="auto" w:fill="CCEEFF"/>
            <w:vAlign w:val="bottom"/>
            <w:hideMark/>
          </w:tcPr>
          <w:p w14:paraId="4E96CBE5" w14:textId="77777777" w:rsidR="00000000" w:rsidRDefault="00322B34">
            <w:pPr>
              <w:rPr>
                <w:rFonts w:eastAsia="Times New Roman"/>
                <w:sz w:val="20"/>
                <w:szCs w:val="20"/>
              </w:rPr>
            </w:pPr>
            <w:r>
              <w:rPr>
                <w:rFonts w:eastAsia="Times New Roman"/>
                <w:sz w:val="20"/>
                <w:szCs w:val="20"/>
              </w:rPr>
              <w:t> </w:t>
            </w:r>
          </w:p>
        </w:tc>
      </w:tr>
      <w:tr w:rsidR="00000000" w14:paraId="52B60152" w14:textId="77777777">
        <w:trPr>
          <w:tblCellSpacing w:w="0" w:type="dxa"/>
        </w:trPr>
        <w:tc>
          <w:tcPr>
            <w:tcW w:w="0" w:type="auto"/>
            <w:shd w:val="clear" w:color="auto" w:fill="FFFFFF"/>
            <w:vAlign w:val="bottom"/>
            <w:hideMark/>
          </w:tcPr>
          <w:p w14:paraId="784D0CC8" w14:textId="77777777" w:rsidR="00000000" w:rsidRDefault="00322B34">
            <w:pPr>
              <w:pStyle w:val="a3"/>
              <w:spacing w:before="0" w:beforeAutospacing="0" w:after="0" w:afterAutospacing="0"/>
              <w:rPr>
                <w:sz w:val="20"/>
                <w:szCs w:val="20"/>
              </w:rPr>
            </w:pPr>
            <w:r>
              <w:rPr>
                <w:sz w:val="20"/>
                <w:szCs w:val="20"/>
              </w:rPr>
              <w:t>Class I Depositary Shares (2)</w:t>
            </w:r>
          </w:p>
        </w:tc>
        <w:tc>
          <w:tcPr>
            <w:tcW w:w="50" w:type="pct"/>
            <w:shd w:val="clear" w:color="auto" w:fill="FFFFFF"/>
            <w:vAlign w:val="bottom"/>
            <w:hideMark/>
          </w:tcPr>
          <w:p w14:paraId="3EF05A6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C9041A" w14:textId="77777777" w:rsidR="00000000" w:rsidRDefault="00322B34">
            <w:pPr>
              <w:rPr>
                <w:rFonts w:eastAsia="Times New Roman"/>
                <w:sz w:val="20"/>
                <w:szCs w:val="20"/>
              </w:rPr>
            </w:pPr>
            <w:r>
              <w:rPr>
                <w:rFonts w:eastAsia="Times New Roman"/>
                <w:sz w:val="20"/>
                <w:szCs w:val="20"/>
              </w:rPr>
              <w:t>$</w:t>
            </w:r>
          </w:p>
        </w:tc>
        <w:tc>
          <w:tcPr>
            <w:tcW w:w="550" w:type="pct"/>
            <w:shd w:val="clear" w:color="auto" w:fill="FFFFFF"/>
            <w:vAlign w:val="bottom"/>
            <w:hideMark/>
          </w:tcPr>
          <w:p w14:paraId="2BAF1564"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6D45CC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F8ABD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E44346" w14:textId="77777777" w:rsidR="00000000" w:rsidRDefault="00322B34">
            <w:pPr>
              <w:rPr>
                <w:rFonts w:eastAsia="Times New Roman"/>
                <w:sz w:val="20"/>
                <w:szCs w:val="20"/>
              </w:rPr>
            </w:pPr>
            <w:r>
              <w:rPr>
                <w:rFonts w:eastAsia="Times New Roman"/>
                <w:sz w:val="20"/>
                <w:szCs w:val="20"/>
              </w:rPr>
              <w:t>$</w:t>
            </w:r>
          </w:p>
        </w:tc>
        <w:tc>
          <w:tcPr>
            <w:tcW w:w="550" w:type="pct"/>
            <w:shd w:val="clear" w:color="auto" w:fill="FFFFFF"/>
            <w:vAlign w:val="bottom"/>
            <w:hideMark/>
          </w:tcPr>
          <w:p w14:paraId="58F59FCE" w14:textId="77777777" w:rsidR="00000000" w:rsidRDefault="00322B34">
            <w:pPr>
              <w:jc w:val="right"/>
              <w:rPr>
                <w:rFonts w:eastAsia="Times New Roman"/>
                <w:sz w:val="20"/>
                <w:szCs w:val="20"/>
              </w:rPr>
            </w:pPr>
            <w:r>
              <w:rPr>
                <w:rFonts w:eastAsia="Times New Roman"/>
                <w:sz w:val="20"/>
                <w:szCs w:val="20"/>
              </w:rPr>
              <w:t>0.37500</w:t>
            </w:r>
          </w:p>
        </w:tc>
        <w:tc>
          <w:tcPr>
            <w:tcW w:w="50" w:type="pct"/>
            <w:shd w:val="clear" w:color="auto" w:fill="FFFFFF"/>
            <w:vAlign w:val="bottom"/>
            <w:hideMark/>
          </w:tcPr>
          <w:p w14:paraId="620097B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C87D2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7613D0" w14:textId="77777777" w:rsidR="00000000" w:rsidRDefault="00322B34">
            <w:pPr>
              <w:rPr>
                <w:rFonts w:eastAsia="Times New Roman"/>
                <w:sz w:val="20"/>
                <w:szCs w:val="20"/>
              </w:rPr>
            </w:pPr>
            <w:r>
              <w:rPr>
                <w:rFonts w:eastAsia="Times New Roman"/>
                <w:sz w:val="20"/>
                <w:szCs w:val="20"/>
              </w:rPr>
              <w:t>$</w:t>
            </w:r>
          </w:p>
        </w:tc>
        <w:tc>
          <w:tcPr>
            <w:tcW w:w="550" w:type="pct"/>
            <w:shd w:val="clear" w:color="auto" w:fill="FFFFFF"/>
            <w:vAlign w:val="bottom"/>
            <w:hideMark/>
          </w:tcPr>
          <w:p w14:paraId="7DE2F9CF"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79685F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9D3F4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9045C8" w14:textId="77777777" w:rsidR="00000000" w:rsidRDefault="00322B34">
            <w:pPr>
              <w:rPr>
                <w:rFonts w:eastAsia="Times New Roman"/>
                <w:sz w:val="20"/>
                <w:szCs w:val="20"/>
              </w:rPr>
            </w:pPr>
            <w:r>
              <w:rPr>
                <w:rFonts w:eastAsia="Times New Roman"/>
                <w:sz w:val="20"/>
                <w:szCs w:val="20"/>
              </w:rPr>
              <w:t>$</w:t>
            </w:r>
          </w:p>
        </w:tc>
        <w:tc>
          <w:tcPr>
            <w:tcW w:w="550" w:type="pct"/>
            <w:shd w:val="clear" w:color="auto" w:fill="FFFFFF"/>
            <w:vAlign w:val="bottom"/>
            <w:hideMark/>
          </w:tcPr>
          <w:p w14:paraId="2CD1C0BB" w14:textId="77777777" w:rsidR="00000000" w:rsidRDefault="00322B34">
            <w:pPr>
              <w:jc w:val="right"/>
              <w:rPr>
                <w:rFonts w:eastAsia="Times New Roman"/>
                <w:sz w:val="20"/>
                <w:szCs w:val="20"/>
              </w:rPr>
            </w:pPr>
            <w:r>
              <w:rPr>
                <w:rFonts w:eastAsia="Times New Roman"/>
                <w:sz w:val="20"/>
                <w:szCs w:val="20"/>
              </w:rPr>
              <w:t>0.75000</w:t>
            </w:r>
          </w:p>
        </w:tc>
        <w:tc>
          <w:tcPr>
            <w:tcW w:w="50" w:type="pct"/>
            <w:shd w:val="clear" w:color="auto" w:fill="FFFFFF"/>
            <w:vAlign w:val="bottom"/>
            <w:hideMark/>
          </w:tcPr>
          <w:p w14:paraId="05DB8CD2" w14:textId="77777777" w:rsidR="00000000" w:rsidRDefault="00322B34">
            <w:pPr>
              <w:rPr>
                <w:rFonts w:eastAsia="Times New Roman"/>
                <w:sz w:val="20"/>
                <w:szCs w:val="20"/>
              </w:rPr>
            </w:pPr>
            <w:r>
              <w:rPr>
                <w:rFonts w:eastAsia="Times New Roman"/>
                <w:sz w:val="20"/>
                <w:szCs w:val="20"/>
              </w:rPr>
              <w:t> </w:t>
            </w:r>
          </w:p>
        </w:tc>
      </w:tr>
      <w:tr w:rsidR="00000000" w14:paraId="36BB9228" w14:textId="77777777">
        <w:trPr>
          <w:tblCellSpacing w:w="0" w:type="dxa"/>
        </w:trPr>
        <w:tc>
          <w:tcPr>
            <w:tcW w:w="0" w:type="auto"/>
            <w:shd w:val="clear" w:color="auto" w:fill="CCEEFF"/>
            <w:vAlign w:val="bottom"/>
            <w:hideMark/>
          </w:tcPr>
          <w:p w14:paraId="2B5D8700" w14:textId="77777777" w:rsidR="00000000" w:rsidRDefault="00322B34">
            <w:pPr>
              <w:pStyle w:val="a3"/>
              <w:spacing w:before="0" w:beforeAutospacing="0" w:after="0" w:afterAutospacing="0"/>
              <w:rPr>
                <w:sz w:val="20"/>
                <w:szCs w:val="20"/>
              </w:rPr>
            </w:pPr>
            <w:r>
              <w:rPr>
                <w:sz w:val="20"/>
                <w:szCs w:val="20"/>
              </w:rPr>
              <w:t>Class J Depositary Shares (2)</w:t>
            </w:r>
          </w:p>
        </w:tc>
        <w:tc>
          <w:tcPr>
            <w:tcW w:w="50" w:type="pct"/>
            <w:shd w:val="clear" w:color="auto" w:fill="CCEEFF"/>
            <w:vAlign w:val="bottom"/>
            <w:hideMark/>
          </w:tcPr>
          <w:p w14:paraId="3E10C72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B590FE" w14:textId="77777777" w:rsidR="00000000" w:rsidRDefault="00322B34">
            <w:pPr>
              <w:rPr>
                <w:rFonts w:eastAsia="Times New Roman"/>
                <w:sz w:val="20"/>
                <w:szCs w:val="20"/>
              </w:rPr>
            </w:pPr>
            <w:r>
              <w:rPr>
                <w:rFonts w:eastAsia="Times New Roman"/>
                <w:sz w:val="20"/>
                <w:szCs w:val="20"/>
              </w:rPr>
              <w:t>$</w:t>
            </w:r>
          </w:p>
        </w:tc>
        <w:tc>
          <w:tcPr>
            <w:tcW w:w="550" w:type="pct"/>
            <w:shd w:val="clear" w:color="auto" w:fill="CCEEFF"/>
            <w:vAlign w:val="bottom"/>
            <w:hideMark/>
          </w:tcPr>
          <w:p w14:paraId="648827FA"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6729B8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C47D1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003518" w14:textId="77777777" w:rsidR="00000000" w:rsidRDefault="00322B34">
            <w:pPr>
              <w:rPr>
                <w:rFonts w:eastAsia="Times New Roman"/>
                <w:sz w:val="20"/>
                <w:szCs w:val="20"/>
              </w:rPr>
            </w:pPr>
            <w:r>
              <w:rPr>
                <w:rFonts w:eastAsia="Times New Roman"/>
                <w:sz w:val="20"/>
                <w:szCs w:val="20"/>
              </w:rPr>
              <w:t>$</w:t>
            </w:r>
          </w:p>
        </w:tc>
        <w:tc>
          <w:tcPr>
            <w:tcW w:w="550" w:type="pct"/>
            <w:shd w:val="clear" w:color="auto" w:fill="CCEEFF"/>
            <w:vAlign w:val="bottom"/>
            <w:hideMark/>
          </w:tcPr>
          <w:p w14:paraId="4901D414" w14:textId="77777777" w:rsidR="00000000" w:rsidRDefault="00322B34">
            <w:pPr>
              <w:jc w:val="right"/>
              <w:rPr>
                <w:rFonts w:eastAsia="Times New Roman"/>
                <w:sz w:val="20"/>
                <w:szCs w:val="20"/>
              </w:rPr>
            </w:pPr>
            <w:r>
              <w:rPr>
                <w:rFonts w:eastAsia="Times New Roman"/>
                <w:sz w:val="20"/>
                <w:szCs w:val="20"/>
              </w:rPr>
              <w:t>0.34375</w:t>
            </w:r>
          </w:p>
        </w:tc>
        <w:tc>
          <w:tcPr>
            <w:tcW w:w="50" w:type="pct"/>
            <w:shd w:val="clear" w:color="auto" w:fill="CCEEFF"/>
            <w:vAlign w:val="bottom"/>
            <w:hideMark/>
          </w:tcPr>
          <w:p w14:paraId="6631CE7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CB9FB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BA6D64" w14:textId="77777777" w:rsidR="00000000" w:rsidRDefault="00322B34">
            <w:pPr>
              <w:rPr>
                <w:rFonts w:eastAsia="Times New Roman"/>
                <w:sz w:val="20"/>
                <w:szCs w:val="20"/>
              </w:rPr>
            </w:pPr>
            <w:r>
              <w:rPr>
                <w:rFonts w:eastAsia="Times New Roman"/>
                <w:sz w:val="20"/>
                <w:szCs w:val="20"/>
              </w:rPr>
              <w:t>$</w:t>
            </w:r>
          </w:p>
        </w:tc>
        <w:tc>
          <w:tcPr>
            <w:tcW w:w="550" w:type="pct"/>
            <w:shd w:val="clear" w:color="auto" w:fill="CCEEFF"/>
            <w:vAlign w:val="bottom"/>
            <w:hideMark/>
          </w:tcPr>
          <w:p w14:paraId="48038D96"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B5BA1C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5A843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9031C3" w14:textId="77777777" w:rsidR="00000000" w:rsidRDefault="00322B34">
            <w:pPr>
              <w:rPr>
                <w:rFonts w:eastAsia="Times New Roman"/>
                <w:sz w:val="20"/>
                <w:szCs w:val="20"/>
              </w:rPr>
            </w:pPr>
            <w:r>
              <w:rPr>
                <w:rFonts w:eastAsia="Times New Roman"/>
                <w:sz w:val="20"/>
                <w:szCs w:val="20"/>
              </w:rPr>
              <w:t>$</w:t>
            </w:r>
          </w:p>
        </w:tc>
        <w:tc>
          <w:tcPr>
            <w:tcW w:w="550" w:type="pct"/>
            <w:shd w:val="clear" w:color="auto" w:fill="CCEEFF"/>
            <w:vAlign w:val="bottom"/>
            <w:hideMark/>
          </w:tcPr>
          <w:p w14:paraId="52D1ED9D" w14:textId="77777777" w:rsidR="00000000" w:rsidRDefault="00322B34">
            <w:pPr>
              <w:jc w:val="right"/>
              <w:rPr>
                <w:rFonts w:eastAsia="Times New Roman"/>
                <w:sz w:val="20"/>
                <w:szCs w:val="20"/>
              </w:rPr>
            </w:pPr>
            <w:r>
              <w:rPr>
                <w:rFonts w:eastAsia="Times New Roman"/>
                <w:sz w:val="20"/>
                <w:szCs w:val="20"/>
              </w:rPr>
              <w:t>0.68750</w:t>
            </w:r>
          </w:p>
        </w:tc>
        <w:tc>
          <w:tcPr>
            <w:tcW w:w="50" w:type="pct"/>
            <w:shd w:val="clear" w:color="auto" w:fill="CCEEFF"/>
            <w:vAlign w:val="bottom"/>
            <w:hideMark/>
          </w:tcPr>
          <w:p w14:paraId="5A958FD4" w14:textId="77777777" w:rsidR="00000000" w:rsidRDefault="00322B34">
            <w:pPr>
              <w:rPr>
                <w:rFonts w:eastAsia="Times New Roman"/>
                <w:sz w:val="20"/>
                <w:szCs w:val="20"/>
              </w:rPr>
            </w:pPr>
            <w:r>
              <w:rPr>
                <w:rFonts w:eastAsia="Times New Roman"/>
                <w:sz w:val="20"/>
                <w:szCs w:val="20"/>
              </w:rPr>
              <w:t> </w:t>
            </w:r>
          </w:p>
        </w:tc>
      </w:tr>
      <w:tr w:rsidR="00000000" w14:paraId="06E4CFC9" w14:textId="77777777">
        <w:trPr>
          <w:tblCellSpacing w:w="0" w:type="dxa"/>
        </w:trPr>
        <w:tc>
          <w:tcPr>
            <w:tcW w:w="0" w:type="auto"/>
            <w:shd w:val="clear" w:color="auto" w:fill="FFFFFF"/>
            <w:vAlign w:val="bottom"/>
            <w:hideMark/>
          </w:tcPr>
          <w:p w14:paraId="54E2CFB6" w14:textId="77777777" w:rsidR="00000000" w:rsidRDefault="00322B34">
            <w:pPr>
              <w:pStyle w:val="a3"/>
              <w:spacing w:before="0" w:beforeAutospacing="0" w:after="0" w:afterAutospacing="0"/>
              <w:rPr>
                <w:sz w:val="20"/>
                <w:szCs w:val="20"/>
              </w:rPr>
            </w:pPr>
            <w:r>
              <w:rPr>
                <w:sz w:val="20"/>
                <w:szCs w:val="20"/>
              </w:rPr>
              <w:t>Class K Depositary Shares (2)</w:t>
            </w:r>
          </w:p>
        </w:tc>
        <w:tc>
          <w:tcPr>
            <w:tcW w:w="50" w:type="pct"/>
            <w:shd w:val="clear" w:color="auto" w:fill="FFFFFF"/>
            <w:vAlign w:val="bottom"/>
            <w:hideMark/>
          </w:tcPr>
          <w:p w14:paraId="1C47686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7C6DAF" w14:textId="77777777" w:rsidR="00000000" w:rsidRDefault="00322B34">
            <w:pPr>
              <w:rPr>
                <w:rFonts w:eastAsia="Times New Roman"/>
                <w:sz w:val="20"/>
                <w:szCs w:val="20"/>
              </w:rPr>
            </w:pPr>
            <w:r>
              <w:rPr>
                <w:rFonts w:eastAsia="Times New Roman"/>
                <w:sz w:val="20"/>
                <w:szCs w:val="20"/>
              </w:rPr>
              <w:t>$</w:t>
            </w:r>
          </w:p>
        </w:tc>
        <w:tc>
          <w:tcPr>
            <w:tcW w:w="550" w:type="pct"/>
            <w:shd w:val="clear" w:color="auto" w:fill="FFFFFF"/>
            <w:vAlign w:val="bottom"/>
            <w:hideMark/>
          </w:tcPr>
          <w:p w14:paraId="1288DCF8"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791DC7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C3171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5AD6F4" w14:textId="77777777" w:rsidR="00000000" w:rsidRDefault="00322B34">
            <w:pPr>
              <w:rPr>
                <w:rFonts w:eastAsia="Times New Roman"/>
                <w:sz w:val="20"/>
                <w:szCs w:val="20"/>
              </w:rPr>
            </w:pPr>
            <w:r>
              <w:rPr>
                <w:rFonts w:eastAsia="Times New Roman"/>
                <w:sz w:val="20"/>
                <w:szCs w:val="20"/>
              </w:rPr>
              <w:t>$</w:t>
            </w:r>
          </w:p>
        </w:tc>
        <w:tc>
          <w:tcPr>
            <w:tcW w:w="550" w:type="pct"/>
            <w:shd w:val="clear" w:color="auto" w:fill="FFFFFF"/>
            <w:vAlign w:val="bottom"/>
            <w:hideMark/>
          </w:tcPr>
          <w:p w14:paraId="3BF52E8D" w14:textId="77777777" w:rsidR="00000000" w:rsidRDefault="00322B34">
            <w:pPr>
              <w:jc w:val="right"/>
              <w:rPr>
                <w:rFonts w:eastAsia="Times New Roman"/>
                <w:sz w:val="20"/>
                <w:szCs w:val="20"/>
              </w:rPr>
            </w:pPr>
            <w:r>
              <w:rPr>
                <w:rFonts w:eastAsia="Times New Roman"/>
                <w:sz w:val="20"/>
                <w:szCs w:val="20"/>
              </w:rPr>
              <w:t>0.35156</w:t>
            </w:r>
          </w:p>
        </w:tc>
        <w:tc>
          <w:tcPr>
            <w:tcW w:w="50" w:type="pct"/>
            <w:shd w:val="clear" w:color="auto" w:fill="FFFFFF"/>
            <w:vAlign w:val="bottom"/>
            <w:hideMark/>
          </w:tcPr>
          <w:p w14:paraId="48079DE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40A59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1D7E6D" w14:textId="77777777" w:rsidR="00000000" w:rsidRDefault="00322B34">
            <w:pPr>
              <w:rPr>
                <w:rFonts w:eastAsia="Times New Roman"/>
                <w:sz w:val="20"/>
                <w:szCs w:val="20"/>
              </w:rPr>
            </w:pPr>
            <w:r>
              <w:rPr>
                <w:rFonts w:eastAsia="Times New Roman"/>
                <w:sz w:val="20"/>
                <w:szCs w:val="20"/>
              </w:rPr>
              <w:t>$</w:t>
            </w:r>
          </w:p>
        </w:tc>
        <w:tc>
          <w:tcPr>
            <w:tcW w:w="550" w:type="pct"/>
            <w:shd w:val="clear" w:color="auto" w:fill="FFFFFF"/>
            <w:vAlign w:val="bottom"/>
            <w:hideMark/>
          </w:tcPr>
          <w:p w14:paraId="2487FD02"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001EE4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1FB8C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002B45" w14:textId="77777777" w:rsidR="00000000" w:rsidRDefault="00322B34">
            <w:pPr>
              <w:rPr>
                <w:rFonts w:eastAsia="Times New Roman"/>
                <w:sz w:val="20"/>
                <w:szCs w:val="20"/>
              </w:rPr>
            </w:pPr>
            <w:r>
              <w:rPr>
                <w:rFonts w:eastAsia="Times New Roman"/>
                <w:sz w:val="20"/>
                <w:szCs w:val="20"/>
              </w:rPr>
              <w:t>$</w:t>
            </w:r>
          </w:p>
        </w:tc>
        <w:tc>
          <w:tcPr>
            <w:tcW w:w="550" w:type="pct"/>
            <w:shd w:val="clear" w:color="auto" w:fill="FFFFFF"/>
            <w:vAlign w:val="bottom"/>
            <w:hideMark/>
          </w:tcPr>
          <w:p w14:paraId="2A88B768" w14:textId="77777777" w:rsidR="00000000" w:rsidRDefault="00322B34">
            <w:pPr>
              <w:jc w:val="right"/>
              <w:rPr>
                <w:rFonts w:eastAsia="Times New Roman"/>
                <w:sz w:val="20"/>
                <w:szCs w:val="20"/>
              </w:rPr>
            </w:pPr>
            <w:r>
              <w:rPr>
                <w:rFonts w:eastAsia="Times New Roman"/>
                <w:sz w:val="20"/>
                <w:szCs w:val="20"/>
              </w:rPr>
              <w:t>0.70312</w:t>
            </w:r>
          </w:p>
        </w:tc>
        <w:tc>
          <w:tcPr>
            <w:tcW w:w="50" w:type="pct"/>
            <w:shd w:val="clear" w:color="auto" w:fill="FFFFFF"/>
            <w:vAlign w:val="bottom"/>
            <w:hideMark/>
          </w:tcPr>
          <w:p w14:paraId="59F0D33E" w14:textId="77777777" w:rsidR="00000000" w:rsidRDefault="00322B34">
            <w:pPr>
              <w:rPr>
                <w:rFonts w:eastAsia="Times New Roman"/>
                <w:sz w:val="20"/>
                <w:szCs w:val="20"/>
              </w:rPr>
            </w:pPr>
            <w:r>
              <w:rPr>
                <w:rFonts w:eastAsia="Times New Roman"/>
                <w:sz w:val="20"/>
                <w:szCs w:val="20"/>
              </w:rPr>
              <w:t> </w:t>
            </w:r>
          </w:p>
        </w:tc>
      </w:tr>
      <w:tr w:rsidR="00000000" w14:paraId="4F9FCFD0" w14:textId="77777777">
        <w:trPr>
          <w:tblCellSpacing w:w="0" w:type="dxa"/>
        </w:trPr>
        <w:tc>
          <w:tcPr>
            <w:tcW w:w="0" w:type="auto"/>
            <w:shd w:val="clear" w:color="auto" w:fill="CCEEFF"/>
            <w:vAlign w:val="bottom"/>
            <w:hideMark/>
          </w:tcPr>
          <w:p w14:paraId="130418D4" w14:textId="77777777" w:rsidR="00000000" w:rsidRDefault="00322B34">
            <w:pPr>
              <w:pStyle w:val="a3"/>
              <w:spacing w:before="0" w:beforeAutospacing="0" w:after="0" w:afterAutospacing="0"/>
              <w:rPr>
                <w:sz w:val="20"/>
                <w:szCs w:val="20"/>
              </w:rPr>
            </w:pPr>
            <w:r>
              <w:rPr>
                <w:sz w:val="20"/>
                <w:szCs w:val="20"/>
              </w:rPr>
              <w:t>Class L Depositary Shares</w:t>
            </w:r>
          </w:p>
        </w:tc>
        <w:tc>
          <w:tcPr>
            <w:tcW w:w="50" w:type="pct"/>
            <w:shd w:val="clear" w:color="auto" w:fill="CCEEFF"/>
            <w:vAlign w:val="bottom"/>
            <w:hideMark/>
          </w:tcPr>
          <w:p w14:paraId="1F39497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C35860" w14:textId="77777777" w:rsidR="00000000" w:rsidRDefault="00322B34">
            <w:pPr>
              <w:rPr>
                <w:rFonts w:eastAsia="Times New Roman"/>
                <w:sz w:val="20"/>
                <w:szCs w:val="20"/>
              </w:rPr>
            </w:pPr>
            <w:r>
              <w:rPr>
                <w:rFonts w:eastAsia="Times New Roman"/>
                <w:sz w:val="20"/>
                <w:szCs w:val="20"/>
              </w:rPr>
              <w:t>$</w:t>
            </w:r>
          </w:p>
        </w:tc>
        <w:tc>
          <w:tcPr>
            <w:tcW w:w="550" w:type="pct"/>
            <w:shd w:val="clear" w:color="auto" w:fill="CCEEFF"/>
            <w:vAlign w:val="bottom"/>
            <w:hideMark/>
          </w:tcPr>
          <w:p w14:paraId="28226365" w14:textId="77777777" w:rsidR="00000000" w:rsidRDefault="00322B34">
            <w:pPr>
              <w:jc w:val="right"/>
              <w:rPr>
                <w:rFonts w:eastAsia="Times New Roman"/>
                <w:sz w:val="20"/>
                <w:szCs w:val="20"/>
              </w:rPr>
            </w:pPr>
            <w:r>
              <w:rPr>
                <w:rFonts w:eastAsia="Times New Roman"/>
                <w:sz w:val="20"/>
                <w:szCs w:val="20"/>
              </w:rPr>
              <w:t>0.32031</w:t>
            </w:r>
          </w:p>
        </w:tc>
        <w:tc>
          <w:tcPr>
            <w:tcW w:w="50" w:type="pct"/>
            <w:shd w:val="clear" w:color="auto" w:fill="CCEEFF"/>
            <w:vAlign w:val="bottom"/>
            <w:hideMark/>
          </w:tcPr>
          <w:p w14:paraId="4A4BF1B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857D2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203D48" w14:textId="77777777" w:rsidR="00000000" w:rsidRDefault="00322B34">
            <w:pPr>
              <w:rPr>
                <w:rFonts w:eastAsia="Times New Roman"/>
                <w:sz w:val="20"/>
                <w:szCs w:val="20"/>
              </w:rPr>
            </w:pPr>
            <w:r>
              <w:rPr>
                <w:rFonts w:eastAsia="Times New Roman"/>
                <w:sz w:val="20"/>
                <w:szCs w:val="20"/>
              </w:rPr>
              <w:t>$</w:t>
            </w:r>
          </w:p>
        </w:tc>
        <w:tc>
          <w:tcPr>
            <w:tcW w:w="550" w:type="pct"/>
            <w:shd w:val="clear" w:color="auto" w:fill="CCEEFF"/>
            <w:vAlign w:val="bottom"/>
            <w:hideMark/>
          </w:tcPr>
          <w:p w14:paraId="69DBB863" w14:textId="77777777" w:rsidR="00000000" w:rsidRDefault="00322B34">
            <w:pPr>
              <w:jc w:val="right"/>
              <w:rPr>
                <w:rFonts w:eastAsia="Times New Roman"/>
                <w:sz w:val="20"/>
                <w:szCs w:val="20"/>
              </w:rPr>
            </w:pPr>
            <w:r>
              <w:rPr>
                <w:rFonts w:eastAsia="Times New Roman"/>
                <w:sz w:val="20"/>
                <w:szCs w:val="20"/>
              </w:rPr>
              <w:t>0.32031</w:t>
            </w:r>
          </w:p>
        </w:tc>
        <w:tc>
          <w:tcPr>
            <w:tcW w:w="50" w:type="pct"/>
            <w:shd w:val="clear" w:color="auto" w:fill="CCEEFF"/>
            <w:vAlign w:val="bottom"/>
            <w:hideMark/>
          </w:tcPr>
          <w:p w14:paraId="2D3DA7E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5E042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D24CD1" w14:textId="77777777" w:rsidR="00000000" w:rsidRDefault="00322B34">
            <w:pPr>
              <w:rPr>
                <w:rFonts w:eastAsia="Times New Roman"/>
                <w:sz w:val="20"/>
                <w:szCs w:val="20"/>
              </w:rPr>
            </w:pPr>
            <w:r>
              <w:rPr>
                <w:rFonts w:eastAsia="Times New Roman"/>
                <w:sz w:val="20"/>
                <w:szCs w:val="20"/>
              </w:rPr>
              <w:t>$</w:t>
            </w:r>
          </w:p>
        </w:tc>
        <w:tc>
          <w:tcPr>
            <w:tcW w:w="550" w:type="pct"/>
            <w:shd w:val="clear" w:color="auto" w:fill="CCEEFF"/>
            <w:vAlign w:val="bottom"/>
            <w:hideMark/>
          </w:tcPr>
          <w:p w14:paraId="64D9E968" w14:textId="77777777" w:rsidR="00000000" w:rsidRDefault="00322B34">
            <w:pPr>
              <w:jc w:val="right"/>
              <w:rPr>
                <w:rFonts w:eastAsia="Times New Roman"/>
                <w:sz w:val="20"/>
                <w:szCs w:val="20"/>
              </w:rPr>
            </w:pPr>
            <w:r>
              <w:rPr>
                <w:rFonts w:eastAsia="Times New Roman"/>
                <w:sz w:val="20"/>
                <w:szCs w:val="20"/>
              </w:rPr>
              <w:t>0.64062</w:t>
            </w:r>
          </w:p>
        </w:tc>
        <w:tc>
          <w:tcPr>
            <w:tcW w:w="50" w:type="pct"/>
            <w:shd w:val="clear" w:color="auto" w:fill="CCEEFF"/>
            <w:vAlign w:val="bottom"/>
            <w:hideMark/>
          </w:tcPr>
          <w:p w14:paraId="16DC21C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09D2A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E3ED79" w14:textId="77777777" w:rsidR="00000000" w:rsidRDefault="00322B34">
            <w:pPr>
              <w:rPr>
                <w:rFonts w:eastAsia="Times New Roman"/>
                <w:sz w:val="20"/>
                <w:szCs w:val="20"/>
              </w:rPr>
            </w:pPr>
            <w:r>
              <w:rPr>
                <w:rFonts w:eastAsia="Times New Roman"/>
                <w:sz w:val="20"/>
                <w:szCs w:val="20"/>
              </w:rPr>
              <w:t>$</w:t>
            </w:r>
          </w:p>
        </w:tc>
        <w:tc>
          <w:tcPr>
            <w:tcW w:w="550" w:type="pct"/>
            <w:shd w:val="clear" w:color="auto" w:fill="CCEEFF"/>
            <w:vAlign w:val="bottom"/>
            <w:hideMark/>
          </w:tcPr>
          <w:p w14:paraId="7019FE64" w14:textId="77777777" w:rsidR="00000000" w:rsidRDefault="00322B34">
            <w:pPr>
              <w:jc w:val="right"/>
              <w:rPr>
                <w:rFonts w:eastAsia="Times New Roman"/>
                <w:sz w:val="20"/>
                <w:szCs w:val="20"/>
              </w:rPr>
            </w:pPr>
            <w:r>
              <w:rPr>
                <w:rFonts w:eastAsia="Times New Roman"/>
                <w:sz w:val="20"/>
                <w:szCs w:val="20"/>
              </w:rPr>
              <w:t>0.64062</w:t>
            </w:r>
          </w:p>
        </w:tc>
        <w:tc>
          <w:tcPr>
            <w:tcW w:w="50" w:type="pct"/>
            <w:shd w:val="clear" w:color="auto" w:fill="CCEEFF"/>
            <w:vAlign w:val="bottom"/>
            <w:hideMark/>
          </w:tcPr>
          <w:p w14:paraId="30412E73" w14:textId="77777777" w:rsidR="00000000" w:rsidRDefault="00322B34">
            <w:pPr>
              <w:rPr>
                <w:rFonts w:eastAsia="Times New Roman"/>
                <w:sz w:val="20"/>
                <w:szCs w:val="20"/>
              </w:rPr>
            </w:pPr>
            <w:r>
              <w:rPr>
                <w:rFonts w:eastAsia="Times New Roman"/>
                <w:sz w:val="20"/>
                <w:szCs w:val="20"/>
              </w:rPr>
              <w:t> </w:t>
            </w:r>
          </w:p>
        </w:tc>
      </w:tr>
      <w:tr w:rsidR="00000000" w14:paraId="0D2F7B79" w14:textId="77777777">
        <w:trPr>
          <w:tblCellSpacing w:w="0" w:type="dxa"/>
        </w:trPr>
        <w:tc>
          <w:tcPr>
            <w:tcW w:w="0" w:type="auto"/>
            <w:shd w:val="clear" w:color="auto" w:fill="FFFFFF"/>
            <w:vAlign w:val="bottom"/>
            <w:hideMark/>
          </w:tcPr>
          <w:p w14:paraId="40F436D4" w14:textId="77777777" w:rsidR="00000000" w:rsidRDefault="00322B34">
            <w:pPr>
              <w:pStyle w:val="a3"/>
              <w:spacing w:before="0" w:beforeAutospacing="0" w:after="0" w:afterAutospacing="0"/>
              <w:rPr>
                <w:sz w:val="20"/>
                <w:szCs w:val="20"/>
              </w:rPr>
            </w:pPr>
            <w:r>
              <w:rPr>
                <w:sz w:val="20"/>
                <w:szCs w:val="20"/>
              </w:rPr>
              <w:t>Class M Depositary Shares</w:t>
            </w:r>
          </w:p>
        </w:tc>
        <w:tc>
          <w:tcPr>
            <w:tcW w:w="50" w:type="pct"/>
            <w:shd w:val="clear" w:color="auto" w:fill="FFFFFF"/>
            <w:vAlign w:val="bottom"/>
            <w:hideMark/>
          </w:tcPr>
          <w:p w14:paraId="73E83BC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4B310B" w14:textId="77777777" w:rsidR="00000000" w:rsidRDefault="00322B34">
            <w:pPr>
              <w:rPr>
                <w:rFonts w:eastAsia="Times New Roman"/>
                <w:sz w:val="20"/>
                <w:szCs w:val="20"/>
              </w:rPr>
            </w:pPr>
            <w:r>
              <w:rPr>
                <w:rFonts w:eastAsia="Times New Roman"/>
                <w:sz w:val="20"/>
                <w:szCs w:val="20"/>
              </w:rPr>
              <w:t>$</w:t>
            </w:r>
          </w:p>
        </w:tc>
        <w:tc>
          <w:tcPr>
            <w:tcW w:w="550" w:type="pct"/>
            <w:shd w:val="clear" w:color="auto" w:fill="FFFFFF"/>
            <w:vAlign w:val="bottom"/>
            <w:hideMark/>
          </w:tcPr>
          <w:p w14:paraId="72A5395A" w14:textId="77777777" w:rsidR="00000000" w:rsidRDefault="00322B34">
            <w:pPr>
              <w:jc w:val="right"/>
              <w:rPr>
                <w:rFonts w:eastAsia="Times New Roman"/>
                <w:sz w:val="20"/>
                <w:szCs w:val="20"/>
              </w:rPr>
            </w:pPr>
            <w:r>
              <w:rPr>
                <w:rFonts w:eastAsia="Times New Roman"/>
                <w:sz w:val="20"/>
                <w:szCs w:val="20"/>
              </w:rPr>
              <w:t>0.32813</w:t>
            </w:r>
          </w:p>
        </w:tc>
        <w:tc>
          <w:tcPr>
            <w:tcW w:w="50" w:type="pct"/>
            <w:shd w:val="clear" w:color="auto" w:fill="FFFFFF"/>
            <w:vAlign w:val="bottom"/>
            <w:hideMark/>
          </w:tcPr>
          <w:p w14:paraId="4796210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7E537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5536CD" w14:textId="77777777" w:rsidR="00000000" w:rsidRDefault="00322B34">
            <w:pPr>
              <w:rPr>
                <w:rFonts w:eastAsia="Times New Roman"/>
                <w:sz w:val="20"/>
                <w:szCs w:val="20"/>
              </w:rPr>
            </w:pPr>
            <w:r>
              <w:rPr>
                <w:rFonts w:eastAsia="Times New Roman"/>
                <w:sz w:val="20"/>
                <w:szCs w:val="20"/>
              </w:rPr>
              <w:t>$</w:t>
            </w:r>
          </w:p>
        </w:tc>
        <w:tc>
          <w:tcPr>
            <w:tcW w:w="550" w:type="pct"/>
            <w:shd w:val="clear" w:color="auto" w:fill="FFFFFF"/>
            <w:vAlign w:val="bottom"/>
            <w:hideMark/>
          </w:tcPr>
          <w:p w14:paraId="72243B40" w14:textId="77777777" w:rsidR="00000000" w:rsidRDefault="00322B34">
            <w:pPr>
              <w:jc w:val="right"/>
              <w:rPr>
                <w:rFonts w:eastAsia="Times New Roman"/>
                <w:sz w:val="20"/>
                <w:szCs w:val="20"/>
              </w:rPr>
            </w:pPr>
            <w:r>
              <w:rPr>
                <w:rFonts w:eastAsia="Times New Roman"/>
                <w:sz w:val="20"/>
                <w:szCs w:val="20"/>
              </w:rPr>
              <w:t>0.32813</w:t>
            </w:r>
          </w:p>
        </w:tc>
        <w:tc>
          <w:tcPr>
            <w:tcW w:w="50" w:type="pct"/>
            <w:shd w:val="clear" w:color="auto" w:fill="FFFFFF"/>
            <w:vAlign w:val="bottom"/>
            <w:hideMark/>
          </w:tcPr>
          <w:p w14:paraId="7301EBD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C1EFB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166AD7" w14:textId="77777777" w:rsidR="00000000" w:rsidRDefault="00322B34">
            <w:pPr>
              <w:rPr>
                <w:rFonts w:eastAsia="Times New Roman"/>
                <w:sz w:val="20"/>
                <w:szCs w:val="20"/>
              </w:rPr>
            </w:pPr>
            <w:r>
              <w:rPr>
                <w:rFonts w:eastAsia="Times New Roman"/>
                <w:sz w:val="20"/>
                <w:szCs w:val="20"/>
              </w:rPr>
              <w:t>$</w:t>
            </w:r>
          </w:p>
        </w:tc>
        <w:tc>
          <w:tcPr>
            <w:tcW w:w="550" w:type="pct"/>
            <w:shd w:val="clear" w:color="auto" w:fill="FFFFFF"/>
            <w:vAlign w:val="bottom"/>
            <w:hideMark/>
          </w:tcPr>
          <w:p w14:paraId="590DA3C1" w14:textId="77777777" w:rsidR="00000000" w:rsidRDefault="00322B34">
            <w:pPr>
              <w:jc w:val="right"/>
              <w:rPr>
                <w:rFonts w:eastAsia="Times New Roman"/>
                <w:sz w:val="20"/>
                <w:szCs w:val="20"/>
              </w:rPr>
            </w:pPr>
            <w:r>
              <w:rPr>
                <w:rFonts w:eastAsia="Times New Roman"/>
                <w:sz w:val="20"/>
                <w:szCs w:val="20"/>
              </w:rPr>
              <w:t>0.65626</w:t>
            </w:r>
          </w:p>
        </w:tc>
        <w:tc>
          <w:tcPr>
            <w:tcW w:w="50" w:type="pct"/>
            <w:shd w:val="clear" w:color="auto" w:fill="FFFFFF"/>
            <w:vAlign w:val="bottom"/>
            <w:hideMark/>
          </w:tcPr>
          <w:p w14:paraId="7B50014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4EA6D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624A1D" w14:textId="77777777" w:rsidR="00000000" w:rsidRDefault="00322B34">
            <w:pPr>
              <w:rPr>
                <w:rFonts w:eastAsia="Times New Roman"/>
                <w:sz w:val="20"/>
                <w:szCs w:val="20"/>
              </w:rPr>
            </w:pPr>
            <w:r>
              <w:rPr>
                <w:rFonts w:eastAsia="Times New Roman"/>
                <w:sz w:val="20"/>
                <w:szCs w:val="20"/>
              </w:rPr>
              <w:t>$</w:t>
            </w:r>
          </w:p>
        </w:tc>
        <w:tc>
          <w:tcPr>
            <w:tcW w:w="550" w:type="pct"/>
            <w:shd w:val="clear" w:color="auto" w:fill="FFFFFF"/>
            <w:vAlign w:val="bottom"/>
            <w:hideMark/>
          </w:tcPr>
          <w:p w14:paraId="68C1F820" w14:textId="77777777" w:rsidR="00000000" w:rsidRDefault="00322B34">
            <w:pPr>
              <w:jc w:val="right"/>
              <w:rPr>
                <w:rFonts w:eastAsia="Times New Roman"/>
                <w:sz w:val="20"/>
                <w:szCs w:val="20"/>
              </w:rPr>
            </w:pPr>
            <w:r>
              <w:rPr>
                <w:rFonts w:eastAsia="Times New Roman"/>
                <w:sz w:val="20"/>
                <w:szCs w:val="20"/>
              </w:rPr>
              <w:t>0.65626</w:t>
            </w:r>
          </w:p>
        </w:tc>
        <w:tc>
          <w:tcPr>
            <w:tcW w:w="50" w:type="pct"/>
            <w:shd w:val="clear" w:color="auto" w:fill="FFFFFF"/>
            <w:vAlign w:val="bottom"/>
            <w:hideMark/>
          </w:tcPr>
          <w:p w14:paraId="7458C94D" w14:textId="77777777" w:rsidR="00000000" w:rsidRDefault="00322B34">
            <w:pPr>
              <w:rPr>
                <w:rFonts w:eastAsia="Times New Roman"/>
                <w:sz w:val="20"/>
                <w:szCs w:val="20"/>
              </w:rPr>
            </w:pPr>
            <w:r>
              <w:rPr>
                <w:rFonts w:eastAsia="Times New Roman"/>
                <w:sz w:val="20"/>
                <w:szCs w:val="20"/>
              </w:rPr>
              <w:t> </w:t>
            </w:r>
          </w:p>
        </w:tc>
      </w:tr>
    </w:tbl>
    <w:p w14:paraId="71A08508" w14:textId="77777777" w:rsidR="00000000" w:rsidRDefault="00322B3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40"/>
        <w:gridCol w:w="360"/>
        <w:gridCol w:w="7306"/>
      </w:tblGrid>
      <w:tr w:rsidR="00000000" w14:paraId="389CA534" w14:textId="77777777">
        <w:trPr>
          <w:tblCellSpacing w:w="0" w:type="dxa"/>
        </w:trPr>
        <w:tc>
          <w:tcPr>
            <w:tcW w:w="640" w:type="dxa"/>
            <w:vAlign w:val="center"/>
            <w:hideMark/>
          </w:tcPr>
          <w:p w14:paraId="361C66F6" w14:textId="77777777" w:rsidR="00000000" w:rsidRDefault="00322B34">
            <w:pPr>
              <w:rPr>
                <w:rFonts w:eastAsia="Times New Roman"/>
                <w:sz w:val="20"/>
                <w:szCs w:val="20"/>
              </w:rPr>
            </w:pPr>
            <w:r>
              <w:rPr>
                <w:rFonts w:eastAsia="Times New Roman"/>
                <w:sz w:val="20"/>
                <w:szCs w:val="20"/>
              </w:rPr>
              <w:t> </w:t>
            </w:r>
          </w:p>
        </w:tc>
        <w:tc>
          <w:tcPr>
            <w:tcW w:w="360" w:type="dxa"/>
            <w:hideMark/>
          </w:tcPr>
          <w:p w14:paraId="7AA6CA4C"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14:paraId="6BABCB21" w14:textId="77777777" w:rsidR="00000000" w:rsidRDefault="00322B34">
            <w:pPr>
              <w:pStyle w:val="a3"/>
              <w:spacing w:before="0" w:beforeAutospacing="0" w:after="0" w:afterAutospacing="0"/>
              <w:jc w:val="both"/>
              <w:rPr>
                <w:sz w:val="20"/>
                <w:szCs w:val="20"/>
              </w:rPr>
            </w:pPr>
            <w:r>
              <w:rPr>
                <w:sz w:val="20"/>
                <w:szCs w:val="20"/>
              </w:rPr>
              <w:t xml:space="preserve">For the </w:t>
            </w:r>
            <w:r>
              <w:rPr>
                <w:rStyle w:val="a6"/>
                <w:sz w:val="20"/>
                <w:szCs w:val="20"/>
              </w:rPr>
              <w:t>three</w:t>
            </w:r>
            <w:r>
              <w:rPr>
                <w:sz w:val="20"/>
                <w:szCs w:val="20"/>
              </w:rPr>
              <w:t xml:space="preserve"> months ended </w:t>
            </w:r>
            <w:r>
              <w:rPr>
                <w:rStyle w:val="a6"/>
                <w:sz w:val="20"/>
                <w:szCs w:val="20"/>
              </w:rPr>
              <w:t xml:space="preserve">June 30, 2020, </w:t>
            </w:r>
            <w:r>
              <w:rPr>
                <w:sz w:val="20"/>
                <w:szCs w:val="20"/>
              </w:rPr>
              <w:t>as a result of the COVID-</w:t>
            </w:r>
            <w:r>
              <w:rPr>
                <w:rStyle w:val="a6"/>
                <w:sz w:val="20"/>
                <w:szCs w:val="20"/>
              </w:rPr>
              <w:t>19</w:t>
            </w:r>
            <w:r>
              <w:rPr>
                <w:sz w:val="20"/>
                <w:szCs w:val="20"/>
              </w:rPr>
              <w:t xml:space="preserve"> pandemic and the future economic uncertainties, out of an abundance of caution, the Company’s Board of Directors has temporarily suspended the dividend on its common shares. The Company’s Board of Directors will continue to moni</w:t>
            </w:r>
            <w:r>
              <w:rPr>
                <w:sz w:val="20"/>
                <w:szCs w:val="20"/>
              </w:rPr>
              <w:t>tor the Company’s financial performance and economic outlook, as well as the Company’s compliance with REIT taxable income distribution requirements.</w:t>
            </w:r>
          </w:p>
        </w:tc>
      </w:tr>
    </w:tbl>
    <w:p w14:paraId="6C7A8B3D"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40"/>
        <w:gridCol w:w="360"/>
        <w:gridCol w:w="7306"/>
      </w:tblGrid>
      <w:tr w:rsidR="00000000" w14:paraId="5C1DD57D" w14:textId="77777777">
        <w:trPr>
          <w:tblCellSpacing w:w="0" w:type="dxa"/>
        </w:trPr>
        <w:tc>
          <w:tcPr>
            <w:tcW w:w="640" w:type="dxa"/>
            <w:vAlign w:val="center"/>
            <w:hideMark/>
          </w:tcPr>
          <w:p w14:paraId="343C8AB6" w14:textId="77777777" w:rsidR="00000000" w:rsidRDefault="00322B34">
            <w:pPr>
              <w:rPr>
                <w:rFonts w:eastAsia="Times New Roman"/>
                <w:sz w:val="20"/>
                <w:szCs w:val="20"/>
              </w:rPr>
            </w:pPr>
            <w:r>
              <w:rPr>
                <w:rFonts w:eastAsia="Times New Roman"/>
                <w:sz w:val="20"/>
                <w:szCs w:val="20"/>
              </w:rPr>
              <w:t> </w:t>
            </w:r>
          </w:p>
        </w:tc>
        <w:tc>
          <w:tcPr>
            <w:tcW w:w="360" w:type="dxa"/>
            <w:hideMark/>
          </w:tcPr>
          <w:p w14:paraId="11A24329" w14:textId="77777777" w:rsidR="00000000" w:rsidRDefault="00322B34">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14:paraId="18F7239C" w14:textId="77777777" w:rsidR="00000000" w:rsidRDefault="00322B34">
            <w:pPr>
              <w:pStyle w:val="a3"/>
              <w:spacing w:before="0" w:beforeAutospacing="0" w:after="0" w:afterAutospacing="0"/>
              <w:jc w:val="both"/>
              <w:rPr>
                <w:sz w:val="20"/>
                <w:szCs w:val="20"/>
              </w:rPr>
            </w:pPr>
            <w:r>
              <w:rPr>
                <w:sz w:val="20"/>
                <w:szCs w:val="20"/>
              </w:rPr>
              <w:t xml:space="preserve">Shares were fully redeemed during </w:t>
            </w:r>
            <w:r>
              <w:rPr>
                <w:rStyle w:val="a6"/>
                <w:sz w:val="20"/>
                <w:szCs w:val="20"/>
              </w:rPr>
              <w:t>2019.</w:t>
            </w:r>
          </w:p>
        </w:tc>
      </w:tr>
    </w:tbl>
    <w:p w14:paraId="7F93F0A0" w14:textId="77777777" w:rsidR="00000000" w:rsidRDefault="00322B34">
      <w:pPr>
        <w:pStyle w:val="a3"/>
        <w:spacing w:before="0" w:beforeAutospacing="0" w:after="0" w:afterAutospacing="0"/>
        <w:ind w:left="1440"/>
        <w:jc w:val="both"/>
        <w:rPr>
          <w:sz w:val="20"/>
          <w:szCs w:val="20"/>
        </w:rPr>
      </w:pPr>
      <w:r>
        <w:rPr>
          <w:sz w:val="20"/>
          <w:szCs w:val="20"/>
        </w:rPr>
        <w:t> </w:t>
      </w:r>
    </w:p>
    <w:p w14:paraId="6983309E" w14:textId="77777777" w:rsidR="00000000" w:rsidRDefault="00322B34">
      <w:pPr>
        <w:divId w:val="1570845310"/>
        <w:rPr>
          <w:rFonts w:eastAsia="Times New Roman"/>
          <w:sz w:val="20"/>
          <w:szCs w:val="20"/>
        </w:rPr>
      </w:pPr>
      <w:r>
        <w:rPr>
          <w:rFonts w:eastAsia="Times New Roman"/>
          <w:sz w:val="20"/>
          <w:szCs w:val="20"/>
        </w:rPr>
        <w:t xml:space="preserve">  </w:t>
      </w:r>
    </w:p>
    <w:p w14:paraId="68ED1F66" w14:textId="77777777" w:rsidR="00000000" w:rsidRDefault="00322B34">
      <w:pPr>
        <w:pStyle w:val="a3"/>
        <w:spacing w:before="0" w:beforeAutospacing="0" w:after="0" w:afterAutospacing="0"/>
        <w:rPr>
          <w:sz w:val="20"/>
          <w:szCs w:val="20"/>
        </w:rPr>
      </w:pPr>
      <w:r>
        <w:rPr>
          <w:rStyle w:val="a6"/>
          <w:sz w:val="20"/>
          <w:szCs w:val="20"/>
        </w:rPr>
        <w:t>15.</w:t>
      </w:r>
      <w:r>
        <w:rPr>
          <w:sz w:val="20"/>
          <w:szCs w:val="20"/>
        </w:rPr>
        <w:t xml:space="preserve"> </w:t>
      </w:r>
      <w:r>
        <w:rPr>
          <w:sz w:val="20"/>
          <w:szCs w:val="20"/>
          <w:u w:val="single"/>
        </w:rPr>
        <w:t>Supplemental Schedule of Non-Cash Investing / Financing Activities</w:t>
      </w:r>
    </w:p>
    <w:p w14:paraId="6BDA6B83" w14:textId="77777777" w:rsidR="00000000" w:rsidRDefault="00322B34">
      <w:pPr>
        <w:pStyle w:val="a3"/>
        <w:spacing w:before="0" w:beforeAutospacing="0" w:after="0" w:afterAutospacing="0"/>
        <w:jc w:val="both"/>
        <w:rPr>
          <w:sz w:val="20"/>
          <w:szCs w:val="20"/>
        </w:rPr>
      </w:pPr>
      <w:r>
        <w:rPr>
          <w:sz w:val="20"/>
          <w:szCs w:val="20"/>
        </w:rPr>
        <w:t> </w:t>
      </w:r>
    </w:p>
    <w:p w14:paraId="355B6A2A" w14:textId="77777777" w:rsidR="00000000" w:rsidRDefault="00322B34">
      <w:pPr>
        <w:pStyle w:val="a3"/>
        <w:spacing w:before="0" w:beforeAutospacing="0" w:after="0" w:afterAutospacing="0"/>
        <w:ind w:firstLine="360"/>
        <w:jc w:val="both"/>
        <w:rPr>
          <w:sz w:val="20"/>
          <w:szCs w:val="20"/>
        </w:rPr>
      </w:pPr>
      <w:r>
        <w:rPr>
          <w:sz w:val="20"/>
          <w:szCs w:val="20"/>
        </w:rPr>
        <w:t xml:space="preserve">The following schedule summarizes the non-cash investing and financing activities of the Company for the </w:t>
      </w:r>
      <w:r>
        <w:rPr>
          <w:rStyle w:val="a6"/>
          <w:sz w:val="20"/>
          <w:szCs w:val="20"/>
        </w:rPr>
        <w:t>six</w:t>
      </w:r>
      <w:r>
        <w:rPr>
          <w:sz w:val="20"/>
          <w:szCs w:val="20"/>
        </w:rPr>
        <w:t xml:space="preserve"> months ended </w:t>
      </w:r>
      <w:r>
        <w:rPr>
          <w:rStyle w:val="a6"/>
          <w:sz w:val="20"/>
          <w:szCs w:val="20"/>
        </w:rPr>
        <w:t xml:space="preserve">June 30, 2020 </w:t>
      </w:r>
      <w:r>
        <w:rPr>
          <w:sz w:val="20"/>
          <w:szCs w:val="20"/>
        </w:rPr>
        <w:t xml:space="preserve">and </w:t>
      </w:r>
      <w:r>
        <w:rPr>
          <w:rStyle w:val="a6"/>
          <w:sz w:val="20"/>
          <w:szCs w:val="20"/>
        </w:rPr>
        <w:t>2019</w:t>
      </w:r>
      <w:r>
        <w:rPr>
          <w:sz w:val="20"/>
          <w:szCs w:val="20"/>
        </w:rPr>
        <w:t xml:space="preserve"> (in thousands):</w:t>
      </w:r>
    </w:p>
    <w:p w14:paraId="0F04A48D"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4250" w:type="pct"/>
        <w:tblCellSpacing w:w="0" w:type="dxa"/>
        <w:tblInd w:w="1080" w:type="dxa"/>
        <w:tblCellMar>
          <w:left w:w="0" w:type="dxa"/>
          <w:right w:w="0" w:type="dxa"/>
        </w:tblCellMar>
        <w:tblLook w:val="04A0" w:firstRow="1" w:lastRow="0" w:firstColumn="1" w:lastColumn="0" w:noHBand="0" w:noVBand="1"/>
      </w:tblPr>
      <w:tblGrid>
        <w:gridCol w:w="4509"/>
        <w:gridCol w:w="62"/>
        <w:gridCol w:w="100"/>
        <w:gridCol w:w="1050"/>
        <w:gridCol w:w="62"/>
        <w:gridCol w:w="63"/>
        <w:gridCol w:w="100"/>
        <w:gridCol w:w="1051"/>
        <w:gridCol w:w="63"/>
      </w:tblGrid>
      <w:tr w:rsidR="00000000" w14:paraId="7DCA2054" w14:textId="77777777">
        <w:trPr>
          <w:tblCellSpacing w:w="0" w:type="dxa"/>
        </w:trPr>
        <w:tc>
          <w:tcPr>
            <w:tcW w:w="0" w:type="auto"/>
            <w:vAlign w:val="bottom"/>
            <w:hideMark/>
          </w:tcPr>
          <w:p w14:paraId="4029802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3262439"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9486032" w14:textId="77777777" w:rsidR="00000000" w:rsidRDefault="00322B34">
            <w:pPr>
              <w:pStyle w:val="a3"/>
              <w:spacing w:before="0" w:beforeAutospacing="0" w:after="0" w:afterAutospacing="0"/>
              <w:jc w:val="center"/>
              <w:rPr>
                <w:sz w:val="20"/>
                <w:szCs w:val="20"/>
              </w:rPr>
            </w:pPr>
            <w:r>
              <w:rPr>
                <w:b/>
                <w:bCs/>
                <w:sz w:val="20"/>
                <w:szCs w:val="20"/>
              </w:rPr>
              <w:t>Six Months Ended Jun</w:t>
            </w:r>
            <w:r>
              <w:rPr>
                <w:b/>
                <w:bCs/>
                <w:sz w:val="20"/>
                <w:szCs w:val="20"/>
              </w:rPr>
              <w:t xml:space="preserve">e 30, </w:t>
            </w:r>
          </w:p>
        </w:tc>
        <w:tc>
          <w:tcPr>
            <w:tcW w:w="0" w:type="auto"/>
            <w:tcMar>
              <w:top w:w="0" w:type="dxa"/>
              <w:left w:w="0" w:type="dxa"/>
              <w:bottom w:w="15" w:type="dxa"/>
              <w:right w:w="0" w:type="dxa"/>
            </w:tcMar>
            <w:vAlign w:val="bottom"/>
            <w:hideMark/>
          </w:tcPr>
          <w:p w14:paraId="289F2E90" w14:textId="77777777" w:rsidR="00000000" w:rsidRDefault="00322B34">
            <w:pPr>
              <w:rPr>
                <w:rFonts w:eastAsia="Times New Roman"/>
                <w:sz w:val="20"/>
                <w:szCs w:val="20"/>
              </w:rPr>
            </w:pPr>
            <w:r>
              <w:rPr>
                <w:rFonts w:eastAsia="Times New Roman"/>
                <w:sz w:val="20"/>
                <w:szCs w:val="20"/>
              </w:rPr>
              <w:t> </w:t>
            </w:r>
          </w:p>
        </w:tc>
      </w:tr>
      <w:tr w:rsidR="00000000" w14:paraId="03CE616C" w14:textId="77777777">
        <w:trPr>
          <w:tblCellSpacing w:w="0" w:type="dxa"/>
        </w:trPr>
        <w:tc>
          <w:tcPr>
            <w:tcW w:w="0" w:type="auto"/>
            <w:vAlign w:val="bottom"/>
            <w:hideMark/>
          </w:tcPr>
          <w:p w14:paraId="4E47246F"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1A4DA226"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F524DE5"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0383059D"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47B0D15"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FB1CF8D"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373FD6F" w14:textId="77777777" w:rsidR="00000000" w:rsidRDefault="00322B34">
            <w:pPr>
              <w:rPr>
                <w:rFonts w:eastAsia="Times New Roman"/>
                <w:sz w:val="20"/>
                <w:szCs w:val="20"/>
              </w:rPr>
            </w:pPr>
            <w:r>
              <w:rPr>
                <w:rFonts w:eastAsia="Times New Roman"/>
                <w:sz w:val="20"/>
                <w:szCs w:val="20"/>
              </w:rPr>
              <w:t> </w:t>
            </w:r>
          </w:p>
        </w:tc>
      </w:tr>
      <w:tr w:rsidR="00000000" w14:paraId="3B63C511" w14:textId="77777777">
        <w:trPr>
          <w:tblCellSpacing w:w="0" w:type="dxa"/>
        </w:trPr>
        <w:tc>
          <w:tcPr>
            <w:tcW w:w="3200" w:type="pct"/>
            <w:shd w:val="clear" w:color="auto" w:fill="CCEEFF"/>
            <w:vAlign w:val="bottom"/>
            <w:hideMark/>
          </w:tcPr>
          <w:p w14:paraId="1F7C1466" w14:textId="77777777" w:rsidR="00000000" w:rsidRDefault="00322B34">
            <w:pPr>
              <w:pStyle w:val="a3"/>
              <w:spacing w:before="0" w:beforeAutospacing="0" w:after="0" w:afterAutospacing="0"/>
              <w:rPr>
                <w:sz w:val="20"/>
                <w:szCs w:val="20"/>
              </w:rPr>
            </w:pPr>
            <w:r>
              <w:rPr>
                <w:sz w:val="20"/>
                <w:szCs w:val="20"/>
              </w:rPr>
              <w:t>Acquisition of real estate interests through proceeds held in escrow</w:t>
            </w:r>
          </w:p>
        </w:tc>
        <w:tc>
          <w:tcPr>
            <w:tcW w:w="50" w:type="pct"/>
            <w:tcBorders>
              <w:bottom w:val="nil"/>
            </w:tcBorders>
            <w:shd w:val="clear" w:color="auto" w:fill="CCEEFF"/>
            <w:vAlign w:val="bottom"/>
            <w:hideMark/>
          </w:tcPr>
          <w:p w14:paraId="76274E50"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CF45B48" w14:textId="77777777" w:rsidR="00000000" w:rsidRDefault="00322B34">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255EBBB0" w14:textId="77777777" w:rsidR="00000000" w:rsidRDefault="00322B34">
            <w:pPr>
              <w:jc w:val="right"/>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14:paraId="3E53234F"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67E5569"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79F4A1B" w14:textId="77777777" w:rsidR="00000000" w:rsidRDefault="00322B34">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14:paraId="04EAA0B0" w14:textId="77777777" w:rsidR="00000000" w:rsidRDefault="00322B34">
            <w:pPr>
              <w:jc w:val="right"/>
              <w:rPr>
                <w:rFonts w:eastAsia="Times New Roman"/>
                <w:sz w:val="20"/>
                <w:szCs w:val="20"/>
              </w:rPr>
            </w:pPr>
            <w:r>
              <w:rPr>
                <w:rFonts w:eastAsia="Times New Roman"/>
                <w:sz w:val="20"/>
                <w:szCs w:val="20"/>
              </w:rPr>
              <w:t>30,970</w:t>
            </w:r>
          </w:p>
        </w:tc>
        <w:tc>
          <w:tcPr>
            <w:tcW w:w="50" w:type="pct"/>
            <w:tcBorders>
              <w:bottom w:val="nil"/>
            </w:tcBorders>
            <w:shd w:val="clear" w:color="auto" w:fill="CCEEFF"/>
            <w:vAlign w:val="bottom"/>
            <w:hideMark/>
          </w:tcPr>
          <w:p w14:paraId="3823403A" w14:textId="77777777" w:rsidR="00000000" w:rsidRDefault="00322B34">
            <w:pPr>
              <w:rPr>
                <w:rFonts w:eastAsia="Times New Roman"/>
                <w:sz w:val="20"/>
                <w:szCs w:val="20"/>
              </w:rPr>
            </w:pPr>
            <w:r>
              <w:rPr>
                <w:rFonts w:eastAsia="Times New Roman"/>
                <w:sz w:val="20"/>
                <w:szCs w:val="20"/>
              </w:rPr>
              <w:t> </w:t>
            </w:r>
          </w:p>
        </w:tc>
      </w:tr>
      <w:tr w:rsidR="00000000" w14:paraId="5006DDDF" w14:textId="77777777">
        <w:trPr>
          <w:tblCellSpacing w:w="0" w:type="dxa"/>
        </w:trPr>
        <w:tc>
          <w:tcPr>
            <w:tcW w:w="0" w:type="auto"/>
            <w:shd w:val="clear" w:color="auto" w:fill="FFFFFF"/>
            <w:vAlign w:val="bottom"/>
            <w:hideMark/>
          </w:tcPr>
          <w:p w14:paraId="7D8BE866" w14:textId="77777777" w:rsidR="00000000" w:rsidRDefault="00322B34">
            <w:pPr>
              <w:pStyle w:val="a3"/>
              <w:spacing w:before="0" w:beforeAutospacing="0" w:after="0" w:afterAutospacing="0"/>
              <w:rPr>
                <w:sz w:val="20"/>
                <w:szCs w:val="20"/>
              </w:rPr>
            </w:pPr>
            <w:r>
              <w:rPr>
                <w:sz w:val="20"/>
                <w:szCs w:val="20"/>
              </w:rPr>
              <w:t>Proceeds held in escrow through sale of real estate interests</w:t>
            </w:r>
          </w:p>
        </w:tc>
        <w:tc>
          <w:tcPr>
            <w:tcW w:w="50" w:type="pct"/>
            <w:shd w:val="clear" w:color="auto" w:fill="FFFFFF"/>
            <w:vAlign w:val="bottom"/>
            <w:hideMark/>
          </w:tcPr>
          <w:p w14:paraId="7B5F9F5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70CA6A" w14:textId="77777777" w:rsidR="00000000" w:rsidRDefault="00322B34">
            <w:pPr>
              <w:rPr>
                <w:rFonts w:eastAsia="Times New Roman"/>
                <w:sz w:val="20"/>
                <w:szCs w:val="20"/>
              </w:rPr>
            </w:pPr>
            <w:r>
              <w:rPr>
                <w:rFonts w:eastAsia="Times New Roman"/>
                <w:sz w:val="20"/>
                <w:szCs w:val="20"/>
              </w:rPr>
              <w:t>$</w:t>
            </w:r>
          </w:p>
        </w:tc>
        <w:tc>
          <w:tcPr>
            <w:tcW w:w="750" w:type="pct"/>
            <w:shd w:val="clear" w:color="auto" w:fill="FFFFFF"/>
            <w:vAlign w:val="bottom"/>
            <w:hideMark/>
          </w:tcPr>
          <w:p w14:paraId="6811F715" w14:textId="77777777" w:rsidR="00000000" w:rsidRDefault="00322B34">
            <w:pPr>
              <w:jc w:val="right"/>
              <w:rPr>
                <w:rFonts w:eastAsia="Times New Roman"/>
                <w:sz w:val="20"/>
                <w:szCs w:val="20"/>
              </w:rPr>
            </w:pPr>
            <w:r>
              <w:rPr>
                <w:rFonts w:eastAsia="Times New Roman"/>
                <w:sz w:val="20"/>
                <w:szCs w:val="20"/>
              </w:rPr>
              <w:t>3,194</w:t>
            </w:r>
          </w:p>
        </w:tc>
        <w:tc>
          <w:tcPr>
            <w:tcW w:w="50" w:type="pct"/>
            <w:shd w:val="clear" w:color="auto" w:fill="FFFFFF"/>
            <w:vAlign w:val="bottom"/>
            <w:hideMark/>
          </w:tcPr>
          <w:p w14:paraId="1440D1C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BC570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643116" w14:textId="77777777" w:rsidR="00000000" w:rsidRDefault="00322B34">
            <w:pPr>
              <w:rPr>
                <w:rFonts w:eastAsia="Times New Roman"/>
                <w:sz w:val="20"/>
                <w:szCs w:val="20"/>
              </w:rPr>
            </w:pPr>
            <w:r>
              <w:rPr>
                <w:rFonts w:eastAsia="Times New Roman"/>
                <w:sz w:val="20"/>
                <w:szCs w:val="20"/>
              </w:rPr>
              <w:t>$</w:t>
            </w:r>
          </w:p>
        </w:tc>
        <w:tc>
          <w:tcPr>
            <w:tcW w:w="750" w:type="pct"/>
            <w:shd w:val="clear" w:color="auto" w:fill="FFFFFF"/>
            <w:vAlign w:val="bottom"/>
            <w:hideMark/>
          </w:tcPr>
          <w:p w14:paraId="1FBC0F02"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C987681" w14:textId="77777777" w:rsidR="00000000" w:rsidRDefault="00322B34">
            <w:pPr>
              <w:rPr>
                <w:rFonts w:eastAsia="Times New Roman"/>
                <w:sz w:val="20"/>
                <w:szCs w:val="20"/>
              </w:rPr>
            </w:pPr>
            <w:r>
              <w:rPr>
                <w:rFonts w:eastAsia="Times New Roman"/>
                <w:sz w:val="20"/>
                <w:szCs w:val="20"/>
              </w:rPr>
              <w:t> </w:t>
            </w:r>
          </w:p>
        </w:tc>
      </w:tr>
      <w:tr w:rsidR="00000000" w14:paraId="69BAE731" w14:textId="77777777">
        <w:trPr>
          <w:tblCellSpacing w:w="0" w:type="dxa"/>
        </w:trPr>
        <w:tc>
          <w:tcPr>
            <w:tcW w:w="0" w:type="auto"/>
            <w:shd w:val="clear" w:color="auto" w:fill="CCEEFF"/>
            <w:vAlign w:val="bottom"/>
            <w:hideMark/>
          </w:tcPr>
          <w:p w14:paraId="327A97E4" w14:textId="77777777" w:rsidR="00000000" w:rsidRDefault="00322B34">
            <w:pPr>
              <w:pStyle w:val="a3"/>
              <w:spacing w:before="0" w:beforeAutospacing="0" w:after="0" w:afterAutospacing="0"/>
              <w:rPr>
                <w:sz w:val="20"/>
                <w:szCs w:val="20"/>
              </w:rPr>
            </w:pPr>
            <w:r>
              <w:rPr>
                <w:sz w:val="20"/>
                <w:szCs w:val="20"/>
              </w:rPr>
              <w:t>Surrender of restricted common stock</w:t>
            </w:r>
          </w:p>
        </w:tc>
        <w:tc>
          <w:tcPr>
            <w:tcW w:w="50" w:type="pct"/>
            <w:shd w:val="clear" w:color="auto" w:fill="CCEEFF"/>
            <w:vAlign w:val="bottom"/>
            <w:hideMark/>
          </w:tcPr>
          <w:p w14:paraId="2421E48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494C63" w14:textId="77777777" w:rsidR="00000000" w:rsidRDefault="00322B34">
            <w:pPr>
              <w:rPr>
                <w:rFonts w:eastAsia="Times New Roman"/>
                <w:sz w:val="20"/>
                <w:szCs w:val="20"/>
              </w:rPr>
            </w:pPr>
            <w:r>
              <w:rPr>
                <w:rFonts w:eastAsia="Times New Roman"/>
                <w:sz w:val="20"/>
                <w:szCs w:val="20"/>
              </w:rPr>
              <w:t>$</w:t>
            </w:r>
          </w:p>
        </w:tc>
        <w:tc>
          <w:tcPr>
            <w:tcW w:w="750" w:type="pct"/>
            <w:shd w:val="clear" w:color="auto" w:fill="CCEEFF"/>
            <w:vAlign w:val="bottom"/>
            <w:hideMark/>
          </w:tcPr>
          <w:p w14:paraId="6E044C07" w14:textId="77777777" w:rsidR="00000000" w:rsidRDefault="00322B34">
            <w:pPr>
              <w:jc w:val="right"/>
              <w:rPr>
                <w:rFonts w:eastAsia="Times New Roman"/>
                <w:sz w:val="20"/>
                <w:szCs w:val="20"/>
              </w:rPr>
            </w:pPr>
            <w:r>
              <w:rPr>
                <w:rFonts w:eastAsia="Times New Roman"/>
                <w:sz w:val="20"/>
                <w:szCs w:val="20"/>
              </w:rPr>
              <w:t>5,325</w:t>
            </w:r>
          </w:p>
        </w:tc>
        <w:tc>
          <w:tcPr>
            <w:tcW w:w="50" w:type="pct"/>
            <w:shd w:val="clear" w:color="auto" w:fill="CCEEFF"/>
            <w:vAlign w:val="bottom"/>
            <w:hideMark/>
          </w:tcPr>
          <w:p w14:paraId="35E58F1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B0655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2D771B" w14:textId="77777777" w:rsidR="00000000" w:rsidRDefault="00322B34">
            <w:pPr>
              <w:rPr>
                <w:rFonts w:eastAsia="Times New Roman"/>
                <w:sz w:val="20"/>
                <w:szCs w:val="20"/>
              </w:rPr>
            </w:pPr>
            <w:r>
              <w:rPr>
                <w:rFonts w:eastAsia="Times New Roman"/>
                <w:sz w:val="20"/>
                <w:szCs w:val="20"/>
              </w:rPr>
              <w:t>$</w:t>
            </w:r>
          </w:p>
        </w:tc>
        <w:tc>
          <w:tcPr>
            <w:tcW w:w="750" w:type="pct"/>
            <w:shd w:val="clear" w:color="auto" w:fill="CCEEFF"/>
            <w:vAlign w:val="bottom"/>
            <w:hideMark/>
          </w:tcPr>
          <w:p w14:paraId="5F3F03E0" w14:textId="77777777" w:rsidR="00000000" w:rsidRDefault="00322B34">
            <w:pPr>
              <w:jc w:val="right"/>
              <w:rPr>
                <w:rFonts w:eastAsia="Times New Roman"/>
                <w:sz w:val="20"/>
                <w:szCs w:val="20"/>
              </w:rPr>
            </w:pPr>
            <w:r>
              <w:rPr>
                <w:rFonts w:eastAsia="Times New Roman"/>
                <w:sz w:val="20"/>
                <w:szCs w:val="20"/>
              </w:rPr>
              <w:t>3,689</w:t>
            </w:r>
          </w:p>
        </w:tc>
        <w:tc>
          <w:tcPr>
            <w:tcW w:w="50" w:type="pct"/>
            <w:shd w:val="clear" w:color="auto" w:fill="CCEEFF"/>
            <w:vAlign w:val="bottom"/>
            <w:hideMark/>
          </w:tcPr>
          <w:p w14:paraId="0F8483A4" w14:textId="77777777" w:rsidR="00000000" w:rsidRDefault="00322B34">
            <w:pPr>
              <w:rPr>
                <w:rFonts w:eastAsia="Times New Roman"/>
                <w:sz w:val="20"/>
                <w:szCs w:val="20"/>
              </w:rPr>
            </w:pPr>
            <w:r>
              <w:rPr>
                <w:rFonts w:eastAsia="Times New Roman"/>
                <w:sz w:val="20"/>
                <w:szCs w:val="20"/>
              </w:rPr>
              <w:t> </w:t>
            </w:r>
          </w:p>
        </w:tc>
      </w:tr>
      <w:tr w:rsidR="00000000" w14:paraId="28DC2FBF" w14:textId="77777777">
        <w:trPr>
          <w:tblCellSpacing w:w="0" w:type="dxa"/>
        </w:trPr>
        <w:tc>
          <w:tcPr>
            <w:tcW w:w="0" w:type="auto"/>
            <w:shd w:val="clear" w:color="auto" w:fill="FFFFFF"/>
            <w:vAlign w:val="bottom"/>
            <w:hideMark/>
          </w:tcPr>
          <w:p w14:paraId="424440FB" w14:textId="77777777" w:rsidR="00000000" w:rsidRDefault="00322B34">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FFFFFF"/>
            <w:vAlign w:val="bottom"/>
            <w:hideMark/>
          </w:tcPr>
          <w:p w14:paraId="4F7DB28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36BA9D" w14:textId="77777777" w:rsidR="00000000" w:rsidRDefault="00322B34">
            <w:pPr>
              <w:rPr>
                <w:rFonts w:eastAsia="Times New Roman"/>
                <w:sz w:val="20"/>
                <w:szCs w:val="20"/>
              </w:rPr>
            </w:pPr>
            <w:r>
              <w:rPr>
                <w:rFonts w:eastAsia="Times New Roman"/>
                <w:sz w:val="20"/>
                <w:szCs w:val="20"/>
              </w:rPr>
              <w:t>$</w:t>
            </w:r>
          </w:p>
        </w:tc>
        <w:tc>
          <w:tcPr>
            <w:tcW w:w="750" w:type="pct"/>
            <w:shd w:val="clear" w:color="auto" w:fill="FFFFFF"/>
            <w:vAlign w:val="bottom"/>
            <w:hideMark/>
          </w:tcPr>
          <w:p w14:paraId="62A1DD25" w14:textId="77777777" w:rsidR="00000000" w:rsidRDefault="00322B34">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14:paraId="76ADB28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A7AA7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431F40" w14:textId="77777777" w:rsidR="00000000" w:rsidRDefault="00322B34">
            <w:pPr>
              <w:rPr>
                <w:rFonts w:eastAsia="Times New Roman"/>
                <w:sz w:val="20"/>
                <w:szCs w:val="20"/>
              </w:rPr>
            </w:pPr>
            <w:r>
              <w:rPr>
                <w:rFonts w:eastAsia="Times New Roman"/>
                <w:sz w:val="20"/>
                <w:szCs w:val="20"/>
              </w:rPr>
              <w:t>$</w:t>
            </w:r>
          </w:p>
        </w:tc>
        <w:tc>
          <w:tcPr>
            <w:tcW w:w="750" w:type="pct"/>
            <w:shd w:val="clear" w:color="auto" w:fill="FFFFFF"/>
            <w:vAlign w:val="bottom"/>
            <w:hideMark/>
          </w:tcPr>
          <w:p w14:paraId="19129E70" w14:textId="77777777" w:rsidR="00000000" w:rsidRDefault="00322B34">
            <w:pPr>
              <w:jc w:val="right"/>
              <w:rPr>
                <w:rFonts w:eastAsia="Times New Roman"/>
                <w:sz w:val="20"/>
                <w:szCs w:val="20"/>
              </w:rPr>
            </w:pPr>
            <w:r>
              <w:rPr>
                <w:rFonts w:eastAsia="Times New Roman"/>
                <w:sz w:val="20"/>
                <w:szCs w:val="20"/>
              </w:rPr>
              <w:t>130,460</w:t>
            </w:r>
          </w:p>
        </w:tc>
        <w:tc>
          <w:tcPr>
            <w:tcW w:w="50" w:type="pct"/>
            <w:shd w:val="clear" w:color="auto" w:fill="FFFFFF"/>
            <w:vAlign w:val="bottom"/>
            <w:hideMark/>
          </w:tcPr>
          <w:p w14:paraId="7A54F8DD" w14:textId="77777777" w:rsidR="00000000" w:rsidRDefault="00322B34">
            <w:pPr>
              <w:rPr>
                <w:rFonts w:eastAsia="Times New Roman"/>
                <w:sz w:val="20"/>
                <w:szCs w:val="20"/>
              </w:rPr>
            </w:pPr>
            <w:r>
              <w:rPr>
                <w:rFonts w:eastAsia="Times New Roman"/>
                <w:sz w:val="20"/>
                <w:szCs w:val="20"/>
              </w:rPr>
              <w:t> </w:t>
            </w:r>
          </w:p>
        </w:tc>
      </w:tr>
      <w:tr w:rsidR="00000000" w14:paraId="37B4CD08" w14:textId="77777777">
        <w:trPr>
          <w:tblCellSpacing w:w="0" w:type="dxa"/>
        </w:trPr>
        <w:tc>
          <w:tcPr>
            <w:tcW w:w="0" w:type="auto"/>
            <w:shd w:val="clear" w:color="auto" w:fill="CCEEFF"/>
            <w:vAlign w:val="bottom"/>
            <w:hideMark/>
          </w:tcPr>
          <w:p w14:paraId="222076CC" w14:textId="77777777" w:rsidR="00000000" w:rsidRDefault="00322B34">
            <w:pPr>
              <w:pStyle w:val="a3"/>
              <w:spacing w:before="0" w:beforeAutospacing="0" w:after="0" w:afterAutospacing="0"/>
              <w:rPr>
                <w:sz w:val="20"/>
                <w:szCs w:val="20"/>
              </w:rPr>
            </w:pPr>
            <w:r>
              <w:rPr>
                <w:sz w:val="20"/>
                <w:szCs w:val="20"/>
              </w:rPr>
              <w:t>Capital expenditures accrual</w:t>
            </w:r>
          </w:p>
        </w:tc>
        <w:tc>
          <w:tcPr>
            <w:tcW w:w="50" w:type="pct"/>
            <w:shd w:val="clear" w:color="auto" w:fill="CCEEFF"/>
            <w:vAlign w:val="bottom"/>
            <w:hideMark/>
          </w:tcPr>
          <w:p w14:paraId="527A43B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852BAF" w14:textId="77777777" w:rsidR="00000000" w:rsidRDefault="00322B34">
            <w:pPr>
              <w:rPr>
                <w:rFonts w:eastAsia="Times New Roman"/>
                <w:sz w:val="20"/>
                <w:szCs w:val="20"/>
              </w:rPr>
            </w:pPr>
            <w:r>
              <w:rPr>
                <w:rFonts w:eastAsia="Times New Roman"/>
                <w:sz w:val="20"/>
                <w:szCs w:val="20"/>
              </w:rPr>
              <w:t>$</w:t>
            </w:r>
          </w:p>
        </w:tc>
        <w:tc>
          <w:tcPr>
            <w:tcW w:w="750" w:type="pct"/>
            <w:shd w:val="clear" w:color="auto" w:fill="CCEEFF"/>
            <w:vAlign w:val="bottom"/>
            <w:hideMark/>
          </w:tcPr>
          <w:p w14:paraId="0AE9AEBF" w14:textId="77777777" w:rsidR="00000000" w:rsidRDefault="00322B34">
            <w:pPr>
              <w:jc w:val="right"/>
              <w:rPr>
                <w:rFonts w:eastAsia="Times New Roman"/>
                <w:sz w:val="20"/>
                <w:szCs w:val="20"/>
              </w:rPr>
            </w:pPr>
            <w:r>
              <w:rPr>
                <w:rFonts w:eastAsia="Times New Roman"/>
                <w:sz w:val="20"/>
                <w:szCs w:val="20"/>
              </w:rPr>
              <w:t>46,860</w:t>
            </w:r>
          </w:p>
        </w:tc>
        <w:tc>
          <w:tcPr>
            <w:tcW w:w="50" w:type="pct"/>
            <w:shd w:val="clear" w:color="auto" w:fill="CCEEFF"/>
            <w:vAlign w:val="bottom"/>
            <w:hideMark/>
          </w:tcPr>
          <w:p w14:paraId="41E1848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A59F7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E32DBD" w14:textId="77777777" w:rsidR="00000000" w:rsidRDefault="00322B34">
            <w:pPr>
              <w:rPr>
                <w:rFonts w:eastAsia="Times New Roman"/>
                <w:sz w:val="20"/>
                <w:szCs w:val="20"/>
              </w:rPr>
            </w:pPr>
            <w:r>
              <w:rPr>
                <w:rFonts w:eastAsia="Times New Roman"/>
                <w:sz w:val="20"/>
                <w:szCs w:val="20"/>
              </w:rPr>
              <w:t>$</w:t>
            </w:r>
          </w:p>
        </w:tc>
        <w:tc>
          <w:tcPr>
            <w:tcW w:w="750" w:type="pct"/>
            <w:shd w:val="clear" w:color="auto" w:fill="CCEEFF"/>
            <w:vAlign w:val="bottom"/>
            <w:hideMark/>
          </w:tcPr>
          <w:p w14:paraId="3D5E6428" w14:textId="77777777" w:rsidR="00000000" w:rsidRDefault="00322B34">
            <w:pPr>
              <w:jc w:val="right"/>
              <w:rPr>
                <w:rFonts w:eastAsia="Times New Roman"/>
                <w:sz w:val="20"/>
                <w:szCs w:val="20"/>
              </w:rPr>
            </w:pPr>
            <w:r>
              <w:rPr>
                <w:rFonts w:eastAsia="Times New Roman"/>
                <w:sz w:val="20"/>
                <w:szCs w:val="20"/>
              </w:rPr>
              <w:t>61,473</w:t>
            </w:r>
          </w:p>
        </w:tc>
        <w:tc>
          <w:tcPr>
            <w:tcW w:w="50" w:type="pct"/>
            <w:shd w:val="clear" w:color="auto" w:fill="CCEEFF"/>
            <w:vAlign w:val="bottom"/>
            <w:hideMark/>
          </w:tcPr>
          <w:p w14:paraId="69352AB8" w14:textId="77777777" w:rsidR="00000000" w:rsidRDefault="00322B34">
            <w:pPr>
              <w:rPr>
                <w:rFonts w:eastAsia="Times New Roman"/>
                <w:sz w:val="20"/>
                <w:szCs w:val="20"/>
              </w:rPr>
            </w:pPr>
            <w:r>
              <w:rPr>
                <w:rFonts w:eastAsia="Times New Roman"/>
                <w:sz w:val="20"/>
                <w:szCs w:val="20"/>
              </w:rPr>
              <w:t> </w:t>
            </w:r>
          </w:p>
        </w:tc>
      </w:tr>
    </w:tbl>
    <w:p w14:paraId="2E2A6CDF" w14:textId="77777777" w:rsidR="00000000" w:rsidRDefault="00322B34">
      <w:pPr>
        <w:pStyle w:val="a3"/>
        <w:spacing w:before="0" w:beforeAutospacing="0" w:after="0" w:afterAutospacing="0"/>
        <w:jc w:val="both"/>
        <w:rPr>
          <w:sz w:val="20"/>
          <w:szCs w:val="20"/>
        </w:rPr>
      </w:pPr>
      <w:r>
        <w:rPr>
          <w:sz w:val="20"/>
          <w:szCs w:val="20"/>
        </w:rPr>
        <w:t> </w:t>
      </w:r>
    </w:p>
    <w:p w14:paraId="2C9F6CFF" w14:textId="77777777" w:rsidR="00000000" w:rsidRDefault="00322B34">
      <w:pPr>
        <w:jc w:val="center"/>
        <w:divId w:val="1479760351"/>
        <w:rPr>
          <w:rFonts w:eastAsia="Times New Roman"/>
          <w:sz w:val="20"/>
          <w:szCs w:val="20"/>
        </w:rPr>
      </w:pPr>
      <w:r>
        <w:rPr>
          <w:rStyle w:val="a6"/>
          <w:rFonts w:eastAsia="Times New Roman"/>
          <w:sz w:val="20"/>
          <w:szCs w:val="20"/>
        </w:rPr>
        <w:t>20</w:t>
      </w:r>
      <w:r>
        <w:rPr>
          <w:rFonts w:eastAsia="Times New Roman"/>
          <w:sz w:val="20"/>
          <w:szCs w:val="20"/>
        </w:rPr>
        <w:t xml:space="preserve"> </w:t>
      </w:r>
    </w:p>
    <w:p w14:paraId="7B253F23" w14:textId="77777777" w:rsidR="00000000" w:rsidRDefault="00322B34">
      <w:pPr>
        <w:rPr>
          <w:rFonts w:eastAsia="Times New Roman"/>
          <w:sz w:val="20"/>
          <w:szCs w:val="20"/>
        </w:rPr>
      </w:pPr>
      <w:r>
        <w:rPr>
          <w:rFonts w:eastAsia="Times New Roman"/>
          <w:sz w:val="20"/>
          <w:szCs w:val="20"/>
        </w:rPr>
        <w:pict w14:anchorId="20FB12E4">
          <v:rect id="_x0000_i1048" style="width:415.3pt;height:1.5pt" o:hralign="center" o:hrstd="t" o:hrnoshade="t" o:hr="t" fillcolor="black" stroked="f"/>
        </w:pict>
      </w:r>
    </w:p>
    <w:p w14:paraId="5EF40D03" w14:textId="77777777" w:rsidR="00000000" w:rsidRDefault="00322B34">
      <w:pPr>
        <w:divId w:val="153060070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3A40A20" w14:textId="77777777" w:rsidR="00000000" w:rsidRDefault="00322B34">
      <w:pPr>
        <w:pStyle w:val="a3"/>
        <w:spacing w:before="0" w:beforeAutospacing="0" w:after="0" w:afterAutospacing="0"/>
        <w:rPr>
          <w:sz w:val="20"/>
          <w:szCs w:val="20"/>
        </w:rPr>
      </w:pPr>
      <w:r>
        <w:rPr>
          <w:sz w:val="20"/>
          <w:szCs w:val="20"/>
        </w:rPr>
        <w:t> </w:t>
      </w:r>
    </w:p>
    <w:p w14:paraId="572545E4" w14:textId="77777777" w:rsidR="00000000" w:rsidRDefault="00322B34">
      <w:pPr>
        <w:divId w:val="1188526883"/>
        <w:rPr>
          <w:rFonts w:eastAsia="Times New Roman"/>
          <w:sz w:val="20"/>
          <w:szCs w:val="20"/>
        </w:rPr>
      </w:pPr>
      <w:r>
        <w:rPr>
          <w:rFonts w:eastAsia="Times New Roman"/>
          <w:sz w:val="20"/>
          <w:szCs w:val="20"/>
        </w:rPr>
        <w:t xml:space="preserve">  </w:t>
      </w:r>
    </w:p>
    <w:p w14:paraId="4BF7149E" w14:textId="77777777" w:rsidR="00000000" w:rsidRDefault="00322B34">
      <w:pPr>
        <w:pStyle w:val="a3"/>
        <w:spacing w:before="0" w:beforeAutospacing="0" w:after="0" w:afterAutospacing="0"/>
        <w:rPr>
          <w:sz w:val="20"/>
          <w:szCs w:val="20"/>
        </w:rPr>
      </w:pPr>
      <w:r>
        <w:rPr>
          <w:rStyle w:val="a6"/>
          <w:sz w:val="20"/>
          <w:szCs w:val="20"/>
        </w:rPr>
        <w:t>16.</w:t>
      </w:r>
      <w:r>
        <w:rPr>
          <w:sz w:val="20"/>
          <w:szCs w:val="20"/>
        </w:rPr>
        <w:t xml:space="preserve"> </w:t>
      </w:r>
      <w:r>
        <w:rPr>
          <w:sz w:val="20"/>
          <w:szCs w:val="20"/>
          <w:u w:val="single"/>
        </w:rPr>
        <w:t>Subsequent Events</w:t>
      </w:r>
    </w:p>
    <w:p w14:paraId="60DED49A" w14:textId="77777777" w:rsidR="00000000" w:rsidRDefault="00322B34">
      <w:pPr>
        <w:pStyle w:val="a3"/>
        <w:spacing w:before="0" w:beforeAutospacing="0" w:after="0" w:afterAutospacing="0"/>
        <w:rPr>
          <w:sz w:val="20"/>
          <w:szCs w:val="20"/>
        </w:rPr>
      </w:pPr>
      <w:r>
        <w:rPr>
          <w:sz w:val="20"/>
          <w:szCs w:val="20"/>
        </w:rPr>
        <w:t> </w:t>
      </w:r>
    </w:p>
    <w:p w14:paraId="5F8F04AA" w14:textId="77777777" w:rsidR="00000000" w:rsidRDefault="00322B34">
      <w:pPr>
        <w:pStyle w:val="a3"/>
        <w:spacing w:before="0" w:beforeAutospacing="0" w:after="0" w:afterAutospacing="0"/>
        <w:ind w:firstLine="360"/>
        <w:jc w:val="both"/>
        <w:rPr>
          <w:sz w:val="20"/>
          <w:szCs w:val="20"/>
        </w:rPr>
      </w:pPr>
      <w:r>
        <w:rPr>
          <w:sz w:val="20"/>
          <w:szCs w:val="20"/>
        </w:rPr>
        <w:t xml:space="preserve">See Footnote </w:t>
      </w:r>
      <w:r>
        <w:rPr>
          <w:rStyle w:val="a6"/>
          <w:sz w:val="20"/>
          <w:szCs w:val="20"/>
        </w:rPr>
        <w:t>3</w:t>
      </w:r>
      <w:r>
        <w:rPr>
          <w:sz w:val="20"/>
          <w:szCs w:val="20"/>
        </w:rPr>
        <w:t xml:space="preserve"> to the Notes to the Company’s Condensed Consolidated Financial Statements for return of escrow in connection with a </w:t>
      </w:r>
      <w:r>
        <w:rPr>
          <w:rStyle w:val="a6"/>
          <w:sz w:val="20"/>
          <w:szCs w:val="20"/>
        </w:rPr>
        <w:t>§1031</w:t>
      </w:r>
      <w:r>
        <w:rPr>
          <w:sz w:val="20"/>
          <w:szCs w:val="20"/>
        </w:rPr>
        <w:t xml:space="preserve"> reverse exchange subsequent to </w:t>
      </w:r>
      <w:r>
        <w:rPr>
          <w:rStyle w:val="a6"/>
          <w:sz w:val="20"/>
          <w:szCs w:val="20"/>
        </w:rPr>
        <w:t>June 30, 2020.</w:t>
      </w:r>
    </w:p>
    <w:p w14:paraId="0CB2DD1B" w14:textId="77777777" w:rsidR="00000000" w:rsidRDefault="00322B34">
      <w:pPr>
        <w:pStyle w:val="a3"/>
        <w:spacing w:before="0" w:beforeAutospacing="0" w:after="0" w:afterAutospacing="0"/>
        <w:rPr>
          <w:sz w:val="20"/>
          <w:szCs w:val="20"/>
        </w:rPr>
      </w:pPr>
      <w:r>
        <w:rPr>
          <w:sz w:val="20"/>
          <w:szCs w:val="20"/>
        </w:rPr>
        <w:t> </w:t>
      </w:r>
    </w:p>
    <w:p w14:paraId="44D90523" w14:textId="77777777" w:rsidR="00000000" w:rsidRDefault="00322B34">
      <w:pPr>
        <w:pStyle w:val="a3"/>
        <w:spacing w:before="0" w:beforeAutospacing="0" w:after="0" w:afterAutospacing="0"/>
        <w:ind w:firstLine="360"/>
        <w:jc w:val="both"/>
        <w:rPr>
          <w:sz w:val="20"/>
          <w:szCs w:val="20"/>
        </w:rPr>
      </w:pPr>
      <w:r>
        <w:rPr>
          <w:sz w:val="20"/>
          <w:szCs w:val="20"/>
        </w:rPr>
        <w:t xml:space="preserve">See Footnote </w:t>
      </w:r>
      <w:r>
        <w:rPr>
          <w:rStyle w:val="a6"/>
          <w:sz w:val="20"/>
          <w:szCs w:val="20"/>
        </w:rPr>
        <w:t>8</w:t>
      </w:r>
      <w:r>
        <w:rPr>
          <w:sz w:val="20"/>
          <w:szCs w:val="20"/>
        </w:rPr>
        <w:t xml:space="preserve"> </w:t>
      </w:r>
      <w:r>
        <w:rPr>
          <w:sz w:val="20"/>
          <w:szCs w:val="20"/>
        </w:rPr>
        <w:t xml:space="preserve">to the Notes to the Company’s Condensed Consolidated Financial Statements for debt and financing transactions subsequent to </w:t>
      </w:r>
      <w:r>
        <w:rPr>
          <w:rStyle w:val="a6"/>
          <w:sz w:val="20"/>
          <w:szCs w:val="20"/>
        </w:rPr>
        <w:t xml:space="preserve">June 30, 2020, </w:t>
      </w:r>
      <w:r>
        <w:rPr>
          <w:sz w:val="20"/>
          <w:szCs w:val="20"/>
        </w:rPr>
        <w:t>including Term Loan payoff, Green Bond issuance and partial redemption of senior unsecured notes.</w:t>
      </w:r>
    </w:p>
    <w:p w14:paraId="54A6EF9F" w14:textId="77777777" w:rsidR="00000000" w:rsidRDefault="00322B34">
      <w:pPr>
        <w:pStyle w:val="a3"/>
        <w:spacing w:before="0" w:beforeAutospacing="0" w:after="0" w:afterAutospacing="0"/>
        <w:rPr>
          <w:sz w:val="20"/>
          <w:szCs w:val="20"/>
        </w:rPr>
      </w:pPr>
      <w:r>
        <w:rPr>
          <w:sz w:val="20"/>
          <w:szCs w:val="20"/>
        </w:rPr>
        <w:t> </w:t>
      </w:r>
    </w:p>
    <w:p w14:paraId="234393C9" w14:textId="77777777" w:rsidR="00000000" w:rsidRDefault="00322B34">
      <w:pPr>
        <w:pStyle w:val="a3"/>
        <w:spacing w:before="0" w:beforeAutospacing="0" w:after="0" w:afterAutospacing="0"/>
        <w:rPr>
          <w:sz w:val="20"/>
          <w:szCs w:val="20"/>
        </w:rPr>
      </w:pPr>
      <w:r>
        <w:rPr>
          <w:sz w:val="20"/>
          <w:szCs w:val="20"/>
        </w:rPr>
        <w:t> </w:t>
      </w:r>
    </w:p>
    <w:p w14:paraId="72894482" w14:textId="77777777" w:rsidR="00000000" w:rsidRDefault="00322B34">
      <w:pPr>
        <w:divId w:val="655450770"/>
        <w:rPr>
          <w:rFonts w:eastAsia="Times New Roman"/>
          <w:sz w:val="20"/>
          <w:szCs w:val="20"/>
        </w:rPr>
      </w:pPr>
      <w:r>
        <w:rPr>
          <w:rFonts w:eastAsia="Times New Roman"/>
          <w:sz w:val="20"/>
          <w:szCs w:val="20"/>
        </w:rPr>
        <w:t xml:space="preserve">  </w:t>
      </w:r>
    </w:p>
    <w:p w14:paraId="17161BCD" w14:textId="77777777" w:rsidR="00000000" w:rsidRDefault="00322B34">
      <w:pPr>
        <w:pStyle w:val="a3"/>
        <w:spacing w:before="0" w:beforeAutospacing="0" w:after="0" w:afterAutospacing="0"/>
        <w:rPr>
          <w:sz w:val="20"/>
          <w:szCs w:val="20"/>
        </w:rPr>
      </w:pPr>
      <w:r>
        <w:rPr>
          <w:b/>
          <w:bCs/>
          <w:sz w:val="20"/>
          <w:szCs w:val="20"/>
        </w:rPr>
        <w:t>Item 2. Management's Discussion and Analysis of Financial Condition and Results of Operations</w:t>
      </w:r>
    </w:p>
    <w:p w14:paraId="46354297" w14:textId="77777777" w:rsidR="00000000" w:rsidRDefault="00322B34">
      <w:pPr>
        <w:pStyle w:val="a3"/>
        <w:spacing w:before="0" w:beforeAutospacing="0" w:after="0" w:afterAutospacing="0"/>
        <w:jc w:val="both"/>
        <w:rPr>
          <w:sz w:val="20"/>
          <w:szCs w:val="20"/>
        </w:rPr>
      </w:pPr>
      <w:r>
        <w:rPr>
          <w:sz w:val="20"/>
          <w:szCs w:val="20"/>
        </w:rPr>
        <w:t> </w:t>
      </w:r>
    </w:p>
    <w:p w14:paraId="044880C3" w14:textId="77777777" w:rsidR="00000000" w:rsidRDefault="00322B34">
      <w:pPr>
        <w:pStyle w:val="a3"/>
        <w:spacing w:before="0" w:beforeAutospacing="0" w:after="0" w:afterAutospacing="0"/>
        <w:rPr>
          <w:sz w:val="20"/>
          <w:szCs w:val="20"/>
        </w:rPr>
      </w:pPr>
      <w:r>
        <w:rPr>
          <w:sz w:val="20"/>
          <w:szCs w:val="20"/>
          <w:u w:val="single"/>
        </w:rPr>
        <w:t>Forward-Looking Statements</w:t>
      </w:r>
    </w:p>
    <w:p w14:paraId="6C806D83" w14:textId="77777777" w:rsidR="00000000" w:rsidRDefault="00322B34">
      <w:pPr>
        <w:pStyle w:val="a3"/>
        <w:spacing w:before="0" w:beforeAutospacing="0" w:after="0" w:afterAutospacing="0"/>
        <w:jc w:val="both"/>
        <w:rPr>
          <w:sz w:val="20"/>
          <w:szCs w:val="20"/>
        </w:rPr>
      </w:pPr>
      <w:r>
        <w:rPr>
          <w:sz w:val="20"/>
          <w:szCs w:val="20"/>
        </w:rPr>
        <w:t> </w:t>
      </w:r>
    </w:p>
    <w:p w14:paraId="15F62F08" w14:textId="77777777" w:rsidR="00000000" w:rsidRDefault="00322B34">
      <w:pPr>
        <w:pStyle w:val="a3"/>
        <w:spacing w:before="0" w:beforeAutospacing="0" w:after="0" w:afterAutospacing="0"/>
        <w:ind w:firstLine="360"/>
        <w:jc w:val="both"/>
        <w:rPr>
          <w:sz w:val="20"/>
          <w:szCs w:val="20"/>
        </w:rPr>
      </w:pPr>
      <w:r>
        <w:rPr>
          <w:sz w:val="20"/>
          <w:szCs w:val="20"/>
        </w:rPr>
        <w:t>This Quarterly Report on Form 10-Q, together with other statements and information publicly disseminated by Kimco Realt</w:t>
      </w:r>
      <w:r>
        <w:rPr>
          <w:sz w:val="20"/>
          <w:szCs w:val="20"/>
        </w:rPr>
        <w:t>y Corporation (the “Company”) contains certain forward-looking statements within the meaning of Section 27A of the Securities Act of 1933, as amended, and Section 21E of the Securities Exchange Act of 1934, as amended. The Company intends such forward-look</w:t>
      </w:r>
      <w:r>
        <w:rPr>
          <w:sz w:val="20"/>
          <w:szCs w:val="20"/>
        </w:rPr>
        <w:t>ing statements to be covered by the safe harbor provisions for forward-looking statements contained in the Private Securities Litigation Reform Act of 1995 and includes this statement for purposes of complying with the safe harbor provisions. Forward-looki</w:t>
      </w:r>
      <w:r>
        <w:rPr>
          <w:sz w:val="20"/>
          <w:szCs w:val="20"/>
        </w:rPr>
        <w:t>ng statements, which are based on certain assumptions and describe the Company’s future plans, strategies and expectations, are generally identifiable by use of the words “believe,” “expect,” “intend,” “anticipate,” “estimate,” “project,” “will,” “target,”</w:t>
      </w:r>
      <w:r>
        <w:rPr>
          <w:sz w:val="20"/>
          <w:szCs w:val="20"/>
        </w:rPr>
        <w:t xml:space="preserve"> “forecast” or similar expressions. You should not rely on forward-looking statements since they involve known and unknown risks, uncertainties and other factors which are, in some cases, beyond the Company’s control and could materially affect actual resu</w:t>
      </w:r>
      <w:r>
        <w:rPr>
          <w:sz w:val="20"/>
          <w:szCs w:val="20"/>
        </w:rPr>
        <w:t xml:space="preserve">lts, performances or achievements. Factors which may cause actual results to differ materially from current expectations include, but are not limited to, (i) general adverse economic and local real estate conditions, (ii) the inability of major tenants to </w:t>
      </w:r>
      <w:r>
        <w:rPr>
          <w:sz w:val="20"/>
          <w:szCs w:val="20"/>
        </w:rPr>
        <w:t>continue paying their rent obligations due to bankruptcy, insolvency or a general downturn in their business, (iii) financing risks, such as the inability to obtain equity, debt or other sources of financing or refinancing on favorable terms to the Company</w:t>
      </w:r>
      <w:r>
        <w:rPr>
          <w:sz w:val="20"/>
          <w:szCs w:val="20"/>
        </w:rPr>
        <w:t xml:space="preserve">, (iv) the Company’s ability to raise capital by selling its assets, (v) changes in governmental laws and regulations and management’s ability to estimate the impact of such changes, (vi) the level and volatility of interest rates and management’s ability </w:t>
      </w:r>
      <w:r>
        <w:rPr>
          <w:sz w:val="20"/>
          <w:szCs w:val="20"/>
        </w:rPr>
        <w:t>to estimate the impact thereof, (vii) pandemics or other health crises, such as coronavirus disease 2019 (“COVID-19”), (viii) the availability of suitable acquisition, disposition, development and redevelopment opportunities, and risks related to acquisiti</w:t>
      </w:r>
      <w:r>
        <w:rPr>
          <w:sz w:val="20"/>
          <w:szCs w:val="20"/>
        </w:rPr>
        <w:t>ons not performing in accordance with our expectations, (ix) valuation and risks related to the Company’s joint venture and preferred equity investments, (x) valuation of marketable securities and other investments, (xi) increases in operating costs, (xii)</w:t>
      </w:r>
      <w:r>
        <w:rPr>
          <w:sz w:val="20"/>
          <w:szCs w:val="20"/>
        </w:rPr>
        <w:t xml:space="preserve"> changes in the dividend policy for the Company’s common and preferred stock and the Company’s ability to pay dividends at current levels, (xiii) the reduction in the Company’s income in the event of multiple lease terminations by tenants or a failure by m</w:t>
      </w:r>
      <w:r>
        <w:rPr>
          <w:sz w:val="20"/>
          <w:szCs w:val="20"/>
        </w:rPr>
        <w:t>ultiple tenants to occupy their premises in a shopping center, (xiv) impairment charges, (xv) unanticipated changes in the Company’s intention or ability to prepay certain debt prior to maturity and/or hold certain securities until maturity and (xvi) the r</w:t>
      </w:r>
      <w:r>
        <w:rPr>
          <w:sz w:val="20"/>
          <w:szCs w:val="20"/>
        </w:rPr>
        <w:t>isks and uncertainties identified under Item 1A, “Risk Factors” in our Annual Report on Form 10-K for the year-ended December 31, 2019. Accordingly, there is no assurance that the Company’s expectations will be realized. The Company disclaims any intention</w:t>
      </w:r>
      <w:r>
        <w:rPr>
          <w:sz w:val="20"/>
          <w:szCs w:val="20"/>
        </w:rPr>
        <w:t xml:space="preserve"> or obligation to update the forward-looking statements, whether as a result of new information, future events or otherwise. You are advised to refer to any further disclosures the Company makes or related subjects in the Company’s Current Reports on Form </w:t>
      </w:r>
      <w:r>
        <w:rPr>
          <w:sz w:val="20"/>
          <w:szCs w:val="20"/>
        </w:rPr>
        <w:t>8-K that the Company files with the Securities and Exchange Commission (“SEC”).</w:t>
      </w:r>
    </w:p>
    <w:p w14:paraId="207703E0" w14:textId="77777777" w:rsidR="00000000" w:rsidRDefault="00322B34">
      <w:pPr>
        <w:pStyle w:val="a3"/>
        <w:spacing w:before="0" w:beforeAutospacing="0" w:after="0" w:afterAutospacing="0"/>
        <w:jc w:val="both"/>
        <w:rPr>
          <w:sz w:val="20"/>
          <w:szCs w:val="20"/>
        </w:rPr>
      </w:pPr>
      <w:r>
        <w:rPr>
          <w:sz w:val="20"/>
          <w:szCs w:val="20"/>
        </w:rPr>
        <w:t> </w:t>
      </w:r>
    </w:p>
    <w:p w14:paraId="10DC642C" w14:textId="77777777" w:rsidR="00000000" w:rsidRDefault="00322B34">
      <w:pPr>
        <w:pStyle w:val="a3"/>
        <w:spacing w:before="0" w:beforeAutospacing="0" w:after="0" w:afterAutospacing="0"/>
        <w:ind w:firstLine="360"/>
        <w:jc w:val="both"/>
        <w:rPr>
          <w:sz w:val="20"/>
          <w:szCs w:val="20"/>
        </w:rPr>
      </w:pPr>
      <w:r>
        <w:rPr>
          <w:sz w:val="20"/>
          <w:szCs w:val="20"/>
        </w:rPr>
        <w:t>The following discussion should be read in conjunction with the accompanying Condensed Consolidated Financial Statements and Notes thereto.  These unaudited financial stateme</w:t>
      </w:r>
      <w:r>
        <w:rPr>
          <w:sz w:val="20"/>
          <w:szCs w:val="20"/>
        </w:rPr>
        <w:t>nts include all adjustments which are, in the opinion of management, necessary to reflect a fair statement of the results for the interim periods presented, and all such adjustments are of a normal recurring nature.</w:t>
      </w:r>
    </w:p>
    <w:p w14:paraId="71FB9D82" w14:textId="77777777" w:rsidR="00000000" w:rsidRDefault="00322B34">
      <w:pPr>
        <w:pStyle w:val="a3"/>
        <w:spacing w:before="0" w:beforeAutospacing="0" w:after="0" w:afterAutospacing="0"/>
        <w:jc w:val="both"/>
        <w:rPr>
          <w:sz w:val="20"/>
          <w:szCs w:val="20"/>
        </w:rPr>
      </w:pPr>
      <w:r>
        <w:rPr>
          <w:sz w:val="20"/>
          <w:szCs w:val="20"/>
        </w:rPr>
        <w:t> </w:t>
      </w:r>
    </w:p>
    <w:p w14:paraId="5CD686E6" w14:textId="77777777" w:rsidR="00000000" w:rsidRDefault="00322B34">
      <w:pPr>
        <w:pStyle w:val="a3"/>
        <w:spacing w:before="0" w:beforeAutospacing="0" w:after="0" w:afterAutospacing="0"/>
        <w:jc w:val="both"/>
        <w:rPr>
          <w:sz w:val="20"/>
          <w:szCs w:val="20"/>
        </w:rPr>
      </w:pPr>
      <w:r>
        <w:rPr>
          <w:sz w:val="20"/>
          <w:szCs w:val="20"/>
          <w:u w:val="single"/>
        </w:rPr>
        <w:t>Executive Overview</w:t>
      </w:r>
    </w:p>
    <w:p w14:paraId="2D021D5E" w14:textId="77777777" w:rsidR="00000000" w:rsidRDefault="00322B34">
      <w:pPr>
        <w:pStyle w:val="a3"/>
        <w:spacing w:before="0" w:beforeAutospacing="0" w:after="0" w:afterAutospacing="0"/>
        <w:jc w:val="both"/>
        <w:rPr>
          <w:sz w:val="20"/>
          <w:szCs w:val="20"/>
        </w:rPr>
      </w:pPr>
      <w:r>
        <w:rPr>
          <w:sz w:val="20"/>
          <w:szCs w:val="20"/>
        </w:rPr>
        <w:t> </w:t>
      </w:r>
    </w:p>
    <w:p w14:paraId="452D63A2" w14:textId="77777777" w:rsidR="00000000" w:rsidRDefault="00322B34">
      <w:pPr>
        <w:pStyle w:val="a3"/>
        <w:spacing w:before="0" w:beforeAutospacing="0" w:after="0" w:afterAutospacing="0"/>
        <w:ind w:firstLine="360"/>
        <w:jc w:val="both"/>
        <w:rPr>
          <w:sz w:val="20"/>
          <w:szCs w:val="20"/>
        </w:rPr>
      </w:pPr>
      <w:r>
        <w:rPr>
          <w:sz w:val="20"/>
          <w:szCs w:val="20"/>
        </w:rPr>
        <w:t>Kimco Realty Corp</w:t>
      </w:r>
      <w:r>
        <w:rPr>
          <w:sz w:val="20"/>
          <w:szCs w:val="20"/>
        </w:rPr>
        <w:t xml:space="preserve">oration, a Maryland corporation, is one of North America’s largest publicly traded owners and operators of open-air, grocery-anchored shopping centers and mixed-use assets. The terms “Kimco,” the “Company,” “we,” “our” and “us” each refers to Kimco Realty </w:t>
      </w:r>
      <w:r>
        <w:rPr>
          <w:sz w:val="20"/>
          <w:szCs w:val="20"/>
        </w:rPr>
        <w:t>Corporation and our subsidiaries, unless the context indicates otherwise.  The Company’s mission is to create destinations for everyday living that inspire a sense of community and deliver value to our many stakeholders.</w:t>
      </w:r>
    </w:p>
    <w:p w14:paraId="79541870" w14:textId="77777777" w:rsidR="00000000" w:rsidRDefault="00322B34">
      <w:pPr>
        <w:pStyle w:val="a3"/>
        <w:spacing w:before="0" w:beforeAutospacing="0" w:after="0" w:afterAutospacing="0"/>
        <w:ind w:firstLine="360"/>
        <w:jc w:val="both"/>
        <w:rPr>
          <w:sz w:val="20"/>
          <w:szCs w:val="20"/>
        </w:rPr>
      </w:pPr>
      <w:r>
        <w:rPr>
          <w:sz w:val="20"/>
          <w:szCs w:val="20"/>
        </w:rPr>
        <w:t> </w:t>
      </w:r>
    </w:p>
    <w:p w14:paraId="2A3A71AE" w14:textId="77777777" w:rsidR="00000000" w:rsidRDefault="00322B34">
      <w:pPr>
        <w:pStyle w:val="a3"/>
        <w:spacing w:before="0" w:beforeAutospacing="0" w:after="0" w:afterAutospacing="0"/>
        <w:ind w:firstLine="360"/>
        <w:jc w:val="both"/>
        <w:rPr>
          <w:sz w:val="20"/>
          <w:szCs w:val="20"/>
        </w:rPr>
      </w:pPr>
      <w:r>
        <w:rPr>
          <w:sz w:val="20"/>
          <w:szCs w:val="20"/>
        </w:rPr>
        <w:t>The Company is a self-administere</w:t>
      </w:r>
      <w:r>
        <w:rPr>
          <w:sz w:val="20"/>
          <w:szCs w:val="20"/>
        </w:rPr>
        <w:t>d real estate investment trust (“REIT”) and has owned and operated open-air shopping centers for over 60 years.  The Company has not engaged, nor does it expect to retain, any REIT advisors in connection with the operation of its properties. As of June 30,</w:t>
      </w:r>
      <w:r>
        <w:rPr>
          <w:sz w:val="20"/>
          <w:szCs w:val="20"/>
        </w:rPr>
        <w:t xml:space="preserve"> 2020, the Company had interests in 400 U.S. shopping center properties, aggregating 70.0 million square feet of gross leasable area (“GLA”), located in 27 states. In addition, the Company had 198 other property interests, primarily through the Company’s p</w:t>
      </w:r>
      <w:r>
        <w:rPr>
          <w:sz w:val="20"/>
          <w:szCs w:val="20"/>
        </w:rPr>
        <w:t xml:space="preserve">referred equity investments and other real estate investments, totaling 5.9 million square feet of GLA. The Company’s ownership interests in real estate consist of its consolidated portfolio and portfolios where the Company owns an economic interest, such </w:t>
      </w:r>
      <w:r>
        <w:rPr>
          <w:sz w:val="20"/>
          <w:szCs w:val="20"/>
        </w:rPr>
        <w:t>as properties in the Company’s investment real estate management programs, where the Company partners with institutional investors and also retains management.  </w:t>
      </w:r>
    </w:p>
    <w:p w14:paraId="1F27F6C1" w14:textId="77777777" w:rsidR="00000000" w:rsidRDefault="00322B34">
      <w:pPr>
        <w:pStyle w:val="a3"/>
        <w:spacing w:before="0" w:beforeAutospacing="0" w:after="0" w:afterAutospacing="0"/>
        <w:ind w:firstLine="360"/>
        <w:rPr>
          <w:sz w:val="20"/>
          <w:szCs w:val="20"/>
        </w:rPr>
      </w:pPr>
      <w:r>
        <w:rPr>
          <w:sz w:val="20"/>
          <w:szCs w:val="20"/>
        </w:rPr>
        <w:t> </w:t>
      </w:r>
    </w:p>
    <w:p w14:paraId="5B321C15" w14:textId="77777777" w:rsidR="00000000" w:rsidRDefault="00322B34">
      <w:pPr>
        <w:pStyle w:val="a3"/>
        <w:spacing w:before="0" w:beforeAutospacing="0" w:after="0" w:afterAutospacing="0"/>
        <w:ind w:firstLine="360"/>
        <w:jc w:val="both"/>
        <w:rPr>
          <w:sz w:val="20"/>
          <w:szCs w:val="20"/>
        </w:rPr>
      </w:pPr>
      <w:r>
        <w:rPr>
          <w:sz w:val="20"/>
          <w:szCs w:val="20"/>
        </w:rPr>
        <w:t>The Company’</w:t>
      </w:r>
      <w:r>
        <w:rPr>
          <w:sz w:val="20"/>
          <w:szCs w:val="20"/>
        </w:rPr>
        <w:t>s operating strategies are to (i) own and operate its shopping center properties at their highest potential through maximizing and maintaining rental income and occupancy levels, (ii) attract local area customers to its shopping centers, which offer buy on</w:t>
      </w:r>
      <w:r>
        <w:rPr>
          <w:sz w:val="20"/>
          <w:szCs w:val="20"/>
        </w:rPr>
        <w:t>line and pick up in store, off-price merchandise and day-to-day necessities rather than high-priced luxury items, and (iii) maintain a strong balance sheet.</w:t>
      </w:r>
    </w:p>
    <w:p w14:paraId="2C6C46E5" w14:textId="77777777" w:rsidR="00000000" w:rsidRDefault="00322B34">
      <w:pPr>
        <w:pStyle w:val="a3"/>
        <w:spacing w:before="0" w:beforeAutospacing="0" w:after="0" w:afterAutospacing="0"/>
        <w:ind w:firstLine="360"/>
        <w:jc w:val="both"/>
        <w:rPr>
          <w:sz w:val="20"/>
          <w:szCs w:val="20"/>
        </w:rPr>
      </w:pPr>
      <w:r>
        <w:rPr>
          <w:sz w:val="20"/>
          <w:szCs w:val="20"/>
        </w:rPr>
        <w:t> </w:t>
      </w:r>
    </w:p>
    <w:p w14:paraId="50E87CEE" w14:textId="77777777" w:rsidR="00000000" w:rsidRDefault="00322B34">
      <w:pPr>
        <w:pStyle w:val="a3"/>
        <w:spacing w:before="0" w:beforeAutospacing="0" w:after="0" w:afterAutospacing="0"/>
        <w:ind w:firstLine="360"/>
        <w:jc w:val="both"/>
        <w:rPr>
          <w:sz w:val="20"/>
          <w:szCs w:val="20"/>
        </w:rPr>
      </w:pPr>
      <w:r>
        <w:rPr>
          <w:sz w:val="20"/>
          <w:szCs w:val="20"/>
        </w:rPr>
        <w:t>The Company’s investment strategy is to invest capital into its high-quality assets, which are ti</w:t>
      </w:r>
      <w:r>
        <w:rPr>
          <w:sz w:val="20"/>
          <w:szCs w:val="20"/>
        </w:rPr>
        <w:t>ghtly clustered in major metropolitan markets that provide opportunity for growth while disposing of lesser quality assets in less desirable locations. Through this strategy, the Company has transformed its portfolio and will continue these efforts as deem</w:t>
      </w:r>
      <w:r>
        <w:rPr>
          <w:sz w:val="20"/>
          <w:szCs w:val="20"/>
        </w:rPr>
        <w:t>ed necessary to maximize the quality and growth of its portfolio. Property acquisitions are focused in major metropolitan areas allowing tenants to generate higher foot traffic resulting in higher sales volume accompanied with a potential for a mixed-use c</w:t>
      </w:r>
      <w:r>
        <w:rPr>
          <w:sz w:val="20"/>
          <w:szCs w:val="20"/>
        </w:rPr>
        <w:t>omponent. The Company believes that this will enable it to maintain higher occupancy levels, rental rates and rental growth.</w:t>
      </w:r>
    </w:p>
    <w:p w14:paraId="020DAA14" w14:textId="77777777" w:rsidR="00000000" w:rsidRDefault="00322B34">
      <w:pPr>
        <w:pStyle w:val="a3"/>
        <w:spacing w:before="0" w:beforeAutospacing="0" w:after="0" w:afterAutospacing="0"/>
        <w:ind w:firstLine="360"/>
        <w:jc w:val="both"/>
        <w:rPr>
          <w:sz w:val="20"/>
          <w:szCs w:val="20"/>
        </w:rPr>
      </w:pPr>
      <w:r>
        <w:rPr>
          <w:sz w:val="20"/>
          <w:szCs w:val="20"/>
        </w:rPr>
        <w:t> </w:t>
      </w:r>
    </w:p>
    <w:p w14:paraId="61427F28" w14:textId="77777777" w:rsidR="00000000" w:rsidRDefault="00322B34">
      <w:pPr>
        <w:jc w:val="center"/>
        <w:divId w:val="745225824"/>
        <w:rPr>
          <w:rFonts w:eastAsia="Times New Roman"/>
          <w:sz w:val="20"/>
          <w:szCs w:val="20"/>
        </w:rPr>
      </w:pPr>
      <w:r>
        <w:rPr>
          <w:rFonts w:eastAsia="Times New Roman"/>
          <w:sz w:val="20"/>
          <w:szCs w:val="20"/>
        </w:rPr>
        <w:t xml:space="preserve">21 </w:t>
      </w:r>
    </w:p>
    <w:p w14:paraId="4F14FCB9" w14:textId="77777777" w:rsidR="00000000" w:rsidRDefault="00322B34">
      <w:pPr>
        <w:divId w:val="1580867750"/>
        <w:rPr>
          <w:rFonts w:eastAsia="Times New Roman"/>
          <w:sz w:val="20"/>
          <w:szCs w:val="20"/>
        </w:rPr>
      </w:pPr>
      <w:r>
        <w:rPr>
          <w:rFonts w:eastAsia="Times New Roman"/>
          <w:sz w:val="20"/>
          <w:szCs w:val="20"/>
        </w:rPr>
        <w:pict w14:anchorId="5B107D6F">
          <v:rect id="_x0000_i1049" style="width:0;height:1.5pt" o:hralign="center" o:hrstd="t" o:hr="t" fillcolor="#a0a0a0" stroked="f"/>
        </w:pict>
      </w:r>
    </w:p>
    <w:p w14:paraId="733011DB" w14:textId="77777777" w:rsidR="00000000" w:rsidRDefault="00322B34">
      <w:pPr>
        <w:divId w:val="210294770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629F7CC" w14:textId="77777777" w:rsidR="00000000" w:rsidRDefault="00322B34">
      <w:pPr>
        <w:pStyle w:val="a3"/>
        <w:spacing w:before="0" w:beforeAutospacing="0" w:after="0" w:afterAutospacing="0"/>
        <w:rPr>
          <w:sz w:val="20"/>
          <w:szCs w:val="20"/>
        </w:rPr>
      </w:pPr>
      <w:r>
        <w:rPr>
          <w:sz w:val="20"/>
          <w:szCs w:val="20"/>
        </w:rPr>
        <w:t> </w:t>
      </w:r>
    </w:p>
    <w:p w14:paraId="6313FCB0" w14:textId="77777777" w:rsidR="00000000" w:rsidRDefault="00322B34">
      <w:pPr>
        <w:pStyle w:val="a3"/>
        <w:spacing w:before="0" w:beforeAutospacing="0" w:after="0" w:afterAutospacing="0"/>
        <w:ind w:firstLine="360"/>
        <w:jc w:val="both"/>
        <w:rPr>
          <w:sz w:val="20"/>
          <w:szCs w:val="20"/>
        </w:rPr>
      </w:pPr>
      <w:r>
        <w:rPr>
          <w:sz w:val="20"/>
          <w:szCs w:val="20"/>
        </w:rPr>
        <w:t>The Company’s investment strategy also in</w:t>
      </w:r>
      <w:r>
        <w:rPr>
          <w:sz w:val="20"/>
          <w:szCs w:val="20"/>
        </w:rPr>
        <w:t>cludes the retail re-tenanting, renovation and expansion of its existing centers and acquired centers, while also pursuing redevelopment opportunities to increase overall value within its portfolio. The Company may selectively acquire established income-pr</w:t>
      </w:r>
      <w:r>
        <w:rPr>
          <w:sz w:val="20"/>
          <w:szCs w:val="20"/>
        </w:rPr>
        <w:t>oducing real estate properties and properties requiring significant re-tenanting and redevelopment, primarily in geographic regions in which the Company presently operates. Additionally, the Company may selectively acquire land parcels in its key markets f</w:t>
      </w:r>
      <w:r>
        <w:rPr>
          <w:sz w:val="20"/>
          <w:szCs w:val="20"/>
        </w:rPr>
        <w:t>or real estate development projects for long-term investment. The Company may consider investments in other real estate sectors and in geographic markets where it does not presently operate should suitable opportunities arise. The Company also continues to</w:t>
      </w:r>
      <w:r>
        <w:rPr>
          <w:sz w:val="20"/>
          <w:szCs w:val="20"/>
        </w:rPr>
        <w:t xml:space="preserve"> simplify its business by reducing the number of joint venture investments.</w:t>
      </w:r>
    </w:p>
    <w:p w14:paraId="10D1D2E4" w14:textId="77777777" w:rsidR="00000000" w:rsidRDefault="00322B34">
      <w:pPr>
        <w:pStyle w:val="a3"/>
        <w:spacing w:before="0" w:beforeAutospacing="0" w:after="0" w:afterAutospacing="0"/>
        <w:ind w:firstLine="360"/>
        <w:jc w:val="both"/>
        <w:rPr>
          <w:sz w:val="20"/>
          <w:szCs w:val="20"/>
        </w:rPr>
      </w:pPr>
      <w:r>
        <w:rPr>
          <w:sz w:val="20"/>
          <w:szCs w:val="20"/>
        </w:rPr>
        <w:t> </w:t>
      </w:r>
    </w:p>
    <w:p w14:paraId="5C943E55" w14:textId="77777777" w:rsidR="00000000" w:rsidRDefault="00322B34">
      <w:pPr>
        <w:pStyle w:val="a3"/>
        <w:spacing w:before="0" w:beforeAutospacing="0" w:after="0" w:afterAutospacing="0"/>
        <w:ind w:firstLine="360"/>
        <w:jc w:val="both"/>
        <w:rPr>
          <w:sz w:val="20"/>
          <w:szCs w:val="20"/>
        </w:rPr>
      </w:pPr>
      <w:r>
        <w:rPr>
          <w:sz w:val="20"/>
          <w:szCs w:val="20"/>
        </w:rPr>
        <w:t>As part of the Company’s investment strategy each property is evaluated for its highest and best use, which may include residential and mixed-use components. In addition, the Com</w:t>
      </w:r>
      <w:r>
        <w:rPr>
          <w:sz w:val="20"/>
          <w:szCs w:val="20"/>
        </w:rPr>
        <w:t>pany may consider other opportunistic investments related to retailer controlled real estate, such as repositioning underperforming retail locations, retail real estate financing and bankruptcy transaction support. The Company has a capital recycling progr</w:t>
      </w:r>
      <w:r>
        <w:rPr>
          <w:sz w:val="20"/>
          <w:szCs w:val="20"/>
        </w:rPr>
        <w:t>am that provides for the disposition of certain lesser quality assets. If the estimated fair value for any of these assets is less than their net carrying values, the Company would be required to take impairment charges, and such amounts could be material.</w:t>
      </w:r>
    </w:p>
    <w:p w14:paraId="3E2823FD" w14:textId="77777777" w:rsidR="00000000" w:rsidRDefault="00322B34">
      <w:pPr>
        <w:pStyle w:val="a3"/>
        <w:spacing w:before="0" w:beforeAutospacing="0" w:after="0" w:afterAutospacing="0"/>
        <w:ind w:firstLine="360"/>
        <w:jc w:val="both"/>
        <w:rPr>
          <w:sz w:val="20"/>
          <w:szCs w:val="20"/>
        </w:rPr>
      </w:pPr>
      <w:r>
        <w:rPr>
          <w:sz w:val="20"/>
          <w:szCs w:val="20"/>
        </w:rPr>
        <w:t> </w:t>
      </w:r>
    </w:p>
    <w:p w14:paraId="24F963F9" w14:textId="77777777" w:rsidR="00000000" w:rsidRDefault="00322B34">
      <w:pPr>
        <w:pStyle w:val="a3"/>
        <w:spacing w:before="0" w:beforeAutospacing="0" w:after="0" w:afterAutospacing="0"/>
        <w:rPr>
          <w:sz w:val="20"/>
          <w:szCs w:val="20"/>
        </w:rPr>
      </w:pPr>
      <w:r>
        <w:rPr>
          <w:sz w:val="20"/>
          <w:szCs w:val="20"/>
          <w:u w:val="single"/>
        </w:rPr>
        <w:t>COVID-19 Pandemic</w:t>
      </w:r>
    </w:p>
    <w:p w14:paraId="0E7D10BE" w14:textId="77777777" w:rsidR="00000000" w:rsidRDefault="00322B34">
      <w:pPr>
        <w:pStyle w:val="a3"/>
        <w:spacing w:before="0" w:beforeAutospacing="0" w:after="0" w:afterAutospacing="0"/>
        <w:ind w:firstLine="360"/>
        <w:jc w:val="both"/>
        <w:rPr>
          <w:sz w:val="20"/>
          <w:szCs w:val="20"/>
        </w:rPr>
      </w:pPr>
      <w:r>
        <w:rPr>
          <w:b/>
          <w:bCs/>
          <w:sz w:val="20"/>
          <w:szCs w:val="20"/>
        </w:rPr>
        <w:t> </w:t>
      </w:r>
    </w:p>
    <w:p w14:paraId="6EF7EEDC" w14:textId="77777777" w:rsidR="00000000" w:rsidRDefault="00322B34">
      <w:pPr>
        <w:pStyle w:val="a3"/>
        <w:spacing w:before="0" w:beforeAutospacing="0" w:after="0" w:afterAutospacing="0"/>
        <w:ind w:firstLine="360"/>
        <w:jc w:val="both"/>
        <w:rPr>
          <w:sz w:val="20"/>
          <w:szCs w:val="20"/>
        </w:rPr>
      </w:pPr>
      <w:r>
        <w:rPr>
          <w:sz w:val="20"/>
          <w:szCs w:val="20"/>
        </w:rPr>
        <w:t>The COVID-19 pandemic has resulted in a widespread health crisis that has adversely affected businesses, economies and financial markets worldwide, and has caused significant volatility in U.S. and international debt and equity marke</w:t>
      </w:r>
      <w:r>
        <w:rPr>
          <w:sz w:val="20"/>
          <w:szCs w:val="20"/>
        </w:rPr>
        <w:t>ts. The COVID-19 pandemic has significantly impacted the retail sector in which the Company operates, and if the effects of the pandemic are prolonged, it could have a significant adverse impact on the underlying industries of many of the Company’s tenants</w:t>
      </w:r>
      <w:r>
        <w:rPr>
          <w:sz w:val="20"/>
          <w:szCs w:val="20"/>
        </w:rPr>
        <w:t>. Accordingly, the Company’s tenants and their operations, and, thus, their ability to pay rent, have been impacted and may continue to be impacted.  All the Company’s shopping centers remain open and operational continuing to provide access to tenants pro</w:t>
      </w:r>
      <w:r>
        <w:rPr>
          <w:sz w:val="20"/>
          <w:szCs w:val="20"/>
        </w:rPr>
        <w:t>viding essential goods and services. However, a substantial number of tenants have had to temporarily close their business, shortened their operating hours or offer reduced services for some period of time. As a result, the Company has observed a substanti</w:t>
      </w:r>
      <w:r>
        <w:rPr>
          <w:sz w:val="20"/>
          <w:szCs w:val="20"/>
        </w:rPr>
        <w:t>al increase in the number of tenants that have made late or partial rent payments, requested a deferral of rent payments, or defaulted on rent payments, and it is likely that more of our tenants will be similarly impacted in the future. For the months of A</w:t>
      </w:r>
      <w:r>
        <w:rPr>
          <w:sz w:val="20"/>
          <w:szCs w:val="20"/>
        </w:rPr>
        <w:t>pril, May and June 2020, the Company granted selective deferrals for approximately 22%, 22% and 11%, respectively, of its annual base rent for all of the Company's wholly owned locations and the Company's share of ownership in joint ventures (collectively,</w:t>
      </w:r>
      <w:r>
        <w:rPr>
          <w:sz w:val="20"/>
          <w:szCs w:val="20"/>
        </w:rPr>
        <w:t xml:space="preserve"> the "pro-rata annual base rent") and collected 68%, 66% and 76%, respectively, of its pro-rata annual base rent. The Company continues to negotiate for the payment of the remaining April, May and June rents not yet collected.  The Company has also collect</w:t>
      </w:r>
      <w:r>
        <w:rPr>
          <w:sz w:val="20"/>
          <w:szCs w:val="20"/>
        </w:rPr>
        <w:t>ed 82% of the pro-rata annual base rent for the month of July 2020. </w:t>
      </w:r>
    </w:p>
    <w:p w14:paraId="389363B6" w14:textId="77777777" w:rsidR="00000000" w:rsidRDefault="00322B34">
      <w:pPr>
        <w:pStyle w:val="a3"/>
        <w:spacing w:before="0" w:beforeAutospacing="0" w:after="0" w:afterAutospacing="0"/>
        <w:ind w:firstLine="360"/>
        <w:jc w:val="both"/>
        <w:rPr>
          <w:sz w:val="20"/>
          <w:szCs w:val="20"/>
        </w:rPr>
      </w:pPr>
      <w:r>
        <w:rPr>
          <w:sz w:val="20"/>
          <w:szCs w:val="20"/>
        </w:rPr>
        <w:t> </w:t>
      </w:r>
    </w:p>
    <w:p w14:paraId="09650547" w14:textId="77777777" w:rsidR="00000000" w:rsidRDefault="00322B34">
      <w:pPr>
        <w:pStyle w:val="a3"/>
        <w:spacing w:before="0" w:beforeAutospacing="0" w:after="0" w:afterAutospacing="0"/>
        <w:ind w:firstLine="360"/>
        <w:jc w:val="both"/>
        <w:rPr>
          <w:sz w:val="20"/>
          <w:szCs w:val="20"/>
        </w:rPr>
      </w:pPr>
      <w:r>
        <w:rPr>
          <w:sz w:val="20"/>
          <w:szCs w:val="20"/>
        </w:rPr>
        <w:t>The Company considered the impacts COVID-19 has had on its tenants when evaluating the adequacy of the collectability of the lessee’s total accounts receivable balance, including the co</w:t>
      </w:r>
      <w:r>
        <w:rPr>
          <w:sz w:val="20"/>
          <w:szCs w:val="20"/>
        </w:rPr>
        <w:t>rresponding straight-line rent receivable. During the six months ended June 30, 2020, the Company recorded a $50.5 million adjustment associated with potentially uncollectible revenues and disputed amounts, which includes $11.5 million for straight-line re</w:t>
      </w:r>
      <w:r>
        <w:rPr>
          <w:sz w:val="20"/>
          <w:szCs w:val="20"/>
        </w:rPr>
        <w:t>nt receivables, primarily attributable to the COVID-19 pandemic. Management’s estimate of the collectability of accrued rents and accounts receivable is based on the best information available to management at the time of evaluation. The Company will conti</w:t>
      </w:r>
      <w:r>
        <w:rPr>
          <w:sz w:val="20"/>
          <w:szCs w:val="20"/>
        </w:rPr>
        <w:t>nue to monitor the economic, financial, and social conditions resulting from the COVID-19 pandemic and will continue to assess the collectability of its tenant accounts receivables. As such, the Company may determine that further adjustments to its account</w:t>
      </w:r>
      <w:r>
        <w:rPr>
          <w:sz w:val="20"/>
          <w:szCs w:val="20"/>
        </w:rPr>
        <w:t>s receivable may be required in the future, and such amounts may be material.</w:t>
      </w:r>
    </w:p>
    <w:p w14:paraId="03882533" w14:textId="77777777" w:rsidR="00000000" w:rsidRDefault="00322B34">
      <w:pPr>
        <w:pStyle w:val="a3"/>
        <w:spacing w:before="0" w:beforeAutospacing="0" w:after="0" w:afterAutospacing="0"/>
        <w:ind w:firstLine="360"/>
        <w:jc w:val="both"/>
        <w:rPr>
          <w:sz w:val="20"/>
          <w:szCs w:val="20"/>
        </w:rPr>
      </w:pPr>
      <w:r>
        <w:rPr>
          <w:sz w:val="20"/>
          <w:szCs w:val="20"/>
        </w:rPr>
        <w:t> </w:t>
      </w:r>
    </w:p>
    <w:p w14:paraId="1907D60B" w14:textId="77777777" w:rsidR="00000000" w:rsidRDefault="00322B34">
      <w:pPr>
        <w:pStyle w:val="a3"/>
        <w:spacing w:before="0" w:beforeAutospacing="0" w:after="0" w:afterAutospacing="0"/>
        <w:ind w:firstLine="360"/>
        <w:jc w:val="both"/>
        <w:rPr>
          <w:sz w:val="20"/>
          <w:szCs w:val="20"/>
        </w:rPr>
      </w:pPr>
      <w:r>
        <w:rPr>
          <w:sz w:val="20"/>
          <w:szCs w:val="20"/>
        </w:rPr>
        <w:t xml:space="preserve">The impact of COVID-19 on the Company’s future results could be significant and will largely depend on future developments, which are highly uncertain and cannot be predicted, </w:t>
      </w:r>
      <w:r>
        <w:rPr>
          <w:sz w:val="20"/>
          <w:szCs w:val="20"/>
        </w:rPr>
        <w:t>including new information that may emerge concerning the severity of COVID-19, the success of governmental, business and individual actions that have been and continue to be taken in response to COVID-19, the impact of COVID-19 on economic activity, the ef</w:t>
      </w:r>
      <w:r>
        <w:rPr>
          <w:sz w:val="20"/>
          <w:szCs w:val="20"/>
        </w:rPr>
        <w:t>fect of COVID-19 on the Company’s tenants and their businesses, the ability of tenants to make their rental payments and any additional closures of tenants’ businesses. </w:t>
      </w:r>
    </w:p>
    <w:p w14:paraId="5CAB2688" w14:textId="77777777" w:rsidR="00000000" w:rsidRDefault="00322B34">
      <w:pPr>
        <w:pStyle w:val="a3"/>
        <w:spacing w:before="0" w:beforeAutospacing="0" w:after="0" w:afterAutospacing="0"/>
        <w:ind w:firstLine="360"/>
        <w:jc w:val="both"/>
        <w:rPr>
          <w:sz w:val="20"/>
          <w:szCs w:val="20"/>
        </w:rPr>
      </w:pPr>
      <w:r>
        <w:rPr>
          <w:sz w:val="20"/>
          <w:szCs w:val="20"/>
        </w:rPr>
        <w:t> </w:t>
      </w:r>
    </w:p>
    <w:p w14:paraId="2CF214A3" w14:textId="77777777" w:rsidR="00000000" w:rsidRDefault="00322B34">
      <w:pPr>
        <w:pStyle w:val="a3"/>
        <w:spacing w:before="0" w:beforeAutospacing="0" w:after="0" w:afterAutospacing="0"/>
        <w:ind w:firstLine="360"/>
        <w:jc w:val="both"/>
        <w:rPr>
          <w:sz w:val="20"/>
          <w:szCs w:val="20"/>
        </w:rPr>
      </w:pPr>
      <w:r>
        <w:rPr>
          <w:sz w:val="20"/>
          <w:szCs w:val="20"/>
        </w:rPr>
        <w:t>The Company is continuing to monitor the impact of COVID-19 on the Company’s busines</w:t>
      </w:r>
      <w:r>
        <w:rPr>
          <w:sz w:val="20"/>
          <w:szCs w:val="20"/>
        </w:rPr>
        <w:t xml:space="preserve">s, tenants and industry as a whole.  The magnitude and duration of the COVID-19 pandemic and its impact on the Company’s operations and liquidity is uncertain as of the filing date of this Quarterly Report on Form 10-Q as this pandemic continues to evolve </w:t>
      </w:r>
      <w:r>
        <w:rPr>
          <w:sz w:val="20"/>
          <w:szCs w:val="20"/>
        </w:rPr>
        <w:t>globally and within the United States. However, if the COVID-19 pandemic continues its current trajectory, such impacts could grow and become material and could materially disrupt the Company’s business operations. See Part II. Item 1A. "Risk Factors" of t</w:t>
      </w:r>
      <w:r>
        <w:rPr>
          <w:sz w:val="20"/>
          <w:szCs w:val="20"/>
        </w:rPr>
        <w:t xml:space="preserve">his Quarterly Report on Form 10-Q and Footnotes 1, 2, 3 and 4 to the Notes to the Company’s Condensed Consolidated Financial Statements for further discussion of the possible impact of the COVID-19 pandemic on the Company’s business. Management cannot, at </w:t>
      </w:r>
      <w:r>
        <w:rPr>
          <w:sz w:val="20"/>
          <w:szCs w:val="20"/>
        </w:rPr>
        <w:t>this point, estimate ultimate losses related to the COVID-19 pandemic. The Company will continue to monitor the economic, financial, and social conditions resulting from the COVID-19 pandemic and will assess its asset portfolio for any impairment indicator</w:t>
      </w:r>
      <w:r>
        <w:rPr>
          <w:sz w:val="20"/>
          <w:szCs w:val="20"/>
        </w:rPr>
        <w:t>s. If the Company determines that any of its assets are impaired, the Company would be required to take impairment charges, and such amounts could be material. See Footnote 3 to the Notes to the Company’s Condensed Consolidated Financial Statements for add</w:t>
      </w:r>
      <w:r>
        <w:rPr>
          <w:sz w:val="20"/>
          <w:szCs w:val="20"/>
        </w:rPr>
        <w:t>itional discussion regarding impairment charges.</w:t>
      </w:r>
    </w:p>
    <w:p w14:paraId="5E0E73E6" w14:textId="77777777" w:rsidR="00000000" w:rsidRDefault="00322B34">
      <w:pPr>
        <w:pStyle w:val="a3"/>
        <w:spacing w:before="0" w:beforeAutospacing="0" w:after="0" w:afterAutospacing="0"/>
        <w:ind w:firstLine="360"/>
        <w:rPr>
          <w:sz w:val="20"/>
          <w:szCs w:val="20"/>
        </w:rPr>
      </w:pPr>
      <w:r>
        <w:rPr>
          <w:sz w:val="20"/>
          <w:szCs w:val="20"/>
        </w:rPr>
        <w:t> </w:t>
      </w:r>
    </w:p>
    <w:p w14:paraId="6B8131B8" w14:textId="77777777" w:rsidR="00000000" w:rsidRDefault="00322B34">
      <w:pPr>
        <w:jc w:val="center"/>
        <w:divId w:val="310065019"/>
        <w:rPr>
          <w:rFonts w:eastAsia="Times New Roman"/>
          <w:sz w:val="20"/>
          <w:szCs w:val="20"/>
        </w:rPr>
      </w:pPr>
      <w:r>
        <w:rPr>
          <w:rFonts w:eastAsia="Times New Roman"/>
          <w:sz w:val="20"/>
          <w:szCs w:val="20"/>
        </w:rPr>
        <w:t xml:space="preserve">22 </w:t>
      </w:r>
    </w:p>
    <w:p w14:paraId="565D40A6" w14:textId="77777777" w:rsidR="00000000" w:rsidRDefault="00322B34">
      <w:pPr>
        <w:divId w:val="1569609847"/>
        <w:rPr>
          <w:rFonts w:eastAsia="Times New Roman"/>
          <w:sz w:val="20"/>
          <w:szCs w:val="20"/>
        </w:rPr>
      </w:pPr>
      <w:r>
        <w:rPr>
          <w:rFonts w:eastAsia="Times New Roman"/>
          <w:sz w:val="20"/>
          <w:szCs w:val="20"/>
        </w:rPr>
        <w:pict w14:anchorId="22A8E58A">
          <v:rect id="_x0000_i1050" style="width:0;height:1.5pt" o:hralign="center" o:hrstd="t" o:hr="t" fillcolor="#a0a0a0" stroked="f"/>
        </w:pict>
      </w:r>
    </w:p>
    <w:p w14:paraId="52861438" w14:textId="77777777" w:rsidR="00000000" w:rsidRDefault="00322B34">
      <w:pPr>
        <w:divId w:val="29884532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CC2821B" w14:textId="77777777" w:rsidR="00000000" w:rsidRDefault="00322B34">
      <w:pPr>
        <w:pStyle w:val="a3"/>
        <w:spacing w:before="0" w:beforeAutospacing="0" w:after="0" w:afterAutospacing="0"/>
        <w:rPr>
          <w:sz w:val="20"/>
          <w:szCs w:val="20"/>
        </w:rPr>
      </w:pPr>
      <w:r>
        <w:rPr>
          <w:sz w:val="20"/>
          <w:szCs w:val="20"/>
        </w:rPr>
        <w:t> </w:t>
      </w:r>
    </w:p>
    <w:p w14:paraId="4D0636E0" w14:textId="77777777" w:rsidR="00000000" w:rsidRDefault="00322B34">
      <w:pPr>
        <w:pStyle w:val="a3"/>
        <w:spacing w:before="0" w:beforeAutospacing="0" w:after="0" w:afterAutospacing="0"/>
        <w:rPr>
          <w:sz w:val="20"/>
          <w:szCs w:val="20"/>
        </w:rPr>
      </w:pPr>
      <w:r>
        <w:rPr>
          <w:sz w:val="20"/>
          <w:szCs w:val="20"/>
          <w:u w:val="single"/>
        </w:rPr>
        <w:t>Results of Operations</w:t>
      </w:r>
    </w:p>
    <w:p w14:paraId="02740CF7" w14:textId="77777777" w:rsidR="00000000" w:rsidRDefault="00322B34">
      <w:pPr>
        <w:pStyle w:val="a3"/>
        <w:spacing w:before="0" w:beforeAutospacing="0" w:after="0" w:afterAutospacing="0"/>
        <w:jc w:val="both"/>
        <w:rPr>
          <w:sz w:val="20"/>
          <w:szCs w:val="20"/>
        </w:rPr>
      </w:pPr>
      <w:r>
        <w:rPr>
          <w:sz w:val="20"/>
          <w:szCs w:val="20"/>
        </w:rPr>
        <w:t> </w:t>
      </w:r>
    </w:p>
    <w:p w14:paraId="39220E30" w14:textId="77777777" w:rsidR="00000000" w:rsidRDefault="00322B34">
      <w:pPr>
        <w:pStyle w:val="a3"/>
        <w:spacing w:before="0" w:beforeAutospacing="0" w:after="0" w:afterAutospacing="0"/>
        <w:jc w:val="both"/>
        <w:rPr>
          <w:sz w:val="20"/>
          <w:szCs w:val="20"/>
        </w:rPr>
      </w:pPr>
      <w:r>
        <w:rPr>
          <w:i/>
          <w:iCs/>
          <w:sz w:val="20"/>
          <w:szCs w:val="20"/>
        </w:rPr>
        <w:t>Comparison of the three and six months ended June 30, 2020 and 2019</w:t>
      </w:r>
    </w:p>
    <w:p w14:paraId="6A871297" w14:textId="77777777" w:rsidR="00000000" w:rsidRDefault="00322B34">
      <w:pPr>
        <w:pStyle w:val="a3"/>
        <w:spacing w:before="0" w:beforeAutospacing="0" w:after="0" w:afterAutospacing="0"/>
        <w:jc w:val="both"/>
        <w:rPr>
          <w:sz w:val="20"/>
          <w:szCs w:val="20"/>
        </w:rPr>
      </w:pPr>
      <w:r>
        <w:rPr>
          <w:sz w:val="20"/>
          <w:szCs w:val="20"/>
        </w:rPr>
        <w:t> </w:t>
      </w:r>
    </w:p>
    <w:p w14:paraId="5AE122D0" w14:textId="77777777" w:rsidR="00000000" w:rsidRDefault="00322B34">
      <w:pPr>
        <w:pStyle w:val="a3"/>
        <w:spacing w:before="0" w:beforeAutospacing="0" w:after="0" w:afterAutospacing="0"/>
        <w:ind w:firstLine="360"/>
        <w:jc w:val="both"/>
        <w:rPr>
          <w:sz w:val="20"/>
          <w:szCs w:val="20"/>
        </w:rPr>
      </w:pPr>
      <w:r>
        <w:rPr>
          <w:sz w:val="20"/>
          <w:szCs w:val="20"/>
        </w:rPr>
        <w:t>The following table presents the comparative results from the Company’s Condensed Consolidated Statements of Income for the three and six months ended June 30, 2020, as compared to the corresponding periods in 2019 (in thousands, except per share data):</w:t>
      </w:r>
    </w:p>
    <w:p w14:paraId="0A017E5A" w14:textId="77777777" w:rsidR="00000000" w:rsidRDefault="00322B34">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70"/>
        <w:gridCol w:w="50"/>
        <w:gridCol w:w="100"/>
        <w:gridCol w:w="650"/>
        <w:gridCol w:w="67"/>
        <w:gridCol w:w="50"/>
        <w:gridCol w:w="100"/>
        <w:gridCol w:w="650"/>
        <w:gridCol w:w="67"/>
        <w:gridCol w:w="50"/>
        <w:gridCol w:w="100"/>
        <w:gridCol w:w="650"/>
        <w:gridCol w:w="67"/>
        <w:gridCol w:w="50"/>
        <w:gridCol w:w="100"/>
        <w:gridCol w:w="717"/>
        <w:gridCol w:w="67"/>
        <w:gridCol w:w="50"/>
        <w:gridCol w:w="100"/>
        <w:gridCol w:w="717"/>
        <w:gridCol w:w="67"/>
        <w:gridCol w:w="50"/>
        <w:gridCol w:w="100"/>
        <w:gridCol w:w="650"/>
        <w:gridCol w:w="67"/>
      </w:tblGrid>
      <w:tr w:rsidR="00000000" w14:paraId="63E0EC97" w14:textId="77777777">
        <w:trPr>
          <w:tblCellSpacing w:w="0" w:type="dxa"/>
        </w:trPr>
        <w:tc>
          <w:tcPr>
            <w:tcW w:w="2000" w:type="pct"/>
            <w:vAlign w:val="bottom"/>
            <w:hideMark/>
          </w:tcPr>
          <w:p w14:paraId="7658EEAD" w14:textId="77777777" w:rsidR="00000000" w:rsidRDefault="00322B34">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14:paraId="4CC95497" w14:textId="77777777" w:rsidR="00000000" w:rsidRDefault="00322B34">
            <w:pPr>
              <w:rPr>
                <w:rFonts w:eastAsia="Times New Roman"/>
                <w:sz w:val="20"/>
                <w:szCs w:val="20"/>
              </w:rPr>
            </w:pPr>
            <w:r>
              <w:rPr>
                <w:rFonts w:eastAsia="Times New Roman"/>
                <w:sz w:val="20"/>
                <w:szCs w:val="20"/>
              </w:rPr>
              <w:t> </w:t>
            </w:r>
          </w:p>
        </w:tc>
        <w:tc>
          <w:tcPr>
            <w:tcW w:w="1050" w:type="pct"/>
            <w:gridSpan w:val="10"/>
            <w:tcBorders>
              <w:bottom w:val="single" w:sz="6" w:space="0" w:color="000000"/>
            </w:tcBorders>
            <w:vAlign w:val="bottom"/>
            <w:hideMark/>
          </w:tcPr>
          <w:p w14:paraId="62BEF481" w14:textId="77777777" w:rsidR="00000000" w:rsidRDefault="00322B34">
            <w:pPr>
              <w:pStyle w:val="a3"/>
              <w:spacing w:before="0" w:beforeAutospacing="0" w:after="0" w:afterAutospacing="0"/>
              <w:jc w:val="center"/>
              <w:rPr>
                <w:sz w:val="20"/>
                <w:szCs w:val="20"/>
              </w:rPr>
            </w:pPr>
            <w:r>
              <w:rPr>
                <w:b/>
                <w:bCs/>
                <w:sz w:val="20"/>
                <w:szCs w:val="20"/>
              </w:rPr>
              <w:t xml:space="preserve">Three Months Ended June 30, </w:t>
            </w:r>
          </w:p>
        </w:tc>
        <w:tc>
          <w:tcPr>
            <w:tcW w:w="50" w:type="pct"/>
            <w:vAlign w:val="bottom"/>
            <w:hideMark/>
          </w:tcPr>
          <w:p w14:paraId="52B6D5EC"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4B39AF80" w14:textId="77777777" w:rsidR="00000000" w:rsidRDefault="00322B34">
            <w:pPr>
              <w:rPr>
                <w:rFonts w:eastAsia="Times New Roman"/>
                <w:sz w:val="20"/>
                <w:szCs w:val="20"/>
              </w:rPr>
            </w:pPr>
            <w:r>
              <w:rPr>
                <w:rFonts w:eastAsia="Times New Roman"/>
                <w:sz w:val="20"/>
                <w:szCs w:val="20"/>
              </w:rPr>
              <w:t> </w:t>
            </w:r>
          </w:p>
        </w:tc>
        <w:tc>
          <w:tcPr>
            <w:tcW w:w="1050" w:type="pct"/>
            <w:gridSpan w:val="10"/>
            <w:tcBorders>
              <w:bottom w:val="single" w:sz="6" w:space="0" w:color="000000"/>
            </w:tcBorders>
            <w:vAlign w:val="bottom"/>
            <w:hideMark/>
          </w:tcPr>
          <w:p w14:paraId="7F0EA97F" w14:textId="77777777" w:rsidR="00000000" w:rsidRDefault="00322B34">
            <w:pPr>
              <w:pStyle w:val="a3"/>
              <w:spacing w:before="0" w:beforeAutospacing="0" w:after="0" w:afterAutospacing="0"/>
              <w:jc w:val="center"/>
              <w:rPr>
                <w:sz w:val="20"/>
                <w:szCs w:val="20"/>
              </w:rPr>
            </w:pPr>
            <w:r>
              <w:rPr>
                <w:b/>
                <w:bCs/>
                <w:sz w:val="20"/>
                <w:szCs w:val="20"/>
              </w:rPr>
              <w:t xml:space="preserve">Six Months Ended June 30, </w:t>
            </w:r>
          </w:p>
        </w:tc>
        <w:tc>
          <w:tcPr>
            <w:tcW w:w="50" w:type="pct"/>
            <w:tcMar>
              <w:top w:w="0" w:type="dxa"/>
              <w:left w:w="0" w:type="dxa"/>
              <w:bottom w:w="15" w:type="dxa"/>
              <w:right w:w="0" w:type="dxa"/>
            </w:tcMar>
            <w:vAlign w:val="bottom"/>
            <w:hideMark/>
          </w:tcPr>
          <w:p w14:paraId="708971D5" w14:textId="77777777" w:rsidR="00000000" w:rsidRDefault="00322B34">
            <w:pPr>
              <w:rPr>
                <w:rFonts w:eastAsia="Times New Roman"/>
                <w:sz w:val="20"/>
                <w:szCs w:val="20"/>
              </w:rPr>
            </w:pPr>
            <w:r>
              <w:rPr>
                <w:rFonts w:eastAsia="Times New Roman"/>
                <w:sz w:val="20"/>
                <w:szCs w:val="20"/>
              </w:rPr>
              <w:t> </w:t>
            </w:r>
          </w:p>
        </w:tc>
      </w:tr>
      <w:tr w:rsidR="00000000" w14:paraId="020FCED8" w14:textId="77777777">
        <w:trPr>
          <w:tblCellSpacing w:w="0" w:type="dxa"/>
        </w:trPr>
        <w:tc>
          <w:tcPr>
            <w:tcW w:w="2000" w:type="pct"/>
            <w:vAlign w:val="bottom"/>
            <w:hideMark/>
          </w:tcPr>
          <w:p w14:paraId="46E15291"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4D296C3A"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929C7F5" w14:textId="77777777" w:rsidR="00000000" w:rsidRDefault="00322B34">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14:paraId="62E8E881"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1C2C8949"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39B88FD" w14:textId="77777777" w:rsidR="00000000" w:rsidRDefault="00322B34">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14:paraId="30E33916"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1811DF7B"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0B72709" w14:textId="77777777" w:rsidR="00000000" w:rsidRDefault="00322B34">
            <w:pPr>
              <w:pStyle w:val="a3"/>
              <w:spacing w:before="0" w:beforeAutospacing="0" w:after="0" w:afterAutospacing="0"/>
              <w:jc w:val="center"/>
              <w:rPr>
                <w:sz w:val="20"/>
                <w:szCs w:val="20"/>
              </w:rPr>
            </w:pPr>
            <w:r>
              <w:rPr>
                <w:b/>
                <w:bCs/>
                <w:sz w:val="20"/>
                <w:szCs w:val="20"/>
              </w:rPr>
              <w:t>Change</w:t>
            </w:r>
          </w:p>
        </w:tc>
        <w:tc>
          <w:tcPr>
            <w:tcW w:w="50" w:type="pct"/>
            <w:tcMar>
              <w:top w:w="0" w:type="dxa"/>
              <w:left w:w="0" w:type="dxa"/>
              <w:bottom w:w="15" w:type="dxa"/>
              <w:right w:w="0" w:type="dxa"/>
            </w:tcMar>
            <w:vAlign w:val="bottom"/>
            <w:hideMark/>
          </w:tcPr>
          <w:p w14:paraId="0D614456"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67875655"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E07DDF9" w14:textId="77777777" w:rsidR="00000000" w:rsidRDefault="00322B34">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14:paraId="1EDB6895"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6247EEC6"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CA0092D" w14:textId="77777777" w:rsidR="00000000" w:rsidRDefault="00322B34">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14:paraId="228D0F17"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1888B60E"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FBD029D" w14:textId="77777777" w:rsidR="00000000" w:rsidRDefault="00322B34">
            <w:pPr>
              <w:pStyle w:val="a3"/>
              <w:spacing w:before="0" w:beforeAutospacing="0" w:after="0" w:afterAutospacing="0"/>
              <w:jc w:val="center"/>
              <w:rPr>
                <w:sz w:val="20"/>
                <w:szCs w:val="20"/>
              </w:rPr>
            </w:pPr>
            <w:r>
              <w:rPr>
                <w:b/>
                <w:bCs/>
                <w:sz w:val="20"/>
                <w:szCs w:val="20"/>
              </w:rPr>
              <w:t>Change</w:t>
            </w:r>
          </w:p>
        </w:tc>
        <w:tc>
          <w:tcPr>
            <w:tcW w:w="50" w:type="pct"/>
            <w:tcMar>
              <w:top w:w="0" w:type="dxa"/>
              <w:left w:w="0" w:type="dxa"/>
              <w:bottom w:w="15" w:type="dxa"/>
              <w:right w:w="0" w:type="dxa"/>
            </w:tcMar>
            <w:vAlign w:val="bottom"/>
            <w:hideMark/>
          </w:tcPr>
          <w:p w14:paraId="211A1E79" w14:textId="77777777" w:rsidR="00000000" w:rsidRDefault="00322B34">
            <w:pPr>
              <w:rPr>
                <w:rFonts w:eastAsia="Times New Roman"/>
                <w:sz w:val="20"/>
                <w:szCs w:val="20"/>
              </w:rPr>
            </w:pPr>
            <w:r>
              <w:rPr>
                <w:rFonts w:eastAsia="Times New Roman"/>
                <w:sz w:val="20"/>
                <w:szCs w:val="20"/>
              </w:rPr>
              <w:t> </w:t>
            </w:r>
          </w:p>
        </w:tc>
      </w:tr>
      <w:tr w:rsidR="00000000" w14:paraId="696A13CF" w14:textId="77777777">
        <w:trPr>
          <w:tblCellSpacing w:w="0" w:type="dxa"/>
        </w:trPr>
        <w:tc>
          <w:tcPr>
            <w:tcW w:w="2000" w:type="pct"/>
            <w:vAlign w:val="bottom"/>
            <w:hideMark/>
          </w:tcPr>
          <w:p w14:paraId="337EE180"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259DCBB6"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319CD84A" w14:textId="77777777" w:rsidR="00000000" w:rsidRDefault="00322B34">
            <w:pPr>
              <w:rPr>
                <w:rFonts w:eastAsia="Times New Roman"/>
                <w:sz w:val="20"/>
                <w:szCs w:val="20"/>
              </w:rPr>
            </w:pPr>
            <w:r>
              <w:rPr>
                <w:rFonts w:eastAsia="Times New Roman"/>
                <w:sz w:val="20"/>
                <w:szCs w:val="20"/>
              </w:rPr>
              <w:t> </w:t>
            </w:r>
          </w:p>
        </w:tc>
        <w:tc>
          <w:tcPr>
            <w:tcW w:w="350" w:type="pct"/>
            <w:vAlign w:val="bottom"/>
            <w:hideMark/>
          </w:tcPr>
          <w:p w14:paraId="69225A2F"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65EAABF7"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76D41C56"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425007E0" w14:textId="77777777" w:rsidR="00000000" w:rsidRDefault="00322B34">
            <w:pPr>
              <w:rPr>
                <w:rFonts w:eastAsia="Times New Roman"/>
                <w:sz w:val="20"/>
                <w:szCs w:val="20"/>
              </w:rPr>
            </w:pPr>
            <w:r>
              <w:rPr>
                <w:rFonts w:eastAsia="Times New Roman"/>
                <w:sz w:val="20"/>
                <w:szCs w:val="20"/>
              </w:rPr>
              <w:t> </w:t>
            </w:r>
          </w:p>
        </w:tc>
        <w:tc>
          <w:tcPr>
            <w:tcW w:w="350" w:type="pct"/>
            <w:vAlign w:val="bottom"/>
            <w:hideMark/>
          </w:tcPr>
          <w:p w14:paraId="134B074D"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4063D02B"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5035C821"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3A4B70E8" w14:textId="77777777" w:rsidR="00000000" w:rsidRDefault="00322B34">
            <w:pPr>
              <w:rPr>
                <w:rFonts w:eastAsia="Times New Roman"/>
                <w:sz w:val="20"/>
                <w:szCs w:val="20"/>
              </w:rPr>
            </w:pPr>
            <w:r>
              <w:rPr>
                <w:rFonts w:eastAsia="Times New Roman"/>
                <w:sz w:val="20"/>
                <w:szCs w:val="20"/>
              </w:rPr>
              <w:t> </w:t>
            </w:r>
          </w:p>
        </w:tc>
        <w:tc>
          <w:tcPr>
            <w:tcW w:w="350" w:type="pct"/>
            <w:vAlign w:val="bottom"/>
            <w:hideMark/>
          </w:tcPr>
          <w:p w14:paraId="7B3742BA"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1207E098"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533FE6FB"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558D1B20" w14:textId="77777777" w:rsidR="00000000" w:rsidRDefault="00322B34">
            <w:pPr>
              <w:rPr>
                <w:rFonts w:eastAsia="Times New Roman"/>
                <w:sz w:val="20"/>
                <w:szCs w:val="20"/>
              </w:rPr>
            </w:pPr>
            <w:r>
              <w:rPr>
                <w:rFonts w:eastAsia="Times New Roman"/>
                <w:sz w:val="20"/>
                <w:szCs w:val="20"/>
              </w:rPr>
              <w:t> </w:t>
            </w:r>
          </w:p>
        </w:tc>
        <w:tc>
          <w:tcPr>
            <w:tcW w:w="350" w:type="pct"/>
            <w:vAlign w:val="bottom"/>
            <w:hideMark/>
          </w:tcPr>
          <w:p w14:paraId="215682B4"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0EE0F255"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66BD7088"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0C930074" w14:textId="77777777" w:rsidR="00000000" w:rsidRDefault="00322B34">
            <w:pPr>
              <w:rPr>
                <w:rFonts w:eastAsia="Times New Roman"/>
                <w:sz w:val="20"/>
                <w:szCs w:val="20"/>
              </w:rPr>
            </w:pPr>
            <w:r>
              <w:rPr>
                <w:rFonts w:eastAsia="Times New Roman"/>
                <w:sz w:val="20"/>
                <w:szCs w:val="20"/>
              </w:rPr>
              <w:t> </w:t>
            </w:r>
          </w:p>
        </w:tc>
        <w:tc>
          <w:tcPr>
            <w:tcW w:w="350" w:type="pct"/>
            <w:vAlign w:val="bottom"/>
            <w:hideMark/>
          </w:tcPr>
          <w:p w14:paraId="7E851CF5"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53B4D365"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5B1EB536"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441ACB8F" w14:textId="77777777" w:rsidR="00000000" w:rsidRDefault="00322B34">
            <w:pPr>
              <w:rPr>
                <w:rFonts w:eastAsia="Times New Roman"/>
                <w:sz w:val="20"/>
                <w:szCs w:val="20"/>
              </w:rPr>
            </w:pPr>
            <w:r>
              <w:rPr>
                <w:rFonts w:eastAsia="Times New Roman"/>
                <w:sz w:val="20"/>
                <w:szCs w:val="20"/>
              </w:rPr>
              <w:t> </w:t>
            </w:r>
          </w:p>
        </w:tc>
        <w:tc>
          <w:tcPr>
            <w:tcW w:w="350" w:type="pct"/>
            <w:vAlign w:val="bottom"/>
            <w:hideMark/>
          </w:tcPr>
          <w:p w14:paraId="52FFF8DA"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40FA9D1C" w14:textId="77777777" w:rsidR="00000000" w:rsidRDefault="00322B34">
            <w:pPr>
              <w:rPr>
                <w:rFonts w:eastAsia="Times New Roman"/>
                <w:sz w:val="20"/>
                <w:szCs w:val="20"/>
              </w:rPr>
            </w:pPr>
            <w:r>
              <w:rPr>
                <w:rFonts w:eastAsia="Times New Roman"/>
                <w:sz w:val="20"/>
                <w:szCs w:val="20"/>
              </w:rPr>
              <w:t> </w:t>
            </w:r>
          </w:p>
        </w:tc>
      </w:tr>
      <w:tr w:rsidR="00000000" w14:paraId="2CFD0140" w14:textId="77777777">
        <w:trPr>
          <w:tblCellSpacing w:w="0" w:type="dxa"/>
        </w:trPr>
        <w:tc>
          <w:tcPr>
            <w:tcW w:w="2000" w:type="pct"/>
            <w:shd w:val="clear" w:color="auto" w:fill="CCEEFF"/>
            <w:vAlign w:val="bottom"/>
            <w:hideMark/>
          </w:tcPr>
          <w:p w14:paraId="2586E7D5" w14:textId="77777777" w:rsidR="00000000" w:rsidRDefault="00322B34">
            <w:pPr>
              <w:pStyle w:val="a3"/>
              <w:spacing w:before="0" w:beforeAutospacing="0" w:after="0" w:afterAutospacing="0"/>
              <w:rPr>
                <w:sz w:val="20"/>
                <w:szCs w:val="20"/>
              </w:rPr>
            </w:pPr>
            <w:r>
              <w:rPr>
                <w:sz w:val="20"/>
                <w:szCs w:val="20"/>
              </w:rPr>
              <w:t>Revenues</w:t>
            </w:r>
          </w:p>
        </w:tc>
        <w:tc>
          <w:tcPr>
            <w:tcW w:w="50" w:type="pct"/>
            <w:shd w:val="clear" w:color="auto" w:fill="CCEEFF"/>
            <w:vAlign w:val="bottom"/>
            <w:hideMark/>
          </w:tcPr>
          <w:p w14:paraId="4378A4F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5DF96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E36353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A56E4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84831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A504E3"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0B9268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08978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AA31F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4BD0B4"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99292E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19CDE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FDF78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0DEE9A"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E876DC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8A367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594E2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17E17F"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D3288F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BC948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9A555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C78ADF"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427585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73E3F5" w14:textId="77777777" w:rsidR="00000000" w:rsidRDefault="00322B34">
            <w:pPr>
              <w:rPr>
                <w:rFonts w:eastAsia="Times New Roman"/>
                <w:sz w:val="20"/>
                <w:szCs w:val="20"/>
              </w:rPr>
            </w:pPr>
            <w:r>
              <w:rPr>
                <w:rFonts w:eastAsia="Times New Roman"/>
                <w:sz w:val="20"/>
                <w:szCs w:val="20"/>
              </w:rPr>
              <w:t> </w:t>
            </w:r>
          </w:p>
        </w:tc>
      </w:tr>
      <w:tr w:rsidR="00000000" w14:paraId="7985C488" w14:textId="77777777">
        <w:trPr>
          <w:tblCellSpacing w:w="0" w:type="dxa"/>
        </w:trPr>
        <w:tc>
          <w:tcPr>
            <w:tcW w:w="2000" w:type="pct"/>
            <w:shd w:val="clear" w:color="auto" w:fill="FFFFFF"/>
            <w:vAlign w:val="bottom"/>
            <w:hideMark/>
          </w:tcPr>
          <w:p w14:paraId="0125C687" w14:textId="77777777" w:rsidR="00000000" w:rsidRDefault="00322B34">
            <w:pPr>
              <w:pStyle w:val="a3"/>
              <w:spacing w:before="0" w:beforeAutospacing="0" w:after="0" w:afterAutospacing="0"/>
              <w:ind w:left="360"/>
              <w:rPr>
                <w:sz w:val="20"/>
                <w:szCs w:val="20"/>
              </w:rPr>
            </w:pPr>
            <w:r>
              <w:rPr>
                <w:sz w:val="20"/>
                <w:szCs w:val="20"/>
              </w:rPr>
              <w:t>Revenues from rental properties, net</w:t>
            </w:r>
          </w:p>
        </w:tc>
        <w:tc>
          <w:tcPr>
            <w:tcW w:w="50" w:type="pct"/>
            <w:shd w:val="clear" w:color="auto" w:fill="FFFFFF"/>
            <w:vAlign w:val="bottom"/>
            <w:hideMark/>
          </w:tcPr>
          <w:p w14:paraId="213DC71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0B90FA"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08C5A113" w14:textId="77777777" w:rsidR="00000000" w:rsidRDefault="00322B34">
            <w:pPr>
              <w:jc w:val="right"/>
              <w:rPr>
                <w:rFonts w:eastAsia="Times New Roman"/>
                <w:sz w:val="20"/>
                <w:szCs w:val="20"/>
              </w:rPr>
            </w:pPr>
            <w:r>
              <w:rPr>
                <w:rFonts w:eastAsia="Times New Roman"/>
                <w:sz w:val="20"/>
                <w:szCs w:val="20"/>
              </w:rPr>
              <w:t>235,961</w:t>
            </w:r>
          </w:p>
        </w:tc>
        <w:tc>
          <w:tcPr>
            <w:tcW w:w="50" w:type="pct"/>
            <w:shd w:val="clear" w:color="auto" w:fill="FFFFFF"/>
            <w:vAlign w:val="bottom"/>
            <w:hideMark/>
          </w:tcPr>
          <w:p w14:paraId="20C1146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382CE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1F54F6"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750B404C" w14:textId="77777777" w:rsidR="00000000" w:rsidRDefault="00322B34">
            <w:pPr>
              <w:jc w:val="right"/>
              <w:rPr>
                <w:rFonts w:eastAsia="Times New Roman"/>
                <w:sz w:val="20"/>
                <w:szCs w:val="20"/>
              </w:rPr>
            </w:pPr>
            <w:r>
              <w:rPr>
                <w:rFonts w:eastAsia="Times New Roman"/>
                <w:sz w:val="20"/>
                <w:szCs w:val="20"/>
              </w:rPr>
              <w:t>280,710</w:t>
            </w:r>
          </w:p>
        </w:tc>
        <w:tc>
          <w:tcPr>
            <w:tcW w:w="50" w:type="pct"/>
            <w:shd w:val="clear" w:color="auto" w:fill="FFFFFF"/>
            <w:vAlign w:val="bottom"/>
            <w:hideMark/>
          </w:tcPr>
          <w:p w14:paraId="4BAEA92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9B4B3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A0D92B"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4BB800D7" w14:textId="77777777" w:rsidR="00000000" w:rsidRDefault="00322B34">
            <w:pPr>
              <w:jc w:val="right"/>
              <w:rPr>
                <w:rFonts w:eastAsia="Times New Roman"/>
                <w:sz w:val="20"/>
                <w:szCs w:val="20"/>
              </w:rPr>
            </w:pPr>
            <w:r>
              <w:rPr>
                <w:rFonts w:eastAsia="Times New Roman"/>
                <w:sz w:val="20"/>
                <w:szCs w:val="20"/>
              </w:rPr>
              <w:t>(44,749</w:t>
            </w:r>
          </w:p>
        </w:tc>
        <w:tc>
          <w:tcPr>
            <w:tcW w:w="50" w:type="pct"/>
            <w:shd w:val="clear" w:color="auto" w:fill="FFFFFF"/>
            <w:vAlign w:val="bottom"/>
            <w:hideMark/>
          </w:tcPr>
          <w:p w14:paraId="6D05171D"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775499A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97D86B"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73562343" w14:textId="77777777" w:rsidR="00000000" w:rsidRDefault="00322B34">
            <w:pPr>
              <w:jc w:val="right"/>
              <w:rPr>
                <w:rFonts w:eastAsia="Times New Roman"/>
                <w:sz w:val="20"/>
                <w:szCs w:val="20"/>
              </w:rPr>
            </w:pPr>
            <w:r>
              <w:rPr>
                <w:rFonts w:eastAsia="Times New Roman"/>
                <w:sz w:val="20"/>
                <w:szCs w:val="20"/>
              </w:rPr>
              <w:t>521,965</w:t>
            </w:r>
          </w:p>
        </w:tc>
        <w:tc>
          <w:tcPr>
            <w:tcW w:w="50" w:type="pct"/>
            <w:shd w:val="clear" w:color="auto" w:fill="FFFFFF"/>
            <w:vAlign w:val="bottom"/>
            <w:hideMark/>
          </w:tcPr>
          <w:p w14:paraId="4A93A97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DA0CD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2B1AD9"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7DB1DE01" w14:textId="77777777" w:rsidR="00000000" w:rsidRDefault="00322B34">
            <w:pPr>
              <w:jc w:val="right"/>
              <w:rPr>
                <w:rFonts w:eastAsia="Times New Roman"/>
                <w:sz w:val="20"/>
                <w:szCs w:val="20"/>
              </w:rPr>
            </w:pPr>
            <w:r>
              <w:rPr>
                <w:rFonts w:eastAsia="Times New Roman"/>
                <w:sz w:val="20"/>
                <w:szCs w:val="20"/>
              </w:rPr>
              <w:t>571,344</w:t>
            </w:r>
          </w:p>
        </w:tc>
        <w:tc>
          <w:tcPr>
            <w:tcW w:w="50" w:type="pct"/>
            <w:shd w:val="clear" w:color="auto" w:fill="FFFFFF"/>
            <w:vAlign w:val="bottom"/>
            <w:hideMark/>
          </w:tcPr>
          <w:p w14:paraId="2B9ED12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CA007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80730E"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70CA9ECC" w14:textId="77777777" w:rsidR="00000000" w:rsidRDefault="00322B34">
            <w:pPr>
              <w:jc w:val="right"/>
              <w:rPr>
                <w:rFonts w:eastAsia="Times New Roman"/>
                <w:sz w:val="20"/>
                <w:szCs w:val="20"/>
              </w:rPr>
            </w:pPr>
            <w:r>
              <w:rPr>
                <w:rFonts w:eastAsia="Times New Roman"/>
                <w:sz w:val="20"/>
                <w:szCs w:val="20"/>
              </w:rPr>
              <w:t>(49,379</w:t>
            </w:r>
          </w:p>
        </w:tc>
        <w:tc>
          <w:tcPr>
            <w:tcW w:w="50" w:type="pct"/>
            <w:shd w:val="clear" w:color="auto" w:fill="FFFFFF"/>
            <w:vAlign w:val="bottom"/>
            <w:hideMark/>
          </w:tcPr>
          <w:p w14:paraId="283AF996" w14:textId="77777777" w:rsidR="00000000" w:rsidRDefault="00322B34">
            <w:pPr>
              <w:rPr>
                <w:rFonts w:eastAsia="Times New Roman"/>
                <w:sz w:val="20"/>
                <w:szCs w:val="20"/>
              </w:rPr>
            </w:pPr>
            <w:r>
              <w:rPr>
                <w:rFonts w:eastAsia="Times New Roman"/>
                <w:sz w:val="20"/>
                <w:szCs w:val="20"/>
              </w:rPr>
              <w:t>)</w:t>
            </w:r>
          </w:p>
        </w:tc>
      </w:tr>
      <w:tr w:rsidR="00000000" w14:paraId="16DB35F2" w14:textId="77777777">
        <w:trPr>
          <w:tblCellSpacing w:w="0" w:type="dxa"/>
        </w:trPr>
        <w:tc>
          <w:tcPr>
            <w:tcW w:w="2000" w:type="pct"/>
            <w:shd w:val="clear" w:color="auto" w:fill="CCEEFF"/>
            <w:vAlign w:val="bottom"/>
            <w:hideMark/>
          </w:tcPr>
          <w:p w14:paraId="1BD19BD5" w14:textId="77777777" w:rsidR="00000000" w:rsidRDefault="00322B34">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14:paraId="5353E8C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154506"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C05DC42" w14:textId="77777777" w:rsidR="00000000" w:rsidRDefault="00322B34">
            <w:pPr>
              <w:jc w:val="right"/>
              <w:rPr>
                <w:rFonts w:eastAsia="Times New Roman"/>
                <w:sz w:val="20"/>
                <w:szCs w:val="20"/>
              </w:rPr>
            </w:pPr>
            <w:r>
              <w:rPr>
                <w:rFonts w:eastAsia="Times New Roman"/>
                <w:sz w:val="20"/>
                <w:szCs w:val="20"/>
              </w:rPr>
              <w:t>2,955</w:t>
            </w:r>
          </w:p>
        </w:tc>
        <w:tc>
          <w:tcPr>
            <w:tcW w:w="50" w:type="pct"/>
            <w:shd w:val="clear" w:color="auto" w:fill="CCEEFF"/>
            <w:vAlign w:val="bottom"/>
            <w:hideMark/>
          </w:tcPr>
          <w:p w14:paraId="77DFAB1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B3666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6C373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58E07FF" w14:textId="77777777" w:rsidR="00000000" w:rsidRDefault="00322B34">
            <w:pPr>
              <w:jc w:val="right"/>
              <w:rPr>
                <w:rFonts w:eastAsia="Times New Roman"/>
                <w:sz w:val="20"/>
                <w:szCs w:val="20"/>
              </w:rPr>
            </w:pPr>
            <w:r>
              <w:rPr>
                <w:rFonts w:eastAsia="Times New Roman"/>
                <w:sz w:val="20"/>
                <w:szCs w:val="20"/>
              </w:rPr>
              <w:t>4,163</w:t>
            </w:r>
          </w:p>
        </w:tc>
        <w:tc>
          <w:tcPr>
            <w:tcW w:w="50" w:type="pct"/>
            <w:shd w:val="clear" w:color="auto" w:fill="CCEEFF"/>
            <w:vAlign w:val="bottom"/>
            <w:hideMark/>
          </w:tcPr>
          <w:p w14:paraId="14D5C07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46691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3B07A7"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AA15926" w14:textId="77777777" w:rsidR="00000000" w:rsidRDefault="00322B34">
            <w:pPr>
              <w:jc w:val="right"/>
              <w:rPr>
                <w:rFonts w:eastAsia="Times New Roman"/>
                <w:sz w:val="20"/>
                <w:szCs w:val="20"/>
              </w:rPr>
            </w:pPr>
            <w:r>
              <w:rPr>
                <w:rFonts w:eastAsia="Times New Roman"/>
                <w:sz w:val="20"/>
                <w:szCs w:val="20"/>
              </w:rPr>
              <w:t>(1,208</w:t>
            </w:r>
          </w:p>
        </w:tc>
        <w:tc>
          <w:tcPr>
            <w:tcW w:w="50" w:type="pct"/>
            <w:shd w:val="clear" w:color="auto" w:fill="CCEEFF"/>
            <w:vAlign w:val="bottom"/>
            <w:hideMark/>
          </w:tcPr>
          <w:p w14:paraId="7AE5EB94"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618B98B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6F2376"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9B0446E" w14:textId="77777777" w:rsidR="00000000" w:rsidRDefault="00322B34">
            <w:pPr>
              <w:jc w:val="right"/>
              <w:rPr>
                <w:rFonts w:eastAsia="Times New Roman"/>
                <w:sz w:val="20"/>
                <w:szCs w:val="20"/>
              </w:rPr>
            </w:pPr>
            <w:r>
              <w:rPr>
                <w:rFonts w:eastAsia="Times New Roman"/>
                <w:sz w:val="20"/>
                <w:szCs w:val="20"/>
              </w:rPr>
              <w:t>6,695</w:t>
            </w:r>
          </w:p>
        </w:tc>
        <w:tc>
          <w:tcPr>
            <w:tcW w:w="50" w:type="pct"/>
            <w:shd w:val="clear" w:color="auto" w:fill="CCEEFF"/>
            <w:vAlign w:val="bottom"/>
            <w:hideMark/>
          </w:tcPr>
          <w:p w14:paraId="1A3DEC4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9E421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5A9EE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D8F24B6" w14:textId="77777777" w:rsidR="00000000" w:rsidRDefault="00322B34">
            <w:pPr>
              <w:jc w:val="right"/>
              <w:rPr>
                <w:rFonts w:eastAsia="Times New Roman"/>
                <w:sz w:val="20"/>
                <w:szCs w:val="20"/>
              </w:rPr>
            </w:pPr>
            <w:r>
              <w:rPr>
                <w:rFonts w:eastAsia="Times New Roman"/>
                <w:sz w:val="20"/>
                <w:szCs w:val="20"/>
              </w:rPr>
              <w:t>8,539</w:t>
            </w:r>
          </w:p>
        </w:tc>
        <w:tc>
          <w:tcPr>
            <w:tcW w:w="50" w:type="pct"/>
            <w:shd w:val="clear" w:color="auto" w:fill="CCEEFF"/>
            <w:vAlign w:val="bottom"/>
            <w:hideMark/>
          </w:tcPr>
          <w:p w14:paraId="278052A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F09AB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6CB048"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9B38469" w14:textId="77777777" w:rsidR="00000000" w:rsidRDefault="00322B34">
            <w:pPr>
              <w:jc w:val="right"/>
              <w:rPr>
                <w:rFonts w:eastAsia="Times New Roman"/>
                <w:sz w:val="20"/>
                <w:szCs w:val="20"/>
              </w:rPr>
            </w:pPr>
            <w:r>
              <w:rPr>
                <w:rFonts w:eastAsia="Times New Roman"/>
                <w:sz w:val="20"/>
                <w:szCs w:val="20"/>
              </w:rPr>
              <w:t>(1,844</w:t>
            </w:r>
          </w:p>
        </w:tc>
        <w:tc>
          <w:tcPr>
            <w:tcW w:w="50" w:type="pct"/>
            <w:shd w:val="clear" w:color="auto" w:fill="CCEEFF"/>
            <w:vAlign w:val="bottom"/>
            <w:hideMark/>
          </w:tcPr>
          <w:p w14:paraId="06EB95B7" w14:textId="77777777" w:rsidR="00000000" w:rsidRDefault="00322B34">
            <w:pPr>
              <w:rPr>
                <w:rFonts w:eastAsia="Times New Roman"/>
                <w:sz w:val="20"/>
                <w:szCs w:val="20"/>
              </w:rPr>
            </w:pPr>
            <w:r>
              <w:rPr>
                <w:rFonts w:eastAsia="Times New Roman"/>
                <w:sz w:val="20"/>
                <w:szCs w:val="20"/>
              </w:rPr>
              <w:t>)</w:t>
            </w:r>
          </w:p>
        </w:tc>
      </w:tr>
      <w:tr w:rsidR="00000000" w14:paraId="0876AC1D" w14:textId="77777777">
        <w:trPr>
          <w:tblCellSpacing w:w="0" w:type="dxa"/>
        </w:trPr>
        <w:tc>
          <w:tcPr>
            <w:tcW w:w="2000" w:type="pct"/>
            <w:shd w:val="clear" w:color="auto" w:fill="FFFFFF"/>
            <w:vAlign w:val="bottom"/>
            <w:hideMark/>
          </w:tcPr>
          <w:p w14:paraId="72B13BAF" w14:textId="77777777" w:rsidR="00000000" w:rsidRDefault="00322B34">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14:paraId="144BA05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51DAB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4340FE3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656C5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FAB9D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B97F8C"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205EE80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F89AB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54BC4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C76FB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215B8B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5C1A4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68C88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E16F0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3F6D622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5AEFE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B2F95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1458D2"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DA03E7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8839D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1F96F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F0565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D2DB0D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E6AC8F" w14:textId="77777777" w:rsidR="00000000" w:rsidRDefault="00322B34">
            <w:pPr>
              <w:rPr>
                <w:rFonts w:eastAsia="Times New Roman"/>
                <w:sz w:val="20"/>
                <w:szCs w:val="20"/>
              </w:rPr>
            </w:pPr>
            <w:r>
              <w:rPr>
                <w:rFonts w:eastAsia="Times New Roman"/>
                <w:sz w:val="20"/>
                <w:szCs w:val="20"/>
              </w:rPr>
              <w:t> </w:t>
            </w:r>
          </w:p>
        </w:tc>
      </w:tr>
      <w:tr w:rsidR="00000000" w14:paraId="0523FA13" w14:textId="77777777">
        <w:trPr>
          <w:tblCellSpacing w:w="0" w:type="dxa"/>
        </w:trPr>
        <w:tc>
          <w:tcPr>
            <w:tcW w:w="2000" w:type="pct"/>
            <w:shd w:val="clear" w:color="auto" w:fill="CCEEFF"/>
            <w:vAlign w:val="bottom"/>
            <w:hideMark/>
          </w:tcPr>
          <w:p w14:paraId="4BB596EC" w14:textId="77777777" w:rsidR="00000000" w:rsidRDefault="00322B34">
            <w:pPr>
              <w:pStyle w:val="a3"/>
              <w:spacing w:before="0" w:beforeAutospacing="0" w:after="0" w:afterAutospacing="0"/>
              <w:ind w:left="360"/>
              <w:rPr>
                <w:sz w:val="20"/>
                <w:szCs w:val="20"/>
              </w:rPr>
            </w:pPr>
            <w:r>
              <w:rPr>
                <w:sz w:val="20"/>
                <w:szCs w:val="20"/>
              </w:rPr>
              <w:t>Rent (1)</w:t>
            </w:r>
          </w:p>
        </w:tc>
        <w:tc>
          <w:tcPr>
            <w:tcW w:w="50" w:type="pct"/>
            <w:shd w:val="clear" w:color="auto" w:fill="CCEEFF"/>
            <w:vAlign w:val="bottom"/>
            <w:hideMark/>
          </w:tcPr>
          <w:p w14:paraId="106BB30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BFDE7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1C69402" w14:textId="77777777" w:rsidR="00000000" w:rsidRDefault="00322B34">
            <w:pPr>
              <w:jc w:val="right"/>
              <w:rPr>
                <w:rFonts w:eastAsia="Times New Roman"/>
                <w:sz w:val="20"/>
                <w:szCs w:val="20"/>
              </w:rPr>
            </w:pPr>
            <w:r>
              <w:rPr>
                <w:rFonts w:eastAsia="Times New Roman"/>
                <w:sz w:val="20"/>
                <w:szCs w:val="20"/>
              </w:rPr>
              <w:t>(2,827</w:t>
            </w:r>
          </w:p>
        </w:tc>
        <w:tc>
          <w:tcPr>
            <w:tcW w:w="50" w:type="pct"/>
            <w:shd w:val="clear" w:color="auto" w:fill="CCEEFF"/>
            <w:vAlign w:val="bottom"/>
            <w:hideMark/>
          </w:tcPr>
          <w:p w14:paraId="6A28F893"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40D5165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C5DF04"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7098221" w14:textId="77777777" w:rsidR="00000000" w:rsidRDefault="00322B34">
            <w:pPr>
              <w:jc w:val="right"/>
              <w:rPr>
                <w:rFonts w:eastAsia="Times New Roman"/>
                <w:sz w:val="20"/>
                <w:szCs w:val="20"/>
              </w:rPr>
            </w:pPr>
            <w:r>
              <w:rPr>
                <w:rFonts w:eastAsia="Times New Roman"/>
                <w:sz w:val="20"/>
                <w:szCs w:val="20"/>
              </w:rPr>
              <w:t>(2,924</w:t>
            </w:r>
          </w:p>
        </w:tc>
        <w:tc>
          <w:tcPr>
            <w:tcW w:w="50" w:type="pct"/>
            <w:shd w:val="clear" w:color="auto" w:fill="CCEEFF"/>
            <w:vAlign w:val="bottom"/>
            <w:hideMark/>
          </w:tcPr>
          <w:p w14:paraId="52D2187C"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6102277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B1A31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BCAFB3A" w14:textId="77777777" w:rsidR="00000000" w:rsidRDefault="00322B34">
            <w:pPr>
              <w:jc w:val="right"/>
              <w:rPr>
                <w:rFonts w:eastAsia="Times New Roman"/>
                <w:sz w:val="20"/>
                <w:szCs w:val="20"/>
              </w:rPr>
            </w:pPr>
            <w:r>
              <w:rPr>
                <w:rFonts w:eastAsia="Times New Roman"/>
                <w:sz w:val="20"/>
                <w:szCs w:val="20"/>
              </w:rPr>
              <w:t>97</w:t>
            </w:r>
          </w:p>
        </w:tc>
        <w:tc>
          <w:tcPr>
            <w:tcW w:w="50" w:type="pct"/>
            <w:shd w:val="clear" w:color="auto" w:fill="CCEEFF"/>
            <w:vAlign w:val="bottom"/>
            <w:hideMark/>
          </w:tcPr>
          <w:p w14:paraId="3514D7A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A21DF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64C06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53645CC" w14:textId="77777777" w:rsidR="00000000" w:rsidRDefault="00322B34">
            <w:pPr>
              <w:jc w:val="right"/>
              <w:rPr>
                <w:rFonts w:eastAsia="Times New Roman"/>
                <w:sz w:val="20"/>
                <w:szCs w:val="20"/>
              </w:rPr>
            </w:pPr>
            <w:r>
              <w:rPr>
                <w:rFonts w:eastAsia="Times New Roman"/>
                <w:sz w:val="20"/>
                <w:szCs w:val="20"/>
              </w:rPr>
              <w:t>(5,662</w:t>
            </w:r>
          </w:p>
        </w:tc>
        <w:tc>
          <w:tcPr>
            <w:tcW w:w="50" w:type="pct"/>
            <w:shd w:val="clear" w:color="auto" w:fill="CCEEFF"/>
            <w:vAlign w:val="bottom"/>
            <w:hideMark/>
          </w:tcPr>
          <w:p w14:paraId="1E209228"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6293C35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BA1DB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4132DBA" w14:textId="77777777" w:rsidR="00000000" w:rsidRDefault="00322B34">
            <w:pPr>
              <w:jc w:val="right"/>
              <w:rPr>
                <w:rFonts w:eastAsia="Times New Roman"/>
                <w:sz w:val="20"/>
                <w:szCs w:val="20"/>
              </w:rPr>
            </w:pPr>
            <w:r>
              <w:rPr>
                <w:rFonts w:eastAsia="Times New Roman"/>
                <w:sz w:val="20"/>
                <w:szCs w:val="20"/>
              </w:rPr>
              <w:t>(5,616</w:t>
            </w:r>
          </w:p>
        </w:tc>
        <w:tc>
          <w:tcPr>
            <w:tcW w:w="50" w:type="pct"/>
            <w:shd w:val="clear" w:color="auto" w:fill="CCEEFF"/>
            <w:vAlign w:val="bottom"/>
            <w:hideMark/>
          </w:tcPr>
          <w:p w14:paraId="7ECE2B82"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46680C7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B417C4"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8007373" w14:textId="77777777" w:rsidR="00000000" w:rsidRDefault="00322B34">
            <w:pPr>
              <w:jc w:val="right"/>
              <w:rPr>
                <w:rFonts w:eastAsia="Times New Roman"/>
                <w:sz w:val="20"/>
                <w:szCs w:val="20"/>
              </w:rPr>
            </w:pPr>
            <w:r>
              <w:rPr>
                <w:rFonts w:eastAsia="Times New Roman"/>
                <w:sz w:val="20"/>
                <w:szCs w:val="20"/>
              </w:rPr>
              <w:t>(46</w:t>
            </w:r>
          </w:p>
        </w:tc>
        <w:tc>
          <w:tcPr>
            <w:tcW w:w="50" w:type="pct"/>
            <w:shd w:val="clear" w:color="auto" w:fill="CCEEFF"/>
            <w:vAlign w:val="bottom"/>
            <w:hideMark/>
          </w:tcPr>
          <w:p w14:paraId="0459D3EE" w14:textId="77777777" w:rsidR="00000000" w:rsidRDefault="00322B34">
            <w:pPr>
              <w:rPr>
                <w:rFonts w:eastAsia="Times New Roman"/>
                <w:sz w:val="20"/>
                <w:szCs w:val="20"/>
              </w:rPr>
            </w:pPr>
            <w:r>
              <w:rPr>
                <w:rFonts w:eastAsia="Times New Roman"/>
                <w:sz w:val="20"/>
                <w:szCs w:val="20"/>
              </w:rPr>
              <w:t>)</w:t>
            </w:r>
          </w:p>
        </w:tc>
      </w:tr>
      <w:tr w:rsidR="00000000" w14:paraId="70CF3707" w14:textId="77777777">
        <w:trPr>
          <w:tblCellSpacing w:w="0" w:type="dxa"/>
        </w:trPr>
        <w:tc>
          <w:tcPr>
            <w:tcW w:w="2000" w:type="pct"/>
            <w:shd w:val="clear" w:color="auto" w:fill="FFFFFF"/>
            <w:vAlign w:val="bottom"/>
            <w:hideMark/>
          </w:tcPr>
          <w:p w14:paraId="503D6F9C" w14:textId="77777777" w:rsidR="00000000" w:rsidRDefault="00322B34">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14:paraId="5FEFA32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5366E4"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259EEA22" w14:textId="77777777" w:rsidR="00000000" w:rsidRDefault="00322B34">
            <w:pPr>
              <w:jc w:val="right"/>
              <w:rPr>
                <w:rFonts w:eastAsia="Times New Roman"/>
                <w:sz w:val="20"/>
                <w:szCs w:val="20"/>
              </w:rPr>
            </w:pPr>
            <w:r>
              <w:rPr>
                <w:rFonts w:eastAsia="Times New Roman"/>
                <w:sz w:val="20"/>
                <w:szCs w:val="20"/>
              </w:rPr>
              <w:t>(38,678</w:t>
            </w:r>
          </w:p>
        </w:tc>
        <w:tc>
          <w:tcPr>
            <w:tcW w:w="50" w:type="pct"/>
            <w:shd w:val="clear" w:color="auto" w:fill="FFFFFF"/>
            <w:vAlign w:val="bottom"/>
            <w:hideMark/>
          </w:tcPr>
          <w:p w14:paraId="5C88E1C2"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0A49AD4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89B33E"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8AE36AE" w14:textId="77777777" w:rsidR="00000000" w:rsidRDefault="00322B34">
            <w:pPr>
              <w:jc w:val="right"/>
              <w:rPr>
                <w:rFonts w:eastAsia="Times New Roman"/>
                <w:sz w:val="20"/>
                <w:szCs w:val="20"/>
              </w:rPr>
            </w:pPr>
            <w:r>
              <w:rPr>
                <w:rFonts w:eastAsia="Times New Roman"/>
                <w:sz w:val="20"/>
                <w:szCs w:val="20"/>
              </w:rPr>
              <w:t>(37,005</w:t>
            </w:r>
          </w:p>
        </w:tc>
        <w:tc>
          <w:tcPr>
            <w:tcW w:w="50" w:type="pct"/>
            <w:shd w:val="clear" w:color="auto" w:fill="FFFFFF"/>
            <w:vAlign w:val="bottom"/>
            <w:hideMark/>
          </w:tcPr>
          <w:p w14:paraId="1E746CEE"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7383B76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1F0B0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4F7296C" w14:textId="77777777" w:rsidR="00000000" w:rsidRDefault="00322B34">
            <w:pPr>
              <w:jc w:val="right"/>
              <w:rPr>
                <w:rFonts w:eastAsia="Times New Roman"/>
                <w:sz w:val="20"/>
                <w:szCs w:val="20"/>
              </w:rPr>
            </w:pPr>
            <w:r>
              <w:rPr>
                <w:rFonts w:eastAsia="Times New Roman"/>
                <w:sz w:val="20"/>
                <w:szCs w:val="20"/>
              </w:rPr>
              <w:t>(1,673</w:t>
            </w:r>
          </w:p>
        </w:tc>
        <w:tc>
          <w:tcPr>
            <w:tcW w:w="50" w:type="pct"/>
            <w:shd w:val="clear" w:color="auto" w:fill="FFFFFF"/>
            <w:vAlign w:val="bottom"/>
            <w:hideMark/>
          </w:tcPr>
          <w:p w14:paraId="18FCBCD9"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32E5958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A6BEA1"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13EBE4C2" w14:textId="77777777" w:rsidR="00000000" w:rsidRDefault="00322B34">
            <w:pPr>
              <w:jc w:val="right"/>
              <w:rPr>
                <w:rFonts w:eastAsia="Times New Roman"/>
                <w:sz w:val="20"/>
                <w:szCs w:val="20"/>
              </w:rPr>
            </w:pPr>
            <w:r>
              <w:rPr>
                <w:rFonts w:eastAsia="Times New Roman"/>
                <w:sz w:val="20"/>
                <w:szCs w:val="20"/>
              </w:rPr>
              <w:t>(78,330</w:t>
            </w:r>
          </w:p>
        </w:tc>
        <w:tc>
          <w:tcPr>
            <w:tcW w:w="50" w:type="pct"/>
            <w:shd w:val="clear" w:color="auto" w:fill="FFFFFF"/>
            <w:vAlign w:val="bottom"/>
            <w:hideMark/>
          </w:tcPr>
          <w:p w14:paraId="5BB397C7"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13D29B1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9392A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56CC77C" w14:textId="77777777" w:rsidR="00000000" w:rsidRDefault="00322B34">
            <w:pPr>
              <w:jc w:val="right"/>
              <w:rPr>
                <w:rFonts w:eastAsia="Times New Roman"/>
                <w:sz w:val="20"/>
                <w:szCs w:val="20"/>
              </w:rPr>
            </w:pPr>
            <w:r>
              <w:rPr>
                <w:rFonts w:eastAsia="Times New Roman"/>
                <w:sz w:val="20"/>
                <w:szCs w:val="20"/>
              </w:rPr>
              <w:t>(76,352</w:t>
            </w:r>
          </w:p>
        </w:tc>
        <w:tc>
          <w:tcPr>
            <w:tcW w:w="50" w:type="pct"/>
            <w:shd w:val="clear" w:color="auto" w:fill="FFFFFF"/>
            <w:vAlign w:val="bottom"/>
            <w:hideMark/>
          </w:tcPr>
          <w:p w14:paraId="192DC534"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0BF3179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DD8C9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96783A6" w14:textId="77777777" w:rsidR="00000000" w:rsidRDefault="00322B34">
            <w:pPr>
              <w:jc w:val="right"/>
              <w:rPr>
                <w:rFonts w:eastAsia="Times New Roman"/>
                <w:sz w:val="20"/>
                <w:szCs w:val="20"/>
              </w:rPr>
            </w:pPr>
            <w:r>
              <w:rPr>
                <w:rFonts w:eastAsia="Times New Roman"/>
                <w:sz w:val="20"/>
                <w:szCs w:val="20"/>
              </w:rPr>
              <w:t>(1,978</w:t>
            </w:r>
          </w:p>
        </w:tc>
        <w:tc>
          <w:tcPr>
            <w:tcW w:w="50" w:type="pct"/>
            <w:shd w:val="clear" w:color="auto" w:fill="FFFFFF"/>
            <w:vAlign w:val="bottom"/>
            <w:hideMark/>
          </w:tcPr>
          <w:p w14:paraId="73326EBD" w14:textId="77777777" w:rsidR="00000000" w:rsidRDefault="00322B34">
            <w:pPr>
              <w:rPr>
                <w:rFonts w:eastAsia="Times New Roman"/>
                <w:sz w:val="20"/>
                <w:szCs w:val="20"/>
              </w:rPr>
            </w:pPr>
            <w:r>
              <w:rPr>
                <w:rFonts w:eastAsia="Times New Roman"/>
                <w:sz w:val="20"/>
                <w:szCs w:val="20"/>
              </w:rPr>
              <w:t>)</w:t>
            </w:r>
          </w:p>
        </w:tc>
      </w:tr>
      <w:tr w:rsidR="00000000" w14:paraId="519ABDF4" w14:textId="77777777">
        <w:trPr>
          <w:tblCellSpacing w:w="0" w:type="dxa"/>
        </w:trPr>
        <w:tc>
          <w:tcPr>
            <w:tcW w:w="2000" w:type="pct"/>
            <w:shd w:val="clear" w:color="auto" w:fill="CCEEFF"/>
            <w:vAlign w:val="bottom"/>
            <w:hideMark/>
          </w:tcPr>
          <w:p w14:paraId="587EF6CF" w14:textId="77777777" w:rsidR="00000000" w:rsidRDefault="00322B34">
            <w:pPr>
              <w:pStyle w:val="a3"/>
              <w:spacing w:before="0" w:beforeAutospacing="0" w:after="0" w:afterAutospacing="0"/>
              <w:ind w:left="360"/>
              <w:rPr>
                <w:sz w:val="20"/>
                <w:szCs w:val="20"/>
              </w:rPr>
            </w:pPr>
            <w:r>
              <w:rPr>
                <w:sz w:val="20"/>
                <w:szCs w:val="20"/>
              </w:rPr>
              <w:t>Operating and maintenance (2)</w:t>
            </w:r>
          </w:p>
        </w:tc>
        <w:tc>
          <w:tcPr>
            <w:tcW w:w="50" w:type="pct"/>
            <w:shd w:val="clear" w:color="auto" w:fill="CCEEFF"/>
            <w:vAlign w:val="bottom"/>
            <w:hideMark/>
          </w:tcPr>
          <w:p w14:paraId="19CF595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A4096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A0A3666" w14:textId="77777777" w:rsidR="00000000" w:rsidRDefault="00322B34">
            <w:pPr>
              <w:jc w:val="right"/>
              <w:rPr>
                <w:rFonts w:eastAsia="Times New Roman"/>
                <w:sz w:val="20"/>
                <w:szCs w:val="20"/>
              </w:rPr>
            </w:pPr>
            <w:r>
              <w:rPr>
                <w:rFonts w:eastAsia="Times New Roman"/>
                <w:sz w:val="20"/>
                <w:szCs w:val="20"/>
              </w:rPr>
              <w:t>(38,940</w:t>
            </w:r>
          </w:p>
        </w:tc>
        <w:tc>
          <w:tcPr>
            <w:tcW w:w="50" w:type="pct"/>
            <w:shd w:val="clear" w:color="auto" w:fill="CCEEFF"/>
            <w:vAlign w:val="bottom"/>
            <w:hideMark/>
          </w:tcPr>
          <w:p w14:paraId="64D5A970"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73D22B5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D599E5"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D7DD89A" w14:textId="77777777" w:rsidR="00000000" w:rsidRDefault="00322B34">
            <w:pPr>
              <w:jc w:val="right"/>
              <w:rPr>
                <w:rFonts w:eastAsia="Times New Roman"/>
                <w:sz w:val="20"/>
                <w:szCs w:val="20"/>
              </w:rPr>
            </w:pPr>
            <w:r>
              <w:rPr>
                <w:rFonts w:eastAsia="Times New Roman"/>
                <w:sz w:val="20"/>
                <w:szCs w:val="20"/>
              </w:rPr>
              <w:t>(43,217</w:t>
            </w:r>
          </w:p>
        </w:tc>
        <w:tc>
          <w:tcPr>
            <w:tcW w:w="50" w:type="pct"/>
            <w:shd w:val="clear" w:color="auto" w:fill="CCEEFF"/>
            <w:vAlign w:val="bottom"/>
            <w:hideMark/>
          </w:tcPr>
          <w:p w14:paraId="5FEB9A28"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6C85E77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0CBE01"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BE21231" w14:textId="77777777" w:rsidR="00000000" w:rsidRDefault="00322B34">
            <w:pPr>
              <w:jc w:val="right"/>
              <w:rPr>
                <w:rFonts w:eastAsia="Times New Roman"/>
                <w:sz w:val="20"/>
                <w:szCs w:val="20"/>
              </w:rPr>
            </w:pPr>
            <w:r>
              <w:rPr>
                <w:rFonts w:eastAsia="Times New Roman"/>
                <w:sz w:val="20"/>
                <w:szCs w:val="20"/>
              </w:rPr>
              <w:t>4,277</w:t>
            </w:r>
          </w:p>
        </w:tc>
        <w:tc>
          <w:tcPr>
            <w:tcW w:w="50" w:type="pct"/>
            <w:shd w:val="clear" w:color="auto" w:fill="CCEEFF"/>
            <w:vAlign w:val="bottom"/>
            <w:hideMark/>
          </w:tcPr>
          <w:p w14:paraId="3AE0B5D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ADFE3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FE1B1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960E630" w14:textId="77777777" w:rsidR="00000000" w:rsidRDefault="00322B34">
            <w:pPr>
              <w:jc w:val="right"/>
              <w:rPr>
                <w:rFonts w:eastAsia="Times New Roman"/>
                <w:sz w:val="20"/>
                <w:szCs w:val="20"/>
              </w:rPr>
            </w:pPr>
            <w:r>
              <w:rPr>
                <w:rFonts w:eastAsia="Times New Roman"/>
                <w:sz w:val="20"/>
                <w:szCs w:val="20"/>
              </w:rPr>
              <w:t>(81,348</w:t>
            </w:r>
          </w:p>
        </w:tc>
        <w:tc>
          <w:tcPr>
            <w:tcW w:w="50" w:type="pct"/>
            <w:shd w:val="clear" w:color="auto" w:fill="CCEEFF"/>
            <w:vAlign w:val="bottom"/>
            <w:hideMark/>
          </w:tcPr>
          <w:p w14:paraId="456BB42E"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4FEC130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A347A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9012737" w14:textId="77777777" w:rsidR="00000000" w:rsidRDefault="00322B34">
            <w:pPr>
              <w:jc w:val="right"/>
              <w:rPr>
                <w:rFonts w:eastAsia="Times New Roman"/>
                <w:sz w:val="20"/>
                <w:szCs w:val="20"/>
              </w:rPr>
            </w:pPr>
            <w:r>
              <w:rPr>
                <w:rFonts w:eastAsia="Times New Roman"/>
                <w:sz w:val="20"/>
                <w:szCs w:val="20"/>
              </w:rPr>
              <w:t>(84,113</w:t>
            </w:r>
          </w:p>
        </w:tc>
        <w:tc>
          <w:tcPr>
            <w:tcW w:w="50" w:type="pct"/>
            <w:shd w:val="clear" w:color="auto" w:fill="CCEEFF"/>
            <w:vAlign w:val="bottom"/>
            <w:hideMark/>
          </w:tcPr>
          <w:p w14:paraId="4C4A3662"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5615196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7D63E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F6E980B" w14:textId="77777777" w:rsidR="00000000" w:rsidRDefault="00322B34">
            <w:pPr>
              <w:jc w:val="right"/>
              <w:rPr>
                <w:rFonts w:eastAsia="Times New Roman"/>
                <w:sz w:val="20"/>
                <w:szCs w:val="20"/>
              </w:rPr>
            </w:pPr>
            <w:r>
              <w:rPr>
                <w:rFonts w:eastAsia="Times New Roman"/>
                <w:sz w:val="20"/>
                <w:szCs w:val="20"/>
              </w:rPr>
              <w:t>2,765</w:t>
            </w:r>
          </w:p>
        </w:tc>
        <w:tc>
          <w:tcPr>
            <w:tcW w:w="50" w:type="pct"/>
            <w:shd w:val="clear" w:color="auto" w:fill="CCEEFF"/>
            <w:vAlign w:val="bottom"/>
            <w:hideMark/>
          </w:tcPr>
          <w:p w14:paraId="70CBB2E4" w14:textId="77777777" w:rsidR="00000000" w:rsidRDefault="00322B34">
            <w:pPr>
              <w:rPr>
                <w:rFonts w:eastAsia="Times New Roman"/>
                <w:sz w:val="20"/>
                <w:szCs w:val="20"/>
              </w:rPr>
            </w:pPr>
            <w:r>
              <w:rPr>
                <w:rFonts w:eastAsia="Times New Roman"/>
                <w:sz w:val="20"/>
                <w:szCs w:val="20"/>
              </w:rPr>
              <w:t> </w:t>
            </w:r>
          </w:p>
        </w:tc>
      </w:tr>
      <w:tr w:rsidR="00000000" w14:paraId="6A3EDB99" w14:textId="77777777">
        <w:trPr>
          <w:tblCellSpacing w:w="0" w:type="dxa"/>
        </w:trPr>
        <w:tc>
          <w:tcPr>
            <w:tcW w:w="2000" w:type="pct"/>
            <w:shd w:val="clear" w:color="auto" w:fill="FFFFFF"/>
            <w:vAlign w:val="bottom"/>
            <w:hideMark/>
          </w:tcPr>
          <w:p w14:paraId="38760D7C" w14:textId="77777777" w:rsidR="00000000" w:rsidRDefault="00322B34">
            <w:pPr>
              <w:pStyle w:val="a3"/>
              <w:spacing w:before="0" w:beforeAutospacing="0" w:after="0" w:afterAutospacing="0"/>
              <w:ind w:left="360"/>
              <w:rPr>
                <w:sz w:val="20"/>
                <w:szCs w:val="20"/>
              </w:rPr>
            </w:pPr>
            <w:r>
              <w:rPr>
                <w:sz w:val="20"/>
                <w:szCs w:val="20"/>
              </w:rPr>
              <w:t>General and administrative (3)</w:t>
            </w:r>
          </w:p>
        </w:tc>
        <w:tc>
          <w:tcPr>
            <w:tcW w:w="50" w:type="pct"/>
            <w:shd w:val="clear" w:color="auto" w:fill="FFFFFF"/>
            <w:vAlign w:val="bottom"/>
            <w:hideMark/>
          </w:tcPr>
          <w:p w14:paraId="23F031B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AF9032"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A3BA4C7" w14:textId="77777777" w:rsidR="00000000" w:rsidRDefault="00322B34">
            <w:pPr>
              <w:jc w:val="right"/>
              <w:rPr>
                <w:rFonts w:eastAsia="Times New Roman"/>
                <w:sz w:val="20"/>
                <w:szCs w:val="20"/>
              </w:rPr>
            </w:pPr>
            <w:r>
              <w:rPr>
                <w:rFonts w:eastAsia="Times New Roman"/>
                <w:sz w:val="20"/>
                <w:szCs w:val="20"/>
              </w:rPr>
              <w:t>(22,504</w:t>
            </w:r>
          </w:p>
        </w:tc>
        <w:tc>
          <w:tcPr>
            <w:tcW w:w="50" w:type="pct"/>
            <w:shd w:val="clear" w:color="auto" w:fill="FFFFFF"/>
            <w:vAlign w:val="bottom"/>
            <w:hideMark/>
          </w:tcPr>
          <w:p w14:paraId="5D2D6598"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319F697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9CB2C5"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5831B89" w14:textId="77777777" w:rsidR="00000000" w:rsidRDefault="00322B34">
            <w:pPr>
              <w:jc w:val="right"/>
              <w:rPr>
                <w:rFonts w:eastAsia="Times New Roman"/>
                <w:sz w:val="20"/>
                <w:szCs w:val="20"/>
              </w:rPr>
            </w:pPr>
            <w:r>
              <w:rPr>
                <w:rFonts w:eastAsia="Times New Roman"/>
                <w:sz w:val="20"/>
                <w:szCs w:val="20"/>
              </w:rPr>
              <w:t>(22,633</w:t>
            </w:r>
          </w:p>
        </w:tc>
        <w:tc>
          <w:tcPr>
            <w:tcW w:w="50" w:type="pct"/>
            <w:shd w:val="clear" w:color="auto" w:fill="FFFFFF"/>
            <w:vAlign w:val="bottom"/>
            <w:hideMark/>
          </w:tcPr>
          <w:p w14:paraId="21C44D29"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02D0D11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F17BB4"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E236BE8" w14:textId="77777777" w:rsidR="00000000" w:rsidRDefault="00322B34">
            <w:pPr>
              <w:jc w:val="right"/>
              <w:rPr>
                <w:rFonts w:eastAsia="Times New Roman"/>
                <w:sz w:val="20"/>
                <w:szCs w:val="20"/>
              </w:rPr>
            </w:pPr>
            <w:r>
              <w:rPr>
                <w:rFonts w:eastAsia="Times New Roman"/>
                <w:sz w:val="20"/>
                <w:szCs w:val="20"/>
              </w:rPr>
              <w:t>129</w:t>
            </w:r>
          </w:p>
        </w:tc>
        <w:tc>
          <w:tcPr>
            <w:tcW w:w="50" w:type="pct"/>
            <w:shd w:val="clear" w:color="auto" w:fill="FFFFFF"/>
            <w:vAlign w:val="bottom"/>
            <w:hideMark/>
          </w:tcPr>
          <w:p w14:paraId="7FEF60A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5B911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D97EE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1EE697E6" w14:textId="77777777" w:rsidR="00000000" w:rsidRDefault="00322B34">
            <w:pPr>
              <w:jc w:val="right"/>
              <w:rPr>
                <w:rFonts w:eastAsia="Times New Roman"/>
                <w:sz w:val="20"/>
                <w:szCs w:val="20"/>
              </w:rPr>
            </w:pPr>
            <w:r>
              <w:rPr>
                <w:rFonts w:eastAsia="Times New Roman"/>
                <w:sz w:val="20"/>
                <w:szCs w:val="20"/>
              </w:rPr>
              <w:t>(43,521</w:t>
            </w:r>
          </w:p>
        </w:tc>
        <w:tc>
          <w:tcPr>
            <w:tcW w:w="50" w:type="pct"/>
            <w:shd w:val="clear" w:color="auto" w:fill="FFFFFF"/>
            <w:vAlign w:val="bottom"/>
            <w:hideMark/>
          </w:tcPr>
          <w:p w14:paraId="0F5E1193"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26D4DEA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6EE451"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C39D8FB" w14:textId="77777777" w:rsidR="00000000" w:rsidRDefault="00322B34">
            <w:pPr>
              <w:jc w:val="right"/>
              <w:rPr>
                <w:rFonts w:eastAsia="Times New Roman"/>
                <w:sz w:val="20"/>
                <w:szCs w:val="20"/>
              </w:rPr>
            </w:pPr>
            <w:r>
              <w:rPr>
                <w:rFonts w:eastAsia="Times New Roman"/>
                <w:sz w:val="20"/>
                <w:szCs w:val="20"/>
              </w:rPr>
              <w:t>(48,464</w:t>
            </w:r>
          </w:p>
        </w:tc>
        <w:tc>
          <w:tcPr>
            <w:tcW w:w="50" w:type="pct"/>
            <w:shd w:val="clear" w:color="auto" w:fill="FFFFFF"/>
            <w:vAlign w:val="bottom"/>
            <w:hideMark/>
          </w:tcPr>
          <w:p w14:paraId="0246020F"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52C9AA1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8E96B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237AB1E" w14:textId="77777777" w:rsidR="00000000" w:rsidRDefault="00322B34">
            <w:pPr>
              <w:jc w:val="right"/>
              <w:rPr>
                <w:rFonts w:eastAsia="Times New Roman"/>
                <w:sz w:val="20"/>
                <w:szCs w:val="20"/>
              </w:rPr>
            </w:pPr>
            <w:r>
              <w:rPr>
                <w:rFonts w:eastAsia="Times New Roman"/>
                <w:sz w:val="20"/>
                <w:szCs w:val="20"/>
              </w:rPr>
              <w:t>4,943</w:t>
            </w:r>
          </w:p>
        </w:tc>
        <w:tc>
          <w:tcPr>
            <w:tcW w:w="50" w:type="pct"/>
            <w:shd w:val="clear" w:color="auto" w:fill="FFFFFF"/>
            <w:vAlign w:val="bottom"/>
            <w:hideMark/>
          </w:tcPr>
          <w:p w14:paraId="2CAC54D3" w14:textId="77777777" w:rsidR="00000000" w:rsidRDefault="00322B34">
            <w:pPr>
              <w:rPr>
                <w:rFonts w:eastAsia="Times New Roman"/>
                <w:sz w:val="20"/>
                <w:szCs w:val="20"/>
              </w:rPr>
            </w:pPr>
            <w:r>
              <w:rPr>
                <w:rFonts w:eastAsia="Times New Roman"/>
                <w:sz w:val="20"/>
                <w:szCs w:val="20"/>
              </w:rPr>
              <w:t> </w:t>
            </w:r>
          </w:p>
        </w:tc>
      </w:tr>
      <w:tr w:rsidR="00000000" w14:paraId="4B585F75" w14:textId="77777777">
        <w:trPr>
          <w:tblCellSpacing w:w="0" w:type="dxa"/>
        </w:trPr>
        <w:tc>
          <w:tcPr>
            <w:tcW w:w="2000" w:type="pct"/>
            <w:shd w:val="clear" w:color="auto" w:fill="CCEEFF"/>
            <w:vAlign w:val="bottom"/>
            <w:hideMark/>
          </w:tcPr>
          <w:p w14:paraId="087B6F3A" w14:textId="77777777" w:rsidR="00000000" w:rsidRDefault="00322B34">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14:paraId="0266B41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180D7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AC9FED3" w14:textId="77777777" w:rsidR="00000000" w:rsidRDefault="00322B34">
            <w:pPr>
              <w:jc w:val="right"/>
              <w:rPr>
                <w:rFonts w:eastAsia="Times New Roman"/>
                <w:sz w:val="20"/>
                <w:szCs w:val="20"/>
              </w:rPr>
            </w:pPr>
            <w:r>
              <w:rPr>
                <w:rFonts w:eastAsia="Times New Roman"/>
                <w:sz w:val="20"/>
                <w:szCs w:val="20"/>
              </w:rPr>
              <w:t>(138</w:t>
            </w:r>
          </w:p>
        </w:tc>
        <w:tc>
          <w:tcPr>
            <w:tcW w:w="50" w:type="pct"/>
            <w:shd w:val="clear" w:color="auto" w:fill="CCEEFF"/>
            <w:vAlign w:val="bottom"/>
            <w:hideMark/>
          </w:tcPr>
          <w:p w14:paraId="6241DF02"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1415416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7A883A"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0DC8C5F5" w14:textId="77777777" w:rsidR="00000000" w:rsidRDefault="00322B34">
            <w:pPr>
              <w:jc w:val="right"/>
              <w:rPr>
                <w:rFonts w:eastAsia="Times New Roman"/>
                <w:sz w:val="20"/>
                <w:szCs w:val="20"/>
              </w:rPr>
            </w:pPr>
            <w:r>
              <w:rPr>
                <w:rFonts w:eastAsia="Times New Roman"/>
                <w:sz w:val="20"/>
                <w:szCs w:val="20"/>
              </w:rPr>
              <w:t>(17,451</w:t>
            </w:r>
          </w:p>
        </w:tc>
        <w:tc>
          <w:tcPr>
            <w:tcW w:w="50" w:type="pct"/>
            <w:shd w:val="clear" w:color="auto" w:fill="CCEEFF"/>
            <w:vAlign w:val="bottom"/>
            <w:hideMark/>
          </w:tcPr>
          <w:p w14:paraId="6A5EF3E9"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57C01C6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0F087F"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BC59886" w14:textId="77777777" w:rsidR="00000000" w:rsidRDefault="00322B34">
            <w:pPr>
              <w:jc w:val="right"/>
              <w:rPr>
                <w:rFonts w:eastAsia="Times New Roman"/>
                <w:sz w:val="20"/>
                <w:szCs w:val="20"/>
              </w:rPr>
            </w:pPr>
            <w:r>
              <w:rPr>
                <w:rFonts w:eastAsia="Times New Roman"/>
                <w:sz w:val="20"/>
                <w:szCs w:val="20"/>
              </w:rPr>
              <w:t>17,313</w:t>
            </w:r>
          </w:p>
        </w:tc>
        <w:tc>
          <w:tcPr>
            <w:tcW w:w="50" w:type="pct"/>
            <w:shd w:val="clear" w:color="auto" w:fill="CCEEFF"/>
            <w:vAlign w:val="bottom"/>
            <w:hideMark/>
          </w:tcPr>
          <w:p w14:paraId="467922D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3AC1F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2FE01E"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CB5D25E" w14:textId="77777777" w:rsidR="00000000" w:rsidRDefault="00322B34">
            <w:pPr>
              <w:jc w:val="right"/>
              <w:rPr>
                <w:rFonts w:eastAsia="Times New Roman"/>
                <w:sz w:val="20"/>
                <w:szCs w:val="20"/>
              </w:rPr>
            </w:pPr>
            <w:r>
              <w:rPr>
                <w:rFonts w:eastAsia="Times New Roman"/>
                <w:sz w:val="20"/>
                <w:szCs w:val="20"/>
              </w:rPr>
              <w:t>(3,112</w:t>
            </w:r>
          </w:p>
        </w:tc>
        <w:tc>
          <w:tcPr>
            <w:tcW w:w="50" w:type="pct"/>
            <w:shd w:val="clear" w:color="auto" w:fill="CCEEFF"/>
            <w:vAlign w:val="bottom"/>
            <w:hideMark/>
          </w:tcPr>
          <w:p w14:paraId="0654101B"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61FA98E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C7A4A3"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703E432" w14:textId="77777777" w:rsidR="00000000" w:rsidRDefault="00322B34">
            <w:pPr>
              <w:jc w:val="right"/>
              <w:rPr>
                <w:rFonts w:eastAsia="Times New Roman"/>
                <w:sz w:val="20"/>
                <w:szCs w:val="20"/>
              </w:rPr>
            </w:pPr>
            <w:r>
              <w:rPr>
                <w:rFonts w:eastAsia="Times New Roman"/>
                <w:sz w:val="20"/>
                <w:szCs w:val="20"/>
              </w:rPr>
              <w:t>(21,626</w:t>
            </w:r>
          </w:p>
        </w:tc>
        <w:tc>
          <w:tcPr>
            <w:tcW w:w="50" w:type="pct"/>
            <w:shd w:val="clear" w:color="auto" w:fill="CCEEFF"/>
            <w:vAlign w:val="bottom"/>
            <w:hideMark/>
          </w:tcPr>
          <w:p w14:paraId="2B5629FB"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2395578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4BAB9D"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9036A24" w14:textId="77777777" w:rsidR="00000000" w:rsidRDefault="00322B34">
            <w:pPr>
              <w:jc w:val="right"/>
              <w:rPr>
                <w:rFonts w:eastAsia="Times New Roman"/>
                <w:sz w:val="20"/>
                <w:szCs w:val="20"/>
              </w:rPr>
            </w:pPr>
            <w:r>
              <w:rPr>
                <w:rFonts w:eastAsia="Times New Roman"/>
                <w:sz w:val="20"/>
                <w:szCs w:val="20"/>
              </w:rPr>
              <w:t>18,514</w:t>
            </w:r>
          </w:p>
        </w:tc>
        <w:tc>
          <w:tcPr>
            <w:tcW w:w="50" w:type="pct"/>
            <w:shd w:val="clear" w:color="auto" w:fill="CCEEFF"/>
            <w:vAlign w:val="bottom"/>
            <w:hideMark/>
          </w:tcPr>
          <w:p w14:paraId="130BEB8E" w14:textId="77777777" w:rsidR="00000000" w:rsidRDefault="00322B34">
            <w:pPr>
              <w:rPr>
                <w:rFonts w:eastAsia="Times New Roman"/>
                <w:sz w:val="20"/>
                <w:szCs w:val="20"/>
              </w:rPr>
            </w:pPr>
            <w:r>
              <w:rPr>
                <w:rFonts w:eastAsia="Times New Roman"/>
                <w:sz w:val="20"/>
                <w:szCs w:val="20"/>
              </w:rPr>
              <w:t> </w:t>
            </w:r>
          </w:p>
        </w:tc>
      </w:tr>
      <w:tr w:rsidR="00000000" w14:paraId="7732DCC7" w14:textId="77777777">
        <w:trPr>
          <w:tblCellSpacing w:w="0" w:type="dxa"/>
        </w:trPr>
        <w:tc>
          <w:tcPr>
            <w:tcW w:w="2000" w:type="pct"/>
            <w:shd w:val="clear" w:color="auto" w:fill="FFFFFF"/>
            <w:vAlign w:val="bottom"/>
            <w:hideMark/>
          </w:tcPr>
          <w:p w14:paraId="1852E02D" w14:textId="77777777" w:rsidR="00000000" w:rsidRDefault="00322B34">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14:paraId="3E6EDB9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EA0C83"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6EED854" w14:textId="77777777" w:rsidR="00000000" w:rsidRDefault="00322B34">
            <w:pPr>
              <w:jc w:val="right"/>
              <w:rPr>
                <w:rFonts w:eastAsia="Times New Roman"/>
                <w:sz w:val="20"/>
                <w:szCs w:val="20"/>
              </w:rPr>
            </w:pPr>
            <w:r>
              <w:rPr>
                <w:rFonts w:eastAsia="Times New Roman"/>
                <w:sz w:val="20"/>
                <w:szCs w:val="20"/>
              </w:rPr>
              <w:t>(73,559</w:t>
            </w:r>
          </w:p>
        </w:tc>
        <w:tc>
          <w:tcPr>
            <w:tcW w:w="50" w:type="pct"/>
            <w:shd w:val="clear" w:color="auto" w:fill="FFFFFF"/>
            <w:vAlign w:val="bottom"/>
            <w:hideMark/>
          </w:tcPr>
          <w:p w14:paraId="23EDE715"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78C6DEE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63233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64989ED" w14:textId="77777777" w:rsidR="00000000" w:rsidRDefault="00322B34">
            <w:pPr>
              <w:jc w:val="right"/>
              <w:rPr>
                <w:rFonts w:eastAsia="Times New Roman"/>
                <w:sz w:val="20"/>
                <w:szCs w:val="20"/>
              </w:rPr>
            </w:pPr>
            <w:r>
              <w:rPr>
                <w:rFonts w:eastAsia="Times New Roman"/>
                <w:sz w:val="20"/>
                <w:szCs w:val="20"/>
              </w:rPr>
              <w:t>(69,005</w:t>
            </w:r>
          </w:p>
        </w:tc>
        <w:tc>
          <w:tcPr>
            <w:tcW w:w="50" w:type="pct"/>
            <w:shd w:val="clear" w:color="auto" w:fill="FFFFFF"/>
            <w:vAlign w:val="bottom"/>
            <w:hideMark/>
          </w:tcPr>
          <w:p w14:paraId="7E3D50B7"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114E823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E6CDC1"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3070210F" w14:textId="77777777" w:rsidR="00000000" w:rsidRDefault="00322B34">
            <w:pPr>
              <w:jc w:val="right"/>
              <w:rPr>
                <w:rFonts w:eastAsia="Times New Roman"/>
                <w:sz w:val="20"/>
                <w:szCs w:val="20"/>
              </w:rPr>
            </w:pPr>
            <w:r>
              <w:rPr>
                <w:rFonts w:eastAsia="Times New Roman"/>
                <w:sz w:val="20"/>
                <w:szCs w:val="20"/>
              </w:rPr>
              <w:t>(4,554</w:t>
            </w:r>
          </w:p>
        </w:tc>
        <w:tc>
          <w:tcPr>
            <w:tcW w:w="50" w:type="pct"/>
            <w:shd w:val="clear" w:color="auto" w:fill="FFFFFF"/>
            <w:vAlign w:val="bottom"/>
            <w:hideMark/>
          </w:tcPr>
          <w:p w14:paraId="58B0FBEA"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18BD141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B81577"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391C33AC" w14:textId="77777777" w:rsidR="00000000" w:rsidRDefault="00322B34">
            <w:pPr>
              <w:jc w:val="right"/>
              <w:rPr>
                <w:rFonts w:eastAsia="Times New Roman"/>
                <w:sz w:val="20"/>
                <w:szCs w:val="20"/>
              </w:rPr>
            </w:pPr>
            <w:r>
              <w:rPr>
                <w:rFonts w:eastAsia="Times New Roman"/>
                <w:sz w:val="20"/>
                <w:szCs w:val="20"/>
              </w:rPr>
              <w:t>(142,956</w:t>
            </w:r>
          </w:p>
        </w:tc>
        <w:tc>
          <w:tcPr>
            <w:tcW w:w="50" w:type="pct"/>
            <w:shd w:val="clear" w:color="auto" w:fill="FFFFFF"/>
            <w:vAlign w:val="bottom"/>
            <w:hideMark/>
          </w:tcPr>
          <w:p w14:paraId="09F7253B"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695BF07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241F1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FCA128C" w14:textId="77777777" w:rsidR="00000000" w:rsidRDefault="00322B34">
            <w:pPr>
              <w:jc w:val="right"/>
              <w:rPr>
                <w:rFonts w:eastAsia="Times New Roman"/>
                <w:sz w:val="20"/>
                <w:szCs w:val="20"/>
              </w:rPr>
            </w:pPr>
            <w:r>
              <w:rPr>
                <w:rFonts w:eastAsia="Times New Roman"/>
                <w:sz w:val="20"/>
                <w:szCs w:val="20"/>
              </w:rPr>
              <w:t>(140,566</w:t>
            </w:r>
          </w:p>
        </w:tc>
        <w:tc>
          <w:tcPr>
            <w:tcW w:w="50" w:type="pct"/>
            <w:shd w:val="clear" w:color="auto" w:fill="FFFFFF"/>
            <w:vAlign w:val="bottom"/>
            <w:hideMark/>
          </w:tcPr>
          <w:p w14:paraId="56364020"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7A46FF7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C34B08"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2F221A72" w14:textId="77777777" w:rsidR="00000000" w:rsidRDefault="00322B34">
            <w:pPr>
              <w:jc w:val="right"/>
              <w:rPr>
                <w:rFonts w:eastAsia="Times New Roman"/>
                <w:sz w:val="20"/>
                <w:szCs w:val="20"/>
              </w:rPr>
            </w:pPr>
            <w:r>
              <w:rPr>
                <w:rFonts w:eastAsia="Times New Roman"/>
                <w:sz w:val="20"/>
                <w:szCs w:val="20"/>
              </w:rPr>
              <w:t>(2,390</w:t>
            </w:r>
          </w:p>
        </w:tc>
        <w:tc>
          <w:tcPr>
            <w:tcW w:w="50" w:type="pct"/>
            <w:shd w:val="clear" w:color="auto" w:fill="FFFFFF"/>
            <w:vAlign w:val="bottom"/>
            <w:hideMark/>
          </w:tcPr>
          <w:p w14:paraId="4A5D4528" w14:textId="77777777" w:rsidR="00000000" w:rsidRDefault="00322B34">
            <w:pPr>
              <w:rPr>
                <w:rFonts w:eastAsia="Times New Roman"/>
                <w:sz w:val="20"/>
                <w:szCs w:val="20"/>
              </w:rPr>
            </w:pPr>
            <w:r>
              <w:rPr>
                <w:rFonts w:eastAsia="Times New Roman"/>
                <w:sz w:val="20"/>
                <w:szCs w:val="20"/>
              </w:rPr>
              <w:t>)</w:t>
            </w:r>
          </w:p>
        </w:tc>
      </w:tr>
      <w:tr w:rsidR="00000000" w14:paraId="42669D94" w14:textId="77777777">
        <w:trPr>
          <w:tblCellSpacing w:w="0" w:type="dxa"/>
        </w:trPr>
        <w:tc>
          <w:tcPr>
            <w:tcW w:w="2000" w:type="pct"/>
            <w:shd w:val="clear" w:color="auto" w:fill="CCEEFF"/>
            <w:vAlign w:val="bottom"/>
            <w:hideMark/>
          </w:tcPr>
          <w:p w14:paraId="754CC8E8" w14:textId="77777777" w:rsidR="00000000" w:rsidRDefault="00322B34">
            <w:pPr>
              <w:pStyle w:val="a3"/>
              <w:spacing w:before="0" w:beforeAutospacing="0" w:after="0" w:afterAutospacing="0"/>
              <w:rPr>
                <w:sz w:val="20"/>
                <w:szCs w:val="20"/>
              </w:rPr>
            </w:pPr>
            <w:r>
              <w:rPr>
                <w:sz w:val="20"/>
                <w:szCs w:val="20"/>
              </w:rPr>
              <w:t>Gain on sale of properties</w:t>
            </w:r>
          </w:p>
        </w:tc>
        <w:tc>
          <w:tcPr>
            <w:tcW w:w="50" w:type="pct"/>
            <w:shd w:val="clear" w:color="auto" w:fill="CCEEFF"/>
            <w:vAlign w:val="bottom"/>
            <w:hideMark/>
          </w:tcPr>
          <w:p w14:paraId="1DC46DF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BC2036"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32C6BEB" w14:textId="77777777" w:rsidR="00000000" w:rsidRDefault="00322B34">
            <w:pPr>
              <w:jc w:val="right"/>
              <w:rPr>
                <w:rFonts w:eastAsia="Times New Roman"/>
                <w:sz w:val="20"/>
                <w:szCs w:val="20"/>
              </w:rPr>
            </w:pPr>
            <w:r>
              <w:rPr>
                <w:rFonts w:eastAsia="Times New Roman"/>
                <w:sz w:val="20"/>
                <w:szCs w:val="20"/>
              </w:rPr>
              <w:t>1,850</w:t>
            </w:r>
          </w:p>
        </w:tc>
        <w:tc>
          <w:tcPr>
            <w:tcW w:w="50" w:type="pct"/>
            <w:shd w:val="clear" w:color="auto" w:fill="CCEEFF"/>
            <w:vAlign w:val="bottom"/>
            <w:hideMark/>
          </w:tcPr>
          <w:p w14:paraId="4A34E7F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B3E78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C5854D"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E97A65A" w14:textId="77777777" w:rsidR="00000000" w:rsidRDefault="00322B34">
            <w:pPr>
              <w:jc w:val="right"/>
              <w:rPr>
                <w:rFonts w:eastAsia="Times New Roman"/>
                <w:sz w:val="20"/>
                <w:szCs w:val="20"/>
              </w:rPr>
            </w:pPr>
            <w:r>
              <w:rPr>
                <w:rFonts w:eastAsia="Times New Roman"/>
                <w:sz w:val="20"/>
                <w:szCs w:val="20"/>
              </w:rPr>
              <w:t>14,762</w:t>
            </w:r>
          </w:p>
        </w:tc>
        <w:tc>
          <w:tcPr>
            <w:tcW w:w="50" w:type="pct"/>
            <w:shd w:val="clear" w:color="auto" w:fill="CCEEFF"/>
            <w:vAlign w:val="bottom"/>
            <w:hideMark/>
          </w:tcPr>
          <w:p w14:paraId="5AD59A3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893F4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4DCC87"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6AC3E4B" w14:textId="77777777" w:rsidR="00000000" w:rsidRDefault="00322B34">
            <w:pPr>
              <w:jc w:val="right"/>
              <w:rPr>
                <w:rFonts w:eastAsia="Times New Roman"/>
                <w:sz w:val="20"/>
                <w:szCs w:val="20"/>
              </w:rPr>
            </w:pPr>
            <w:r>
              <w:rPr>
                <w:rFonts w:eastAsia="Times New Roman"/>
                <w:sz w:val="20"/>
                <w:szCs w:val="20"/>
              </w:rPr>
              <w:t>(12,912</w:t>
            </w:r>
          </w:p>
        </w:tc>
        <w:tc>
          <w:tcPr>
            <w:tcW w:w="50" w:type="pct"/>
            <w:shd w:val="clear" w:color="auto" w:fill="CCEEFF"/>
            <w:vAlign w:val="bottom"/>
            <w:hideMark/>
          </w:tcPr>
          <w:p w14:paraId="58DEA89F"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70F7D2B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5CD44F"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A49BC54" w14:textId="77777777" w:rsidR="00000000" w:rsidRDefault="00322B34">
            <w:pPr>
              <w:jc w:val="right"/>
              <w:rPr>
                <w:rFonts w:eastAsia="Times New Roman"/>
                <w:sz w:val="20"/>
                <w:szCs w:val="20"/>
              </w:rPr>
            </w:pPr>
            <w:r>
              <w:rPr>
                <w:rFonts w:eastAsia="Times New Roman"/>
                <w:sz w:val="20"/>
                <w:szCs w:val="20"/>
              </w:rPr>
              <w:t>5,697</w:t>
            </w:r>
          </w:p>
        </w:tc>
        <w:tc>
          <w:tcPr>
            <w:tcW w:w="50" w:type="pct"/>
            <w:shd w:val="clear" w:color="auto" w:fill="CCEEFF"/>
            <w:vAlign w:val="bottom"/>
            <w:hideMark/>
          </w:tcPr>
          <w:p w14:paraId="79CAD66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9113C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B17138"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075151C8" w14:textId="77777777" w:rsidR="00000000" w:rsidRDefault="00322B34">
            <w:pPr>
              <w:jc w:val="right"/>
              <w:rPr>
                <w:rFonts w:eastAsia="Times New Roman"/>
                <w:sz w:val="20"/>
                <w:szCs w:val="20"/>
              </w:rPr>
            </w:pPr>
            <w:r>
              <w:rPr>
                <w:rFonts w:eastAsia="Times New Roman"/>
                <w:sz w:val="20"/>
                <w:szCs w:val="20"/>
              </w:rPr>
              <w:t>38,357</w:t>
            </w:r>
          </w:p>
        </w:tc>
        <w:tc>
          <w:tcPr>
            <w:tcW w:w="50" w:type="pct"/>
            <w:shd w:val="clear" w:color="auto" w:fill="CCEEFF"/>
            <w:vAlign w:val="bottom"/>
            <w:hideMark/>
          </w:tcPr>
          <w:p w14:paraId="55BB105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6FAE2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78FD5C"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B9CA18A" w14:textId="77777777" w:rsidR="00000000" w:rsidRDefault="00322B34">
            <w:pPr>
              <w:jc w:val="right"/>
              <w:rPr>
                <w:rFonts w:eastAsia="Times New Roman"/>
                <w:sz w:val="20"/>
                <w:szCs w:val="20"/>
              </w:rPr>
            </w:pPr>
            <w:r>
              <w:rPr>
                <w:rFonts w:eastAsia="Times New Roman"/>
                <w:sz w:val="20"/>
                <w:szCs w:val="20"/>
              </w:rPr>
              <w:t>(32,660</w:t>
            </w:r>
          </w:p>
        </w:tc>
        <w:tc>
          <w:tcPr>
            <w:tcW w:w="50" w:type="pct"/>
            <w:shd w:val="clear" w:color="auto" w:fill="CCEEFF"/>
            <w:vAlign w:val="bottom"/>
            <w:hideMark/>
          </w:tcPr>
          <w:p w14:paraId="42EE1349" w14:textId="77777777" w:rsidR="00000000" w:rsidRDefault="00322B34">
            <w:pPr>
              <w:rPr>
                <w:rFonts w:eastAsia="Times New Roman"/>
                <w:sz w:val="20"/>
                <w:szCs w:val="20"/>
              </w:rPr>
            </w:pPr>
            <w:r>
              <w:rPr>
                <w:rFonts w:eastAsia="Times New Roman"/>
                <w:sz w:val="20"/>
                <w:szCs w:val="20"/>
              </w:rPr>
              <w:t>)</w:t>
            </w:r>
          </w:p>
        </w:tc>
      </w:tr>
      <w:tr w:rsidR="00000000" w14:paraId="3F77D79D" w14:textId="77777777">
        <w:trPr>
          <w:tblCellSpacing w:w="0" w:type="dxa"/>
        </w:trPr>
        <w:tc>
          <w:tcPr>
            <w:tcW w:w="2000" w:type="pct"/>
            <w:shd w:val="clear" w:color="auto" w:fill="FFFFFF"/>
            <w:vAlign w:val="bottom"/>
            <w:hideMark/>
          </w:tcPr>
          <w:p w14:paraId="75B80A3C" w14:textId="77777777" w:rsidR="00000000" w:rsidRDefault="00322B34">
            <w:pPr>
              <w:pStyle w:val="a3"/>
              <w:spacing w:before="0" w:beforeAutospacing="0" w:after="0" w:afterAutospacing="0"/>
              <w:rPr>
                <w:sz w:val="20"/>
                <w:szCs w:val="20"/>
              </w:rPr>
            </w:pPr>
            <w:r>
              <w:rPr>
                <w:sz w:val="20"/>
                <w:szCs w:val="20"/>
              </w:rPr>
              <w:t>Other income/(expense)</w:t>
            </w:r>
          </w:p>
        </w:tc>
        <w:tc>
          <w:tcPr>
            <w:tcW w:w="50" w:type="pct"/>
            <w:shd w:val="clear" w:color="auto" w:fill="FFFFFF"/>
            <w:vAlign w:val="bottom"/>
            <w:hideMark/>
          </w:tcPr>
          <w:p w14:paraId="306D86F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DFDCF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4B2BE54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0721C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A741A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8EA1C7"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4BE0F74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7C450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70E14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7F426D"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8241D1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7C34B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FE85D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61D956"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42DB634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7B722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D63AB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96AF4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23CF373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8645E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353BC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42773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16E353F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19EBCD" w14:textId="77777777" w:rsidR="00000000" w:rsidRDefault="00322B34">
            <w:pPr>
              <w:rPr>
                <w:rFonts w:eastAsia="Times New Roman"/>
                <w:sz w:val="20"/>
                <w:szCs w:val="20"/>
              </w:rPr>
            </w:pPr>
            <w:r>
              <w:rPr>
                <w:rFonts w:eastAsia="Times New Roman"/>
                <w:sz w:val="20"/>
                <w:szCs w:val="20"/>
              </w:rPr>
              <w:t> </w:t>
            </w:r>
          </w:p>
        </w:tc>
      </w:tr>
      <w:tr w:rsidR="00000000" w14:paraId="55F94FF5" w14:textId="77777777">
        <w:trPr>
          <w:tblCellSpacing w:w="0" w:type="dxa"/>
        </w:trPr>
        <w:tc>
          <w:tcPr>
            <w:tcW w:w="2000" w:type="pct"/>
            <w:shd w:val="clear" w:color="auto" w:fill="CCEEFF"/>
            <w:vAlign w:val="bottom"/>
            <w:hideMark/>
          </w:tcPr>
          <w:p w14:paraId="73976817" w14:textId="77777777" w:rsidR="00000000" w:rsidRDefault="00322B34">
            <w:pPr>
              <w:pStyle w:val="a3"/>
              <w:spacing w:before="0" w:beforeAutospacing="0" w:after="0" w:afterAutospacing="0"/>
              <w:ind w:left="360"/>
              <w:rPr>
                <w:sz w:val="20"/>
                <w:szCs w:val="20"/>
              </w:rPr>
            </w:pPr>
            <w:r>
              <w:rPr>
                <w:sz w:val="20"/>
                <w:szCs w:val="20"/>
              </w:rPr>
              <w:t>Other income, net</w:t>
            </w:r>
          </w:p>
        </w:tc>
        <w:tc>
          <w:tcPr>
            <w:tcW w:w="50" w:type="pct"/>
            <w:shd w:val="clear" w:color="auto" w:fill="CCEEFF"/>
            <w:vAlign w:val="bottom"/>
            <w:hideMark/>
          </w:tcPr>
          <w:p w14:paraId="1281343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BBFCC5"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3DCB130" w14:textId="77777777" w:rsidR="00000000" w:rsidRDefault="00322B34">
            <w:pPr>
              <w:jc w:val="right"/>
              <w:rPr>
                <w:rFonts w:eastAsia="Times New Roman"/>
                <w:sz w:val="20"/>
                <w:szCs w:val="20"/>
              </w:rPr>
            </w:pPr>
            <w:r>
              <w:rPr>
                <w:rFonts w:eastAsia="Times New Roman"/>
                <w:sz w:val="20"/>
                <w:szCs w:val="20"/>
              </w:rPr>
              <w:t>49</w:t>
            </w:r>
          </w:p>
        </w:tc>
        <w:tc>
          <w:tcPr>
            <w:tcW w:w="50" w:type="pct"/>
            <w:shd w:val="clear" w:color="auto" w:fill="CCEEFF"/>
            <w:vAlign w:val="bottom"/>
            <w:hideMark/>
          </w:tcPr>
          <w:p w14:paraId="64864AF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F5DB7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F21F62"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BAAA554" w14:textId="77777777" w:rsidR="00000000" w:rsidRDefault="00322B34">
            <w:pPr>
              <w:jc w:val="right"/>
              <w:rPr>
                <w:rFonts w:eastAsia="Times New Roman"/>
                <w:sz w:val="20"/>
                <w:szCs w:val="20"/>
              </w:rPr>
            </w:pPr>
            <w:r>
              <w:rPr>
                <w:rFonts w:eastAsia="Times New Roman"/>
                <w:sz w:val="20"/>
                <w:szCs w:val="20"/>
              </w:rPr>
              <w:t>1,867</w:t>
            </w:r>
          </w:p>
        </w:tc>
        <w:tc>
          <w:tcPr>
            <w:tcW w:w="50" w:type="pct"/>
            <w:shd w:val="clear" w:color="auto" w:fill="CCEEFF"/>
            <w:vAlign w:val="bottom"/>
            <w:hideMark/>
          </w:tcPr>
          <w:p w14:paraId="6C95603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9993A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C2F80A"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9B26734" w14:textId="77777777" w:rsidR="00000000" w:rsidRDefault="00322B34">
            <w:pPr>
              <w:jc w:val="right"/>
              <w:rPr>
                <w:rFonts w:eastAsia="Times New Roman"/>
                <w:sz w:val="20"/>
                <w:szCs w:val="20"/>
              </w:rPr>
            </w:pPr>
            <w:r>
              <w:rPr>
                <w:rFonts w:eastAsia="Times New Roman"/>
                <w:sz w:val="20"/>
                <w:szCs w:val="20"/>
              </w:rPr>
              <w:t>(1,818</w:t>
            </w:r>
          </w:p>
        </w:tc>
        <w:tc>
          <w:tcPr>
            <w:tcW w:w="50" w:type="pct"/>
            <w:shd w:val="clear" w:color="auto" w:fill="CCEEFF"/>
            <w:vAlign w:val="bottom"/>
            <w:hideMark/>
          </w:tcPr>
          <w:p w14:paraId="4C2E3259"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234E4EE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36EF0F"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C7DC9D2" w14:textId="77777777" w:rsidR="00000000" w:rsidRDefault="00322B34">
            <w:pPr>
              <w:jc w:val="right"/>
              <w:rPr>
                <w:rFonts w:eastAsia="Times New Roman"/>
                <w:sz w:val="20"/>
                <w:szCs w:val="20"/>
              </w:rPr>
            </w:pPr>
            <w:r>
              <w:rPr>
                <w:rFonts w:eastAsia="Times New Roman"/>
                <w:sz w:val="20"/>
                <w:szCs w:val="20"/>
              </w:rPr>
              <w:t>1,293</w:t>
            </w:r>
          </w:p>
        </w:tc>
        <w:tc>
          <w:tcPr>
            <w:tcW w:w="50" w:type="pct"/>
            <w:shd w:val="clear" w:color="auto" w:fill="CCEEFF"/>
            <w:vAlign w:val="bottom"/>
            <w:hideMark/>
          </w:tcPr>
          <w:p w14:paraId="30B4600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D56F6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204B84"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EFDD327" w14:textId="77777777" w:rsidR="00000000" w:rsidRDefault="00322B34">
            <w:pPr>
              <w:jc w:val="right"/>
              <w:rPr>
                <w:rFonts w:eastAsia="Times New Roman"/>
                <w:sz w:val="20"/>
                <w:szCs w:val="20"/>
              </w:rPr>
            </w:pPr>
            <w:r>
              <w:rPr>
                <w:rFonts w:eastAsia="Times New Roman"/>
                <w:sz w:val="20"/>
                <w:szCs w:val="20"/>
              </w:rPr>
              <w:t>2,986</w:t>
            </w:r>
          </w:p>
        </w:tc>
        <w:tc>
          <w:tcPr>
            <w:tcW w:w="50" w:type="pct"/>
            <w:shd w:val="clear" w:color="auto" w:fill="CCEEFF"/>
            <w:vAlign w:val="bottom"/>
            <w:hideMark/>
          </w:tcPr>
          <w:p w14:paraId="1A9A74F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85A32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D132A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3916446" w14:textId="77777777" w:rsidR="00000000" w:rsidRDefault="00322B34">
            <w:pPr>
              <w:jc w:val="right"/>
              <w:rPr>
                <w:rFonts w:eastAsia="Times New Roman"/>
                <w:sz w:val="20"/>
                <w:szCs w:val="20"/>
              </w:rPr>
            </w:pPr>
            <w:r>
              <w:rPr>
                <w:rFonts w:eastAsia="Times New Roman"/>
                <w:sz w:val="20"/>
                <w:szCs w:val="20"/>
              </w:rPr>
              <w:t>(1,693</w:t>
            </w:r>
          </w:p>
        </w:tc>
        <w:tc>
          <w:tcPr>
            <w:tcW w:w="50" w:type="pct"/>
            <w:shd w:val="clear" w:color="auto" w:fill="CCEEFF"/>
            <w:vAlign w:val="bottom"/>
            <w:hideMark/>
          </w:tcPr>
          <w:p w14:paraId="6BC093F7" w14:textId="77777777" w:rsidR="00000000" w:rsidRDefault="00322B34">
            <w:pPr>
              <w:rPr>
                <w:rFonts w:eastAsia="Times New Roman"/>
                <w:sz w:val="20"/>
                <w:szCs w:val="20"/>
              </w:rPr>
            </w:pPr>
            <w:r>
              <w:rPr>
                <w:rFonts w:eastAsia="Times New Roman"/>
                <w:sz w:val="20"/>
                <w:szCs w:val="20"/>
              </w:rPr>
              <w:t>)</w:t>
            </w:r>
          </w:p>
        </w:tc>
      </w:tr>
      <w:tr w:rsidR="00000000" w14:paraId="0ED9A12A" w14:textId="77777777">
        <w:trPr>
          <w:tblCellSpacing w:w="0" w:type="dxa"/>
        </w:trPr>
        <w:tc>
          <w:tcPr>
            <w:tcW w:w="2000" w:type="pct"/>
            <w:shd w:val="clear" w:color="auto" w:fill="FFFFFF"/>
            <w:vAlign w:val="bottom"/>
            <w:hideMark/>
          </w:tcPr>
          <w:p w14:paraId="587D5321" w14:textId="77777777" w:rsidR="00000000" w:rsidRDefault="00322B34">
            <w:pPr>
              <w:pStyle w:val="a3"/>
              <w:spacing w:before="0" w:beforeAutospacing="0" w:after="0" w:afterAutospacing="0"/>
              <w:ind w:left="360"/>
              <w:rPr>
                <w:sz w:val="20"/>
                <w:szCs w:val="20"/>
              </w:rPr>
            </w:pPr>
            <w:r>
              <w:rPr>
                <w:sz w:val="20"/>
                <w:szCs w:val="20"/>
              </w:rPr>
              <w:t>Gain on marketable securities, net</w:t>
            </w:r>
          </w:p>
        </w:tc>
        <w:tc>
          <w:tcPr>
            <w:tcW w:w="50" w:type="pct"/>
            <w:shd w:val="clear" w:color="auto" w:fill="FFFFFF"/>
            <w:vAlign w:val="bottom"/>
            <w:hideMark/>
          </w:tcPr>
          <w:p w14:paraId="5AEAECC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89AB2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19783830" w14:textId="77777777" w:rsidR="00000000" w:rsidRDefault="00322B34">
            <w:pPr>
              <w:jc w:val="right"/>
              <w:rPr>
                <w:rFonts w:eastAsia="Times New Roman"/>
                <w:sz w:val="20"/>
                <w:szCs w:val="20"/>
              </w:rPr>
            </w:pPr>
            <w:r>
              <w:rPr>
                <w:rFonts w:eastAsia="Times New Roman"/>
                <w:sz w:val="20"/>
                <w:szCs w:val="20"/>
              </w:rPr>
              <w:t>526,243</w:t>
            </w:r>
          </w:p>
        </w:tc>
        <w:tc>
          <w:tcPr>
            <w:tcW w:w="50" w:type="pct"/>
            <w:shd w:val="clear" w:color="auto" w:fill="FFFFFF"/>
            <w:vAlign w:val="bottom"/>
            <w:hideMark/>
          </w:tcPr>
          <w:p w14:paraId="3410395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73C06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A8840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37DCB0C5" w14:textId="77777777" w:rsidR="00000000" w:rsidRDefault="00322B34">
            <w:pPr>
              <w:jc w:val="right"/>
              <w:rPr>
                <w:rFonts w:eastAsia="Times New Roman"/>
                <w:sz w:val="20"/>
                <w:szCs w:val="20"/>
              </w:rPr>
            </w:pPr>
            <w:r>
              <w:rPr>
                <w:rFonts w:eastAsia="Times New Roman"/>
                <w:sz w:val="20"/>
                <w:szCs w:val="20"/>
              </w:rPr>
              <w:t>71</w:t>
            </w:r>
          </w:p>
        </w:tc>
        <w:tc>
          <w:tcPr>
            <w:tcW w:w="50" w:type="pct"/>
            <w:shd w:val="clear" w:color="auto" w:fill="FFFFFF"/>
            <w:vAlign w:val="bottom"/>
            <w:hideMark/>
          </w:tcPr>
          <w:p w14:paraId="287634F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DA681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D8AA21"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503710E" w14:textId="77777777" w:rsidR="00000000" w:rsidRDefault="00322B34">
            <w:pPr>
              <w:jc w:val="right"/>
              <w:rPr>
                <w:rFonts w:eastAsia="Times New Roman"/>
                <w:sz w:val="20"/>
                <w:szCs w:val="20"/>
              </w:rPr>
            </w:pPr>
            <w:r>
              <w:rPr>
                <w:rFonts w:eastAsia="Times New Roman"/>
                <w:sz w:val="20"/>
                <w:szCs w:val="20"/>
              </w:rPr>
              <w:t>526,172</w:t>
            </w:r>
          </w:p>
        </w:tc>
        <w:tc>
          <w:tcPr>
            <w:tcW w:w="50" w:type="pct"/>
            <w:shd w:val="clear" w:color="auto" w:fill="FFFFFF"/>
            <w:vAlign w:val="bottom"/>
            <w:hideMark/>
          </w:tcPr>
          <w:p w14:paraId="0015015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E1965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5052E2"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98864B9" w14:textId="77777777" w:rsidR="00000000" w:rsidRDefault="00322B34">
            <w:pPr>
              <w:jc w:val="right"/>
              <w:rPr>
                <w:rFonts w:eastAsia="Times New Roman"/>
                <w:sz w:val="20"/>
                <w:szCs w:val="20"/>
              </w:rPr>
            </w:pPr>
            <w:r>
              <w:rPr>
                <w:rFonts w:eastAsia="Times New Roman"/>
                <w:sz w:val="20"/>
                <w:szCs w:val="20"/>
              </w:rPr>
              <w:t>521,577</w:t>
            </w:r>
          </w:p>
        </w:tc>
        <w:tc>
          <w:tcPr>
            <w:tcW w:w="50" w:type="pct"/>
            <w:shd w:val="clear" w:color="auto" w:fill="FFFFFF"/>
            <w:vAlign w:val="bottom"/>
            <w:hideMark/>
          </w:tcPr>
          <w:p w14:paraId="508CBEA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7B2EB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BCDE3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AA6418C" w14:textId="77777777" w:rsidR="00000000" w:rsidRDefault="00322B34">
            <w:pPr>
              <w:jc w:val="right"/>
              <w:rPr>
                <w:rFonts w:eastAsia="Times New Roman"/>
                <w:sz w:val="20"/>
                <w:szCs w:val="20"/>
              </w:rPr>
            </w:pPr>
            <w:r>
              <w:rPr>
                <w:rFonts w:eastAsia="Times New Roman"/>
                <w:sz w:val="20"/>
                <w:szCs w:val="20"/>
              </w:rPr>
              <w:t>1,574</w:t>
            </w:r>
          </w:p>
        </w:tc>
        <w:tc>
          <w:tcPr>
            <w:tcW w:w="50" w:type="pct"/>
            <w:shd w:val="clear" w:color="auto" w:fill="FFFFFF"/>
            <w:vAlign w:val="bottom"/>
            <w:hideMark/>
          </w:tcPr>
          <w:p w14:paraId="272D4F9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53CC8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DAC52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8CABFD6" w14:textId="77777777" w:rsidR="00000000" w:rsidRDefault="00322B34">
            <w:pPr>
              <w:jc w:val="right"/>
              <w:rPr>
                <w:rFonts w:eastAsia="Times New Roman"/>
                <w:sz w:val="20"/>
                <w:szCs w:val="20"/>
              </w:rPr>
            </w:pPr>
            <w:r>
              <w:rPr>
                <w:rFonts w:eastAsia="Times New Roman"/>
                <w:sz w:val="20"/>
                <w:szCs w:val="20"/>
              </w:rPr>
              <w:t>520,003</w:t>
            </w:r>
          </w:p>
        </w:tc>
        <w:tc>
          <w:tcPr>
            <w:tcW w:w="50" w:type="pct"/>
            <w:shd w:val="clear" w:color="auto" w:fill="FFFFFF"/>
            <w:vAlign w:val="bottom"/>
            <w:hideMark/>
          </w:tcPr>
          <w:p w14:paraId="752E5E03" w14:textId="77777777" w:rsidR="00000000" w:rsidRDefault="00322B34">
            <w:pPr>
              <w:rPr>
                <w:rFonts w:eastAsia="Times New Roman"/>
                <w:sz w:val="20"/>
                <w:szCs w:val="20"/>
              </w:rPr>
            </w:pPr>
            <w:r>
              <w:rPr>
                <w:rFonts w:eastAsia="Times New Roman"/>
                <w:sz w:val="20"/>
                <w:szCs w:val="20"/>
              </w:rPr>
              <w:t> </w:t>
            </w:r>
          </w:p>
        </w:tc>
      </w:tr>
      <w:tr w:rsidR="00000000" w14:paraId="6E2E5882" w14:textId="77777777">
        <w:trPr>
          <w:tblCellSpacing w:w="0" w:type="dxa"/>
        </w:trPr>
        <w:tc>
          <w:tcPr>
            <w:tcW w:w="2000" w:type="pct"/>
            <w:shd w:val="clear" w:color="auto" w:fill="CCEEFF"/>
            <w:vAlign w:val="bottom"/>
            <w:hideMark/>
          </w:tcPr>
          <w:p w14:paraId="4E087657" w14:textId="77777777" w:rsidR="00000000" w:rsidRDefault="00322B34">
            <w:pPr>
              <w:pStyle w:val="a3"/>
              <w:spacing w:before="0" w:beforeAutospacing="0" w:after="0" w:afterAutospacing="0"/>
              <w:ind w:left="360"/>
              <w:rPr>
                <w:sz w:val="20"/>
                <w:szCs w:val="20"/>
              </w:rPr>
            </w:pPr>
            <w:r>
              <w:rPr>
                <w:sz w:val="20"/>
                <w:szCs w:val="20"/>
              </w:rPr>
              <w:t>Gain on sale of cost method investment</w:t>
            </w:r>
          </w:p>
        </w:tc>
        <w:tc>
          <w:tcPr>
            <w:tcW w:w="50" w:type="pct"/>
            <w:shd w:val="clear" w:color="auto" w:fill="CCEEFF"/>
            <w:vAlign w:val="bottom"/>
            <w:hideMark/>
          </w:tcPr>
          <w:p w14:paraId="35B0B64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4DB75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B7FF7AC" w14:textId="77777777" w:rsidR="00000000" w:rsidRDefault="00322B34">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574D649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19C0C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05D27C"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C68B55D"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802943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FCDD3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C07681"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28F0AAE" w14:textId="77777777" w:rsidR="00000000" w:rsidRDefault="00322B34">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34998A8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653F2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34A5A5"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2C362B1" w14:textId="77777777" w:rsidR="00000000" w:rsidRDefault="00322B34">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6CADE4A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2A7DC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290581"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BC4EC25"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CA42FD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CB3FB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591532"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D8EE958" w14:textId="77777777" w:rsidR="00000000" w:rsidRDefault="00322B34">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5E9AA810" w14:textId="77777777" w:rsidR="00000000" w:rsidRDefault="00322B34">
            <w:pPr>
              <w:rPr>
                <w:rFonts w:eastAsia="Times New Roman"/>
                <w:sz w:val="20"/>
                <w:szCs w:val="20"/>
              </w:rPr>
            </w:pPr>
            <w:r>
              <w:rPr>
                <w:rFonts w:eastAsia="Times New Roman"/>
                <w:sz w:val="20"/>
                <w:szCs w:val="20"/>
              </w:rPr>
              <w:t> </w:t>
            </w:r>
          </w:p>
        </w:tc>
      </w:tr>
      <w:tr w:rsidR="00000000" w14:paraId="5C2B16D1" w14:textId="77777777">
        <w:trPr>
          <w:tblCellSpacing w:w="0" w:type="dxa"/>
        </w:trPr>
        <w:tc>
          <w:tcPr>
            <w:tcW w:w="2000" w:type="pct"/>
            <w:shd w:val="clear" w:color="auto" w:fill="FFFFFF"/>
            <w:vAlign w:val="bottom"/>
            <w:hideMark/>
          </w:tcPr>
          <w:p w14:paraId="0306663F" w14:textId="77777777" w:rsidR="00000000" w:rsidRDefault="00322B34">
            <w:pPr>
              <w:pStyle w:val="a3"/>
              <w:spacing w:before="0" w:beforeAutospacing="0" w:after="0" w:afterAutospacing="0"/>
              <w:ind w:left="360"/>
              <w:rPr>
                <w:sz w:val="20"/>
                <w:szCs w:val="20"/>
              </w:rPr>
            </w:pPr>
            <w:r>
              <w:rPr>
                <w:sz w:val="20"/>
                <w:szCs w:val="20"/>
              </w:rPr>
              <w:t>Interest expense</w:t>
            </w:r>
          </w:p>
        </w:tc>
        <w:tc>
          <w:tcPr>
            <w:tcW w:w="50" w:type="pct"/>
            <w:shd w:val="clear" w:color="auto" w:fill="FFFFFF"/>
            <w:vAlign w:val="bottom"/>
            <w:hideMark/>
          </w:tcPr>
          <w:p w14:paraId="278D2B7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C9775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4F4C9F4" w14:textId="77777777" w:rsidR="00000000" w:rsidRDefault="00322B34">
            <w:pPr>
              <w:jc w:val="right"/>
              <w:rPr>
                <w:rFonts w:eastAsia="Times New Roman"/>
                <w:sz w:val="20"/>
                <w:szCs w:val="20"/>
              </w:rPr>
            </w:pPr>
            <w:r>
              <w:rPr>
                <w:rFonts w:eastAsia="Times New Roman"/>
                <w:sz w:val="20"/>
                <w:szCs w:val="20"/>
              </w:rPr>
              <w:t>(48,015</w:t>
            </w:r>
          </w:p>
        </w:tc>
        <w:tc>
          <w:tcPr>
            <w:tcW w:w="50" w:type="pct"/>
            <w:shd w:val="clear" w:color="auto" w:fill="FFFFFF"/>
            <w:vAlign w:val="bottom"/>
            <w:hideMark/>
          </w:tcPr>
          <w:p w14:paraId="1DF48510"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48A16E1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0A03F5"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3F46BB66" w14:textId="77777777" w:rsidR="00000000" w:rsidRDefault="00322B34">
            <w:pPr>
              <w:jc w:val="right"/>
              <w:rPr>
                <w:rFonts w:eastAsia="Times New Roman"/>
                <w:sz w:val="20"/>
                <w:szCs w:val="20"/>
              </w:rPr>
            </w:pPr>
            <w:r>
              <w:rPr>
                <w:rFonts w:eastAsia="Times New Roman"/>
                <w:sz w:val="20"/>
                <w:szCs w:val="20"/>
              </w:rPr>
              <w:t>(44,097</w:t>
            </w:r>
          </w:p>
        </w:tc>
        <w:tc>
          <w:tcPr>
            <w:tcW w:w="50" w:type="pct"/>
            <w:shd w:val="clear" w:color="auto" w:fill="FFFFFF"/>
            <w:vAlign w:val="bottom"/>
            <w:hideMark/>
          </w:tcPr>
          <w:p w14:paraId="17901964"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0E2AC2E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8507BE"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1F86D15A" w14:textId="77777777" w:rsidR="00000000" w:rsidRDefault="00322B34">
            <w:pPr>
              <w:jc w:val="right"/>
              <w:rPr>
                <w:rFonts w:eastAsia="Times New Roman"/>
                <w:sz w:val="20"/>
                <w:szCs w:val="20"/>
              </w:rPr>
            </w:pPr>
            <w:r>
              <w:rPr>
                <w:rFonts w:eastAsia="Times New Roman"/>
                <w:sz w:val="20"/>
                <w:szCs w:val="20"/>
              </w:rPr>
              <w:t>(3,918</w:t>
            </w:r>
          </w:p>
        </w:tc>
        <w:tc>
          <w:tcPr>
            <w:tcW w:w="50" w:type="pct"/>
            <w:shd w:val="clear" w:color="auto" w:fill="FFFFFF"/>
            <w:vAlign w:val="bottom"/>
            <w:hideMark/>
          </w:tcPr>
          <w:p w14:paraId="121A2E8F"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1178D4A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82E70D"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2FE6DC81" w14:textId="77777777" w:rsidR="00000000" w:rsidRDefault="00322B34">
            <w:pPr>
              <w:jc w:val="right"/>
              <w:rPr>
                <w:rFonts w:eastAsia="Times New Roman"/>
                <w:sz w:val="20"/>
                <w:szCs w:val="20"/>
              </w:rPr>
            </w:pPr>
            <w:r>
              <w:rPr>
                <w:rFonts w:eastAsia="Times New Roman"/>
                <w:sz w:val="20"/>
                <w:szCs w:val="20"/>
              </w:rPr>
              <w:t>(94,075</w:t>
            </w:r>
          </w:p>
        </w:tc>
        <w:tc>
          <w:tcPr>
            <w:tcW w:w="50" w:type="pct"/>
            <w:shd w:val="clear" w:color="auto" w:fill="FFFFFF"/>
            <w:vAlign w:val="bottom"/>
            <w:hideMark/>
          </w:tcPr>
          <w:p w14:paraId="46A6013A"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6989E90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BDC56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D49DC2E" w14:textId="77777777" w:rsidR="00000000" w:rsidRDefault="00322B34">
            <w:pPr>
              <w:jc w:val="right"/>
              <w:rPr>
                <w:rFonts w:eastAsia="Times New Roman"/>
                <w:sz w:val="20"/>
                <w:szCs w:val="20"/>
              </w:rPr>
            </w:pPr>
            <w:r>
              <w:rPr>
                <w:rFonts w:eastAsia="Times New Roman"/>
                <w:sz w:val="20"/>
                <w:szCs w:val="20"/>
              </w:rPr>
              <w:t>(88,492</w:t>
            </w:r>
          </w:p>
        </w:tc>
        <w:tc>
          <w:tcPr>
            <w:tcW w:w="50" w:type="pct"/>
            <w:shd w:val="clear" w:color="auto" w:fill="FFFFFF"/>
            <w:vAlign w:val="bottom"/>
            <w:hideMark/>
          </w:tcPr>
          <w:p w14:paraId="65907E31"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7346017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B2AF4F"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4FC4064" w14:textId="77777777" w:rsidR="00000000" w:rsidRDefault="00322B34">
            <w:pPr>
              <w:jc w:val="right"/>
              <w:rPr>
                <w:rFonts w:eastAsia="Times New Roman"/>
                <w:sz w:val="20"/>
                <w:szCs w:val="20"/>
              </w:rPr>
            </w:pPr>
            <w:r>
              <w:rPr>
                <w:rFonts w:eastAsia="Times New Roman"/>
                <w:sz w:val="20"/>
                <w:szCs w:val="20"/>
              </w:rPr>
              <w:t>(5,583</w:t>
            </w:r>
          </w:p>
        </w:tc>
        <w:tc>
          <w:tcPr>
            <w:tcW w:w="50" w:type="pct"/>
            <w:shd w:val="clear" w:color="auto" w:fill="FFFFFF"/>
            <w:vAlign w:val="bottom"/>
            <w:hideMark/>
          </w:tcPr>
          <w:p w14:paraId="3C3F1C3D" w14:textId="77777777" w:rsidR="00000000" w:rsidRDefault="00322B34">
            <w:pPr>
              <w:rPr>
                <w:rFonts w:eastAsia="Times New Roman"/>
                <w:sz w:val="20"/>
                <w:szCs w:val="20"/>
              </w:rPr>
            </w:pPr>
            <w:r>
              <w:rPr>
                <w:rFonts w:eastAsia="Times New Roman"/>
                <w:sz w:val="20"/>
                <w:szCs w:val="20"/>
              </w:rPr>
              <w:t>)</w:t>
            </w:r>
          </w:p>
        </w:tc>
      </w:tr>
      <w:tr w:rsidR="00000000" w14:paraId="1F05A9EC" w14:textId="77777777">
        <w:trPr>
          <w:tblCellSpacing w:w="0" w:type="dxa"/>
        </w:trPr>
        <w:tc>
          <w:tcPr>
            <w:tcW w:w="2000" w:type="pct"/>
            <w:shd w:val="clear" w:color="auto" w:fill="CCEEFF"/>
            <w:vAlign w:val="bottom"/>
            <w:hideMark/>
          </w:tcPr>
          <w:p w14:paraId="7C1734C7" w14:textId="77777777" w:rsidR="00000000" w:rsidRDefault="00322B34">
            <w:pPr>
              <w:pStyle w:val="a3"/>
              <w:spacing w:before="0" w:beforeAutospacing="0" w:after="0" w:afterAutospacing="0"/>
              <w:ind w:left="360"/>
              <w:rPr>
                <w:sz w:val="20"/>
                <w:szCs w:val="20"/>
              </w:rPr>
            </w:pPr>
            <w:r>
              <w:rPr>
                <w:sz w:val="20"/>
                <w:szCs w:val="20"/>
              </w:rPr>
              <w:t>(Provision)/benefit for income taxes, net</w:t>
            </w:r>
          </w:p>
        </w:tc>
        <w:tc>
          <w:tcPr>
            <w:tcW w:w="50" w:type="pct"/>
            <w:shd w:val="clear" w:color="auto" w:fill="CCEEFF"/>
            <w:vAlign w:val="bottom"/>
            <w:hideMark/>
          </w:tcPr>
          <w:p w14:paraId="2150A2D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84D9C5"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CA31A1B" w14:textId="77777777" w:rsidR="00000000" w:rsidRDefault="00322B34">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14:paraId="782D58D8"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7EB64AE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648A9D"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62664E7" w14:textId="77777777" w:rsidR="00000000" w:rsidRDefault="00322B34">
            <w:pPr>
              <w:jc w:val="right"/>
              <w:rPr>
                <w:rFonts w:eastAsia="Times New Roman"/>
                <w:sz w:val="20"/>
                <w:szCs w:val="20"/>
              </w:rPr>
            </w:pPr>
            <w:r>
              <w:rPr>
                <w:rFonts w:eastAsia="Times New Roman"/>
                <w:sz w:val="20"/>
                <w:szCs w:val="20"/>
              </w:rPr>
              <w:t>344</w:t>
            </w:r>
          </w:p>
        </w:tc>
        <w:tc>
          <w:tcPr>
            <w:tcW w:w="50" w:type="pct"/>
            <w:shd w:val="clear" w:color="auto" w:fill="CCEEFF"/>
            <w:vAlign w:val="bottom"/>
            <w:hideMark/>
          </w:tcPr>
          <w:p w14:paraId="19F9D0C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CB3A7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8F78DE"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51CC3F9" w14:textId="77777777" w:rsidR="00000000" w:rsidRDefault="00322B34">
            <w:pPr>
              <w:jc w:val="right"/>
              <w:rPr>
                <w:rFonts w:eastAsia="Times New Roman"/>
                <w:sz w:val="20"/>
                <w:szCs w:val="20"/>
              </w:rPr>
            </w:pPr>
            <w:r>
              <w:rPr>
                <w:rFonts w:eastAsia="Times New Roman"/>
                <w:sz w:val="20"/>
                <w:szCs w:val="20"/>
              </w:rPr>
              <w:t>(395</w:t>
            </w:r>
          </w:p>
        </w:tc>
        <w:tc>
          <w:tcPr>
            <w:tcW w:w="50" w:type="pct"/>
            <w:shd w:val="clear" w:color="auto" w:fill="CCEEFF"/>
            <w:vAlign w:val="bottom"/>
            <w:hideMark/>
          </w:tcPr>
          <w:p w14:paraId="1B9713CE"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DDF925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FDD88A"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969042B" w14:textId="77777777" w:rsidR="00000000" w:rsidRDefault="00322B34">
            <w:pPr>
              <w:jc w:val="right"/>
              <w:rPr>
                <w:rFonts w:eastAsia="Times New Roman"/>
                <w:sz w:val="20"/>
                <w:szCs w:val="20"/>
              </w:rPr>
            </w:pPr>
            <w:r>
              <w:rPr>
                <w:rFonts w:eastAsia="Times New Roman"/>
                <w:sz w:val="20"/>
                <w:szCs w:val="20"/>
              </w:rPr>
              <w:t>(94</w:t>
            </w:r>
          </w:p>
        </w:tc>
        <w:tc>
          <w:tcPr>
            <w:tcW w:w="50" w:type="pct"/>
            <w:shd w:val="clear" w:color="auto" w:fill="CCEEFF"/>
            <w:vAlign w:val="bottom"/>
            <w:hideMark/>
          </w:tcPr>
          <w:p w14:paraId="3CD1BDE3"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556E864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214ED2"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4D994A5" w14:textId="77777777" w:rsidR="00000000" w:rsidRDefault="00322B34">
            <w:pPr>
              <w:jc w:val="right"/>
              <w:rPr>
                <w:rFonts w:eastAsia="Times New Roman"/>
                <w:sz w:val="20"/>
                <w:szCs w:val="20"/>
              </w:rPr>
            </w:pPr>
            <w:r>
              <w:rPr>
                <w:rFonts w:eastAsia="Times New Roman"/>
                <w:sz w:val="20"/>
                <w:szCs w:val="20"/>
              </w:rPr>
              <w:t>(286</w:t>
            </w:r>
          </w:p>
        </w:tc>
        <w:tc>
          <w:tcPr>
            <w:tcW w:w="50" w:type="pct"/>
            <w:shd w:val="clear" w:color="auto" w:fill="CCEEFF"/>
            <w:vAlign w:val="bottom"/>
            <w:hideMark/>
          </w:tcPr>
          <w:p w14:paraId="5A286D49"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5BF5605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7E9744"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67DF07B" w14:textId="77777777" w:rsidR="00000000" w:rsidRDefault="00322B34">
            <w:pPr>
              <w:jc w:val="right"/>
              <w:rPr>
                <w:rFonts w:eastAsia="Times New Roman"/>
                <w:sz w:val="20"/>
                <w:szCs w:val="20"/>
              </w:rPr>
            </w:pPr>
            <w:r>
              <w:rPr>
                <w:rFonts w:eastAsia="Times New Roman"/>
                <w:sz w:val="20"/>
                <w:szCs w:val="20"/>
              </w:rPr>
              <w:t>192</w:t>
            </w:r>
          </w:p>
        </w:tc>
        <w:tc>
          <w:tcPr>
            <w:tcW w:w="50" w:type="pct"/>
            <w:shd w:val="clear" w:color="auto" w:fill="CCEEFF"/>
            <w:vAlign w:val="bottom"/>
            <w:hideMark/>
          </w:tcPr>
          <w:p w14:paraId="087F845D" w14:textId="77777777" w:rsidR="00000000" w:rsidRDefault="00322B34">
            <w:pPr>
              <w:rPr>
                <w:rFonts w:eastAsia="Times New Roman"/>
                <w:sz w:val="20"/>
                <w:szCs w:val="20"/>
              </w:rPr>
            </w:pPr>
            <w:r>
              <w:rPr>
                <w:rFonts w:eastAsia="Times New Roman"/>
                <w:sz w:val="20"/>
                <w:szCs w:val="20"/>
              </w:rPr>
              <w:t> </w:t>
            </w:r>
          </w:p>
        </w:tc>
      </w:tr>
      <w:tr w:rsidR="00000000" w14:paraId="348EA8E6" w14:textId="77777777">
        <w:trPr>
          <w:tblCellSpacing w:w="0" w:type="dxa"/>
        </w:trPr>
        <w:tc>
          <w:tcPr>
            <w:tcW w:w="2000" w:type="pct"/>
            <w:shd w:val="clear" w:color="auto" w:fill="FFFFFF"/>
            <w:vAlign w:val="bottom"/>
            <w:hideMark/>
          </w:tcPr>
          <w:p w14:paraId="375476CF" w14:textId="77777777" w:rsidR="00000000" w:rsidRDefault="00322B34">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FFFFFF"/>
            <w:vAlign w:val="bottom"/>
            <w:hideMark/>
          </w:tcPr>
          <w:p w14:paraId="3E5EC64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E88A66"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8123C46" w14:textId="77777777" w:rsidR="00000000" w:rsidRDefault="00322B34">
            <w:pPr>
              <w:jc w:val="right"/>
              <w:rPr>
                <w:rFonts w:eastAsia="Times New Roman"/>
                <w:sz w:val="20"/>
                <w:szCs w:val="20"/>
              </w:rPr>
            </w:pPr>
            <w:r>
              <w:rPr>
                <w:rFonts w:eastAsia="Times New Roman"/>
                <w:sz w:val="20"/>
                <w:szCs w:val="20"/>
              </w:rPr>
              <w:t>10,158</w:t>
            </w:r>
          </w:p>
        </w:tc>
        <w:tc>
          <w:tcPr>
            <w:tcW w:w="50" w:type="pct"/>
            <w:shd w:val="clear" w:color="auto" w:fill="FFFFFF"/>
            <w:vAlign w:val="bottom"/>
            <w:hideMark/>
          </w:tcPr>
          <w:p w14:paraId="6E9F45B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43245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D554B2"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C1F3B0E" w14:textId="77777777" w:rsidR="00000000" w:rsidRDefault="00322B34">
            <w:pPr>
              <w:jc w:val="right"/>
              <w:rPr>
                <w:rFonts w:eastAsia="Times New Roman"/>
                <w:sz w:val="20"/>
                <w:szCs w:val="20"/>
              </w:rPr>
            </w:pPr>
            <w:r>
              <w:rPr>
                <w:rFonts w:eastAsia="Times New Roman"/>
                <w:sz w:val="20"/>
                <w:szCs w:val="20"/>
              </w:rPr>
              <w:t>22,533</w:t>
            </w:r>
          </w:p>
        </w:tc>
        <w:tc>
          <w:tcPr>
            <w:tcW w:w="50" w:type="pct"/>
            <w:shd w:val="clear" w:color="auto" w:fill="FFFFFF"/>
            <w:vAlign w:val="bottom"/>
            <w:hideMark/>
          </w:tcPr>
          <w:p w14:paraId="552974C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72F24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C48545"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439AA37" w14:textId="77777777" w:rsidR="00000000" w:rsidRDefault="00322B34">
            <w:pPr>
              <w:jc w:val="right"/>
              <w:rPr>
                <w:rFonts w:eastAsia="Times New Roman"/>
                <w:sz w:val="20"/>
                <w:szCs w:val="20"/>
              </w:rPr>
            </w:pPr>
            <w:r>
              <w:rPr>
                <w:rFonts w:eastAsia="Times New Roman"/>
                <w:sz w:val="20"/>
                <w:szCs w:val="20"/>
              </w:rPr>
              <w:t>(12,375</w:t>
            </w:r>
          </w:p>
        </w:tc>
        <w:tc>
          <w:tcPr>
            <w:tcW w:w="50" w:type="pct"/>
            <w:shd w:val="clear" w:color="auto" w:fill="FFFFFF"/>
            <w:vAlign w:val="bottom"/>
            <w:hideMark/>
          </w:tcPr>
          <w:p w14:paraId="4343ED73"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1FF93D1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A8FC1C"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8DCA1D3" w14:textId="77777777" w:rsidR="00000000" w:rsidRDefault="00322B34">
            <w:pPr>
              <w:jc w:val="right"/>
              <w:rPr>
                <w:rFonts w:eastAsia="Times New Roman"/>
                <w:sz w:val="20"/>
                <w:szCs w:val="20"/>
              </w:rPr>
            </w:pPr>
            <w:r>
              <w:rPr>
                <w:rFonts w:eastAsia="Times New Roman"/>
                <w:sz w:val="20"/>
                <w:szCs w:val="20"/>
              </w:rPr>
              <w:t>23,806</w:t>
            </w:r>
          </w:p>
        </w:tc>
        <w:tc>
          <w:tcPr>
            <w:tcW w:w="50" w:type="pct"/>
            <w:shd w:val="clear" w:color="auto" w:fill="FFFFFF"/>
            <w:vAlign w:val="bottom"/>
            <w:hideMark/>
          </w:tcPr>
          <w:p w14:paraId="73390BD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874DE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C49638"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2BC3D390" w14:textId="77777777" w:rsidR="00000000" w:rsidRDefault="00322B34">
            <w:pPr>
              <w:jc w:val="right"/>
              <w:rPr>
                <w:rFonts w:eastAsia="Times New Roman"/>
                <w:sz w:val="20"/>
                <w:szCs w:val="20"/>
              </w:rPr>
            </w:pPr>
            <w:r>
              <w:rPr>
                <w:rFonts w:eastAsia="Times New Roman"/>
                <w:sz w:val="20"/>
                <w:szCs w:val="20"/>
              </w:rPr>
              <w:t>41,287</w:t>
            </w:r>
          </w:p>
        </w:tc>
        <w:tc>
          <w:tcPr>
            <w:tcW w:w="50" w:type="pct"/>
            <w:shd w:val="clear" w:color="auto" w:fill="FFFFFF"/>
            <w:vAlign w:val="bottom"/>
            <w:hideMark/>
          </w:tcPr>
          <w:p w14:paraId="1298006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540EA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C35FC7"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353E5532" w14:textId="77777777" w:rsidR="00000000" w:rsidRDefault="00322B34">
            <w:pPr>
              <w:jc w:val="right"/>
              <w:rPr>
                <w:rFonts w:eastAsia="Times New Roman"/>
                <w:sz w:val="20"/>
                <w:szCs w:val="20"/>
              </w:rPr>
            </w:pPr>
            <w:r>
              <w:rPr>
                <w:rFonts w:eastAsia="Times New Roman"/>
                <w:sz w:val="20"/>
                <w:szCs w:val="20"/>
              </w:rPr>
              <w:t>(17,481</w:t>
            </w:r>
          </w:p>
        </w:tc>
        <w:tc>
          <w:tcPr>
            <w:tcW w:w="50" w:type="pct"/>
            <w:shd w:val="clear" w:color="auto" w:fill="FFFFFF"/>
            <w:vAlign w:val="bottom"/>
            <w:hideMark/>
          </w:tcPr>
          <w:p w14:paraId="33573B67" w14:textId="77777777" w:rsidR="00000000" w:rsidRDefault="00322B34">
            <w:pPr>
              <w:rPr>
                <w:rFonts w:eastAsia="Times New Roman"/>
                <w:sz w:val="20"/>
                <w:szCs w:val="20"/>
              </w:rPr>
            </w:pPr>
            <w:r>
              <w:rPr>
                <w:rFonts w:eastAsia="Times New Roman"/>
                <w:sz w:val="20"/>
                <w:szCs w:val="20"/>
              </w:rPr>
              <w:t>)</w:t>
            </w:r>
          </w:p>
        </w:tc>
      </w:tr>
      <w:tr w:rsidR="00000000" w14:paraId="71C24E56" w14:textId="77777777">
        <w:trPr>
          <w:tblCellSpacing w:w="0" w:type="dxa"/>
        </w:trPr>
        <w:tc>
          <w:tcPr>
            <w:tcW w:w="2000" w:type="pct"/>
            <w:shd w:val="clear" w:color="auto" w:fill="CCEEFF"/>
            <w:vAlign w:val="bottom"/>
            <w:hideMark/>
          </w:tcPr>
          <w:p w14:paraId="5FF24829" w14:textId="77777777" w:rsidR="00000000" w:rsidRDefault="00322B34">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CCEEFF"/>
            <w:vAlign w:val="bottom"/>
            <w:hideMark/>
          </w:tcPr>
          <w:p w14:paraId="6CC7271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342B53"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F6ED402" w14:textId="77777777" w:rsidR="00000000" w:rsidRDefault="00322B34">
            <w:pPr>
              <w:jc w:val="right"/>
              <w:rPr>
                <w:rFonts w:eastAsia="Times New Roman"/>
                <w:sz w:val="20"/>
                <w:szCs w:val="20"/>
              </w:rPr>
            </w:pPr>
            <w:r>
              <w:rPr>
                <w:rFonts w:eastAsia="Times New Roman"/>
                <w:sz w:val="20"/>
                <w:szCs w:val="20"/>
              </w:rPr>
              <w:t>4,782</w:t>
            </w:r>
          </w:p>
        </w:tc>
        <w:tc>
          <w:tcPr>
            <w:tcW w:w="50" w:type="pct"/>
            <w:shd w:val="clear" w:color="auto" w:fill="CCEEFF"/>
            <w:vAlign w:val="bottom"/>
            <w:hideMark/>
          </w:tcPr>
          <w:p w14:paraId="59C84E2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6B311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463F87"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4FFFCAD" w14:textId="77777777" w:rsidR="00000000" w:rsidRDefault="00322B34">
            <w:pPr>
              <w:jc w:val="right"/>
              <w:rPr>
                <w:rFonts w:eastAsia="Times New Roman"/>
                <w:sz w:val="20"/>
                <w:szCs w:val="20"/>
              </w:rPr>
            </w:pPr>
            <w:r>
              <w:rPr>
                <w:rFonts w:eastAsia="Times New Roman"/>
                <w:sz w:val="20"/>
                <w:szCs w:val="20"/>
              </w:rPr>
              <w:t>13,269</w:t>
            </w:r>
          </w:p>
        </w:tc>
        <w:tc>
          <w:tcPr>
            <w:tcW w:w="50" w:type="pct"/>
            <w:shd w:val="clear" w:color="auto" w:fill="CCEEFF"/>
            <w:vAlign w:val="bottom"/>
            <w:hideMark/>
          </w:tcPr>
          <w:p w14:paraId="7B8D627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08805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2FB011"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78253C4" w14:textId="77777777" w:rsidR="00000000" w:rsidRDefault="00322B34">
            <w:pPr>
              <w:jc w:val="right"/>
              <w:rPr>
                <w:rFonts w:eastAsia="Times New Roman"/>
                <w:sz w:val="20"/>
                <w:szCs w:val="20"/>
              </w:rPr>
            </w:pPr>
            <w:r>
              <w:rPr>
                <w:rFonts w:eastAsia="Times New Roman"/>
                <w:sz w:val="20"/>
                <w:szCs w:val="20"/>
              </w:rPr>
              <w:t>(8,487</w:t>
            </w:r>
          </w:p>
        </w:tc>
        <w:tc>
          <w:tcPr>
            <w:tcW w:w="50" w:type="pct"/>
            <w:shd w:val="clear" w:color="auto" w:fill="CCEEFF"/>
            <w:vAlign w:val="bottom"/>
            <w:hideMark/>
          </w:tcPr>
          <w:p w14:paraId="6DD46D01"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966A14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46A3AC"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E01C6C4" w14:textId="77777777" w:rsidR="00000000" w:rsidRDefault="00322B34">
            <w:pPr>
              <w:jc w:val="right"/>
              <w:rPr>
                <w:rFonts w:eastAsia="Times New Roman"/>
                <w:sz w:val="20"/>
                <w:szCs w:val="20"/>
              </w:rPr>
            </w:pPr>
            <w:r>
              <w:rPr>
                <w:rFonts w:eastAsia="Times New Roman"/>
                <w:sz w:val="20"/>
                <w:szCs w:val="20"/>
              </w:rPr>
              <w:t>15,740</w:t>
            </w:r>
          </w:p>
        </w:tc>
        <w:tc>
          <w:tcPr>
            <w:tcW w:w="50" w:type="pct"/>
            <w:shd w:val="clear" w:color="auto" w:fill="CCEEFF"/>
            <w:vAlign w:val="bottom"/>
            <w:hideMark/>
          </w:tcPr>
          <w:p w14:paraId="3533196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627A3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F70B6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07D91EA" w14:textId="77777777" w:rsidR="00000000" w:rsidRDefault="00322B34">
            <w:pPr>
              <w:jc w:val="right"/>
              <w:rPr>
                <w:rFonts w:eastAsia="Times New Roman"/>
                <w:sz w:val="20"/>
                <w:szCs w:val="20"/>
              </w:rPr>
            </w:pPr>
            <w:r>
              <w:rPr>
                <w:rFonts w:eastAsia="Times New Roman"/>
                <w:sz w:val="20"/>
                <w:szCs w:val="20"/>
              </w:rPr>
              <w:t>19,493</w:t>
            </w:r>
          </w:p>
        </w:tc>
        <w:tc>
          <w:tcPr>
            <w:tcW w:w="50" w:type="pct"/>
            <w:shd w:val="clear" w:color="auto" w:fill="CCEEFF"/>
            <w:vAlign w:val="bottom"/>
            <w:hideMark/>
          </w:tcPr>
          <w:p w14:paraId="5C537E8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299D3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812C35"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B89D64D" w14:textId="77777777" w:rsidR="00000000" w:rsidRDefault="00322B34">
            <w:pPr>
              <w:jc w:val="right"/>
              <w:rPr>
                <w:rFonts w:eastAsia="Times New Roman"/>
                <w:sz w:val="20"/>
                <w:szCs w:val="20"/>
              </w:rPr>
            </w:pPr>
            <w:r>
              <w:rPr>
                <w:rFonts w:eastAsia="Times New Roman"/>
                <w:sz w:val="20"/>
                <w:szCs w:val="20"/>
              </w:rPr>
              <w:t>(3,753</w:t>
            </w:r>
          </w:p>
        </w:tc>
        <w:tc>
          <w:tcPr>
            <w:tcW w:w="50" w:type="pct"/>
            <w:shd w:val="clear" w:color="auto" w:fill="CCEEFF"/>
            <w:vAlign w:val="bottom"/>
            <w:hideMark/>
          </w:tcPr>
          <w:p w14:paraId="21EF3B4A" w14:textId="77777777" w:rsidR="00000000" w:rsidRDefault="00322B34">
            <w:pPr>
              <w:rPr>
                <w:rFonts w:eastAsia="Times New Roman"/>
                <w:sz w:val="20"/>
                <w:szCs w:val="20"/>
              </w:rPr>
            </w:pPr>
            <w:r>
              <w:rPr>
                <w:rFonts w:eastAsia="Times New Roman"/>
                <w:sz w:val="20"/>
                <w:szCs w:val="20"/>
              </w:rPr>
              <w:t>)</w:t>
            </w:r>
          </w:p>
        </w:tc>
      </w:tr>
      <w:tr w:rsidR="00000000" w14:paraId="0E275379" w14:textId="77777777">
        <w:trPr>
          <w:tblCellSpacing w:w="0" w:type="dxa"/>
        </w:trPr>
        <w:tc>
          <w:tcPr>
            <w:tcW w:w="2000" w:type="pct"/>
            <w:shd w:val="clear" w:color="auto" w:fill="FFFFFF"/>
            <w:vAlign w:val="bottom"/>
            <w:hideMark/>
          </w:tcPr>
          <w:p w14:paraId="46442BE2" w14:textId="77777777" w:rsidR="00000000" w:rsidRDefault="00322B34">
            <w:pPr>
              <w:pStyle w:val="a3"/>
              <w:spacing w:before="0" w:beforeAutospacing="0" w:after="0" w:afterAutospacing="0"/>
              <w:ind w:left="360"/>
              <w:rPr>
                <w:sz w:val="20"/>
                <w:szCs w:val="20"/>
              </w:rPr>
            </w:pPr>
            <w:r>
              <w:rPr>
                <w:sz w:val="20"/>
                <w:szCs w:val="20"/>
              </w:rPr>
              <w:t>Net income attributable to noncontrolling interests</w:t>
            </w:r>
          </w:p>
        </w:tc>
        <w:tc>
          <w:tcPr>
            <w:tcW w:w="50" w:type="pct"/>
            <w:shd w:val="clear" w:color="auto" w:fill="FFFFFF"/>
            <w:vAlign w:val="bottom"/>
            <w:hideMark/>
          </w:tcPr>
          <w:p w14:paraId="405453A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19B2E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3AF189E8" w14:textId="77777777" w:rsidR="00000000" w:rsidRDefault="00322B34">
            <w:pPr>
              <w:jc w:val="right"/>
              <w:rPr>
                <w:rFonts w:eastAsia="Times New Roman"/>
                <w:sz w:val="20"/>
                <w:szCs w:val="20"/>
              </w:rPr>
            </w:pPr>
            <w:r>
              <w:rPr>
                <w:rFonts w:eastAsia="Times New Roman"/>
                <w:sz w:val="20"/>
                <w:szCs w:val="20"/>
              </w:rPr>
              <w:t>(225</w:t>
            </w:r>
          </w:p>
        </w:tc>
        <w:tc>
          <w:tcPr>
            <w:tcW w:w="50" w:type="pct"/>
            <w:shd w:val="clear" w:color="auto" w:fill="FFFFFF"/>
            <w:vAlign w:val="bottom"/>
            <w:hideMark/>
          </w:tcPr>
          <w:p w14:paraId="5F446D75"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5F281C1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CA5821"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DA39F31" w14:textId="77777777" w:rsidR="00000000" w:rsidRDefault="00322B34">
            <w:pPr>
              <w:jc w:val="right"/>
              <w:rPr>
                <w:rFonts w:eastAsia="Times New Roman"/>
                <w:sz w:val="20"/>
                <w:szCs w:val="20"/>
              </w:rPr>
            </w:pPr>
            <w:r>
              <w:rPr>
                <w:rFonts w:eastAsia="Times New Roman"/>
                <w:sz w:val="20"/>
                <w:szCs w:val="20"/>
              </w:rPr>
              <w:t>(360</w:t>
            </w:r>
          </w:p>
        </w:tc>
        <w:tc>
          <w:tcPr>
            <w:tcW w:w="50" w:type="pct"/>
            <w:shd w:val="clear" w:color="auto" w:fill="FFFFFF"/>
            <w:vAlign w:val="bottom"/>
            <w:hideMark/>
          </w:tcPr>
          <w:p w14:paraId="591ECCED"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0DA88DC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547B97"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42161756" w14:textId="77777777" w:rsidR="00000000" w:rsidRDefault="00322B34">
            <w:pPr>
              <w:jc w:val="right"/>
              <w:rPr>
                <w:rFonts w:eastAsia="Times New Roman"/>
                <w:sz w:val="20"/>
                <w:szCs w:val="20"/>
              </w:rPr>
            </w:pPr>
            <w:r>
              <w:rPr>
                <w:rFonts w:eastAsia="Times New Roman"/>
                <w:sz w:val="20"/>
                <w:szCs w:val="20"/>
              </w:rPr>
              <w:t>135</w:t>
            </w:r>
          </w:p>
        </w:tc>
        <w:tc>
          <w:tcPr>
            <w:tcW w:w="50" w:type="pct"/>
            <w:shd w:val="clear" w:color="auto" w:fill="FFFFFF"/>
            <w:vAlign w:val="bottom"/>
            <w:hideMark/>
          </w:tcPr>
          <w:p w14:paraId="648A230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6E5C6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DC5A65"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684D99D" w14:textId="77777777" w:rsidR="00000000" w:rsidRDefault="00322B34">
            <w:pPr>
              <w:jc w:val="right"/>
              <w:rPr>
                <w:rFonts w:eastAsia="Times New Roman"/>
                <w:sz w:val="20"/>
                <w:szCs w:val="20"/>
              </w:rPr>
            </w:pPr>
            <w:r>
              <w:rPr>
                <w:rFonts w:eastAsia="Times New Roman"/>
                <w:sz w:val="20"/>
                <w:szCs w:val="20"/>
              </w:rPr>
              <w:t>(514</w:t>
            </w:r>
          </w:p>
        </w:tc>
        <w:tc>
          <w:tcPr>
            <w:tcW w:w="50" w:type="pct"/>
            <w:shd w:val="clear" w:color="auto" w:fill="FFFFFF"/>
            <w:vAlign w:val="bottom"/>
            <w:hideMark/>
          </w:tcPr>
          <w:p w14:paraId="119D3EDE"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5881948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2BDCA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3BBE14E" w14:textId="77777777" w:rsidR="00000000" w:rsidRDefault="00322B34">
            <w:pPr>
              <w:jc w:val="right"/>
              <w:rPr>
                <w:rFonts w:eastAsia="Times New Roman"/>
                <w:sz w:val="20"/>
                <w:szCs w:val="20"/>
              </w:rPr>
            </w:pPr>
            <w:r>
              <w:rPr>
                <w:rFonts w:eastAsia="Times New Roman"/>
                <w:sz w:val="20"/>
                <w:szCs w:val="20"/>
              </w:rPr>
              <w:t>(869</w:t>
            </w:r>
          </w:p>
        </w:tc>
        <w:tc>
          <w:tcPr>
            <w:tcW w:w="50" w:type="pct"/>
            <w:shd w:val="clear" w:color="auto" w:fill="FFFFFF"/>
            <w:vAlign w:val="bottom"/>
            <w:hideMark/>
          </w:tcPr>
          <w:p w14:paraId="09BF5EDB"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0DA6B23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103D87"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3D153172" w14:textId="77777777" w:rsidR="00000000" w:rsidRDefault="00322B34">
            <w:pPr>
              <w:jc w:val="right"/>
              <w:rPr>
                <w:rFonts w:eastAsia="Times New Roman"/>
                <w:sz w:val="20"/>
                <w:szCs w:val="20"/>
              </w:rPr>
            </w:pPr>
            <w:r>
              <w:rPr>
                <w:rFonts w:eastAsia="Times New Roman"/>
                <w:sz w:val="20"/>
                <w:szCs w:val="20"/>
              </w:rPr>
              <w:t>355</w:t>
            </w:r>
          </w:p>
        </w:tc>
        <w:tc>
          <w:tcPr>
            <w:tcW w:w="50" w:type="pct"/>
            <w:shd w:val="clear" w:color="auto" w:fill="FFFFFF"/>
            <w:vAlign w:val="bottom"/>
            <w:hideMark/>
          </w:tcPr>
          <w:p w14:paraId="7116AE3D" w14:textId="77777777" w:rsidR="00000000" w:rsidRDefault="00322B34">
            <w:pPr>
              <w:rPr>
                <w:rFonts w:eastAsia="Times New Roman"/>
                <w:sz w:val="20"/>
                <w:szCs w:val="20"/>
              </w:rPr>
            </w:pPr>
            <w:r>
              <w:rPr>
                <w:rFonts w:eastAsia="Times New Roman"/>
                <w:sz w:val="20"/>
                <w:szCs w:val="20"/>
              </w:rPr>
              <w:t> </w:t>
            </w:r>
          </w:p>
        </w:tc>
      </w:tr>
      <w:tr w:rsidR="00000000" w14:paraId="1E599B30" w14:textId="77777777">
        <w:trPr>
          <w:tblCellSpacing w:w="0" w:type="dxa"/>
        </w:trPr>
        <w:tc>
          <w:tcPr>
            <w:tcW w:w="2000" w:type="pct"/>
            <w:shd w:val="clear" w:color="auto" w:fill="CCEEFF"/>
            <w:vAlign w:val="bottom"/>
            <w:hideMark/>
          </w:tcPr>
          <w:p w14:paraId="15B9FF6F" w14:textId="77777777" w:rsidR="00000000" w:rsidRDefault="00322B34">
            <w:pPr>
              <w:pStyle w:val="a3"/>
              <w:spacing w:before="0" w:beforeAutospacing="0" w:after="0" w:afterAutospacing="0"/>
              <w:ind w:left="360"/>
              <w:rPr>
                <w:sz w:val="20"/>
                <w:szCs w:val="20"/>
              </w:rPr>
            </w:pPr>
            <w:r>
              <w:rPr>
                <w:sz w:val="20"/>
                <w:szCs w:val="20"/>
              </w:rPr>
              <w:t>Preferred dividends</w:t>
            </w:r>
          </w:p>
        </w:tc>
        <w:tc>
          <w:tcPr>
            <w:tcW w:w="50" w:type="pct"/>
            <w:shd w:val="clear" w:color="auto" w:fill="CCEEFF"/>
            <w:tcMar>
              <w:top w:w="0" w:type="dxa"/>
              <w:left w:w="0" w:type="dxa"/>
              <w:bottom w:w="15" w:type="dxa"/>
              <w:right w:w="0" w:type="dxa"/>
            </w:tcMar>
            <w:vAlign w:val="bottom"/>
            <w:hideMark/>
          </w:tcPr>
          <w:p w14:paraId="1B88FAD3"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10B3EA6" w14:textId="77777777" w:rsidR="00000000" w:rsidRDefault="00322B34">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CCEEFF"/>
            <w:vAlign w:val="bottom"/>
            <w:hideMark/>
          </w:tcPr>
          <w:p w14:paraId="576F69E1" w14:textId="77777777" w:rsidR="00000000" w:rsidRDefault="00322B34">
            <w:pPr>
              <w:jc w:val="right"/>
              <w:rPr>
                <w:rFonts w:eastAsia="Times New Roman"/>
                <w:sz w:val="20"/>
                <w:szCs w:val="20"/>
              </w:rPr>
            </w:pPr>
            <w:r>
              <w:rPr>
                <w:rFonts w:eastAsia="Times New Roman"/>
                <w:sz w:val="20"/>
                <w:szCs w:val="20"/>
              </w:rPr>
              <w:t>(6,354</w:t>
            </w:r>
          </w:p>
        </w:tc>
        <w:tc>
          <w:tcPr>
            <w:tcW w:w="50" w:type="pct"/>
            <w:shd w:val="clear" w:color="auto" w:fill="CCEEFF"/>
            <w:tcMar>
              <w:top w:w="0" w:type="dxa"/>
              <w:left w:w="0" w:type="dxa"/>
              <w:bottom w:w="15" w:type="dxa"/>
              <w:right w:w="0" w:type="dxa"/>
            </w:tcMar>
            <w:vAlign w:val="bottom"/>
            <w:hideMark/>
          </w:tcPr>
          <w:p w14:paraId="683DB514"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258A00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CFFE544" w14:textId="77777777" w:rsidR="00000000" w:rsidRDefault="00322B34">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CCEEFF"/>
            <w:vAlign w:val="bottom"/>
            <w:hideMark/>
          </w:tcPr>
          <w:p w14:paraId="400B2870" w14:textId="77777777" w:rsidR="00000000" w:rsidRDefault="00322B34">
            <w:pPr>
              <w:jc w:val="right"/>
              <w:rPr>
                <w:rFonts w:eastAsia="Times New Roman"/>
                <w:sz w:val="20"/>
                <w:szCs w:val="20"/>
              </w:rPr>
            </w:pPr>
            <w:r>
              <w:rPr>
                <w:rFonts w:eastAsia="Times New Roman"/>
                <w:sz w:val="20"/>
                <w:szCs w:val="20"/>
              </w:rPr>
              <w:t>(14,534</w:t>
            </w:r>
          </w:p>
        </w:tc>
        <w:tc>
          <w:tcPr>
            <w:tcW w:w="50" w:type="pct"/>
            <w:shd w:val="clear" w:color="auto" w:fill="CCEEFF"/>
            <w:tcMar>
              <w:top w:w="0" w:type="dxa"/>
              <w:left w:w="0" w:type="dxa"/>
              <w:bottom w:w="15" w:type="dxa"/>
              <w:right w:w="0" w:type="dxa"/>
            </w:tcMar>
            <w:vAlign w:val="bottom"/>
            <w:hideMark/>
          </w:tcPr>
          <w:p w14:paraId="071B1626"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352D71E4"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B77199C" w14:textId="77777777" w:rsidR="00000000" w:rsidRDefault="00322B34">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CCEEFF"/>
            <w:vAlign w:val="bottom"/>
            <w:hideMark/>
          </w:tcPr>
          <w:p w14:paraId="131E5116" w14:textId="77777777" w:rsidR="00000000" w:rsidRDefault="00322B34">
            <w:pPr>
              <w:jc w:val="right"/>
              <w:rPr>
                <w:rFonts w:eastAsia="Times New Roman"/>
                <w:sz w:val="20"/>
                <w:szCs w:val="20"/>
              </w:rPr>
            </w:pPr>
            <w:r>
              <w:rPr>
                <w:rFonts w:eastAsia="Times New Roman"/>
                <w:sz w:val="20"/>
                <w:szCs w:val="20"/>
              </w:rPr>
              <w:t>8,180</w:t>
            </w:r>
          </w:p>
        </w:tc>
        <w:tc>
          <w:tcPr>
            <w:tcW w:w="50" w:type="pct"/>
            <w:shd w:val="clear" w:color="auto" w:fill="CCEEFF"/>
            <w:tcMar>
              <w:top w:w="0" w:type="dxa"/>
              <w:left w:w="0" w:type="dxa"/>
              <w:bottom w:w="15" w:type="dxa"/>
              <w:right w:w="0" w:type="dxa"/>
            </w:tcMar>
            <w:vAlign w:val="bottom"/>
            <w:hideMark/>
          </w:tcPr>
          <w:p w14:paraId="0D19838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26D8616F"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61EB56A" w14:textId="77777777" w:rsidR="00000000" w:rsidRDefault="00322B34">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CCEEFF"/>
            <w:vAlign w:val="bottom"/>
            <w:hideMark/>
          </w:tcPr>
          <w:p w14:paraId="73229865" w14:textId="77777777" w:rsidR="00000000" w:rsidRDefault="00322B34">
            <w:pPr>
              <w:jc w:val="right"/>
              <w:rPr>
                <w:rFonts w:eastAsia="Times New Roman"/>
                <w:sz w:val="20"/>
                <w:szCs w:val="20"/>
              </w:rPr>
            </w:pPr>
            <w:r>
              <w:rPr>
                <w:rFonts w:eastAsia="Times New Roman"/>
                <w:sz w:val="20"/>
                <w:szCs w:val="20"/>
              </w:rPr>
              <w:t>(12,708</w:t>
            </w:r>
          </w:p>
        </w:tc>
        <w:tc>
          <w:tcPr>
            <w:tcW w:w="50" w:type="pct"/>
            <w:shd w:val="clear" w:color="auto" w:fill="CCEEFF"/>
            <w:tcMar>
              <w:top w:w="0" w:type="dxa"/>
              <w:left w:w="0" w:type="dxa"/>
              <w:bottom w:w="15" w:type="dxa"/>
              <w:right w:w="0" w:type="dxa"/>
            </w:tcMar>
            <w:vAlign w:val="bottom"/>
            <w:hideMark/>
          </w:tcPr>
          <w:p w14:paraId="113D4252"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7625FF5B"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AC22F69" w14:textId="77777777" w:rsidR="00000000" w:rsidRDefault="00322B34">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CCEEFF"/>
            <w:vAlign w:val="bottom"/>
            <w:hideMark/>
          </w:tcPr>
          <w:p w14:paraId="76A1919A" w14:textId="77777777" w:rsidR="00000000" w:rsidRDefault="00322B34">
            <w:pPr>
              <w:jc w:val="right"/>
              <w:rPr>
                <w:rFonts w:eastAsia="Times New Roman"/>
                <w:sz w:val="20"/>
                <w:szCs w:val="20"/>
              </w:rPr>
            </w:pPr>
            <w:r>
              <w:rPr>
                <w:rFonts w:eastAsia="Times New Roman"/>
                <w:sz w:val="20"/>
                <w:szCs w:val="20"/>
              </w:rPr>
              <w:t>(29,068</w:t>
            </w:r>
          </w:p>
        </w:tc>
        <w:tc>
          <w:tcPr>
            <w:tcW w:w="50" w:type="pct"/>
            <w:shd w:val="clear" w:color="auto" w:fill="CCEEFF"/>
            <w:tcMar>
              <w:top w:w="0" w:type="dxa"/>
              <w:left w:w="0" w:type="dxa"/>
              <w:bottom w:w="15" w:type="dxa"/>
              <w:right w:w="0" w:type="dxa"/>
            </w:tcMar>
            <w:vAlign w:val="bottom"/>
            <w:hideMark/>
          </w:tcPr>
          <w:p w14:paraId="2F5BC592"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EB738FE"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6126901" w14:textId="77777777" w:rsidR="00000000" w:rsidRDefault="00322B34">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CCEEFF"/>
            <w:vAlign w:val="bottom"/>
            <w:hideMark/>
          </w:tcPr>
          <w:p w14:paraId="0B53013E" w14:textId="77777777" w:rsidR="00000000" w:rsidRDefault="00322B34">
            <w:pPr>
              <w:jc w:val="right"/>
              <w:rPr>
                <w:rFonts w:eastAsia="Times New Roman"/>
                <w:sz w:val="20"/>
                <w:szCs w:val="20"/>
              </w:rPr>
            </w:pPr>
            <w:r>
              <w:rPr>
                <w:rFonts w:eastAsia="Times New Roman"/>
                <w:sz w:val="20"/>
                <w:szCs w:val="20"/>
              </w:rPr>
              <w:t>16,360</w:t>
            </w:r>
          </w:p>
        </w:tc>
        <w:tc>
          <w:tcPr>
            <w:tcW w:w="50" w:type="pct"/>
            <w:shd w:val="clear" w:color="auto" w:fill="CCEEFF"/>
            <w:tcMar>
              <w:top w:w="0" w:type="dxa"/>
              <w:left w:w="0" w:type="dxa"/>
              <w:bottom w:w="15" w:type="dxa"/>
              <w:right w:w="0" w:type="dxa"/>
            </w:tcMar>
            <w:vAlign w:val="bottom"/>
            <w:hideMark/>
          </w:tcPr>
          <w:p w14:paraId="0A634BA4" w14:textId="77777777" w:rsidR="00000000" w:rsidRDefault="00322B34">
            <w:pPr>
              <w:rPr>
                <w:rFonts w:eastAsia="Times New Roman"/>
                <w:sz w:val="20"/>
                <w:szCs w:val="20"/>
              </w:rPr>
            </w:pPr>
            <w:r>
              <w:rPr>
                <w:rFonts w:eastAsia="Times New Roman"/>
                <w:sz w:val="20"/>
                <w:szCs w:val="20"/>
              </w:rPr>
              <w:t> </w:t>
            </w:r>
          </w:p>
        </w:tc>
      </w:tr>
      <w:tr w:rsidR="00000000" w14:paraId="76533A69" w14:textId="77777777">
        <w:trPr>
          <w:tblCellSpacing w:w="0" w:type="dxa"/>
        </w:trPr>
        <w:tc>
          <w:tcPr>
            <w:tcW w:w="2000" w:type="pct"/>
            <w:shd w:val="clear" w:color="auto" w:fill="FFFFFF"/>
            <w:vAlign w:val="bottom"/>
            <w:hideMark/>
          </w:tcPr>
          <w:p w14:paraId="6EA33449" w14:textId="77777777" w:rsidR="00000000" w:rsidRDefault="00322B34">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tcMar>
              <w:top w:w="0" w:type="dxa"/>
              <w:left w:w="0" w:type="dxa"/>
              <w:bottom w:w="45" w:type="dxa"/>
              <w:right w:w="0" w:type="dxa"/>
            </w:tcMar>
            <w:vAlign w:val="bottom"/>
            <w:hideMark/>
          </w:tcPr>
          <w:p w14:paraId="0619C909"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6422321" w14:textId="77777777" w:rsidR="00000000" w:rsidRDefault="00322B34">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FFFFFF"/>
            <w:vAlign w:val="bottom"/>
            <w:hideMark/>
          </w:tcPr>
          <w:p w14:paraId="524A800E" w14:textId="77777777" w:rsidR="00000000" w:rsidRDefault="00322B34">
            <w:pPr>
              <w:jc w:val="right"/>
              <w:rPr>
                <w:rFonts w:eastAsia="Times New Roman"/>
                <w:sz w:val="20"/>
                <w:szCs w:val="20"/>
              </w:rPr>
            </w:pPr>
            <w:r>
              <w:rPr>
                <w:rFonts w:eastAsia="Times New Roman"/>
                <w:sz w:val="20"/>
                <w:szCs w:val="20"/>
              </w:rPr>
              <w:t>741,539</w:t>
            </w:r>
          </w:p>
        </w:tc>
        <w:tc>
          <w:tcPr>
            <w:tcW w:w="50" w:type="pct"/>
            <w:shd w:val="clear" w:color="auto" w:fill="FFFFFF"/>
            <w:vAlign w:val="bottom"/>
            <w:hideMark/>
          </w:tcPr>
          <w:p w14:paraId="0F1F757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EA7B5F"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28BD23C" w14:textId="77777777" w:rsidR="00000000" w:rsidRDefault="00322B34">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FFFFFF"/>
            <w:vAlign w:val="bottom"/>
            <w:hideMark/>
          </w:tcPr>
          <w:p w14:paraId="790D491F" w14:textId="77777777" w:rsidR="00000000" w:rsidRDefault="00322B34">
            <w:pPr>
              <w:jc w:val="right"/>
              <w:rPr>
                <w:rFonts w:eastAsia="Times New Roman"/>
                <w:sz w:val="20"/>
                <w:szCs w:val="20"/>
              </w:rPr>
            </w:pPr>
            <w:r>
              <w:rPr>
                <w:rFonts w:eastAsia="Times New Roman"/>
                <w:sz w:val="20"/>
                <w:szCs w:val="20"/>
              </w:rPr>
              <w:t>86,493</w:t>
            </w:r>
          </w:p>
        </w:tc>
        <w:tc>
          <w:tcPr>
            <w:tcW w:w="50" w:type="pct"/>
            <w:shd w:val="clear" w:color="auto" w:fill="FFFFFF"/>
            <w:vAlign w:val="bottom"/>
            <w:hideMark/>
          </w:tcPr>
          <w:p w14:paraId="0DBB17E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90090C"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9B80A4A" w14:textId="77777777" w:rsidR="00000000" w:rsidRDefault="00322B34">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FFFFFF"/>
            <w:vAlign w:val="bottom"/>
            <w:hideMark/>
          </w:tcPr>
          <w:p w14:paraId="246FBF88" w14:textId="77777777" w:rsidR="00000000" w:rsidRDefault="00322B34">
            <w:pPr>
              <w:jc w:val="right"/>
              <w:rPr>
                <w:rFonts w:eastAsia="Times New Roman"/>
                <w:sz w:val="20"/>
                <w:szCs w:val="20"/>
              </w:rPr>
            </w:pPr>
            <w:r>
              <w:rPr>
                <w:rFonts w:eastAsia="Times New Roman"/>
                <w:sz w:val="20"/>
                <w:szCs w:val="20"/>
              </w:rPr>
              <w:t>655,046</w:t>
            </w:r>
          </w:p>
        </w:tc>
        <w:tc>
          <w:tcPr>
            <w:tcW w:w="50" w:type="pct"/>
            <w:shd w:val="clear" w:color="auto" w:fill="FFFFFF"/>
            <w:vAlign w:val="bottom"/>
            <w:hideMark/>
          </w:tcPr>
          <w:p w14:paraId="6E13879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468F9D"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400645B" w14:textId="77777777" w:rsidR="00000000" w:rsidRDefault="00322B34">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FFFFFF"/>
            <w:vAlign w:val="bottom"/>
            <w:hideMark/>
          </w:tcPr>
          <w:p w14:paraId="4E16EDAB" w14:textId="77777777" w:rsidR="00000000" w:rsidRDefault="00322B34">
            <w:pPr>
              <w:jc w:val="right"/>
              <w:rPr>
                <w:rFonts w:eastAsia="Times New Roman"/>
                <w:sz w:val="20"/>
                <w:szCs w:val="20"/>
              </w:rPr>
            </w:pPr>
            <w:r>
              <w:rPr>
                <w:rFonts w:eastAsia="Times New Roman"/>
                <w:sz w:val="20"/>
                <w:szCs w:val="20"/>
              </w:rPr>
              <w:t>825,285</w:t>
            </w:r>
          </w:p>
        </w:tc>
        <w:tc>
          <w:tcPr>
            <w:tcW w:w="50" w:type="pct"/>
            <w:shd w:val="clear" w:color="auto" w:fill="FFFFFF"/>
            <w:vAlign w:val="bottom"/>
            <w:hideMark/>
          </w:tcPr>
          <w:p w14:paraId="60A8A7A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341558"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623B7D9" w14:textId="77777777" w:rsidR="00000000" w:rsidRDefault="00322B34">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FFFFFF"/>
            <w:vAlign w:val="bottom"/>
            <w:hideMark/>
          </w:tcPr>
          <w:p w14:paraId="2350C25F" w14:textId="77777777" w:rsidR="00000000" w:rsidRDefault="00322B34">
            <w:pPr>
              <w:jc w:val="right"/>
              <w:rPr>
                <w:rFonts w:eastAsia="Times New Roman"/>
                <w:sz w:val="20"/>
                <w:szCs w:val="20"/>
              </w:rPr>
            </w:pPr>
            <w:r>
              <w:rPr>
                <w:rFonts w:eastAsia="Times New Roman"/>
                <w:sz w:val="20"/>
                <w:szCs w:val="20"/>
              </w:rPr>
              <w:t>188,128</w:t>
            </w:r>
          </w:p>
        </w:tc>
        <w:tc>
          <w:tcPr>
            <w:tcW w:w="50" w:type="pct"/>
            <w:shd w:val="clear" w:color="auto" w:fill="FFFFFF"/>
            <w:vAlign w:val="bottom"/>
            <w:hideMark/>
          </w:tcPr>
          <w:p w14:paraId="6C3D756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CCCCEE"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7DE6D0D" w14:textId="77777777" w:rsidR="00000000" w:rsidRDefault="00322B34">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FFFFFF"/>
            <w:vAlign w:val="bottom"/>
            <w:hideMark/>
          </w:tcPr>
          <w:p w14:paraId="1B0A541B" w14:textId="77777777" w:rsidR="00000000" w:rsidRDefault="00322B34">
            <w:pPr>
              <w:jc w:val="right"/>
              <w:rPr>
                <w:rFonts w:eastAsia="Times New Roman"/>
                <w:sz w:val="20"/>
                <w:szCs w:val="20"/>
              </w:rPr>
            </w:pPr>
            <w:r>
              <w:rPr>
                <w:rFonts w:eastAsia="Times New Roman"/>
                <w:sz w:val="20"/>
                <w:szCs w:val="20"/>
              </w:rPr>
              <w:t>637,157</w:t>
            </w:r>
          </w:p>
        </w:tc>
        <w:tc>
          <w:tcPr>
            <w:tcW w:w="50" w:type="pct"/>
            <w:shd w:val="clear" w:color="auto" w:fill="FFFFFF"/>
            <w:tcMar>
              <w:top w:w="0" w:type="dxa"/>
              <w:left w:w="0" w:type="dxa"/>
              <w:bottom w:w="45" w:type="dxa"/>
              <w:right w:w="0" w:type="dxa"/>
            </w:tcMar>
            <w:vAlign w:val="bottom"/>
            <w:hideMark/>
          </w:tcPr>
          <w:p w14:paraId="7649551D" w14:textId="77777777" w:rsidR="00000000" w:rsidRDefault="00322B34">
            <w:pPr>
              <w:rPr>
                <w:rFonts w:eastAsia="Times New Roman"/>
                <w:sz w:val="20"/>
                <w:szCs w:val="20"/>
              </w:rPr>
            </w:pPr>
            <w:r>
              <w:rPr>
                <w:rFonts w:eastAsia="Times New Roman"/>
                <w:sz w:val="20"/>
                <w:szCs w:val="20"/>
              </w:rPr>
              <w:t> </w:t>
            </w:r>
          </w:p>
        </w:tc>
      </w:tr>
      <w:tr w:rsidR="00000000" w14:paraId="29BA5A05" w14:textId="77777777">
        <w:trPr>
          <w:tblCellSpacing w:w="0" w:type="dxa"/>
        </w:trPr>
        <w:tc>
          <w:tcPr>
            <w:tcW w:w="2000" w:type="pct"/>
            <w:shd w:val="clear" w:color="auto" w:fill="CCEEFF"/>
            <w:vAlign w:val="bottom"/>
            <w:hideMark/>
          </w:tcPr>
          <w:p w14:paraId="71F4B82A" w14:textId="77777777" w:rsidR="00000000" w:rsidRDefault="00322B34">
            <w:pPr>
              <w:pStyle w:val="a3"/>
              <w:spacing w:before="0" w:beforeAutospacing="0" w:after="0" w:afterAutospacing="0"/>
              <w:rPr>
                <w:sz w:val="20"/>
                <w:szCs w:val="20"/>
              </w:rPr>
            </w:pPr>
            <w:r>
              <w:rPr>
                <w:sz w:val="20"/>
                <w:szCs w:val="20"/>
              </w:rPr>
              <w:t>Net income available to the Company:</w:t>
            </w:r>
          </w:p>
        </w:tc>
        <w:tc>
          <w:tcPr>
            <w:tcW w:w="50" w:type="pct"/>
            <w:shd w:val="clear" w:color="auto" w:fill="CCEEFF"/>
            <w:vAlign w:val="bottom"/>
            <w:hideMark/>
          </w:tcPr>
          <w:p w14:paraId="544A245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61B61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E92591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70493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B624A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A96B7E"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58DA38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C75B5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07142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9C30CD"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108D0C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3E7E3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7D03F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0DB122"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D514B1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BB180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96DBB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776394"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B3400D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118E1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854C4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CCB2B5"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0F0C55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CE55B1" w14:textId="77777777" w:rsidR="00000000" w:rsidRDefault="00322B34">
            <w:pPr>
              <w:rPr>
                <w:rFonts w:eastAsia="Times New Roman"/>
                <w:sz w:val="20"/>
                <w:szCs w:val="20"/>
              </w:rPr>
            </w:pPr>
            <w:r>
              <w:rPr>
                <w:rFonts w:eastAsia="Times New Roman"/>
                <w:sz w:val="20"/>
                <w:szCs w:val="20"/>
              </w:rPr>
              <w:t> </w:t>
            </w:r>
          </w:p>
        </w:tc>
      </w:tr>
      <w:tr w:rsidR="00000000" w14:paraId="615ACE27" w14:textId="77777777">
        <w:trPr>
          <w:tblCellSpacing w:w="0" w:type="dxa"/>
        </w:trPr>
        <w:tc>
          <w:tcPr>
            <w:tcW w:w="2000" w:type="pct"/>
            <w:shd w:val="clear" w:color="auto" w:fill="FFFFFF"/>
            <w:vAlign w:val="bottom"/>
            <w:hideMark/>
          </w:tcPr>
          <w:p w14:paraId="6D1C28E3" w14:textId="77777777" w:rsidR="00000000" w:rsidRDefault="00322B34">
            <w:pPr>
              <w:pStyle w:val="a3"/>
              <w:spacing w:before="0" w:beforeAutospacing="0" w:after="0" w:afterAutospacing="0"/>
              <w:ind w:left="360"/>
              <w:rPr>
                <w:sz w:val="20"/>
                <w:szCs w:val="20"/>
              </w:rPr>
            </w:pPr>
            <w:r>
              <w:rPr>
                <w:sz w:val="20"/>
                <w:szCs w:val="20"/>
              </w:rPr>
              <w:t>Diluted per common share</w:t>
            </w:r>
          </w:p>
        </w:tc>
        <w:tc>
          <w:tcPr>
            <w:tcW w:w="50" w:type="pct"/>
            <w:shd w:val="clear" w:color="auto" w:fill="FFFFFF"/>
            <w:tcMar>
              <w:top w:w="0" w:type="dxa"/>
              <w:left w:w="0" w:type="dxa"/>
              <w:bottom w:w="45" w:type="dxa"/>
              <w:right w:w="0" w:type="dxa"/>
            </w:tcMar>
            <w:vAlign w:val="bottom"/>
            <w:hideMark/>
          </w:tcPr>
          <w:p w14:paraId="6C5979B5"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F9F0EAA" w14:textId="77777777" w:rsidR="00000000" w:rsidRDefault="00322B34">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FFFFFF"/>
            <w:vAlign w:val="bottom"/>
            <w:hideMark/>
          </w:tcPr>
          <w:p w14:paraId="5402579D" w14:textId="77777777" w:rsidR="00000000" w:rsidRDefault="00322B34">
            <w:pPr>
              <w:jc w:val="right"/>
              <w:rPr>
                <w:rFonts w:eastAsia="Times New Roman"/>
                <w:sz w:val="20"/>
                <w:szCs w:val="20"/>
              </w:rPr>
            </w:pPr>
            <w:r>
              <w:rPr>
                <w:rFonts w:eastAsia="Times New Roman"/>
                <w:sz w:val="20"/>
                <w:szCs w:val="20"/>
              </w:rPr>
              <w:t>1.71</w:t>
            </w:r>
          </w:p>
        </w:tc>
        <w:tc>
          <w:tcPr>
            <w:tcW w:w="50" w:type="pct"/>
            <w:shd w:val="clear" w:color="auto" w:fill="FFFFFF"/>
            <w:vAlign w:val="bottom"/>
            <w:hideMark/>
          </w:tcPr>
          <w:p w14:paraId="78E8034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D3253E"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A48A2FF" w14:textId="77777777" w:rsidR="00000000" w:rsidRDefault="00322B34">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FFFFFF"/>
            <w:vAlign w:val="bottom"/>
            <w:hideMark/>
          </w:tcPr>
          <w:p w14:paraId="4FA20AFE" w14:textId="77777777" w:rsidR="00000000" w:rsidRDefault="00322B34">
            <w:pPr>
              <w:jc w:val="right"/>
              <w:rPr>
                <w:rFonts w:eastAsia="Times New Roman"/>
                <w:sz w:val="20"/>
                <w:szCs w:val="20"/>
              </w:rPr>
            </w:pPr>
            <w:r>
              <w:rPr>
                <w:rFonts w:eastAsia="Times New Roman"/>
                <w:sz w:val="20"/>
                <w:szCs w:val="20"/>
              </w:rPr>
              <w:t>0.20</w:t>
            </w:r>
          </w:p>
        </w:tc>
        <w:tc>
          <w:tcPr>
            <w:tcW w:w="50" w:type="pct"/>
            <w:shd w:val="clear" w:color="auto" w:fill="FFFFFF"/>
            <w:vAlign w:val="bottom"/>
            <w:hideMark/>
          </w:tcPr>
          <w:p w14:paraId="168CA3F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7A1D15"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3BA81DF" w14:textId="77777777" w:rsidR="00000000" w:rsidRDefault="00322B34">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FFFFFF"/>
            <w:vAlign w:val="bottom"/>
            <w:hideMark/>
          </w:tcPr>
          <w:p w14:paraId="051540A6" w14:textId="77777777" w:rsidR="00000000" w:rsidRDefault="00322B34">
            <w:pPr>
              <w:jc w:val="right"/>
              <w:rPr>
                <w:rFonts w:eastAsia="Times New Roman"/>
                <w:sz w:val="20"/>
                <w:szCs w:val="20"/>
              </w:rPr>
            </w:pPr>
            <w:r>
              <w:rPr>
                <w:rFonts w:eastAsia="Times New Roman"/>
                <w:sz w:val="20"/>
                <w:szCs w:val="20"/>
              </w:rPr>
              <w:t>1.51</w:t>
            </w:r>
          </w:p>
        </w:tc>
        <w:tc>
          <w:tcPr>
            <w:tcW w:w="50" w:type="pct"/>
            <w:shd w:val="clear" w:color="auto" w:fill="FFFFFF"/>
            <w:vAlign w:val="bottom"/>
            <w:hideMark/>
          </w:tcPr>
          <w:p w14:paraId="1B5DE4B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1C1419"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C3BF832" w14:textId="77777777" w:rsidR="00000000" w:rsidRDefault="00322B34">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FFFFFF"/>
            <w:vAlign w:val="bottom"/>
            <w:hideMark/>
          </w:tcPr>
          <w:p w14:paraId="03AD6C69" w14:textId="77777777" w:rsidR="00000000" w:rsidRDefault="00322B34">
            <w:pPr>
              <w:jc w:val="right"/>
              <w:rPr>
                <w:rFonts w:eastAsia="Times New Roman"/>
                <w:sz w:val="20"/>
                <w:szCs w:val="20"/>
              </w:rPr>
            </w:pPr>
            <w:r>
              <w:rPr>
                <w:rFonts w:eastAsia="Times New Roman"/>
                <w:sz w:val="20"/>
                <w:szCs w:val="20"/>
              </w:rPr>
              <w:t>1.90</w:t>
            </w:r>
          </w:p>
        </w:tc>
        <w:tc>
          <w:tcPr>
            <w:tcW w:w="50" w:type="pct"/>
            <w:shd w:val="clear" w:color="auto" w:fill="FFFFFF"/>
            <w:vAlign w:val="bottom"/>
            <w:hideMark/>
          </w:tcPr>
          <w:p w14:paraId="2F24AE3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3D5FE9"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69529E4" w14:textId="77777777" w:rsidR="00000000" w:rsidRDefault="00322B34">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FFFFFF"/>
            <w:vAlign w:val="bottom"/>
            <w:hideMark/>
          </w:tcPr>
          <w:p w14:paraId="4374C4CD" w14:textId="77777777" w:rsidR="00000000" w:rsidRDefault="00322B34">
            <w:pPr>
              <w:jc w:val="right"/>
              <w:rPr>
                <w:rFonts w:eastAsia="Times New Roman"/>
                <w:sz w:val="20"/>
                <w:szCs w:val="20"/>
              </w:rPr>
            </w:pPr>
            <w:r>
              <w:rPr>
                <w:rFonts w:eastAsia="Times New Roman"/>
                <w:sz w:val="20"/>
                <w:szCs w:val="20"/>
              </w:rPr>
              <w:t>0.44</w:t>
            </w:r>
          </w:p>
        </w:tc>
        <w:tc>
          <w:tcPr>
            <w:tcW w:w="50" w:type="pct"/>
            <w:shd w:val="clear" w:color="auto" w:fill="FFFFFF"/>
            <w:vAlign w:val="bottom"/>
            <w:hideMark/>
          </w:tcPr>
          <w:p w14:paraId="71AED66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64C0EE"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34A4041" w14:textId="77777777" w:rsidR="00000000" w:rsidRDefault="00322B34">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FFFFFF"/>
            <w:vAlign w:val="bottom"/>
            <w:hideMark/>
          </w:tcPr>
          <w:p w14:paraId="128FD6A2" w14:textId="77777777" w:rsidR="00000000" w:rsidRDefault="00322B34">
            <w:pPr>
              <w:jc w:val="right"/>
              <w:rPr>
                <w:rFonts w:eastAsia="Times New Roman"/>
                <w:sz w:val="20"/>
                <w:szCs w:val="20"/>
              </w:rPr>
            </w:pPr>
            <w:r>
              <w:rPr>
                <w:rFonts w:eastAsia="Times New Roman"/>
                <w:sz w:val="20"/>
                <w:szCs w:val="20"/>
              </w:rPr>
              <w:t>1.46</w:t>
            </w:r>
          </w:p>
        </w:tc>
        <w:tc>
          <w:tcPr>
            <w:tcW w:w="50" w:type="pct"/>
            <w:shd w:val="clear" w:color="auto" w:fill="FFFFFF"/>
            <w:tcMar>
              <w:top w:w="0" w:type="dxa"/>
              <w:left w:w="0" w:type="dxa"/>
              <w:bottom w:w="45" w:type="dxa"/>
              <w:right w:w="0" w:type="dxa"/>
            </w:tcMar>
            <w:vAlign w:val="bottom"/>
            <w:hideMark/>
          </w:tcPr>
          <w:p w14:paraId="3329B03C" w14:textId="77777777" w:rsidR="00000000" w:rsidRDefault="00322B34">
            <w:pPr>
              <w:rPr>
                <w:rFonts w:eastAsia="Times New Roman"/>
                <w:sz w:val="20"/>
                <w:szCs w:val="20"/>
              </w:rPr>
            </w:pPr>
            <w:r>
              <w:rPr>
                <w:rFonts w:eastAsia="Times New Roman"/>
                <w:sz w:val="20"/>
                <w:szCs w:val="20"/>
              </w:rPr>
              <w:t> </w:t>
            </w:r>
          </w:p>
        </w:tc>
      </w:tr>
    </w:tbl>
    <w:p w14:paraId="73A39EA2" w14:textId="77777777" w:rsidR="00000000" w:rsidRDefault="00322B3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954"/>
        <w:gridCol w:w="6992"/>
      </w:tblGrid>
      <w:tr w:rsidR="00000000" w14:paraId="578D37EB" w14:textId="77777777">
        <w:trPr>
          <w:tblCellSpacing w:w="0" w:type="dxa"/>
        </w:trPr>
        <w:tc>
          <w:tcPr>
            <w:tcW w:w="360" w:type="dxa"/>
            <w:vAlign w:val="center"/>
            <w:hideMark/>
          </w:tcPr>
          <w:p w14:paraId="67099F57" w14:textId="77777777" w:rsidR="00000000" w:rsidRDefault="00322B34">
            <w:pPr>
              <w:rPr>
                <w:rFonts w:eastAsia="Times New Roman"/>
                <w:sz w:val="20"/>
                <w:szCs w:val="20"/>
              </w:rPr>
            </w:pPr>
            <w:r>
              <w:rPr>
                <w:rFonts w:eastAsia="Times New Roman"/>
                <w:sz w:val="20"/>
                <w:szCs w:val="20"/>
              </w:rPr>
              <w:t> </w:t>
            </w:r>
          </w:p>
        </w:tc>
        <w:tc>
          <w:tcPr>
            <w:tcW w:w="360" w:type="dxa"/>
            <w:hideMark/>
          </w:tcPr>
          <w:p w14:paraId="7732BB6C" w14:textId="77777777" w:rsidR="00000000" w:rsidRDefault="00322B34">
            <w:pPr>
              <w:pStyle w:val="a3"/>
              <w:spacing w:before="0" w:beforeAutospacing="0" w:after="0" w:afterAutospacing="0"/>
              <w:ind w:right="720"/>
              <w:jc w:val="both"/>
              <w:rPr>
                <w:sz w:val="20"/>
                <w:szCs w:val="20"/>
              </w:rPr>
            </w:pPr>
            <w:r>
              <w:rPr>
                <w:sz w:val="20"/>
                <w:szCs w:val="20"/>
              </w:rPr>
              <w:t>(1)</w:t>
            </w:r>
          </w:p>
        </w:tc>
        <w:tc>
          <w:tcPr>
            <w:tcW w:w="0" w:type="auto"/>
            <w:hideMark/>
          </w:tcPr>
          <w:p w14:paraId="704D10DF" w14:textId="77777777" w:rsidR="00000000" w:rsidRDefault="00322B34">
            <w:pPr>
              <w:pStyle w:val="a3"/>
              <w:spacing w:before="0" w:beforeAutospacing="0" w:after="0" w:afterAutospacing="0"/>
              <w:ind w:right="720"/>
              <w:jc w:val="both"/>
              <w:rPr>
                <w:sz w:val="20"/>
                <w:szCs w:val="20"/>
              </w:rPr>
            </w:pPr>
            <w:r>
              <w:rPr>
                <w:sz w:val="20"/>
                <w:szCs w:val="20"/>
              </w:rPr>
              <w:t>Rent expense relates to ground lease payments for which the Company is the lessee.</w:t>
            </w:r>
          </w:p>
        </w:tc>
      </w:tr>
    </w:tbl>
    <w:p w14:paraId="5FA7046A"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954"/>
        <w:gridCol w:w="6992"/>
      </w:tblGrid>
      <w:tr w:rsidR="00000000" w14:paraId="6E078268" w14:textId="77777777">
        <w:trPr>
          <w:tblCellSpacing w:w="0" w:type="dxa"/>
        </w:trPr>
        <w:tc>
          <w:tcPr>
            <w:tcW w:w="360" w:type="dxa"/>
            <w:vAlign w:val="center"/>
            <w:hideMark/>
          </w:tcPr>
          <w:p w14:paraId="256152BE" w14:textId="77777777" w:rsidR="00000000" w:rsidRDefault="00322B34">
            <w:pPr>
              <w:rPr>
                <w:rFonts w:eastAsia="Times New Roman"/>
                <w:sz w:val="20"/>
                <w:szCs w:val="20"/>
              </w:rPr>
            </w:pPr>
            <w:r>
              <w:rPr>
                <w:rFonts w:eastAsia="Times New Roman"/>
                <w:sz w:val="20"/>
                <w:szCs w:val="20"/>
              </w:rPr>
              <w:t> </w:t>
            </w:r>
          </w:p>
        </w:tc>
        <w:tc>
          <w:tcPr>
            <w:tcW w:w="360" w:type="dxa"/>
            <w:hideMark/>
          </w:tcPr>
          <w:p w14:paraId="21AFFCA5" w14:textId="77777777" w:rsidR="00000000" w:rsidRDefault="00322B34">
            <w:pPr>
              <w:pStyle w:val="a3"/>
              <w:spacing w:before="0" w:beforeAutospacing="0" w:after="0" w:afterAutospacing="0"/>
              <w:ind w:right="720"/>
              <w:jc w:val="both"/>
              <w:rPr>
                <w:sz w:val="20"/>
                <w:szCs w:val="20"/>
              </w:rPr>
            </w:pPr>
            <w:r>
              <w:rPr>
                <w:sz w:val="20"/>
                <w:szCs w:val="20"/>
              </w:rPr>
              <w:t>(2)</w:t>
            </w:r>
          </w:p>
        </w:tc>
        <w:tc>
          <w:tcPr>
            <w:tcW w:w="0" w:type="auto"/>
            <w:hideMark/>
          </w:tcPr>
          <w:p w14:paraId="777C1390" w14:textId="77777777" w:rsidR="00000000" w:rsidRDefault="00322B34">
            <w:pPr>
              <w:pStyle w:val="a3"/>
              <w:spacing w:before="0" w:beforeAutospacing="0" w:after="0" w:afterAutospacing="0"/>
              <w:ind w:right="720"/>
              <w:jc w:val="both"/>
              <w:rPr>
                <w:sz w:val="20"/>
                <w:szCs w:val="20"/>
              </w:rPr>
            </w:pPr>
            <w:r>
              <w:rPr>
                <w:sz w:val="20"/>
                <w:szCs w:val="20"/>
              </w:rPr>
              <w:t>Operating and maintenance expense consists of property related costs including repairs and maintenance costs, roof repair, landscaping, parking lot repair, snow removal, utilities, property insurance costs, security and various other property related expen</w:t>
            </w:r>
            <w:r>
              <w:rPr>
                <w:sz w:val="20"/>
                <w:szCs w:val="20"/>
              </w:rPr>
              <w:t>ses.</w:t>
            </w:r>
          </w:p>
        </w:tc>
      </w:tr>
    </w:tbl>
    <w:p w14:paraId="3122BCCE"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954"/>
        <w:gridCol w:w="6992"/>
      </w:tblGrid>
      <w:tr w:rsidR="00000000" w14:paraId="3F63713F" w14:textId="77777777">
        <w:trPr>
          <w:tblCellSpacing w:w="0" w:type="dxa"/>
        </w:trPr>
        <w:tc>
          <w:tcPr>
            <w:tcW w:w="360" w:type="dxa"/>
            <w:vAlign w:val="center"/>
            <w:hideMark/>
          </w:tcPr>
          <w:p w14:paraId="1CB1E967" w14:textId="77777777" w:rsidR="00000000" w:rsidRDefault="00322B34">
            <w:pPr>
              <w:rPr>
                <w:rFonts w:eastAsia="Times New Roman"/>
                <w:sz w:val="20"/>
                <w:szCs w:val="20"/>
              </w:rPr>
            </w:pPr>
            <w:r>
              <w:rPr>
                <w:rFonts w:eastAsia="Times New Roman"/>
                <w:sz w:val="20"/>
                <w:szCs w:val="20"/>
              </w:rPr>
              <w:t> </w:t>
            </w:r>
          </w:p>
        </w:tc>
        <w:tc>
          <w:tcPr>
            <w:tcW w:w="360" w:type="dxa"/>
            <w:hideMark/>
          </w:tcPr>
          <w:p w14:paraId="7053E197" w14:textId="77777777" w:rsidR="00000000" w:rsidRDefault="00322B34">
            <w:pPr>
              <w:pStyle w:val="a3"/>
              <w:spacing w:before="0" w:beforeAutospacing="0" w:after="0" w:afterAutospacing="0"/>
              <w:ind w:right="720"/>
              <w:jc w:val="both"/>
              <w:rPr>
                <w:sz w:val="20"/>
                <w:szCs w:val="20"/>
              </w:rPr>
            </w:pPr>
            <w:r>
              <w:rPr>
                <w:sz w:val="20"/>
                <w:szCs w:val="20"/>
              </w:rPr>
              <w:t>(3)</w:t>
            </w:r>
          </w:p>
        </w:tc>
        <w:tc>
          <w:tcPr>
            <w:tcW w:w="0" w:type="auto"/>
            <w:hideMark/>
          </w:tcPr>
          <w:p w14:paraId="5D026181" w14:textId="77777777" w:rsidR="00000000" w:rsidRDefault="00322B34">
            <w:pPr>
              <w:pStyle w:val="a3"/>
              <w:spacing w:before="0" w:beforeAutospacing="0" w:after="0" w:afterAutospacing="0"/>
              <w:ind w:right="720"/>
              <w:jc w:val="both"/>
              <w:rPr>
                <w:sz w:val="20"/>
                <w:szCs w:val="20"/>
              </w:rPr>
            </w:pPr>
            <w:r>
              <w:rPr>
                <w:sz w:val="20"/>
                <w:szCs w:val="20"/>
              </w:rPr>
              <w:t>General and administrative expense includes employee-related expenses (including salaries, bonuses, equity awards, benefits, severance costs and payroll taxes), professional fees, office rent, travel and entertainment costs and other company-s</w:t>
            </w:r>
            <w:r>
              <w:rPr>
                <w:sz w:val="20"/>
                <w:szCs w:val="20"/>
              </w:rPr>
              <w:t>pecific expenses.</w:t>
            </w:r>
          </w:p>
        </w:tc>
      </w:tr>
    </w:tbl>
    <w:p w14:paraId="64FC607E" w14:textId="77777777" w:rsidR="00000000" w:rsidRDefault="00322B34">
      <w:pPr>
        <w:pStyle w:val="a3"/>
        <w:spacing w:before="0" w:beforeAutospacing="0" w:after="0" w:afterAutospacing="0"/>
        <w:jc w:val="both"/>
        <w:rPr>
          <w:sz w:val="20"/>
          <w:szCs w:val="20"/>
        </w:rPr>
      </w:pPr>
      <w:r>
        <w:rPr>
          <w:sz w:val="20"/>
          <w:szCs w:val="20"/>
        </w:rPr>
        <w:t> </w:t>
      </w:r>
    </w:p>
    <w:p w14:paraId="410E9D1C" w14:textId="77777777" w:rsidR="00000000" w:rsidRDefault="00322B34">
      <w:pPr>
        <w:pStyle w:val="a3"/>
        <w:spacing w:before="0" w:beforeAutospacing="0" w:after="0" w:afterAutospacing="0"/>
        <w:ind w:firstLine="360"/>
        <w:jc w:val="both"/>
        <w:rPr>
          <w:sz w:val="20"/>
          <w:szCs w:val="20"/>
        </w:rPr>
      </w:pPr>
      <w:r>
        <w:rPr>
          <w:sz w:val="20"/>
          <w:szCs w:val="20"/>
        </w:rPr>
        <w:t>Net income available to the Company’s common shareholders was $741.5 million for the three months ended June 30, 2020, as compared to $86.5 million for the comparable period in 2019. On a diluted per common share basis, net income avai</w:t>
      </w:r>
      <w:r>
        <w:rPr>
          <w:sz w:val="20"/>
          <w:szCs w:val="20"/>
        </w:rPr>
        <w:t>lable to the Company for the three months ended June 30, 2020 was $1.71 as compared to $0.20 for the comparable period in 2019.</w:t>
      </w:r>
    </w:p>
    <w:p w14:paraId="68AE251E" w14:textId="77777777" w:rsidR="00000000" w:rsidRDefault="00322B34">
      <w:pPr>
        <w:pStyle w:val="a3"/>
        <w:spacing w:before="0" w:beforeAutospacing="0" w:after="0" w:afterAutospacing="0"/>
        <w:jc w:val="both"/>
        <w:rPr>
          <w:sz w:val="20"/>
          <w:szCs w:val="20"/>
        </w:rPr>
      </w:pPr>
      <w:r>
        <w:rPr>
          <w:sz w:val="20"/>
          <w:szCs w:val="20"/>
        </w:rPr>
        <w:t> </w:t>
      </w:r>
    </w:p>
    <w:p w14:paraId="7BD2E9F4" w14:textId="77777777" w:rsidR="00000000" w:rsidRDefault="00322B34">
      <w:pPr>
        <w:pStyle w:val="a3"/>
        <w:spacing w:before="0" w:beforeAutospacing="0" w:after="0" w:afterAutospacing="0"/>
        <w:ind w:firstLine="360"/>
        <w:jc w:val="both"/>
        <w:rPr>
          <w:sz w:val="20"/>
          <w:szCs w:val="20"/>
        </w:rPr>
      </w:pPr>
      <w:r>
        <w:rPr>
          <w:sz w:val="20"/>
          <w:szCs w:val="20"/>
        </w:rPr>
        <w:t>Net income available to the Company’s common shareholders was $825.3 million for the six months ended June 30, 2020, as compar</w:t>
      </w:r>
      <w:r>
        <w:rPr>
          <w:sz w:val="20"/>
          <w:szCs w:val="20"/>
        </w:rPr>
        <w:t>ed to $188.1 million for the comparable period in 2019. On a diluted per common share basis, net income available to the Company for the six months ended June 30, 2020 was $1.90 as compared to $0.44 for the comparable period in 2019.</w:t>
      </w:r>
    </w:p>
    <w:p w14:paraId="656631B8" w14:textId="77777777" w:rsidR="00000000" w:rsidRDefault="00322B34">
      <w:pPr>
        <w:pStyle w:val="a3"/>
        <w:spacing w:before="0" w:beforeAutospacing="0" w:after="0" w:afterAutospacing="0"/>
        <w:jc w:val="both"/>
        <w:rPr>
          <w:sz w:val="20"/>
          <w:szCs w:val="20"/>
        </w:rPr>
      </w:pPr>
      <w:r>
        <w:rPr>
          <w:sz w:val="20"/>
          <w:szCs w:val="20"/>
        </w:rPr>
        <w:t> </w:t>
      </w:r>
    </w:p>
    <w:p w14:paraId="1C8E5842" w14:textId="77777777" w:rsidR="00000000" w:rsidRDefault="00322B34">
      <w:pPr>
        <w:pStyle w:val="a3"/>
        <w:spacing w:before="0" w:beforeAutospacing="0" w:after="0" w:afterAutospacing="0"/>
        <w:ind w:firstLine="360"/>
        <w:jc w:val="both"/>
        <w:rPr>
          <w:sz w:val="20"/>
          <w:szCs w:val="20"/>
        </w:rPr>
      </w:pPr>
      <w:r>
        <w:rPr>
          <w:sz w:val="20"/>
          <w:szCs w:val="20"/>
        </w:rPr>
        <w:t>The following descri</w:t>
      </w:r>
      <w:r>
        <w:rPr>
          <w:sz w:val="20"/>
          <w:szCs w:val="20"/>
        </w:rPr>
        <w:t>bes the changes of certain line items included on the Company’s Condensed Consolidated Statements of Income, that the Company believes changed significantly and affected Net income available to the Company's common shareholders during the three and six mon</w:t>
      </w:r>
      <w:r>
        <w:rPr>
          <w:sz w:val="20"/>
          <w:szCs w:val="20"/>
        </w:rPr>
        <w:t>ths ended June 30, 2020, as compared to the corresponding periods in 2019:</w:t>
      </w:r>
    </w:p>
    <w:p w14:paraId="1BDC8B7C" w14:textId="77777777" w:rsidR="00000000" w:rsidRDefault="00322B34">
      <w:pPr>
        <w:pStyle w:val="a3"/>
        <w:spacing w:before="0" w:beforeAutospacing="0" w:after="0" w:afterAutospacing="0"/>
        <w:ind w:firstLine="450"/>
        <w:jc w:val="both"/>
        <w:rPr>
          <w:sz w:val="20"/>
          <w:szCs w:val="20"/>
        </w:rPr>
      </w:pPr>
      <w:r>
        <w:rPr>
          <w:sz w:val="20"/>
          <w:szCs w:val="20"/>
        </w:rPr>
        <w:t> </w:t>
      </w:r>
    </w:p>
    <w:p w14:paraId="76DFCDAA" w14:textId="77777777" w:rsidR="00000000" w:rsidRDefault="00322B34">
      <w:pPr>
        <w:pStyle w:val="a3"/>
        <w:spacing w:before="0" w:beforeAutospacing="0" w:after="0" w:afterAutospacing="0"/>
        <w:jc w:val="both"/>
        <w:rPr>
          <w:sz w:val="20"/>
          <w:szCs w:val="20"/>
        </w:rPr>
      </w:pPr>
      <w:r>
        <w:rPr>
          <w:i/>
          <w:iCs/>
          <w:sz w:val="20"/>
          <w:szCs w:val="20"/>
        </w:rPr>
        <w:t>Revenue from rental properties, net –</w:t>
      </w:r>
    </w:p>
    <w:p w14:paraId="02E1E6C0" w14:textId="77777777" w:rsidR="00000000" w:rsidRDefault="00322B34">
      <w:pPr>
        <w:pStyle w:val="a3"/>
        <w:spacing w:before="0" w:beforeAutospacing="0" w:after="0" w:afterAutospacing="0"/>
        <w:jc w:val="both"/>
        <w:rPr>
          <w:sz w:val="20"/>
          <w:szCs w:val="20"/>
        </w:rPr>
      </w:pPr>
      <w:r>
        <w:rPr>
          <w:sz w:val="20"/>
          <w:szCs w:val="20"/>
        </w:rPr>
        <w:t> </w:t>
      </w:r>
    </w:p>
    <w:p w14:paraId="2F5E0E1F" w14:textId="77777777" w:rsidR="00000000" w:rsidRDefault="00322B34">
      <w:pPr>
        <w:pStyle w:val="a3"/>
        <w:spacing w:before="0" w:beforeAutospacing="0" w:after="0" w:afterAutospacing="0"/>
        <w:ind w:firstLine="360"/>
        <w:jc w:val="both"/>
        <w:rPr>
          <w:sz w:val="20"/>
          <w:szCs w:val="20"/>
        </w:rPr>
      </w:pPr>
      <w:r>
        <w:rPr>
          <w:sz w:val="20"/>
          <w:szCs w:val="20"/>
        </w:rPr>
        <w:t>The decrease in Revenues from rental properties, net of $44.7 million for the three months ended June 30, 2020, as compared to the corresponding period in 2019, is primarily from (i) an increase in adjustments associated with potentially uncollectible reve</w:t>
      </w:r>
      <w:r>
        <w:rPr>
          <w:sz w:val="20"/>
          <w:szCs w:val="20"/>
        </w:rPr>
        <w:t xml:space="preserve">nues and disputed amounts, including straight-line rent receivables, primarily due to the COVID-19 pandemic, for the three months ended June 30, 2020 of $44.9 million, as compared to the corresponding period in 2019 and (ii) a decrease in revenues of $8.1 </w:t>
      </w:r>
      <w:r>
        <w:rPr>
          <w:sz w:val="20"/>
          <w:szCs w:val="20"/>
        </w:rPr>
        <w:t>million due to properties sold during 2020 and 2019, partially offset by (iii) acquisitions, tenant buyouts and net growth in the current portfolio, which provided incremental revenues for the three months ended June 30, 2020 of $4.7 million, as compared t</w:t>
      </w:r>
      <w:r>
        <w:rPr>
          <w:sz w:val="20"/>
          <w:szCs w:val="20"/>
        </w:rPr>
        <w:t>o the corresponding period in 2019 and (iv) the completion of certain redevelopment and development projects included in the Company’s Signature Series™, which provided incremental revenues for the three months ended June 30, 2020 of $3.6 million, as compa</w:t>
      </w:r>
      <w:r>
        <w:rPr>
          <w:sz w:val="20"/>
          <w:szCs w:val="20"/>
        </w:rPr>
        <w:t>red to the corresponding period in 2019.</w:t>
      </w:r>
    </w:p>
    <w:p w14:paraId="465081D9" w14:textId="77777777" w:rsidR="00000000" w:rsidRDefault="00322B34">
      <w:pPr>
        <w:pStyle w:val="a3"/>
        <w:spacing w:before="0" w:beforeAutospacing="0" w:after="0" w:afterAutospacing="0"/>
        <w:ind w:firstLine="360"/>
        <w:jc w:val="both"/>
        <w:rPr>
          <w:sz w:val="20"/>
          <w:szCs w:val="20"/>
        </w:rPr>
      </w:pPr>
      <w:r>
        <w:rPr>
          <w:sz w:val="20"/>
          <w:szCs w:val="20"/>
        </w:rPr>
        <w:t> </w:t>
      </w:r>
    </w:p>
    <w:p w14:paraId="1992305C" w14:textId="77777777" w:rsidR="00000000" w:rsidRDefault="00322B34">
      <w:pPr>
        <w:jc w:val="center"/>
        <w:divId w:val="132793537"/>
        <w:rPr>
          <w:rFonts w:eastAsia="Times New Roman"/>
          <w:sz w:val="20"/>
          <w:szCs w:val="20"/>
        </w:rPr>
      </w:pPr>
      <w:r>
        <w:rPr>
          <w:rFonts w:eastAsia="Times New Roman"/>
          <w:sz w:val="20"/>
          <w:szCs w:val="20"/>
        </w:rPr>
        <w:t xml:space="preserve">23 </w:t>
      </w:r>
    </w:p>
    <w:p w14:paraId="1855FAB0" w14:textId="77777777" w:rsidR="00000000" w:rsidRDefault="00322B34">
      <w:pPr>
        <w:divId w:val="2050060100"/>
        <w:rPr>
          <w:rFonts w:eastAsia="Times New Roman"/>
          <w:sz w:val="20"/>
          <w:szCs w:val="20"/>
        </w:rPr>
      </w:pPr>
      <w:r>
        <w:rPr>
          <w:rFonts w:eastAsia="Times New Roman"/>
          <w:sz w:val="20"/>
          <w:szCs w:val="20"/>
        </w:rPr>
        <w:pict w14:anchorId="447AAD48">
          <v:rect id="_x0000_i1051" style="width:0;height:1.5pt" o:hralign="center" o:hrstd="t" o:hr="t" fillcolor="#a0a0a0" stroked="f"/>
        </w:pict>
      </w:r>
    </w:p>
    <w:p w14:paraId="357EED6E" w14:textId="77777777" w:rsidR="00000000" w:rsidRDefault="00322B34">
      <w:pPr>
        <w:divId w:val="78905599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1677757" w14:textId="77777777" w:rsidR="00000000" w:rsidRDefault="00322B34">
      <w:pPr>
        <w:pStyle w:val="a3"/>
        <w:spacing w:before="0" w:beforeAutospacing="0" w:after="0" w:afterAutospacing="0"/>
        <w:rPr>
          <w:sz w:val="20"/>
          <w:szCs w:val="20"/>
        </w:rPr>
      </w:pPr>
      <w:r>
        <w:rPr>
          <w:sz w:val="20"/>
          <w:szCs w:val="20"/>
        </w:rPr>
        <w:t> </w:t>
      </w:r>
    </w:p>
    <w:p w14:paraId="595A3166" w14:textId="77777777" w:rsidR="00000000" w:rsidRDefault="00322B34">
      <w:pPr>
        <w:pStyle w:val="a3"/>
        <w:spacing w:before="0" w:beforeAutospacing="0" w:after="0" w:afterAutospacing="0"/>
        <w:ind w:firstLine="360"/>
        <w:jc w:val="both"/>
        <w:rPr>
          <w:sz w:val="20"/>
          <w:szCs w:val="20"/>
        </w:rPr>
      </w:pPr>
      <w:r>
        <w:rPr>
          <w:sz w:val="20"/>
          <w:szCs w:val="20"/>
        </w:rPr>
        <w:t>The decrease in Revenues from rental properties, net of $49.4 million for the six months ended June 30, 2020, as compared to the corresponding period in 2019, is primarily from (i) an increase in adjustments associated with potentially uncollectible revenu</w:t>
      </w:r>
      <w:r>
        <w:rPr>
          <w:sz w:val="20"/>
          <w:szCs w:val="20"/>
        </w:rPr>
        <w:t>es and disputed amounts, including straight-line rent receivables, primarily due to the COVID-19 pandemic, for the six months ended June 30, 2020 of $49.2 million, as compared to the corresponding period in 2019 and (ii) a decrease in revenues of $21.2 mil</w:t>
      </w:r>
      <w:r>
        <w:rPr>
          <w:sz w:val="20"/>
          <w:szCs w:val="20"/>
        </w:rPr>
        <w:t>lion due to properties sold during 2020 and 2019, partially offset by (iii) acquisitions, tenant buyouts and net growth in the current portfolio, which provided incremental revenues for the six months ended June 30, 2020 of $12.7 million, as compared to th</w:t>
      </w:r>
      <w:r>
        <w:rPr>
          <w:sz w:val="20"/>
          <w:szCs w:val="20"/>
        </w:rPr>
        <w:t>e corresponding period in 2019 and (iv) the completion of certain redevelopment and development projects included in the Company’s Signature Series™, which provided incremental revenues for the six months ended June 30, 2020 of $8.3 million, as compared to</w:t>
      </w:r>
      <w:r>
        <w:rPr>
          <w:sz w:val="20"/>
          <w:szCs w:val="20"/>
        </w:rPr>
        <w:t xml:space="preserve"> the corresponding period in 2019.</w:t>
      </w:r>
    </w:p>
    <w:p w14:paraId="74260C5D" w14:textId="77777777" w:rsidR="00000000" w:rsidRDefault="00322B34">
      <w:pPr>
        <w:pStyle w:val="a3"/>
        <w:spacing w:before="0" w:beforeAutospacing="0" w:after="0" w:afterAutospacing="0"/>
        <w:ind w:firstLine="360"/>
        <w:jc w:val="both"/>
        <w:rPr>
          <w:sz w:val="20"/>
          <w:szCs w:val="20"/>
        </w:rPr>
      </w:pPr>
      <w:r>
        <w:rPr>
          <w:sz w:val="20"/>
          <w:szCs w:val="20"/>
        </w:rPr>
        <w:t> </w:t>
      </w:r>
    </w:p>
    <w:p w14:paraId="72B544B7" w14:textId="77777777" w:rsidR="00000000" w:rsidRDefault="00322B34">
      <w:pPr>
        <w:pStyle w:val="a3"/>
        <w:spacing w:before="0" w:beforeAutospacing="0" w:after="0" w:afterAutospacing="0"/>
        <w:jc w:val="both"/>
        <w:rPr>
          <w:sz w:val="20"/>
          <w:szCs w:val="20"/>
        </w:rPr>
      </w:pPr>
      <w:r>
        <w:rPr>
          <w:i/>
          <w:iCs/>
          <w:sz w:val="20"/>
          <w:szCs w:val="20"/>
        </w:rPr>
        <w:t xml:space="preserve">Operating and maintenance – </w:t>
      </w:r>
    </w:p>
    <w:p w14:paraId="2F1A2747" w14:textId="77777777" w:rsidR="00000000" w:rsidRDefault="00322B34">
      <w:pPr>
        <w:pStyle w:val="a3"/>
        <w:spacing w:before="0" w:beforeAutospacing="0" w:after="0" w:afterAutospacing="0"/>
        <w:ind w:firstLine="360"/>
        <w:jc w:val="both"/>
        <w:rPr>
          <w:sz w:val="20"/>
          <w:szCs w:val="20"/>
        </w:rPr>
      </w:pPr>
      <w:r>
        <w:rPr>
          <w:sz w:val="20"/>
          <w:szCs w:val="20"/>
        </w:rPr>
        <w:t> </w:t>
      </w:r>
    </w:p>
    <w:p w14:paraId="19619FF1" w14:textId="77777777" w:rsidR="00000000" w:rsidRDefault="00322B34">
      <w:pPr>
        <w:pStyle w:val="a3"/>
        <w:spacing w:before="0" w:beforeAutospacing="0" w:after="0" w:afterAutospacing="0"/>
        <w:ind w:firstLine="360"/>
        <w:jc w:val="both"/>
        <w:rPr>
          <w:sz w:val="20"/>
          <w:szCs w:val="20"/>
        </w:rPr>
      </w:pPr>
      <w:r>
        <w:rPr>
          <w:sz w:val="20"/>
          <w:szCs w:val="20"/>
        </w:rPr>
        <w:t>The decrease in Operating and maintenance expense of $4.3 million for the three months ended June 30, 2020, as compared to the corresponding period in 2019, is primarily due to (i) a decre</w:t>
      </w:r>
      <w:r>
        <w:rPr>
          <w:sz w:val="20"/>
          <w:szCs w:val="20"/>
        </w:rPr>
        <w:t xml:space="preserve">ase in expenses of $1.4 million due to properties sold during 2020 and 2019, (ii) a reduction in snow removal costs of $1.2 million and (iii) a decrease in overall spending on properties primarily due to the COVID-19 pandemic during the three months ended </w:t>
      </w:r>
      <w:r>
        <w:rPr>
          <w:sz w:val="20"/>
          <w:szCs w:val="20"/>
        </w:rPr>
        <w:t>June 30, 2020, as compared to the corresponding period in 2019.</w:t>
      </w:r>
    </w:p>
    <w:p w14:paraId="5141AF86" w14:textId="77777777" w:rsidR="00000000" w:rsidRDefault="00322B34">
      <w:pPr>
        <w:pStyle w:val="a3"/>
        <w:spacing w:before="0" w:beforeAutospacing="0" w:after="0" w:afterAutospacing="0"/>
        <w:jc w:val="both"/>
        <w:rPr>
          <w:sz w:val="20"/>
          <w:szCs w:val="20"/>
        </w:rPr>
      </w:pPr>
      <w:r>
        <w:rPr>
          <w:sz w:val="20"/>
          <w:szCs w:val="20"/>
        </w:rPr>
        <w:t> </w:t>
      </w:r>
    </w:p>
    <w:p w14:paraId="5FF792C0" w14:textId="77777777" w:rsidR="00000000" w:rsidRDefault="00322B34">
      <w:pPr>
        <w:pStyle w:val="a3"/>
        <w:spacing w:before="0" w:beforeAutospacing="0" w:after="0" w:afterAutospacing="0"/>
        <w:jc w:val="both"/>
        <w:rPr>
          <w:sz w:val="20"/>
          <w:szCs w:val="20"/>
        </w:rPr>
      </w:pPr>
      <w:r>
        <w:rPr>
          <w:i/>
          <w:iCs/>
          <w:sz w:val="20"/>
          <w:szCs w:val="20"/>
        </w:rPr>
        <w:t xml:space="preserve">General and administrative – </w:t>
      </w:r>
    </w:p>
    <w:p w14:paraId="37C5BF3E" w14:textId="77777777" w:rsidR="00000000" w:rsidRDefault="00322B34">
      <w:pPr>
        <w:pStyle w:val="a3"/>
        <w:spacing w:before="0" w:beforeAutospacing="0" w:after="0" w:afterAutospacing="0"/>
        <w:ind w:firstLine="360"/>
        <w:jc w:val="both"/>
        <w:rPr>
          <w:sz w:val="20"/>
          <w:szCs w:val="20"/>
        </w:rPr>
      </w:pPr>
      <w:r>
        <w:rPr>
          <w:sz w:val="20"/>
          <w:szCs w:val="20"/>
        </w:rPr>
        <w:t> </w:t>
      </w:r>
    </w:p>
    <w:p w14:paraId="38469227" w14:textId="77777777" w:rsidR="00000000" w:rsidRDefault="00322B34">
      <w:pPr>
        <w:pStyle w:val="a3"/>
        <w:spacing w:before="0" w:beforeAutospacing="0" w:after="0" w:afterAutospacing="0"/>
        <w:ind w:firstLine="360"/>
        <w:jc w:val="both"/>
        <w:rPr>
          <w:sz w:val="20"/>
          <w:szCs w:val="20"/>
        </w:rPr>
      </w:pPr>
      <w:r>
        <w:rPr>
          <w:sz w:val="20"/>
          <w:szCs w:val="20"/>
        </w:rPr>
        <w:t>The decrease in General and administrative expense of $4.9 million for the six months ended June 30, 2020, as compared to the corresponding period in 2019, is</w:t>
      </w:r>
      <w:r>
        <w:rPr>
          <w:sz w:val="20"/>
          <w:szCs w:val="20"/>
        </w:rPr>
        <w:t xml:space="preserve"> primarily due to (i) a reduction of  $1.9 million primarily due to the fluctuations in value of various directors’ deferred stock during the six months ended June 30, 2020, as compared to the corresponding period in 2019, (ii) a reduction in severance exp</w:t>
      </w:r>
      <w:r>
        <w:rPr>
          <w:sz w:val="20"/>
          <w:szCs w:val="20"/>
        </w:rPr>
        <w:t>ense for the six months ended June 30, 2020 of $0.9 million, as compared to the corresponding period in 2019, (iii) a reduction in travel and entertainment costs of $0.8 million due to less business related trips during the COVID-19 pandemic and (iv) a red</w:t>
      </w:r>
      <w:r>
        <w:rPr>
          <w:sz w:val="20"/>
          <w:szCs w:val="20"/>
        </w:rPr>
        <w:t>uction in office rent expense of $0.8 million, due to the relocation of the Company’s headquarters to Company-owned office space, for the six months ended June 30, 2020, as compared to the corresponding period in 2019.</w:t>
      </w:r>
    </w:p>
    <w:p w14:paraId="0661B9D7" w14:textId="77777777" w:rsidR="00000000" w:rsidRDefault="00322B34">
      <w:pPr>
        <w:pStyle w:val="a3"/>
        <w:spacing w:before="0" w:beforeAutospacing="0" w:after="0" w:afterAutospacing="0"/>
        <w:rPr>
          <w:sz w:val="20"/>
          <w:szCs w:val="20"/>
        </w:rPr>
      </w:pPr>
      <w:r>
        <w:rPr>
          <w:sz w:val="20"/>
          <w:szCs w:val="20"/>
        </w:rPr>
        <w:t> </w:t>
      </w:r>
    </w:p>
    <w:p w14:paraId="6E230E25" w14:textId="77777777" w:rsidR="00000000" w:rsidRDefault="00322B34">
      <w:pPr>
        <w:pStyle w:val="a3"/>
        <w:spacing w:before="0" w:beforeAutospacing="0" w:after="0" w:afterAutospacing="0"/>
        <w:jc w:val="both"/>
        <w:rPr>
          <w:sz w:val="20"/>
          <w:szCs w:val="20"/>
        </w:rPr>
      </w:pPr>
      <w:r>
        <w:rPr>
          <w:i/>
          <w:iCs/>
          <w:sz w:val="20"/>
          <w:szCs w:val="20"/>
        </w:rPr>
        <w:t xml:space="preserve">Impairment charges – </w:t>
      </w:r>
    </w:p>
    <w:p w14:paraId="51E2A59D" w14:textId="77777777" w:rsidR="00000000" w:rsidRDefault="00322B34">
      <w:pPr>
        <w:pStyle w:val="a3"/>
        <w:spacing w:before="0" w:beforeAutospacing="0" w:after="0" w:afterAutospacing="0"/>
        <w:ind w:firstLine="360"/>
        <w:jc w:val="both"/>
        <w:rPr>
          <w:sz w:val="20"/>
          <w:szCs w:val="20"/>
        </w:rPr>
      </w:pPr>
      <w:r>
        <w:rPr>
          <w:i/>
          <w:iCs/>
          <w:sz w:val="20"/>
          <w:szCs w:val="20"/>
        </w:rPr>
        <w:t> </w:t>
      </w:r>
    </w:p>
    <w:p w14:paraId="7EF861C1" w14:textId="77777777" w:rsidR="00000000" w:rsidRDefault="00322B34">
      <w:pPr>
        <w:pStyle w:val="a3"/>
        <w:spacing w:before="0" w:beforeAutospacing="0" w:after="0" w:afterAutospacing="0"/>
        <w:ind w:firstLine="360"/>
        <w:jc w:val="both"/>
        <w:rPr>
          <w:sz w:val="20"/>
          <w:szCs w:val="20"/>
        </w:rPr>
      </w:pPr>
      <w:r>
        <w:rPr>
          <w:sz w:val="20"/>
          <w:szCs w:val="20"/>
        </w:rPr>
        <w:t xml:space="preserve">During the </w:t>
      </w:r>
      <w:r>
        <w:rPr>
          <w:sz w:val="20"/>
          <w:szCs w:val="20"/>
        </w:rPr>
        <w:t>six months ended June 30, 2020 and 2019, the Company recognized impairment charges related to adjustments to property carrying values of $3.1 million and $21.6 million, respectively, for which the Company’s estimated fair values were primarily based upon (</w:t>
      </w:r>
      <w:r>
        <w:rPr>
          <w:sz w:val="20"/>
          <w:szCs w:val="20"/>
        </w:rPr>
        <w:t>i) signed contracts or letters of intent from third party offers or (ii) discounted cash flow models. These adjustments to property carrying values were recognized in connection with the Company’s efforts to market certain properties and management’s asses</w:t>
      </w:r>
      <w:r>
        <w:rPr>
          <w:sz w:val="20"/>
          <w:szCs w:val="20"/>
        </w:rPr>
        <w:t>sment as to the likelihood and timing of such potential transactions. Certain of the calculation to determine fair values utilized unobservable inputs and, as such, were classified as Level 3 of the fair value hierarchy.</w:t>
      </w:r>
    </w:p>
    <w:p w14:paraId="19CB34A2" w14:textId="77777777" w:rsidR="00000000" w:rsidRDefault="00322B34">
      <w:pPr>
        <w:pStyle w:val="a3"/>
        <w:spacing w:before="0" w:beforeAutospacing="0" w:after="0" w:afterAutospacing="0"/>
        <w:ind w:firstLine="360"/>
        <w:jc w:val="both"/>
        <w:rPr>
          <w:sz w:val="20"/>
          <w:szCs w:val="20"/>
        </w:rPr>
      </w:pPr>
      <w:r>
        <w:rPr>
          <w:sz w:val="20"/>
          <w:szCs w:val="20"/>
        </w:rPr>
        <w:t> </w:t>
      </w:r>
    </w:p>
    <w:p w14:paraId="23AEE6B9" w14:textId="77777777" w:rsidR="00000000" w:rsidRDefault="00322B34">
      <w:pPr>
        <w:pStyle w:val="a3"/>
        <w:spacing w:before="0" w:beforeAutospacing="0" w:after="0" w:afterAutospacing="0"/>
        <w:jc w:val="both"/>
        <w:rPr>
          <w:sz w:val="20"/>
          <w:szCs w:val="20"/>
        </w:rPr>
      </w:pPr>
      <w:r>
        <w:rPr>
          <w:i/>
          <w:iCs/>
          <w:sz w:val="20"/>
          <w:szCs w:val="20"/>
        </w:rPr>
        <w:t xml:space="preserve">Depreciation and amortization – </w:t>
      </w:r>
    </w:p>
    <w:p w14:paraId="07D5FFB5" w14:textId="77777777" w:rsidR="00000000" w:rsidRDefault="00322B34">
      <w:pPr>
        <w:pStyle w:val="a3"/>
        <w:spacing w:before="0" w:beforeAutospacing="0" w:after="0" w:afterAutospacing="0"/>
        <w:ind w:firstLine="360"/>
        <w:jc w:val="both"/>
        <w:rPr>
          <w:sz w:val="20"/>
          <w:szCs w:val="20"/>
        </w:rPr>
      </w:pPr>
      <w:r>
        <w:rPr>
          <w:sz w:val="20"/>
          <w:szCs w:val="20"/>
        </w:rPr>
        <w:t> </w:t>
      </w:r>
    </w:p>
    <w:p w14:paraId="37BF7495" w14:textId="77777777" w:rsidR="00000000" w:rsidRDefault="00322B34">
      <w:pPr>
        <w:pStyle w:val="a3"/>
        <w:spacing w:before="0" w:beforeAutospacing="0" w:after="0" w:afterAutospacing="0"/>
        <w:ind w:firstLine="360"/>
        <w:jc w:val="both"/>
        <w:rPr>
          <w:sz w:val="20"/>
          <w:szCs w:val="20"/>
        </w:rPr>
      </w:pPr>
      <w:r>
        <w:rPr>
          <w:sz w:val="20"/>
          <w:szCs w:val="20"/>
        </w:rPr>
        <w:t>The increase in Depreciation and amortization of $4.6 million for the three months ended June 30, 2020, as compared to the corresponding period in 2019, is primarily due to (i) an increase of $5.6 million and write-offs o</w:t>
      </w:r>
      <w:r>
        <w:rPr>
          <w:sz w:val="20"/>
          <w:szCs w:val="20"/>
        </w:rPr>
        <w:t>f depreciable assets due to tenant vacates during the three months ended June 30, 2020, as compared to the corresponding period in 2019 and (ii) an increase of $1.1 million related to the completion of certain development and redevelopment projects that we</w:t>
      </w:r>
      <w:r>
        <w:rPr>
          <w:sz w:val="20"/>
          <w:szCs w:val="20"/>
        </w:rPr>
        <w:t>re placed into service during 2020 and 2019, partially offset by (iii) a decrease of $2.1 million resulting from property dispositions in 2020 and 2019.</w:t>
      </w:r>
    </w:p>
    <w:p w14:paraId="46E849F3" w14:textId="77777777" w:rsidR="00000000" w:rsidRDefault="00322B34">
      <w:pPr>
        <w:pStyle w:val="a3"/>
        <w:spacing w:before="0" w:beforeAutospacing="0" w:after="0" w:afterAutospacing="0"/>
        <w:jc w:val="both"/>
        <w:rPr>
          <w:sz w:val="20"/>
          <w:szCs w:val="20"/>
        </w:rPr>
      </w:pPr>
      <w:r>
        <w:rPr>
          <w:i/>
          <w:iCs/>
          <w:sz w:val="20"/>
          <w:szCs w:val="20"/>
        </w:rPr>
        <w:t> </w:t>
      </w:r>
    </w:p>
    <w:p w14:paraId="5869D69A" w14:textId="77777777" w:rsidR="00000000" w:rsidRDefault="00322B34">
      <w:pPr>
        <w:pStyle w:val="a3"/>
        <w:spacing w:before="0" w:beforeAutospacing="0" w:after="0" w:afterAutospacing="0"/>
        <w:jc w:val="both"/>
        <w:rPr>
          <w:sz w:val="20"/>
          <w:szCs w:val="20"/>
        </w:rPr>
      </w:pPr>
      <w:r>
        <w:rPr>
          <w:i/>
          <w:iCs/>
          <w:sz w:val="20"/>
          <w:szCs w:val="20"/>
        </w:rPr>
        <w:t xml:space="preserve">Gain on sale of properties – </w:t>
      </w:r>
    </w:p>
    <w:p w14:paraId="6F5ABE4A" w14:textId="77777777" w:rsidR="00000000" w:rsidRDefault="00322B34">
      <w:pPr>
        <w:pStyle w:val="a3"/>
        <w:spacing w:before="0" w:beforeAutospacing="0" w:after="0" w:afterAutospacing="0"/>
        <w:ind w:firstLine="360"/>
        <w:jc w:val="both"/>
        <w:rPr>
          <w:sz w:val="20"/>
          <w:szCs w:val="20"/>
        </w:rPr>
      </w:pPr>
      <w:r>
        <w:rPr>
          <w:i/>
          <w:iCs/>
          <w:sz w:val="20"/>
          <w:szCs w:val="20"/>
        </w:rPr>
        <w:t> </w:t>
      </w:r>
    </w:p>
    <w:p w14:paraId="07430FC0" w14:textId="77777777" w:rsidR="00000000" w:rsidRDefault="00322B34">
      <w:pPr>
        <w:pStyle w:val="a3"/>
        <w:spacing w:before="0" w:beforeAutospacing="0" w:after="0" w:afterAutospacing="0"/>
        <w:ind w:firstLine="360"/>
        <w:jc w:val="both"/>
        <w:rPr>
          <w:sz w:val="20"/>
          <w:szCs w:val="20"/>
        </w:rPr>
      </w:pPr>
      <w:r>
        <w:rPr>
          <w:sz w:val="20"/>
          <w:szCs w:val="20"/>
        </w:rPr>
        <w:t>During the six months ended June 30, 2020, the Company disposed of th</w:t>
      </w:r>
      <w:r>
        <w:rPr>
          <w:sz w:val="20"/>
          <w:szCs w:val="20"/>
        </w:rPr>
        <w:t>ree operating properties, in separate transactions, for an aggregate sales price of $17.2 million, which resulted in aggregate gains of $5.7 million. During the six months ended June 30, 2019, the Company disposed of seven operating properties and five out</w:t>
      </w:r>
      <w:r>
        <w:rPr>
          <w:sz w:val="20"/>
          <w:szCs w:val="20"/>
        </w:rPr>
        <w:t>-parcels, in separate transactions, for an aggregate sales price of $110.1 million. These transactions resulted in aggregate gains of $38.4 million.</w:t>
      </w:r>
    </w:p>
    <w:p w14:paraId="32BFFDC3" w14:textId="77777777" w:rsidR="00000000" w:rsidRDefault="00322B34">
      <w:pPr>
        <w:pStyle w:val="a3"/>
        <w:spacing w:before="0" w:beforeAutospacing="0" w:after="0" w:afterAutospacing="0"/>
        <w:ind w:firstLine="360"/>
        <w:jc w:val="both"/>
        <w:rPr>
          <w:sz w:val="20"/>
          <w:szCs w:val="20"/>
        </w:rPr>
      </w:pPr>
      <w:r>
        <w:rPr>
          <w:sz w:val="20"/>
          <w:szCs w:val="20"/>
        </w:rPr>
        <w:t> </w:t>
      </w:r>
    </w:p>
    <w:p w14:paraId="0A76E07C" w14:textId="77777777" w:rsidR="00000000" w:rsidRDefault="00322B34">
      <w:pPr>
        <w:pStyle w:val="a3"/>
        <w:spacing w:before="0" w:beforeAutospacing="0" w:after="0" w:afterAutospacing="0"/>
        <w:jc w:val="both"/>
        <w:rPr>
          <w:sz w:val="20"/>
          <w:szCs w:val="20"/>
        </w:rPr>
      </w:pPr>
      <w:r>
        <w:rPr>
          <w:i/>
          <w:iCs/>
          <w:sz w:val="20"/>
          <w:szCs w:val="20"/>
        </w:rPr>
        <w:t xml:space="preserve">Gain on marketable securities, net – </w:t>
      </w:r>
    </w:p>
    <w:p w14:paraId="0D8EA2D5" w14:textId="77777777" w:rsidR="00000000" w:rsidRDefault="00322B34">
      <w:pPr>
        <w:pStyle w:val="a3"/>
        <w:spacing w:before="0" w:beforeAutospacing="0" w:after="0" w:afterAutospacing="0"/>
        <w:jc w:val="both"/>
        <w:rPr>
          <w:sz w:val="20"/>
          <w:szCs w:val="20"/>
        </w:rPr>
      </w:pPr>
      <w:r>
        <w:rPr>
          <w:i/>
          <w:iCs/>
          <w:sz w:val="20"/>
          <w:szCs w:val="20"/>
        </w:rPr>
        <w:t> </w:t>
      </w:r>
    </w:p>
    <w:p w14:paraId="3409782E" w14:textId="77777777" w:rsidR="00000000" w:rsidRDefault="00322B34">
      <w:pPr>
        <w:pStyle w:val="a3"/>
        <w:spacing w:before="0" w:beforeAutospacing="0" w:after="0" w:afterAutospacing="0"/>
        <w:ind w:firstLine="360"/>
        <w:jc w:val="both"/>
        <w:rPr>
          <w:sz w:val="20"/>
          <w:szCs w:val="20"/>
        </w:rPr>
      </w:pPr>
      <w:r>
        <w:rPr>
          <w:sz w:val="20"/>
          <w:szCs w:val="20"/>
        </w:rPr>
        <w:t>The increase in Gain on marketable securities, net of $526.2 mill</w:t>
      </w:r>
      <w:r>
        <w:rPr>
          <w:sz w:val="20"/>
          <w:szCs w:val="20"/>
        </w:rPr>
        <w:t>ion and $520.0 million for the three and six months ended June 30, 2020, respectively, as compared to the corresponding periods in 2019, is primarily the result of the mark-to-market of the Company’s Albertsons Companies, Inc. (“ACI”) investment due to the</w:t>
      </w:r>
      <w:r>
        <w:rPr>
          <w:sz w:val="20"/>
          <w:szCs w:val="20"/>
        </w:rPr>
        <w:t>ir initial public offering during June 2020. This offering resulted in the Company changing the classification of its ACI investment from a cost method investment to a marketable security.</w:t>
      </w:r>
    </w:p>
    <w:p w14:paraId="6A545C64" w14:textId="77777777" w:rsidR="00000000" w:rsidRDefault="00322B34">
      <w:pPr>
        <w:pStyle w:val="a3"/>
        <w:spacing w:before="0" w:beforeAutospacing="0" w:after="0" w:afterAutospacing="0"/>
        <w:ind w:firstLine="360"/>
        <w:jc w:val="both"/>
        <w:rPr>
          <w:sz w:val="20"/>
          <w:szCs w:val="20"/>
        </w:rPr>
      </w:pPr>
      <w:r>
        <w:rPr>
          <w:sz w:val="20"/>
          <w:szCs w:val="20"/>
        </w:rPr>
        <w:t> </w:t>
      </w:r>
    </w:p>
    <w:p w14:paraId="416966CF" w14:textId="77777777" w:rsidR="00000000" w:rsidRDefault="00322B34">
      <w:pPr>
        <w:jc w:val="center"/>
        <w:divId w:val="705449904"/>
        <w:rPr>
          <w:rFonts w:eastAsia="Times New Roman"/>
          <w:sz w:val="20"/>
          <w:szCs w:val="20"/>
        </w:rPr>
      </w:pPr>
      <w:r>
        <w:rPr>
          <w:rFonts w:eastAsia="Times New Roman"/>
          <w:sz w:val="20"/>
          <w:szCs w:val="20"/>
        </w:rPr>
        <w:t xml:space="preserve">24 </w:t>
      </w:r>
    </w:p>
    <w:p w14:paraId="0399DE0E" w14:textId="77777777" w:rsidR="00000000" w:rsidRDefault="00322B34">
      <w:pPr>
        <w:divId w:val="2088646663"/>
        <w:rPr>
          <w:rFonts w:eastAsia="Times New Roman"/>
          <w:sz w:val="20"/>
          <w:szCs w:val="20"/>
        </w:rPr>
      </w:pPr>
      <w:r>
        <w:rPr>
          <w:rFonts w:eastAsia="Times New Roman"/>
          <w:sz w:val="20"/>
          <w:szCs w:val="20"/>
        </w:rPr>
        <w:pict w14:anchorId="31568E4E">
          <v:rect id="_x0000_i1052" style="width:0;height:1.5pt" o:hralign="center" o:hrstd="t" o:hr="t" fillcolor="#a0a0a0" stroked="f"/>
        </w:pict>
      </w:r>
    </w:p>
    <w:p w14:paraId="40E8842C" w14:textId="77777777" w:rsidR="00000000" w:rsidRDefault="00322B34">
      <w:pPr>
        <w:divId w:val="9572211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3235198" w14:textId="77777777" w:rsidR="00000000" w:rsidRDefault="00322B34">
      <w:pPr>
        <w:pStyle w:val="a3"/>
        <w:spacing w:before="0" w:beforeAutospacing="0" w:after="0" w:afterAutospacing="0"/>
        <w:rPr>
          <w:sz w:val="20"/>
          <w:szCs w:val="20"/>
        </w:rPr>
      </w:pPr>
      <w:r>
        <w:rPr>
          <w:sz w:val="20"/>
          <w:szCs w:val="20"/>
        </w:rPr>
        <w:t> </w:t>
      </w:r>
    </w:p>
    <w:p w14:paraId="6CFE043D" w14:textId="77777777" w:rsidR="00000000" w:rsidRDefault="00322B34">
      <w:pPr>
        <w:pStyle w:val="a3"/>
        <w:spacing w:before="0" w:beforeAutospacing="0" w:after="0" w:afterAutospacing="0"/>
        <w:jc w:val="both"/>
        <w:rPr>
          <w:sz w:val="20"/>
          <w:szCs w:val="20"/>
        </w:rPr>
      </w:pPr>
      <w:r>
        <w:rPr>
          <w:i/>
          <w:iCs/>
          <w:sz w:val="20"/>
          <w:szCs w:val="20"/>
        </w:rPr>
        <w:t xml:space="preserve">Gain on sale of cost method investment – </w:t>
      </w:r>
    </w:p>
    <w:p w14:paraId="67F59810" w14:textId="77777777" w:rsidR="00000000" w:rsidRDefault="00322B34">
      <w:pPr>
        <w:pStyle w:val="a3"/>
        <w:spacing w:before="0" w:beforeAutospacing="0" w:after="0" w:afterAutospacing="0"/>
        <w:jc w:val="both"/>
        <w:rPr>
          <w:sz w:val="20"/>
          <w:szCs w:val="20"/>
        </w:rPr>
      </w:pPr>
      <w:r>
        <w:rPr>
          <w:i/>
          <w:iCs/>
          <w:sz w:val="20"/>
          <w:szCs w:val="20"/>
        </w:rPr>
        <w:t> </w:t>
      </w:r>
    </w:p>
    <w:p w14:paraId="53D77A0C" w14:textId="77777777" w:rsidR="00000000" w:rsidRDefault="00322B34">
      <w:pPr>
        <w:pStyle w:val="a3"/>
        <w:spacing w:before="0" w:beforeAutospacing="0" w:after="0" w:afterAutospacing="0"/>
        <w:ind w:firstLine="360"/>
        <w:jc w:val="both"/>
        <w:rPr>
          <w:sz w:val="20"/>
          <w:szCs w:val="20"/>
        </w:rPr>
      </w:pPr>
      <w:r>
        <w:rPr>
          <w:sz w:val="20"/>
          <w:szCs w:val="20"/>
        </w:rPr>
        <w:t>In June 2020, the Company recognized an aggregate gain of $190.8 million related to (i) a $131.6 million gain resulting from ACI’s partial repurchase of its common stock from existing share</w:t>
      </w:r>
      <w:r>
        <w:rPr>
          <w:sz w:val="20"/>
          <w:szCs w:val="20"/>
        </w:rPr>
        <w:t>holders in conjunction with its issuance of convertible preferred stock and (ii) a gain of $59.2 million in connection with the partial sale of the Company’s investment in ACI through ACI’s initial public offering.</w:t>
      </w:r>
    </w:p>
    <w:p w14:paraId="0C720F34" w14:textId="77777777" w:rsidR="00000000" w:rsidRDefault="00322B34">
      <w:pPr>
        <w:pStyle w:val="a3"/>
        <w:spacing w:before="0" w:beforeAutospacing="0" w:after="0" w:afterAutospacing="0"/>
        <w:rPr>
          <w:sz w:val="20"/>
          <w:szCs w:val="20"/>
        </w:rPr>
      </w:pPr>
      <w:r>
        <w:rPr>
          <w:sz w:val="20"/>
          <w:szCs w:val="20"/>
        </w:rPr>
        <w:t> </w:t>
      </w:r>
    </w:p>
    <w:p w14:paraId="0EBE0680" w14:textId="77777777" w:rsidR="00000000" w:rsidRDefault="00322B34">
      <w:pPr>
        <w:pStyle w:val="a3"/>
        <w:spacing w:before="0" w:beforeAutospacing="0" w:after="0" w:afterAutospacing="0"/>
        <w:jc w:val="both"/>
        <w:rPr>
          <w:sz w:val="20"/>
          <w:szCs w:val="20"/>
        </w:rPr>
      </w:pPr>
      <w:r>
        <w:rPr>
          <w:i/>
          <w:iCs/>
          <w:sz w:val="20"/>
          <w:szCs w:val="20"/>
        </w:rPr>
        <w:t xml:space="preserve">Interest expense – </w:t>
      </w:r>
    </w:p>
    <w:p w14:paraId="2B0C105A" w14:textId="77777777" w:rsidR="00000000" w:rsidRDefault="00322B34">
      <w:pPr>
        <w:pStyle w:val="a3"/>
        <w:spacing w:before="0" w:beforeAutospacing="0" w:after="0" w:afterAutospacing="0"/>
        <w:ind w:firstLine="360"/>
        <w:jc w:val="both"/>
        <w:rPr>
          <w:sz w:val="20"/>
          <w:szCs w:val="20"/>
        </w:rPr>
      </w:pPr>
      <w:r>
        <w:rPr>
          <w:i/>
          <w:iCs/>
          <w:sz w:val="20"/>
          <w:szCs w:val="20"/>
        </w:rPr>
        <w:t> </w:t>
      </w:r>
    </w:p>
    <w:p w14:paraId="08DC1AD9" w14:textId="77777777" w:rsidR="00000000" w:rsidRDefault="00322B34">
      <w:pPr>
        <w:pStyle w:val="a3"/>
        <w:spacing w:before="0" w:beforeAutospacing="0" w:after="0" w:afterAutospacing="0"/>
        <w:ind w:firstLine="360"/>
        <w:jc w:val="both"/>
        <w:rPr>
          <w:sz w:val="20"/>
          <w:szCs w:val="20"/>
        </w:rPr>
      </w:pPr>
      <w:r>
        <w:rPr>
          <w:sz w:val="20"/>
          <w:szCs w:val="20"/>
        </w:rPr>
        <w:t>The increase in I</w:t>
      </w:r>
      <w:r>
        <w:rPr>
          <w:sz w:val="20"/>
          <w:szCs w:val="20"/>
        </w:rPr>
        <w:t>nterest expense of $3.9 million and $5.6 million for the three and six months ended June 30, 2020, as compared to the corresponding periods in 2019, respectively, is primarily due to higher levels of borrowings during 2020, as compared to 2019.</w:t>
      </w:r>
    </w:p>
    <w:p w14:paraId="7EFEBB9D" w14:textId="77777777" w:rsidR="00000000" w:rsidRDefault="00322B34">
      <w:pPr>
        <w:pStyle w:val="a3"/>
        <w:spacing w:before="0" w:beforeAutospacing="0" w:after="0" w:afterAutospacing="0"/>
        <w:jc w:val="both"/>
        <w:rPr>
          <w:sz w:val="20"/>
          <w:szCs w:val="20"/>
        </w:rPr>
      </w:pPr>
      <w:r>
        <w:rPr>
          <w:sz w:val="20"/>
          <w:szCs w:val="20"/>
        </w:rPr>
        <w:t> </w:t>
      </w:r>
    </w:p>
    <w:p w14:paraId="0D706C80" w14:textId="77777777" w:rsidR="00000000" w:rsidRDefault="00322B34">
      <w:pPr>
        <w:pStyle w:val="a3"/>
        <w:spacing w:before="0" w:beforeAutospacing="0" w:after="0" w:afterAutospacing="0"/>
        <w:jc w:val="both"/>
        <w:rPr>
          <w:sz w:val="20"/>
          <w:szCs w:val="20"/>
        </w:rPr>
      </w:pPr>
      <w:r>
        <w:rPr>
          <w:i/>
          <w:iCs/>
          <w:sz w:val="20"/>
          <w:szCs w:val="20"/>
        </w:rPr>
        <w:t xml:space="preserve">Equity in income of joint ventures, net – </w:t>
      </w:r>
    </w:p>
    <w:p w14:paraId="2CFF24B9" w14:textId="77777777" w:rsidR="00000000" w:rsidRDefault="00322B34">
      <w:pPr>
        <w:pStyle w:val="a3"/>
        <w:spacing w:before="0" w:beforeAutospacing="0" w:after="0" w:afterAutospacing="0"/>
        <w:ind w:firstLine="360"/>
        <w:jc w:val="both"/>
        <w:rPr>
          <w:sz w:val="20"/>
          <w:szCs w:val="20"/>
        </w:rPr>
      </w:pPr>
      <w:r>
        <w:rPr>
          <w:i/>
          <w:iCs/>
          <w:sz w:val="20"/>
          <w:szCs w:val="20"/>
        </w:rPr>
        <w:t> </w:t>
      </w:r>
    </w:p>
    <w:p w14:paraId="533085DA" w14:textId="77777777" w:rsidR="00000000" w:rsidRDefault="00322B34">
      <w:pPr>
        <w:pStyle w:val="a3"/>
        <w:spacing w:before="0" w:beforeAutospacing="0" w:after="0" w:afterAutospacing="0"/>
        <w:ind w:firstLine="360"/>
        <w:jc w:val="both"/>
        <w:rPr>
          <w:sz w:val="20"/>
          <w:szCs w:val="20"/>
        </w:rPr>
      </w:pPr>
      <w:r>
        <w:rPr>
          <w:sz w:val="20"/>
          <w:szCs w:val="20"/>
        </w:rPr>
        <w:t xml:space="preserve">The decrease in Equity in income of joint ventures, net of $12.4 million for the three months ended June 30, 2020, as compared to the corresponding period in 2019, is primarily due to (i) the recognition of net </w:t>
      </w:r>
      <w:r>
        <w:rPr>
          <w:sz w:val="20"/>
          <w:szCs w:val="20"/>
        </w:rPr>
        <w:t>gains of $8.5 million resulting from the sale of properties within various joint venture investments during the three months ended June 30, 2019 and (ii) lower equity in income of $3.9 million within various joint venture investments during 2020, as compar</w:t>
      </w:r>
      <w:r>
        <w:rPr>
          <w:sz w:val="20"/>
          <w:szCs w:val="20"/>
        </w:rPr>
        <w:t>ed to the corresponding period in 2019, primarily resulting from the sale of properties within various joint venture investments during 2019 and an increase in adjustments of trade account receivable and straight-line receivable balances associated with th</w:t>
      </w:r>
      <w:r>
        <w:rPr>
          <w:sz w:val="20"/>
          <w:szCs w:val="20"/>
        </w:rPr>
        <w:t>e leases accounted for on a cash basis and allowances due to the impact from the COVID-19 pandemic during 2020.</w:t>
      </w:r>
    </w:p>
    <w:p w14:paraId="078BE254" w14:textId="77777777" w:rsidR="00000000" w:rsidRDefault="00322B34">
      <w:pPr>
        <w:pStyle w:val="a3"/>
        <w:spacing w:before="0" w:beforeAutospacing="0" w:after="0" w:afterAutospacing="0"/>
        <w:ind w:firstLine="360"/>
        <w:jc w:val="both"/>
        <w:rPr>
          <w:sz w:val="20"/>
          <w:szCs w:val="20"/>
        </w:rPr>
      </w:pPr>
      <w:r>
        <w:rPr>
          <w:sz w:val="20"/>
          <w:szCs w:val="20"/>
        </w:rPr>
        <w:t> </w:t>
      </w:r>
    </w:p>
    <w:p w14:paraId="1C7653BC" w14:textId="77777777" w:rsidR="00000000" w:rsidRDefault="00322B34">
      <w:pPr>
        <w:pStyle w:val="a3"/>
        <w:spacing w:before="0" w:beforeAutospacing="0" w:after="0" w:afterAutospacing="0"/>
        <w:ind w:firstLine="360"/>
        <w:jc w:val="both"/>
        <w:rPr>
          <w:sz w:val="20"/>
          <w:szCs w:val="20"/>
        </w:rPr>
      </w:pPr>
      <w:r>
        <w:rPr>
          <w:sz w:val="20"/>
          <w:szCs w:val="20"/>
        </w:rPr>
        <w:t>The decrease in Equity in income of joint ventures, net of $17.5 million for the six months ended June 30, 2020, as compared to the correspond</w:t>
      </w:r>
      <w:r>
        <w:rPr>
          <w:sz w:val="20"/>
          <w:szCs w:val="20"/>
        </w:rPr>
        <w:t>ing period in 2019, is primarily due to (i) the recognition of net gains of $13.2 million resulting from the sale of properties within various joint venture investments during the six months ended June 30, 2019 and (ii) lower equity in income of $5.3 milli</w:t>
      </w:r>
      <w:r>
        <w:rPr>
          <w:sz w:val="20"/>
          <w:szCs w:val="20"/>
        </w:rPr>
        <w:t>on within various joint venture investments during 2020, as compared to the corresponding period in 2019, primarily resulting from the sale of properties within various joint venture investments during 2019 and an increase in adjustments of trade account r</w:t>
      </w:r>
      <w:r>
        <w:rPr>
          <w:sz w:val="20"/>
          <w:szCs w:val="20"/>
        </w:rPr>
        <w:t>eceivable and straight-line receivable balances associated with the leases accounted for on a cash basis and allowances due to the impact from the COVID-19 pandemic during 2020, partially offset by (iii) a decrease in impairment charges of $1.0 million rec</w:t>
      </w:r>
      <w:r>
        <w:rPr>
          <w:sz w:val="20"/>
          <w:szCs w:val="20"/>
        </w:rPr>
        <w:t>ognized during 2020, as compared to the corresponding period in 2019.</w:t>
      </w:r>
    </w:p>
    <w:p w14:paraId="02771503" w14:textId="77777777" w:rsidR="00000000" w:rsidRDefault="00322B34">
      <w:pPr>
        <w:pStyle w:val="a3"/>
        <w:spacing w:before="0" w:beforeAutospacing="0" w:after="0" w:afterAutospacing="0"/>
        <w:ind w:firstLine="360"/>
        <w:jc w:val="both"/>
        <w:rPr>
          <w:sz w:val="20"/>
          <w:szCs w:val="20"/>
        </w:rPr>
      </w:pPr>
      <w:r>
        <w:rPr>
          <w:sz w:val="20"/>
          <w:szCs w:val="20"/>
        </w:rPr>
        <w:t> </w:t>
      </w:r>
    </w:p>
    <w:p w14:paraId="2D6DD308" w14:textId="77777777" w:rsidR="00000000" w:rsidRDefault="00322B34">
      <w:pPr>
        <w:pStyle w:val="a3"/>
        <w:spacing w:before="0" w:beforeAutospacing="0" w:after="0" w:afterAutospacing="0"/>
        <w:jc w:val="both"/>
        <w:rPr>
          <w:sz w:val="20"/>
          <w:szCs w:val="20"/>
        </w:rPr>
      </w:pPr>
      <w:r>
        <w:rPr>
          <w:i/>
          <w:iCs/>
          <w:sz w:val="20"/>
          <w:szCs w:val="20"/>
        </w:rPr>
        <w:t xml:space="preserve">Equity in income of other real estate investments, net – </w:t>
      </w:r>
    </w:p>
    <w:p w14:paraId="6945A390" w14:textId="77777777" w:rsidR="00000000" w:rsidRDefault="00322B34">
      <w:pPr>
        <w:pStyle w:val="a3"/>
        <w:spacing w:before="0" w:beforeAutospacing="0" w:after="0" w:afterAutospacing="0"/>
        <w:ind w:firstLine="360"/>
        <w:jc w:val="both"/>
        <w:rPr>
          <w:sz w:val="20"/>
          <w:szCs w:val="20"/>
        </w:rPr>
      </w:pPr>
      <w:r>
        <w:rPr>
          <w:i/>
          <w:iCs/>
          <w:sz w:val="20"/>
          <w:szCs w:val="20"/>
        </w:rPr>
        <w:t> </w:t>
      </w:r>
    </w:p>
    <w:p w14:paraId="2FA0AAFF" w14:textId="77777777" w:rsidR="00000000" w:rsidRDefault="00322B34">
      <w:pPr>
        <w:pStyle w:val="a3"/>
        <w:spacing w:before="0" w:beforeAutospacing="0" w:after="0" w:afterAutospacing="0"/>
        <w:ind w:firstLine="360"/>
        <w:jc w:val="both"/>
        <w:rPr>
          <w:sz w:val="20"/>
          <w:szCs w:val="20"/>
        </w:rPr>
      </w:pPr>
      <w:r>
        <w:rPr>
          <w:sz w:val="20"/>
          <w:szCs w:val="20"/>
        </w:rPr>
        <w:t>The decrease in Equity in income of other real estate investments, net of $8.5 million and $3.8 million for the three and si</w:t>
      </w:r>
      <w:r>
        <w:rPr>
          <w:sz w:val="20"/>
          <w:szCs w:val="20"/>
        </w:rPr>
        <w:t>x months ended June 30, 2020, as compared to the corresponding periods in 2019, respectively, is primarily due to a net decrease in profit participation from the sale of properties within the Company’s Preferred Equity Program during 2020, as compared to t</w:t>
      </w:r>
      <w:r>
        <w:rPr>
          <w:sz w:val="20"/>
          <w:szCs w:val="20"/>
        </w:rPr>
        <w:t>he corresponding periods in 2019.</w:t>
      </w:r>
    </w:p>
    <w:p w14:paraId="41CCD0C1" w14:textId="77777777" w:rsidR="00000000" w:rsidRDefault="00322B34">
      <w:pPr>
        <w:pStyle w:val="a3"/>
        <w:spacing w:before="0" w:beforeAutospacing="0" w:after="0" w:afterAutospacing="0"/>
        <w:ind w:firstLine="360"/>
        <w:jc w:val="both"/>
        <w:rPr>
          <w:sz w:val="20"/>
          <w:szCs w:val="20"/>
        </w:rPr>
      </w:pPr>
      <w:r>
        <w:rPr>
          <w:sz w:val="20"/>
          <w:szCs w:val="20"/>
        </w:rPr>
        <w:t> </w:t>
      </w:r>
    </w:p>
    <w:p w14:paraId="697146F7" w14:textId="77777777" w:rsidR="00000000" w:rsidRDefault="00322B34">
      <w:pPr>
        <w:pStyle w:val="a3"/>
        <w:spacing w:before="0" w:beforeAutospacing="0" w:after="0" w:afterAutospacing="0"/>
        <w:jc w:val="both"/>
        <w:rPr>
          <w:sz w:val="20"/>
          <w:szCs w:val="20"/>
        </w:rPr>
      </w:pPr>
      <w:r>
        <w:rPr>
          <w:i/>
          <w:iCs/>
          <w:sz w:val="20"/>
          <w:szCs w:val="20"/>
        </w:rPr>
        <w:t xml:space="preserve">Preferred dividends – </w:t>
      </w:r>
    </w:p>
    <w:p w14:paraId="39BC5D2E" w14:textId="77777777" w:rsidR="00000000" w:rsidRDefault="00322B34">
      <w:pPr>
        <w:pStyle w:val="a3"/>
        <w:spacing w:before="0" w:beforeAutospacing="0" w:after="0" w:afterAutospacing="0"/>
        <w:ind w:firstLine="360"/>
        <w:jc w:val="both"/>
        <w:rPr>
          <w:sz w:val="20"/>
          <w:szCs w:val="20"/>
        </w:rPr>
      </w:pPr>
      <w:r>
        <w:rPr>
          <w:i/>
          <w:iCs/>
          <w:sz w:val="20"/>
          <w:szCs w:val="20"/>
        </w:rPr>
        <w:t> </w:t>
      </w:r>
    </w:p>
    <w:p w14:paraId="0A4F7353" w14:textId="77777777" w:rsidR="00000000" w:rsidRDefault="00322B34">
      <w:pPr>
        <w:pStyle w:val="a3"/>
        <w:spacing w:before="0" w:beforeAutospacing="0" w:after="0" w:afterAutospacing="0"/>
        <w:ind w:firstLine="360"/>
        <w:jc w:val="both"/>
        <w:rPr>
          <w:sz w:val="20"/>
          <w:szCs w:val="20"/>
        </w:rPr>
      </w:pPr>
      <w:r>
        <w:rPr>
          <w:sz w:val="20"/>
          <w:szCs w:val="20"/>
        </w:rPr>
        <w:t>The decrease in Preferred dividends of $8.2 million and $16.4 million for the three and six months ended June 30, 2020, as compared to the corresponding periods in 2019, respectively, is primaril</w:t>
      </w:r>
      <w:r>
        <w:rPr>
          <w:sz w:val="20"/>
          <w:szCs w:val="20"/>
        </w:rPr>
        <w:t>y due the redemption of preferred shares (Classes I, J and K) during 2019.</w:t>
      </w:r>
    </w:p>
    <w:p w14:paraId="2507E0D0" w14:textId="77777777" w:rsidR="00000000" w:rsidRDefault="00322B34">
      <w:pPr>
        <w:pStyle w:val="a3"/>
        <w:spacing w:before="0" w:beforeAutospacing="0" w:after="0" w:afterAutospacing="0"/>
        <w:jc w:val="both"/>
        <w:rPr>
          <w:sz w:val="20"/>
          <w:szCs w:val="20"/>
        </w:rPr>
      </w:pPr>
      <w:r>
        <w:rPr>
          <w:sz w:val="20"/>
          <w:szCs w:val="20"/>
        </w:rPr>
        <w:t> </w:t>
      </w:r>
    </w:p>
    <w:p w14:paraId="3A48651A" w14:textId="77777777" w:rsidR="00000000" w:rsidRDefault="00322B34">
      <w:pPr>
        <w:pStyle w:val="a3"/>
        <w:spacing w:before="0" w:beforeAutospacing="0" w:after="0" w:afterAutospacing="0"/>
        <w:jc w:val="both"/>
        <w:rPr>
          <w:sz w:val="20"/>
          <w:szCs w:val="20"/>
        </w:rPr>
      </w:pPr>
      <w:r>
        <w:rPr>
          <w:sz w:val="20"/>
          <w:szCs w:val="20"/>
          <w:u w:val="single"/>
        </w:rPr>
        <w:t>Tenant Concentration</w:t>
      </w:r>
    </w:p>
    <w:p w14:paraId="065B729C" w14:textId="77777777" w:rsidR="00000000" w:rsidRDefault="00322B34">
      <w:pPr>
        <w:pStyle w:val="a3"/>
        <w:spacing w:before="0" w:beforeAutospacing="0" w:after="0" w:afterAutospacing="0"/>
        <w:jc w:val="both"/>
        <w:rPr>
          <w:sz w:val="20"/>
          <w:szCs w:val="20"/>
        </w:rPr>
      </w:pPr>
      <w:r>
        <w:rPr>
          <w:sz w:val="20"/>
          <w:szCs w:val="20"/>
        </w:rPr>
        <w:t> </w:t>
      </w:r>
    </w:p>
    <w:p w14:paraId="7D488E2E" w14:textId="77777777" w:rsidR="00000000" w:rsidRDefault="00322B34">
      <w:pPr>
        <w:pStyle w:val="a3"/>
        <w:spacing w:before="0" w:beforeAutospacing="0" w:after="0" w:afterAutospacing="0"/>
        <w:ind w:firstLine="360"/>
        <w:jc w:val="both"/>
        <w:rPr>
          <w:sz w:val="20"/>
          <w:szCs w:val="20"/>
        </w:rPr>
      </w:pPr>
      <w:r>
        <w:rPr>
          <w:sz w:val="20"/>
          <w:szCs w:val="20"/>
        </w:rPr>
        <w:t>The Company seeks to reduce its operating and leasing risks through diversification achieved by the geographic distribution of its properties and a large te</w:t>
      </w:r>
      <w:r>
        <w:rPr>
          <w:sz w:val="20"/>
          <w:szCs w:val="20"/>
        </w:rPr>
        <w:t>nant base. At June 30, 2020, the Company’s five largest tenants were TJX Companies, Home Depot, Ahold Delhaize USA, Albertsons and Ross Stores, which represented 3.9%, 2.5%, 2.1%, 2.0% and 1.8%, respectively, of the Company’s annualized base rental revenue</w:t>
      </w:r>
      <w:r>
        <w:rPr>
          <w:sz w:val="20"/>
          <w:szCs w:val="20"/>
        </w:rPr>
        <w:t>s, including the proportionate share of base rental revenues from properties in which the Company has less than a 100% economic interest. As discussed above, as a result of the COVID-19 pandemic, the Company has observed a substantial increase in the numbe</w:t>
      </w:r>
      <w:r>
        <w:rPr>
          <w:sz w:val="20"/>
          <w:szCs w:val="20"/>
        </w:rPr>
        <w:t>r of tenants that have made late or partial rent payments, requested a deferral of rent payments, or defaulted on rent payments, and it is likely that more of our tenants will be similarly impacted in the future.</w:t>
      </w:r>
    </w:p>
    <w:p w14:paraId="63836DCD" w14:textId="77777777" w:rsidR="00000000" w:rsidRDefault="00322B34">
      <w:pPr>
        <w:pStyle w:val="a3"/>
        <w:spacing w:before="0" w:beforeAutospacing="0" w:after="0" w:afterAutospacing="0"/>
        <w:jc w:val="both"/>
        <w:rPr>
          <w:sz w:val="20"/>
          <w:szCs w:val="20"/>
        </w:rPr>
      </w:pPr>
      <w:r>
        <w:rPr>
          <w:sz w:val="20"/>
          <w:szCs w:val="20"/>
        </w:rPr>
        <w:t> </w:t>
      </w:r>
    </w:p>
    <w:p w14:paraId="44182B50" w14:textId="77777777" w:rsidR="00000000" w:rsidRDefault="00322B34">
      <w:pPr>
        <w:pStyle w:val="a3"/>
        <w:spacing w:before="0" w:beforeAutospacing="0" w:after="0" w:afterAutospacing="0"/>
        <w:jc w:val="both"/>
        <w:rPr>
          <w:sz w:val="20"/>
          <w:szCs w:val="20"/>
        </w:rPr>
      </w:pPr>
      <w:r>
        <w:rPr>
          <w:sz w:val="20"/>
          <w:szCs w:val="20"/>
          <w:u w:val="single"/>
        </w:rPr>
        <w:t>Liquidity and Capital Resources</w:t>
      </w:r>
    </w:p>
    <w:p w14:paraId="6E426DBB" w14:textId="77777777" w:rsidR="00000000" w:rsidRDefault="00322B34">
      <w:pPr>
        <w:pStyle w:val="a3"/>
        <w:spacing w:before="0" w:beforeAutospacing="0" w:after="0" w:afterAutospacing="0"/>
        <w:jc w:val="both"/>
        <w:rPr>
          <w:sz w:val="20"/>
          <w:szCs w:val="20"/>
        </w:rPr>
      </w:pPr>
      <w:r>
        <w:rPr>
          <w:sz w:val="20"/>
          <w:szCs w:val="20"/>
        </w:rPr>
        <w:t> </w:t>
      </w:r>
    </w:p>
    <w:p w14:paraId="05789EB1" w14:textId="77777777" w:rsidR="00000000" w:rsidRDefault="00322B34">
      <w:pPr>
        <w:pStyle w:val="a3"/>
        <w:spacing w:before="0" w:beforeAutospacing="0" w:after="0" w:afterAutospacing="0"/>
        <w:ind w:firstLine="360"/>
        <w:jc w:val="both"/>
        <w:rPr>
          <w:sz w:val="20"/>
          <w:szCs w:val="20"/>
        </w:rPr>
      </w:pPr>
      <w:r>
        <w:rPr>
          <w:sz w:val="20"/>
          <w:szCs w:val="20"/>
        </w:rPr>
        <w:t>The Com</w:t>
      </w:r>
      <w:r>
        <w:rPr>
          <w:sz w:val="20"/>
          <w:szCs w:val="20"/>
        </w:rPr>
        <w:t>pany’s capital resources include accessing the public debt and equity capital markets, unsecured term loans, mortgages and construction loan financing, and immediate access to the Company's unsecured revolving credit facility (the "Credit Facility") with b</w:t>
      </w:r>
      <w:r>
        <w:rPr>
          <w:sz w:val="20"/>
          <w:szCs w:val="20"/>
        </w:rPr>
        <w:t>ank commitments of $2.0 billion which can be increased to $2.75 billion through an accordion feature.</w:t>
      </w:r>
    </w:p>
    <w:p w14:paraId="7F6C943C" w14:textId="77777777" w:rsidR="00000000" w:rsidRDefault="00322B34">
      <w:pPr>
        <w:pStyle w:val="a3"/>
        <w:spacing w:before="0" w:beforeAutospacing="0" w:after="0" w:afterAutospacing="0"/>
        <w:jc w:val="both"/>
        <w:rPr>
          <w:sz w:val="20"/>
          <w:szCs w:val="20"/>
        </w:rPr>
      </w:pPr>
      <w:r>
        <w:rPr>
          <w:sz w:val="20"/>
          <w:szCs w:val="20"/>
        </w:rPr>
        <w:t> </w:t>
      </w:r>
    </w:p>
    <w:p w14:paraId="037FBAE3" w14:textId="77777777" w:rsidR="00000000" w:rsidRDefault="00322B34">
      <w:pPr>
        <w:jc w:val="center"/>
        <w:divId w:val="109593185"/>
        <w:rPr>
          <w:rFonts w:eastAsia="Times New Roman"/>
          <w:sz w:val="20"/>
          <w:szCs w:val="20"/>
        </w:rPr>
      </w:pPr>
      <w:r>
        <w:rPr>
          <w:rFonts w:eastAsia="Times New Roman"/>
          <w:sz w:val="20"/>
          <w:szCs w:val="20"/>
        </w:rPr>
        <w:t xml:space="preserve">25 </w:t>
      </w:r>
    </w:p>
    <w:p w14:paraId="563137F5" w14:textId="77777777" w:rsidR="00000000" w:rsidRDefault="00322B34">
      <w:pPr>
        <w:divId w:val="401756447"/>
        <w:rPr>
          <w:rFonts w:eastAsia="Times New Roman"/>
          <w:sz w:val="20"/>
          <w:szCs w:val="20"/>
        </w:rPr>
      </w:pPr>
      <w:r>
        <w:rPr>
          <w:rFonts w:eastAsia="Times New Roman"/>
          <w:sz w:val="20"/>
          <w:szCs w:val="20"/>
        </w:rPr>
        <w:pict w14:anchorId="609E166F">
          <v:rect id="_x0000_i1053" style="width:0;height:1.5pt" o:hralign="center" o:hrstd="t" o:hr="t" fillcolor="#a0a0a0" stroked="f"/>
        </w:pict>
      </w:r>
    </w:p>
    <w:p w14:paraId="393C9343" w14:textId="77777777" w:rsidR="00000000" w:rsidRDefault="00322B34">
      <w:pPr>
        <w:divId w:val="45595541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3EA4256" w14:textId="77777777" w:rsidR="00000000" w:rsidRDefault="00322B34">
      <w:pPr>
        <w:pStyle w:val="a3"/>
        <w:spacing w:before="0" w:beforeAutospacing="0" w:after="0" w:afterAutospacing="0"/>
        <w:rPr>
          <w:sz w:val="20"/>
          <w:szCs w:val="20"/>
        </w:rPr>
      </w:pPr>
      <w:r>
        <w:rPr>
          <w:sz w:val="20"/>
          <w:szCs w:val="20"/>
        </w:rPr>
        <w:t> </w:t>
      </w:r>
    </w:p>
    <w:p w14:paraId="2CFFC4A5" w14:textId="77777777" w:rsidR="00000000" w:rsidRDefault="00322B34">
      <w:pPr>
        <w:pStyle w:val="a3"/>
        <w:spacing w:before="0" w:beforeAutospacing="0" w:after="0" w:afterAutospacing="0"/>
        <w:ind w:firstLine="360"/>
        <w:jc w:val="both"/>
        <w:rPr>
          <w:sz w:val="20"/>
          <w:szCs w:val="20"/>
        </w:rPr>
      </w:pPr>
      <w:r>
        <w:rPr>
          <w:sz w:val="20"/>
          <w:szCs w:val="20"/>
        </w:rPr>
        <w:t>The Company’</w:t>
      </w:r>
      <w:r>
        <w:rPr>
          <w:sz w:val="20"/>
          <w:szCs w:val="20"/>
        </w:rPr>
        <w:t>s cash flow activities are summarized as follows (in thousands): </w:t>
      </w:r>
    </w:p>
    <w:p w14:paraId="6B27BAE4"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44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14:paraId="2A00DF8D" w14:textId="77777777">
        <w:trPr>
          <w:tblCellSpacing w:w="0" w:type="dxa"/>
        </w:trPr>
        <w:tc>
          <w:tcPr>
            <w:tcW w:w="0" w:type="auto"/>
            <w:vAlign w:val="bottom"/>
            <w:hideMark/>
          </w:tcPr>
          <w:p w14:paraId="6E39AB92"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577EBDD"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4A03F72" w14:textId="77777777" w:rsidR="00000000" w:rsidRDefault="00322B34">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22AEE12A" w14:textId="77777777" w:rsidR="00000000" w:rsidRDefault="00322B34">
            <w:pPr>
              <w:rPr>
                <w:rFonts w:eastAsia="Times New Roman"/>
                <w:sz w:val="20"/>
                <w:szCs w:val="20"/>
              </w:rPr>
            </w:pPr>
            <w:r>
              <w:rPr>
                <w:rFonts w:eastAsia="Times New Roman"/>
                <w:sz w:val="20"/>
                <w:szCs w:val="20"/>
              </w:rPr>
              <w:t> </w:t>
            </w:r>
          </w:p>
        </w:tc>
      </w:tr>
      <w:tr w:rsidR="00000000" w14:paraId="4F0BF393" w14:textId="77777777">
        <w:trPr>
          <w:tblCellSpacing w:w="0" w:type="dxa"/>
        </w:trPr>
        <w:tc>
          <w:tcPr>
            <w:tcW w:w="0" w:type="auto"/>
            <w:vAlign w:val="bottom"/>
            <w:hideMark/>
          </w:tcPr>
          <w:p w14:paraId="7E8CEF2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7FBF7737"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F4D8744"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0C4B398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CEA092B"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96E8165"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F670A89" w14:textId="77777777" w:rsidR="00000000" w:rsidRDefault="00322B34">
            <w:pPr>
              <w:rPr>
                <w:rFonts w:eastAsia="Times New Roman"/>
                <w:sz w:val="20"/>
                <w:szCs w:val="20"/>
              </w:rPr>
            </w:pPr>
            <w:r>
              <w:rPr>
                <w:rFonts w:eastAsia="Times New Roman"/>
                <w:sz w:val="20"/>
                <w:szCs w:val="20"/>
              </w:rPr>
              <w:t> </w:t>
            </w:r>
          </w:p>
        </w:tc>
      </w:tr>
      <w:tr w:rsidR="00000000" w14:paraId="703E4649" w14:textId="77777777">
        <w:trPr>
          <w:tblCellSpacing w:w="0" w:type="dxa"/>
        </w:trPr>
        <w:tc>
          <w:tcPr>
            <w:tcW w:w="3100" w:type="pct"/>
            <w:shd w:val="clear" w:color="auto" w:fill="CCEEFF"/>
            <w:vAlign w:val="bottom"/>
            <w:hideMark/>
          </w:tcPr>
          <w:p w14:paraId="188C2506" w14:textId="77777777" w:rsidR="00000000" w:rsidRDefault="00322B34">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CCEEFF"/>
            <w:vAlign w:val="bottom"/>
            <w:hideMark/>
          </w:tcPr>
          <w:p w14:paraId="537509C1"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C042241" w14:textId="77777777" w:rsidR="00000000" w:rsidRDefault="00322B34">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14:paraId="55A2FC17" w14:textId="77777777" w:rsidR="00000000" w:rsidRDefault="00322B34">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14:paraId="68ADEE7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A1816C"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5EF0FA9" w14:textId="77777777" w:rsidR="00000000" w:rsidRDefault="00322B34">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14:paraId="0F3890F4" w14:textId="77777777" w:rsidR="00000000" w:rsidRDefault="00322B34">
            <w:pPr>
              <w:jc w:val="right"/>
              <w:rPr>
                <w:rFonts w:eastAsia="Times New Roman"/>
                <w:sz w:val="20"/>
                <w:szCs w:val="20"/>
              </w:rPr>
            </w:pPr>
            <w:r>
              <w:rPr>
                <w:rFonts w:eastAsia="Times New Roman"/>
                <w:sz w:val="20"/>
                <w:szCs w:val="20"/>
              </w:rPr>
              <w:t>143,581</w:t>
            </w:r>
          </w:p>
        </w:tc>
        <w:tc>
          <w:tcPr>
            <w:tcW w:w="50" w:type="pct"/>
            <w:shd w:val="clear" w:color="auto" w:fill="CCEEFF"/>
            <w:tcMar>
              <w:top w:w="0" w:type="dxa"/>
              <w:left w:w="0" w:type="dxa"/>
              <w:bottom w:w="15" w:type="dxa"/>
              <w:right w:w="0" w:type="dxa"/>
            </w:tcMar>
            <w:vAlign w:val="bottom"/>
            <w:hideMark/>
          </w:tcPr>
          <w:p w14:paraId="081D89DB" w14:textId="77777777" w:rsidR="00000000" w:rsidRDefault="00322B34">
            <w:pPr>
              <w:rPr>
                <w:rFonts w:eastAsia="Times New Roman"/>
                <w:sz w:val="20"/>
                <w:szCs w:val="20"/>
              </w:rPr>
            </w:pPr>
            <w:r>
              <w:rPr>
                <w:rFonts w:eastAsia="Times New Roman"/>
                <w:sz w:val="20"/>
                <w:szCs w:val="20"/>
              </w:rPr>
              <w:t> </w:t>
            </w:r>
          </w:p>
        </w:tc>
      </w:tr>
      <w:tr w:rsidR="00000000" w14:paraId="0B2D2B22" w14:textId="77777777">
        <w:trPr>
          <w:tblCellSpacing w:w="0" w:type="dxa"/>
        </w:trPr>
        <w:tc>
          <w:tcPr>
            <w:tcW w:w="0" w:type="auto"/>
            <w:shd w:val="clear" w:color="auto" w:fill="FFFFFF"/>
            <w:vAlign w:val="bottom"/>
            <w:hideMark/>
          </w:tcPr>
          <w:p w14:paraId="201B5369" w14:textId="77777777" w:rsidR="00000000" w:rsidRDefault="00322B34">
            <w:pPr>
              <w:pStyle w:val="a3"/>
              <w:spacing w:before="0" w:beforeAutospacing="0" w:after="0" w:afterAutospacing="0"/>
              <w:ind w:left="180"/>
              <w:rPr>
                <w:sz w:val="20"/>
                <w:szCs w:val="20"/>
              </w:rPr>
            </w:pPr>
            <w:r>
              <w:rPr>
                <w:sz w:val="20"/>
                <w:szCs w:val="20"/>
              </w:rPr>
              <w:t>Net cash flow provided by operating activities</w:t>
            </w:r>
          </w:p>
        </w:tc>
        <w:tc>
          <w:tcPr>
            <w:tcW w:w="50" w:type="pct"/>
            <w:tcBorders>
              <w:bottom w:val="nil"/>
            </w:tcBorders>
            <w:shd w:val="clear" w:color="auto" w:fill="FFFFFF"/>
            <w:vAlign w:val="bottom"/>
            <w:hideMark/>
          </w:tcPr>
          <w:p w14:paraId="535BA468"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7DBF0BA2" w14:textId="77777777" w:rsidR="00000000" w:rsidRDefault="00322B34">
            <w:pPr>
              <w:rPr>
                <w:rFonts w:eastAsia="Times New Roman"/>
                <w:sz w:val="20"/>
                <w:szCs w:val="20"/>
              </w:rPr>
            </w:pPr>
            <w:r>
              <w:rPr>
                <w:rFonts w:eastAsia="Times New Roman"/>
                <w:sz w:val="20"/>
                <w:szCs w:val="20"/>
              </w:rPr>
              <w:t> </w:t>
            </w:r>
          </w:p>
        </w:tc>
        <w:tc>
          <w:tcPr>
            <w:tcW w:w="800" w:type="pct"/>
            <w:tcBorders>
              <w:bottom w:val="nil"/>
            </w:tcBorders>
            <w:shd w:val="clear" w:color="auto" w:fill="FFFFFF"/>
            <w:vAlign w:val="bottom"/>
            <w:hideMark/>
          </w:tcPr>
          <w:p w14:paraId="252E4E99" w14:textId="77777777" w:rsidR="00000000" w:rsidRDefault="00322B34">
            <w:pPr>
              <w:jc w:val="right"/>
              <w:rPr>
                <w:rFonts w:eastAsia="Times New Roman"/>
                <w:sz w:val="20"/>
                <w:szCs w:val="20"/>
              </w:rPr>
            </w:pPr>
            <w:r>
              <w:rPr>
                <w:rFonts w:eastAsia="Times New Roman"/>
                <w:sz w:val="20"/>
                <w:szCs w:val="20"/>
              </w:rPr>
              <w:t>237,447</w:t>
            </w:r>
          </w:p>
        </w:tc>
        <w:tc>
          <w:tcPr>
            <w:tcW w:w="50" w:type="pct"/>
            <w:tcBorders>
              <w:bottom w:val="nil"/>
            </w:tcBorders>
            <w:shd w:val="clear" w:color="auto" w:fill="FFFFFF"/>
            <w:vAlign w:val="bottom"/>
            <w:hideMark/>
          </w:tcPr>
          <w:p w14:paraId="7C8A0A16"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56B1EB45"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14:paraId="029BAAE2" w14:textId="77777777" w:rsidR="00000000" w:rsidRDefault="00322B34">
            <w:pPr>
              <w:rPr>
                <w:rFonts w:eastAsia="Times New Roman"/>
                <w:sz w:val="20"/>
                <w:szCs w:val="20"/>
              </w:rPr>
            </w:pPr>
            <w:r>
              <w:rPr>
                <w:rFonts w:eastAsia="Times New Roman"/>
                <w:sz w:val="20"/>
                <w:szCs w:val="20"/>
              </w:rPr>
              <w:t> </w:t>
            </w:r>
          </w:p>
        </w:tc>
        <w:tc>
          <w:tcPr>
            <w:tcW w:w="800" w:type="pct"/>
            <w:tcBorders>
              <w:bottom w:val="nil"/>
            </w:tcBorders>
            <w:shd w:val="clear" w:color="auto" w:fill="FFFFFF"/>
            <w:vAlign w:val="bottom"/>
            <w:hideMark/>
          </w:tcPr>
          <w:p w14:paraId="28F75A66" w14:textId="77777777" w:rsidR="00000000" w:rsidRDefault="00322B34">
            <w:pPr>
              <w:jc w:val="right"/>
              <w:rPr>
                <w:rFonts w:eastAsia="Times New Roman"/>
                <w:sz w:val="20"/>
                <w:szCs w:val="20"/>
              </w:rPr>
            </w:pPr>
            <w:r>
              <w:rPr>
                <w:rFonts w:eastAsia="Times New Roman"/>
                <w:sz w:val="20"/>
                <w:szCs w:val="20"/>
              </w:rPr>
              <w:t>313,529</w:t>
            </w:r>
          </w:p>
        </w:tc>
        <w:tc>
          <w:tcPr>
            <w:tcW w:w="50" w:type="pct"/>
            <w:tcBorders>
              <w:bottom w:val="nil"/>
            </w:tcBorders>
            <w:shd w:val="clear" w:color="auto" w:fill="FFFFFF"/>
            <w:vAlign w:val="bottom"/>
            <w:hideMark/>
          </w:tcPr>
          <w:p w14:paraId="3453BAAC" w14:textId="77777777" w:rsidR="00000000" w:rsidRDefault="00322B34">
            <w:pPr>
              <w:rPr>
                <w:rFonts w:eastAsia="Times New Roman"/>
                <w:sz w:val="20"/>
                <w:szCs w:val="20"/>
              </w:rPr>
            </w:pPr>
            <w:r>
              <w:rPr>
                <w:rFonts w:eastAsia="Times New Roman"/>
                <w:sz w:val="20"/>
                <w:szCs w:val="20"/>
              </w:rPr>
              <w:t> </w:t>
            </w:r>
          </w:p>
        </w:tc>
      </w:tr>
      <w:tr w:rsidR="00000000" w14:paraId="245E9A33" w14:textId="77777777">
        <w:trPr>
          <w:tblCellSpacing w:w="0" w:type="dxa"/>
        </w:trPr>
        <w:tc>
          <w:tcPr>
            <w:tcW w:w="0" w:type="auto"/>
            <w:shd w:val="clear" w:color="auto" w:fill="CCEEFF"/>
            <w:vAlign w:val="bottom"/>
            <w:hideMark/>
          </w:tcPr>
          <w:p w14:paraId="5EDC783D" w14:textId="77777777" w:rsidR="00000000" w:rsidRDefault="00322B34">
            <w:pPr>
              <w:pStyle w:val="a3"/>
              <w:spacing w:before="0" w:beforeAutospacing="0" w:after="0" w:afterAutospacing="0"/>
              <w:ind w:left="180"/>
              <w:rPr>
                <w:sz w:val="20"/>
                <w:szCs w:val="20"/>
              </w:rPr>
            </w:pPr>
            <w:r>
              <w:rPr>
                <w:sz w:val="20"/>
                <w:szCs w:val="20"/>
              </w:rPr>
              <w:t>Net cash flow provided by/(used for) investing activities</w:t>
            </w:r>
          </w:p>
        </w:tc>
        <w:tc>
          <w:tcPr>
            <w:tcW w:w="50" w:type="pct"/>
            <w:shd w:val="clear" w:color="auto" w:fill="CCEEFF"/>
            <w:vAlign w:val="bottom"/>
            <w:hideMark/>
          </w:tcPr>
          <w:p w14:paraId="4AFDA18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2AFBC1" w14:textId="77777777" w:rsidR="00000000" w:rsidRDefault="00322B3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F09060A" w14:textId="77777777" w:rsidR="00000000" w:rsidRDefault="00322B34">
            <w:pPr>
              <w:jc w:val="right"/>
              <w:rPr>
                <w:rFonts w:eastAsia="Times New Roman"/>
                <w:sz w:val="20"/>
                <w:szCs w:val="20"/>
              </w:rPr>
            </w:pPr>
            <w:r>
              <w:rPr>
                <w:rFonts w:eastAsia="Times New Roman"/>
                <w:sz w:val="20"/>
                <w:szCs w:val="20"/>
              </w:rPr>
              <w:t>96,597</w:t>
            </w:r>
          </w:p>
        </w:tc>
        <w:tc>
          <w:tcPr>
            <w:tcW w:w="50" w:type="pct"/>
            <w:shd w:val="clear" w:color="auto" w:fill="CCEEFF"/>
            <w:vAlign w:val="bottom"/>
            <w:hideMark/>
          </w:tcPr>
          <w:p w14:paraId="083968E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7A336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127C7C" w14:textId="77777777" w:rsidR="00000000" w:rsidRDefault="00322B34">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43E963D" w14:textId="77777777" w:rsidR="00000000" w:rsidRDefault="00322B34">
            <w:pPr>
              <w:jc w:val="right"/>
              <w:rPr>
                <w:rFonts w:eastAsia="Times New Roman"/>
                <w:sz w:val="20"/>
                <w:szCs w:val="20"/>
              </w:rPr>
            </w:pPr>
            <w:r>
              <w:rPr>
                <w:rFonts w:eastAsia="Times New Roman"/>
                <w:sz w:val="20"/>
                <w:szCs w:val="20"/>
              </w:rPr>
              <w:t>(100,519</w:t>
            </w:r>
          </w:p>
        </w:tc>
        <w:tc>
          <w:tcPr>
            <w:tcW w:w="50" w:type="pct"/>
            <w:shd w:val="clear" w:color="auto" w:fill="CCEEFF"/>
            <w:vAlign w:val="bottom"/>
            <w:hideMark/>
          </w:tcPr>
          <w:p w14:paraId="701658EE" w14:textId="77777777" w:rsidR="00000000" w:rsidRDefault="00322B34">
            <w:pPr>
              <w:rPr>
                <w:rFonts w:eastAsia="Times New Roman"/>
                <w:sz w:val="20"/>
                <w:szCs w:val="20"/>
              </w:rPr>
            </w:pPr>
            <w:r>
              <w:rPr>
                <w:rFonts w:eastAsia="Times New Roman"/>
                <w:sz w:val="20"/>
                <w:szCs w:val="20"/>
              </w:rPr>
              <w:t>)</w:t>
            </w:r>
          </w:p>
        </w:tc>
      </w:tr>
      <w:tr w:rsidR="00000000" w14:paraId="30D8AFD2" w14:textId="77777777">
        <w:trPr>
          <w:tblCellSpacing w:w="0" w:type="dxa"/>
        </w:trPr>
        <w:tc>
          <w:tcPr>
            <w:tcW w:w="0" w:type="auto"/>
            <w:shd w:val="clear" w:color="auto" w:fill="FFFFFF"/>
            <w:vAlign w:val="bottom"/>
            <w:hideMark/>
          </w:tcPr>
          <w:p w14:paraId="5C4E5431" w14:textId="77777777" w:rsidR="00000000" w:rsidRDefault="00322B34">
            <w:pPr>
              <w:pStyle w:val="a3"/>
              <w:spacing w:before="0" w:beforeAutospacing="0" w:after="0" w:afterAutospacing="0"/>
              <w:ind w:left="180"/>
              <w:rPr>
                <w:sz w:val="20"/>
                <w:szCs w:val="20"/>
              </w:rPr>
            </w:pPr>
            <w:r>
              <w:rPr>
                <w:sz w:val="20"/>
                <w:szCs w:val="20"/>
              </w:rPr>
              <w:t>Net cash flow used for financing activities</w:t>
            </w:r>
          </w:p>
        </w:tc>
        <w:tc>
          <w:tcPr>
            <w:tcW w:w="50" w:type="pct"/>
            <w:shd w:val="clear" w:color="auto" w:fill="FFFFFF"/>
            <w:vAlign w:val="bottom"/>
            <w:hideMark/>
          </w:tcPr>
          <w:p w14:paraId="4400C872"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D16A5C9" w14:textId="77777777" w:rsidR="00000000" w:rsidRDefault="00322B3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18E31133" w14:textId="77777777" w:rsidR="00000000" w:rsidRDefault="00322B34">
            <w:pPr>
              <w:jc w:val="right"/>
              <w:rPr>
                <w:rFonts w:eastAsia="Times New Roman"/>
                <w:sz w:val="20"/>
                <w:szCs w:val="20"/>
              </w:rPr>
            </w:pPr>
            <w:r>
              <w:rPr>
                <w:rFonts w:eastAsia="Times New Roman"/>
                <w:sz w:val="20"/>
                <w:szCs w:val="20"/>
              </w:rPr>
              <w:t>(256,304</w:t>
            </w:r>
          </w:p>
        </w:tc>
        <w:tc>
          <w:tcPr>
            <w:tcW w:w="50" w:type="pct"/>
            <w:shd w:val="clear" w:color="auto" w:fill="FFFFFF"/>
            <w:tcMar>
              <w:top w:w="0" w:type="dxa"/>
              <w:left w:w="0" w:type="dxa"/>
              <w:bottom w:w="15" w:type="dxa"/>
              <w:right w:w="0" w:type="dxa"/>
            </w:tcMar>
            <w:vAlign w:val="bottom"/>
            <w:hideMark/>
          </w:tcPr>
          <w:p w14:paraId="5A178AB2"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5430BF35"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D242759" w14:textId="77777777" w:rsidR="00000000" w:rsidRDefault="00322B3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1F066C08" w14:textId="77777777" w:rsidR="00000000" w:rsidRDefault="00322B34">
            <w:pPr>
              <w:jc w:val="right"/>
              <w:rPr>
                <w:rFonts w:eastAsia="Times New Roman"/>
                <w:sz w:val="20"/>
                <w:szCs w:val="20"/>
              </w:rPr>
            </w:pPr>
            <w:r>
              <w:rPr>
                <w:rFonts w:eastAsia="Times New Roman"/>
                <w:sz w:val="20"/>
                <w:szCs w:val="20"/>
              </w:rPr>
              <w:t>(242,600</w:t>
            </w:r>
          </w:p>
        </w:tc>
        <w:tc>
          <w:tcPr>
            <w:tcW w:w="50" w:type="pct"/>
            <w:shd w:val="clear" w:color="auto" w:fill="FFFFFF"/>
            <w:tcMar>
              <w:top w:w="0" w:type="dxa"/>
              <w:left w:w="0" w:type="dxa"/>
              <w:bottom w:w="15" w:type="dxa"/>
              <w:right w:w="0" w:type="dxa"/>
            </w:tcMar>
            <w:vAlign w:val="bottom"/>
            <w:hideMark/>
          </w:tcPr>
          <w:p w14:paraId="546B3B8F" w14:textId="77777777" w:rsidR="00000000" w:rsidRDefault="00322B34">
            <w:pPr>
              <w:rPr>
                <w:rFonts w:eastAsia="Times New Roman"/>
                <w:sz w:val="20"/>
                <w:szCs w:val="20"/>
              </w:rPr>
            </w:pPr>
            <w:r>
              <w:rPr>
                <w:rFonts w:eastAsia="Times New Roman"/>
                <w:sz w:val="20"/>
                <w:szCs w:val="20"/>
              </w:rPr>
              <w:t>)</w:t>
            </w:r>
          </w:p>
        </w:tc>
      </w:tr>
      <w:tr w:rsidR="00000000" w14:paraId="56F36B36" w14:textId="77777777">
        <w:trPr>
          <w:tblCellSpacing w:w="0" w:type="dxa"/>
        </w:trPr>
        <w:tc>
          <w:tcPr>
            <w:tcW w:w="0" w:type="auto"/>
            <w:shd w:val="clear" w:color="auto" w:fill="CCEEFF"/>
            <w:vAlign w:val="bottom"/>
            <w:hideMark/>
          </w:tcPr>
          <w:p w14:paraId="03DDE116" w14:textId="77777777" w:rsidR="00000000" w:rsidRDefault="00322B34">
            <w:pPr>
              <w:pStyle w:val="a3"/>
              <w:spacing w:before="0" w:beforeAutospacing="0" w:after="0" w:afterAutospacing="0"/>
              <w:ind w:left="360"/>
              <w:rPr>
                <w:sz w:val="20"/>
                <w:szCs w:val="20"/>
              </w:rPr>
            </w:pPr>
            <w:r>
              <w:rPr>
                <w:sz w:val="20"/>
                <w:szCs w:val="20"/>
              </w:rPr>
              <w:t>Net change in cash and cash equivalents</w:t>
            </w:r>
          </w:p>
        </w:tc>
        <w:tc>
          <w:tcPr>
            <w:tcW w:w="50" w:type="pct"/>
            <w:shd w:val="clear" w:color="auto" w:fill="CCEEFF"/>
            <w:tcMar>
              <w:top w:w="0" w:type="dxa"/>
              <w:left w:w="0" w:type="dxa"/>
              <w:bottom w:w="15" w:type="dxa"/>
              <w:right w:w="0" w:type="dxa"/>
            </w:tcMar>
            <w:vAlign w:val="bottom"/>
            <w:hideMark/>
          </w:tcPr>
          <w:p w14:paraId="7210BBA4"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6FB7AB1" w14:textId="77777777" w:rsidR="00000000" w:rsidRDefault="00322B3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789E925E" w14:textId="77777777" w:rsidR="00000000" w:rsidRDefault="00322B34">
            <w:pPr>
              <w:jc w:val="right"/>
              <w:rPr>
                <w:rFonts w:eastAsia="Times New Roman"/>
                <w:sz w:val="20"/>
                <w:szCs w:val="20"/>
              </w:rPr>
            </w:pPr>
            <w:r>
              <w:rPr>
                <w:rFonts w:eastAsia="Times New Roman"/>
                <w:sz w:val="20"/>
                <w:szCs w:val="20"/>
              </w:rPr>
              <w:t>77,740</w:t>
            </w:r>
          </w:p>
        </w:tc>
        <w:tc>
          <w:tcPr>
            <w:tcW w:w="50" w:type="pct"/>
            <w:shd w:val="clear" w:color="auto" w:fill="CCEEFF"/>
            <w:tcMar>
              <w:top w:w="0" w:type="dxa"/>
              <w:left w:w="0" w:type="dxa"/>
              <w:bottom w:w="15" w:type="dxa"/>
              <w:right w:w="0" w:type="dxa"/>
            </w:tcMar>
            <w:vAlign w:val="bottom"/>
            <w:hideMark/>
          </w:tcPr>
          <w:p w14:paraId="7662179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2C2F9DA6"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9BFC026" w14:textId="77777777" w:rsidR="00000000" w:rsidRDefault="00322B34">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0C3B394A" w14:textId="77777777" w:rsidR="00000000" w:rsidRDefault="00322B34">
            <w:pPr>
              <w:jc w:val="right"/>
              <w:rPr>
                <w:rFonts w:eastAsia="Times New Roman"/>
                <w:sz w:val="20"/>
                <w:szCs w:val="20"/>
              </w:rPr>
            </w:pPr>
            <w:r>
              <w:rPr>
                <w:rFonts w:eastAsia="Times New Roman"/>
                <w:sz w:val="20"/>
                <w:szCs w:val="20"/>
              </w:rPr>
              <w:t>(29,590</w:t>
            </w:r>
          </w:p>
        </w:tc>
        <w:tc>
          <w:tcPr>
            <w:tcW w:w="50" w:type="pct"/>
            <w:shd w:val="clear" w:color="auto" w:fill="CCEEFF"/>
            <w:tcMar>
              <w:top w:w="0" w:type="dxa"/>
              <w:left w:w="0" w:type="dxa"/>
              <w:bottom w:w="15" w:type="dxa"/>
              <w:right w:w="0" w:type="dxa"/>
            </w:tcMar>
            <w:vAlign w:val="bottom"/>
            <w:hideMark/>
          </w:tcPr>
          <w:p w14:paraId="57118A4C" w14:textId="77777777" w:rsidR="00000000" w:rsidRDefault="00322B34">
            <w:pPr>
              <w:rPr>
                <w:rFonts w:eastAsia="Times New Roman"/>
                <w:sz w:val="20"/>
                <w:szCs w:val="20"/>
              </w:rPr>
            </w:pPr>
            <w:r>
              <w:rPr>
                <w:rFonts w:eastAsia="Times New Roman"/>
                <w:sz w:val="20"/>
                <w:szCs w:val="20"/>
              </w:rPr>
              <w:t>)</w:t>
            </w:r>
          </w:p>
        </w:tc>
      </w:tr>
      <w:tr w:rsidR="00000000" w14:paraId="75D52FF8" w14:textId="77777777">
        <w:trPr>
          <w:tblCellSpacing w:w="0" w:type="dxa"/>
        </w:trPr>
        <w:tc>
          <w:tcPr>
            <w:tcW w:w="0" w:type="auto"/>
            <w:shd w:val="clear" w:color="auto" w:fill="FFFFFF"/>
            <w:vAlign w:val="bottom"/>
            <w:hideMark/>
          </w:tcPr>
          <w:p w14:paraId="5364DC25" w14:textId="77777777" w:rsidR="00000000" w:rsidRDefault="00322B34">
            <w:pPr>
              <w:pStyle w:val="a3"/>
              <w:spacing w:before="0" w:beforeAutospacing="0" w:after="0" w:afterAutospacing="0"/>
              <w:rPr>
                <w:sz w:val="20"/>
                <w:szCs w:val="20"/>
              </w:rPr>
            </w:pPr>
            <w:r>
              <w:rPr>
                <w:sz w:val="20"/>
                <w:szCs w:val="20"/>
              </w:rPr>
              <w:t>Cash and cash equivalents, end of the period</w:t>
            </w:r>
          </w:p>
        </w:tc>
        <w:tc>
          <w:tcPr>
            <w:tcW w:w="50" w:type="pct"/>
            <w:shd w:val="clear" w:color="auto" w:fill="FFFFFF"/>
            <w:vAlign w:val="bottom"/>
            <w:hideMark/>
          </w:tcPr>
          <w:p w14:paraId="5F5E5600"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11620AE" w14:textId="77777777" w:rsidR="00000000" w:rsidRDefault="00322B3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08F09585" w14:textId="77777777" w:rsidR="00000000" w:rsidRDefault="00322B34">
            <w:pPr>
              <w:jc w:val="right"/>
              <w:rPr>
                <w:rFonts w:eastAsia="Times New Roman"/>
                <w:sz w:val="20"/>
                <w:szCs w:val="20"/>
              </w:rPr>
            </w:pPr>
            <w:r>
              <w:rPr>
                <w:rFonts w:eastAsia="Times New Roman"/>
                <w:sz w:val="20"/>
                <w:szCs w:val="20"/>
              </w:rPr>
              <w:t>201,687</w:t>
            </w:r>
          </w:p>
        </w:tc>
        <w:tc>
          <w:tcPr>
            <w:tcW w:w="50" w:type="pct"/>
            <w:shd w:val="clear" w:color="auto" w:fill="FFFFFF"/>
            <w:tcMar>
              <w:top w:w="0" w:type="dxa"/>
              <w:left w:w="0" w:type="dxa"/>
              <w:bottom w:w="45" w:type="dxa"/>
              <w:right w:w="0" w:type="dxa"/>
            </w:tcMar>
            <w:vAlign w:val="bottom"/>
            <w:hideMark/>
          </w:tcPr>
          <w:p w14:paraId="10A4CEC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9DA2BA"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3788BC4" w14:textId="77777777" w:rsidR="00000000" w:rsidRDefault="00322B34">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0296C203" w14:textId="77777777" w:rsidR="00000000" w:rsidRDefault="00322B34">
            <w:pPr>
              <w:jc w:val="right"/>
              <w:rPr>
                <w:rFonts w:eastAsia="Times New Roman"/>
                <w:sz w:val="20"/>
                <w:szCs w:val="20"/>
              </w:rPr>
            </w:pPr>
            <w:r>
              <w:rPr>
                <w:rFonts w:eastAsia="Times New Roman"/>
                <w:sz w:val="20"/>
                <w:szCs w:val="20"/>
              </w:rPr>
              <w:t>113,991</w:t>
            </w:r>
          </w:p>
        </w:tc>
        <w:tc>
          <w:tcPr>
            <w:tcW w:w="50" w:type="pct"/>
            <w:shd w:val="clear" w:color="auto" w:fill="FFFFFF"/>
            <w:tcMar>
              <w:top w:w="0" w:type="dxa"/>
              <w:left w:w="0" w:type="dxa"/>
              <w:bottom w:w="45" w:type="dxa"/>
              <w:right w:w="0" w:type="dxa"/>
            </w:tcMar>
            <w:vAlign w:val="bottom"/>
            <w:hideMark/>
          </w:tcPr>
          <w:p w14:paraId="6C9D9E77" w14:textId="77777777" w:rsidR="00000000" w:rsidRDefault="00322B34">
            <w:pPr>
              <w:rPr>
                <w:rFonts w:eastAsia="Times New Roman"/>
                <w:sz w:val="20"/>
                <w:szCs w:val="20"/>
              </w:rPr>
            </w:pPr>
            <w:r>
              <w:rPr>
                <w:rFonts w:eastAsia="Times New Roman"/>
                <w:sz w:val="20"/>
                <w:szCs w:val="20"/>
              </w:rPr>
              <w:t> </w:t>
            </w:r>
          </w:p>
        </w:tc>
      </w:tr>
    </w:tbl>
    <w:p w14:paraId="0E9E2DDD" w14:textId="77777777" w:rsidR="00000000" w:rsidRDefault="00322B34">
      <w:pPr>
        <w:pStyle w:val="a3"/>
        <w:spacing w:before="0" w:beforeAutospacing="0" w:after="0" w:afterAutospacing="0"/>
        <w:jc w:val="both"/>
        <w:rPr>
          <w:sz w:val="20"/>
          <w:szCs w:val="20"/>
        </w:rPr>
      </w:pPr>
      <w:r>
        <w:rPr>
          <w:sz w:val="20"/>
          <w:szCs w:val="20"/>
        </w:rPr>
        <w:t> </w:t>
      </w:r>
    </w:p>
    <w:p w14:paraId="655238FF" w14:textId="77777777" w:rsidR="00000000" w:rsidRDefault="00322B34">
      <w:pPr>
        <w:pStyle w:val="a3"/>
        <w:spacing w:before="0" w:beforeAutospacing="0" w:after="0" w:afterAutospacing="0"/>
        <w:jc w:val="both"/>
        <w:rPr>
          <w:sz w:val="20"/>
          <w:szCs w:val="20"/>
        </w:rPr>
      </w:pPr>
      <w:r>
        <w:rPr>
          <w:sz w:val="20"/>
          <w:szCs w:val="20"/>
          <w:u w:val="single"/>
        </w:rPr>
        <w:t>Operating Activities</w:t>
      </w:r>
    </w:p>
    <w:p w14:paraId="1E6173F1" w14:textId="77777777" w:rsidR="00000000" w:rsidRDefault="00322B34">
      <w:pPr>
        <w:pStyle w:val="a3"/>
        <w:spacing w:before="0" w:beforeAutospacing="0" w:after="0" w:afterAutospacing="0"/>
        <w:jc w:val="both"/>
        <w:rPr>
          <w:sz w:val="20"/>
          <w:szCs w:val="20"/>
        </w:rPr>
      </w:pPr>
      <w:r>
        <w:rPr>
          <w:sz w:val="20"/>
          <w:szCs w:val="20"/>
        </w:rPr>
        <w:t> </w:t>
      </w:r>
    </w:p>
    <w:p w14:paraId="1BA9AE35" w14:textId="77777777" w:rsidR="00000000" w:rsidRDefault="00322B34">
      <w:pPr>
        <w:pStyle w:val="a3"/>
        <w:spacing w:before="0" w:beforeAutospacing="0" w:after="0" w:afterAutospacing="0"/>
        <w:ind w:firstLine="360"/>
        <w:jc w:val="both"/>
        <w:rPr>
          <w:sz w:val="20"/>
          <w:szCs w:val="20"/>
        </w:rPr>
      </w:pPr>
      <w:r>
        <w:rPr>
          <w:sz w:val="20"/>
          <w:szCs w:val="20"/>
        </w:rPr>
        <w:t>The Company anticipates that cash on hand, net cash flow provided by operating activities, borrowings under its Credit Facility and the issuance of equity and public debt, as well as other debt and equity alternatives, will provide the necessary capital re</w:t>
      </w:r>
      <w:r>
        <w:rPr>
          <w:sz w:val="20"/>
          <w:szCs w:val="20"/>
        </w:rPr>
        <w:t>quired by the Company. The Company will continue to evaluate its capital requirements for both its short-term and long-term liquidity needs, all of which are highly uncertain and cannot be predicted, which could be affected by various risks and uncertainti</w:t>
      </w:r>
      <w:r>
        <w:rPr>
          <w:sz w:val="20"/>
          <w:szCs w:val="20"/>
        </w:rPr>
        <w:t>es, including, but not limited to, the effects of the COVID-19 pandemic and other risks detailed in Part II, Item 1A. Risk Factors. See further discussion relating to the effects of the COVID-19 pandemic in the “COVID-19 Pandemic”, “Investing Activities” a</w:t>
      </w:r>
      <w:r>
        <w:rPr>
          <w:sz w:val="20"/>
          <w:szCs w:val="20"/>
        </w:rPr>
        <w:t>nd “Financing Activities” sections within this Item 2.</w:t>
      </w:r>
    </w:p>
    <w:p w14:paraId="578CEFEF" w14:textId="77777777" w:rsidR="00000000" w:rsidRDefault="00322B34">
      <w:pPr>
        <w:pStyle w:val="a3"/>
        <w:spacing w:before="0" w:beforeAutospacing="0" w:after="0" w:afterAutospacing="0"/>
        <w:ind w:firstLine="360"/>
        <w:jc w:val="both"/>
        <w:rPr>
          <w:sz w:val="20"/>
          <w:szCs w:val="20"/>
        </w:rPr>
      </w:pPr>
      <w:r>
        <w:rPr>
          <w:sz w:val="20"/>
          <w:szCs w:val="20"/>
        </w:rPr>
        <w:t> </w:t>
      </w:r>
    </w:p>
    <w:p w14:paraId="54DD8501" w14:textId="77777777" w:rsidR="00000000" w:rsidRDefault="00322B34">
      <w:pPr>
        <w:pStyle w:val="a3"/>
        <w:spacing w:before="0" w:beforeAutospacing="0" w:after="0" w:afterAutospacing="0"/>
        <w:ind w:firstLine="360"/>
        <w:jc w:val="both"/>
        <w:rPr>
          <w:sz w:val="20"/>
          <w:szCs w:val="20"/>
        </w:rPr>
      </w:pPr>
      <w:r>
        <w:rPr>
          <w:sz w:val="20"/>
          <w:szCs w:val="20"/>
        </w:rPr>
        <w:t>Net cash flow provided by operating activities for the six months ended June 30, 2020, was $237.4 million, as compared to $313.5 million for the comparable period in 2019. The decrease of $76.1 million is primarily attributable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A89BEA7" w14:textId="77777777">
        <w:trPr>
          <w:tblCellSpacing w:w="0" w:type="dxa"/>
        </w:trPr>
        <w:tc>
          <w:tcPr>
            <w:tcW w:w="720" w:type="dxa"/>
            <w:vAlign w:val="center"/>
            <w:hideMark/>
          </w:tcPr>
          <w:p w14:paraId="514467C1" w14:textId="77777777" w:rsidR="00000000" w:rsidRDefault="00322B34">
            <w:pPr>
              <w:rPr>
                <w:rFonts w:eastAsia="Times New Roman"/>
                <w:sz w:val="20"/>
                <w:szCs w:val="20"/>
              </w:rPr>
            </w:pPr>
            <w:r>
              <w:rPr>
                <w:rFonts w:eastAsia="Times New Roman"/>
                <w:sz w:val="20"/>
                <w:szCs w:val="20"/>
              </w:rPr>
              <w:t> </w:t>
            </w:r>
          </w:p>
        </w:tc>
        <w:tc>
          <w:tcPr>
            <w:tcW w:w="360" w:type="dxa"/>
            <w:hideMark/>
          </w:tcPr>
          <w:p w14:paraId="484D42A3"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570233CA" w14:textId="77777777" w:rsidR="00000000" w:rsidRDefault="00322B34">
            <w:pPr>
              <w:pStyle w:val="a3"/>
              <w:spacing w:before="0" w:beforeAutospacing="0" w:after="0" w:afterAutospacing="0"/>
              <w:jc w:val="both"/>
              <w:rPr>
                <w:sz w:val="20"/>
                <w:szCs w:val="20"/>
              </w:rPr>
            </w:pPr>
            <w:r>
              <w:rPr>
                <w:sz w:val="20"/>
                <w:szCs w:val="20"/>
              </w:rPr>
              <w:t xml:space="preserve">changes in accounts </w:t>
            </w:r>
            <w:r>
              <w:rPr>
                <w:sz w:val="20"/>
                <w:szCs w:val="20"/>
              </w:rPr>
              <w:t>and notes receivables, net primarily due to the deferral of rent payments, late or partial rent payments or defaulted rent payments as a result of the COVID-19 pandemic;</w:t>
            </w:r>
          </w:p>
        </w:tc>
      </w:tr>
    </w:tbl>
    <w:p w14:paraId="6163C038"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AD3E759" w14:textId="77777777">
        <w:trPr>
          <w:tblCellSpacing w:w="0" w:type="dxa"/>
        </w:trPr>
        <w:tc>
          <w:tcPr>
            <w:tcW w:w="720" w:type="dxa"/>
            <w:vAlign w:val="center"/>
            <w:hideMark/>
          </w:tcPr>
          <w:p w14:paraId="4AD1FCFC" w14:textId="77777777" w:rsidR="00000000" w:rsidRDefault="00322B34">
            <w:pPr>
              <w:rPr>
                <w:rFonts w:eastAsia="Times New Roman"/>
                <w:sz w:val="20"/>
                <w:szCs w:val="20"/>
              </w:rPr>
            </w:pPr>
            <w:r>
              <w:rPr>
                <w:rFonts w:eastAsia="Times New Roman"/>
                <w:sz w:val="20"/>
                <w:szCs w:val="20"/>
              </w:rPr>
              <w:t> </w:t>
            </w:r>
          </w:p>
        </w:tc>
        <w:tc>
          <w:tcPr>
            <w:tcW w:w="360" w:type="dxa"/>
            <w:hideMark/>
          </w:tcPr>
          <w:p w14:paraId="74E324D0"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49083486" w14:textId="77777777" w:rsidR="00000000" w:rsidRDefault="00322B34">
            <w:pPr>
              <w:pStyle w:val="a3"/>
              <w:spacing w:before="0" w:beforeAutospacing="0" w:after="0" w:afterAutospacing="0"/>
              <w:jc w:val="both"/>
              <w:rPr>
                <w:sz w:val="20"/>
                <w:szCs w:val="20"/>
              </w:rPr>
            </w:pPr>
            <w:r>
              <w:rPr>
                <w:sz w:val="20"/>
                <w:szCs w:val="20"/>
              </w:rPr>
              <w:t>the disposition of operating properties in 2020 and 2019; and</w:t>
            </w:r>
          </w:p>
        </w:tc>
      </w:tr>
    </w:tbl>
    <w:p w14:paraId="0E5F260A"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C87EDF0" w14:textId="77777777">
        <w:trPr>
          <w:tblCellSpacing w:w="0" w:type="dxa"/>
        </w:trPr>
        <w:tc>
          <w:tcPr>
            <w:tcW w:w="720" w:type="dxa"/>
            <w:vAlign w:val="center"/>
            <w:hideMark/>
          </w:tcPr>
          <w:p w14:paraId="734305E7" w14:textId="77777777" w:rsidR="00000000" w:rsidRDefault="00322B34">
            <w:pPr>
              <w:rPr>
                <w:rFonts w:eastAsia="Times New Roman"/>
                <w:sz w:val="20"/>
                <w:szCs w:val="20"/>
              </w:rPr>
            </w:pPr>
            <w:r>
              <w:rPr>
                <w:rFonts w:eastAsia="Times New Roman"/>
                <w:sz w:val="20"/>
                <w:szCs w:val="20"/>
              </w:rPr>
              <w:t> </w:t>
            </w:r>
          </w:p>
        </w:tc>
        <w:tc>
          <w:tcPr>
            <w:tcW w:w="360" w:type="dxa"/>
            <w:hideMark/>
          </w:tcPr>
          <w:p w14:paraId="6D465890"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3EC09103" w14:textId="77777777" w:rsidR="00000000" w:rsidRDefault="00322B34">
            <w:pPr>
              <w:pStyle w:val="a3"/>
              <w:spacing w:before="0" w:beforeAutospacing="0" w:after="0" w:afterAutospacing="0"/>
              <w:jc w:val="both"/>
              <w:rPr>
                <w:sz w:val="20"/>
                <w:szCs w:val="20"/>
              </w:rPr>
            </w:pPr>
            <w:r>
              <w:rPr>
                <w:sz w:val="20"/>
                <w:szCs w:val="20"/>
              </w:rPr>
              <w:t>a decrease i</w:t>
            </w:r>
            <w:r>
              <w:rPr>
                <w:sz w:val="20"/>
                <w:szCs w:val="20"/>
              </w:rPr>
              <w:t>n distributions from the Company’s joint venture programs; partially offset by</w:t>
            </w:r>
          </w:p>
        </w:tc>
      </w:tr>
    </w:tbl>
    <w:p w14:paraId="05C005D4"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73BEDB8" w14:textId="77777777">
        <w:trPr>
          <w:tblCellSpacing w:w="0" w:type="dxa"/>
        </w:trPr>
        <w:tc>
          <w:tcPr>
            <w:tcW w:w="720" w:type="dxa"/>
            <w:vAlign w:val="center"/>
            <w:hideMark/>
          </w:tcPr>
          <w:p w14:paraId="32AC5063" w14:textId="77777777" w:rsidR="00000000" w:rsidRDefault="00322B34">
            <w:pPr>
              <w:rPr>
                <w:rFonts w:eastAsia="Times New Roman"/>
                <w:sz w:val="20"/>
                <w:szCs w:val="20"/>
              </w:rPr>
            </w:pPr>
            <w:r>
              <w:rPr>
                <w:rFonts w:eastAsia="Times New Roman"/>
                <w:sz w:val="20"/>
                <w:szCs w:val="20"/>
              </w:rPr>
              <w:t> </w:t>
            </w:r>
          </w:p>
        </w:tc>
        <w:tc>
          <w:tcPr>
            <w:tcW w:w="360" w:type="dxa"/>
            <w:hideMark/>
          </w:tcPr>
          <w:p w14:paraId="1794AC8D"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3DAC54BF" w14:textId="77777777" w:rsidR="00000000" w:rsidRDefault="00322B34">
            <w:pPr>
              <w:pStyle w:val="a3"/>
              <w:spacing w:before="0" w:beforeAutospacing="0" w:after="0" w:afterAutospacing="0"/>
              <w:jc w:val="both"/>
              <w:rPr>
                <w:sz w:val="20"/>
                <w:szCs w:val="20"/>
              </w:rPr>
            </w:pPr>
            <w:r>
              <w:rPr>
                <w:sz w:val="20"/>
                <w:szCs w:val="20"/>
              </w:rPr>
              <w:t>new leasing, expansion and re-tenanting of core portfolio properties;</w:t>
            </w:r>
          </w:p>
        </w:tc>
      </w:tr>
    </w:tbl>
    <w:p w14:paraId="711B6683"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724B600" w14:textId="77777777">
        <w:trPr>
          <w:tblCellSpacing w:w="0" w:type="dxa"/>
        </w:trPr>
        <w:tc>
          <w:tcPr>
            <w:tcW w:w="720" w:type="dxa"/>
            <w:vAlign w:val="center"/>
            <w:hideMark/>
          </w:tcPr>
          <w:p w14:paraId="4338920C" w14:textId="77777777" w:rsidR="00000000" w:rsidRDefault="00322B34">
            <w:pPr>
              <w:rPr>
                <w:rFonts w:eastAsia="Times New Roman"/>
                <w:sz w:val="20"/>
                <w:szCs w:val="20"/>
              </w:rPr>
            </w:pPr>
            <w:r>
              <w:rPr>
                <w:rFonts w:eastAsia="Times New Roman"/>
                <w:sz w:val="20"/>
                <w:szCs w:val="20"/>
              </w:rPr>
              <w:t> </w:t>
            </w:r>
          </w:p>
        </w:tc>
        <w:tc>
          <w:tcPr>
            <w:tcW w:w="360" w:type="dxa"/>
            <w:hideMark/>
          </w:tcPr>
          <w:p w14:paraId="6C47A3E8"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1367FB69" w14:textId="77777777" w:rsidR="00000000" w:rsidRDefault="00322B34">
            <w:pPr>
              <w:pStyle w:val="a3"/>
              <w:spacing w:before="0" w:beforeAutospacing="0" w:after="0" w:afterAutospacing="0"/>
              <w:jc w:val="both"/>
              <w:rPr>
                <w:sz w:val="20"/>
                <w:szCs w:val="20"/>
              </w:rPr>
            </w:pPr>
            <w:r>
              <w:rPr>
                <w:sz w:val="20"/>
                <w:szCs w:val="20"/>
              </w:rPr>
              <w:t>changes in operating assets and liabilities, net due to timing of receipts and payments; and</w:t>
            </w:r>
          </w:p>
        </w:tc>
      </w:tr>
    </w:tbl>
    <w:p w14:paraId="7666E315"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8B986E8" w14:textId="77777777">
        <w:trPr>
          <w:tblCellSpacing w:w="0" w:type="dxa"/>
        </w:trPr>
        <w:tc>
          <w:tcPr>
            <w:tcW w:w="720" w:type="dxa"/>
            <w:vAlign w:val="center"/>
            <w:hideMark/>
          </w:tcPr>
          <w:p w14:paraId="64228899" w14:textId="77777777" w:rsidR="00000000" w:rsidRDefault="00322B34">
            <w:pPr>
              <w:rPr>
                <w:rFonts w:eastAsia="Times New Roman"/>
                <w:sz w:val="20"/>
                <w:szCs w:val="20"/>
              </w:rPr>
            </w:pPr>
            <w:r>
              <w:rPr>
                <w:rFonts w:eastAsia="Times New Roman"/>
                <w:sz w:val="20"/>
                <w:szCs w:val="20"/>
              </w:rPr>
              <w:t> </w:t>
            </w:r>
          </w:p>
        </w:tc>
        <w:tc>
          <w:tcPr>
            <w:tcW w:w="360" w:type="dxa"/>
            <w:hideMark/>
          </w:tcPr>
          <w:p w14:paraId="1BDF4C0C"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60752281" w14:textId="77777777" w:rsidR="00000000" w:rsidRDefault="00322B34">
            <w:pPr>
              <w:pStyle w:val="a3"/>
              <w:spacing w:before="0" w:beforeAutospacing="0" w:after="0" w:afterAutospacing="0"/>
              <w:jc w:val="both"/>
              <w:rPr>
                <w:sz w:val="20"/>
                <w:szCs w:val="20"/>
              </w:rPr>
            </w:pPr>
            <w:r>
              <w:rPr>
                <w:sz w:val="20"/>
                <w:szCs w:val="20"/>
              </w:rPr>
              <w:t>the acquisition of an operating property during 2020.</w:t>
            </w:r>
          </w:p>
        </w:tc>
      </w:tr>
    </w:tbl>
    <w:p w14:paraId="5079362A" w14:textId="77777777" w:rsidR="00000000" w:rsidRDefault="00322B34">
      <w:pPr>
        <w:pStyle w:val="a3"/>
        <w:spacing w:before="0" w:beforeAutospacing="0" w:after="0" w:afterAutospacing="0"/>
        <w:jc w:val="both"/>
        <w:rPr>
          <w:sz w:val="20"/>
          <w:szCs w:val="20"/>
        </w:rPr>
      </w:pPr>
      <w:r>
        <w:rPr>
          <w:sz w:val="20"/>
          <w:szCs w:val="20"/>
        </w:rPr>
        <w:t> </w:t>
      </w:r>
    </w:p>
    <w:p w14:paraId="551FD8D3" w14:textId="77777777" w:rsidR="00000000" w:rsidRDefault="00322B34">
      <w:pPr>
        <w:pStyle w:val="a3"/>
        <w:spacing w:before="0" w:beforeAutospacing="0" w:after="0" w:afterAutospacing="0"/>
        <w:ind w:firstLine="360"/>
        <w:jc w:val="both"/>
        <w:rPr>
          <w:sz w:val="20"/>
          <w:szCs w:val="20"/>
        </w:rPr>
      </w:pPr>
      <w:r>
        <w:rPr>
          <w:sz w:val="20"/>
          <w:szCs w:val="20"/>
        </w:rPr>
        <w:t>Due to the current economic uncertainty resulting from the COVID-19 pandemic, the Company has, and c</w:t>
      </w:r>
      <w:r>
        <w:rPr>
          <w:sz w:val="20"/>
          <w:szCs w:val="20"/>
        </w:rPr>
        <w:t>ontinues to have, worked with its tenants to grant rent deferrals on a tenant-by-tenant basis. The deferrals are anticipated to be paid within six to 18 months.</w:t>
      </w:r>
    </w:p>
    <w:p w14:paraId="41CE0240" w14:textId="77777777" w:rsidR="00000000" w:rsidRDefault="00322B34">
      <w:pPr>
        <w:pStyle w:val="a3"/>
        <w:spacing w:before="0" w:beforeAutospacing="0" w:after="0" w:afterAutospacing="0"/>
        <w:ind w:firstLine="360"/>
        <w:jc w:val="both"/>
        <w:rPr>
          <w:sz w:val="20"/>
          <w:szCs w:val="20"/>
        </w:rPr>
      </w:pPr>
      <w:r>
        <w:rPr>
          <w:sz w:val="20"/>
          <w:szCs w:val="20"/>
        </w:rPr>
        <w:t> </w:t>
      </w:r>
    </w:p>
    <w:p w14:paraId="173924CC" w14:textId="77777777" w:rsidR="00000000" w:rsidRDefault="00322B34">
      <w:pPr>
        <w:pStyle w:val="a3"/>
        <w:spacing w:before="0" w:beforeAutospacing="0" w:after="0" w:afterAutospacing="0"/>
        <w:ind w:firstLine="360"/>
        <w:jc w:val="both"/>
        <w:rPr>
          <w:sz w:val="20"/>
          <w:szCs w:val="20"/>
        </w:rPr>
      </w:pPr>
      <w:r>
        <w:rPr>
          <w:sz w:val="20"/>
          <w:szCs w:val="20"/>
        </w:rPr>
        <w:t>In addition, during April 2020, the Company created a Tenant Assistance Program to assist sma</w:t>
      </w:r>
      <w:r>
        <w:rPr>
          <w:sz w:val="20"/>
          <w:szCs w:val="20"/>
        </w:rPr>
        <w:t>ll business tenants in identifying and applying for federal and state aid to help support their businesses during the COVID-19 pandemic. The Company is working in partnership with law firms to provide assistance with the application process at the Company’</w:t>
      </w:r>
      <w:r>
        <w:rPr>
          <w:sz w:val="20"/>
          <w:szCs w:val="20"/>
        </w:rPr>
        <w:t>s expense. Legal professionals will assist tenants in identifying suitable loan programs, identifying potential lending institutions, and preparing and submitting applications.</w:t>
      </w:r>
    </w:p>
    <w:p w14:paraId="06456DE5" w14:textId="77777777" w:rsidR="00000000" w:rsidRDefault="00322B34">
      <w:pPr>
        <w:pStyle w:val="a3"/>
        <w:spacing w:before="0" w:beforeAutospacing="0" w:after="0" w:afterAutospacing="0"/>
        <w:ind w:firstLine="360"/>
        <w:jc w:val="both"/>
        <w:rPr>
          <w:sz w:val="20"/>
          <w:szCs w:val="20"/>
        </w:rPr>
      </w:pPr>
      <w:r>
        <w:rPr>
          <w:sz w:val="20"/>
          <w:szCs w:val="20"/>
        </w:rPr>
        <w:t> </w:t>
      </w:r>
    </w:p>
    <w:p w14:paraId="30959E1E" w14:textId="77777777" w:rsidR="00000000" w:rsidRDefault="00322B34">
      <w:pPr>
        <w:pStyle w:val="a3"/>
        <w:spacing w:before="0" w:beforeAutospacing="0" w:after="0" w:afterAutospacing="0"/>
        <w:jc w:val="both"/>
        <w:rPr>
          <w:sz w:val="20"/>
          <w:szCs w:val="20"/>
        </w:rPr>
      </w:pPr>
      <w:r>
        <w:rPr>
          <w:sz w:val="20"/>
          <w:szCs w:val="20"/>
          <w:u w:val="single"/>
        </w:rPr>
        <w:t>Investing Activities</w:t>
      </w:r>
    </w:p>
    <w:p w14:paraId="76DFBA04" w14:textId="77777777" w:rsidR="00000000" w:rsidRDefault="00322B34">
      <w:pPr>
        <w:pStyle w:val="a3"/>
        <w:spacing w:before="0" w:beforeAutospacing="0" w:after="0" w:afterAutospacing="0"/>
        <w:ind w:firstLine="360"/>
        <w:jc w:val="both"/>
        <w:rPr>
          <w:sz w:val="20"/>
          <w:szCs w:val="20"/>
        </w:rPr>
      </w:pPr>
      <w:r>
        <w:rPr>
          <w:sz w:val="20"/>
          <w:szCs w:val="20"/>
        </w:rPr>
        <w:t> </w:t>
      </w:r>
    </w:p>
    <w:p w14:paraId="7FF0127A" w14:textId="77777777" w:rsidR="00000000" w:rsidRDefault="00322B34">
      <w:pPr>
        <w:pStyle w:val="a3"/>
        <w:spacing w:before="0" w:beforeAutospacing="0" w:after="0" w:afterAutospacing="0"/>
        <w:ind w:firstLine="360"/>
        <w:jc w:val="both"/>
        <w:rPr>
          <w:sz w:val="20"/>
          <w:szCs w:val="20"/>
        </w:rPr>
      </w:pPr>
      <w:r>
        <w:rPr>
          <w:sz w:val="20"/>
          <w:szCs w:val="20"/>
        </w:rPr>
        <w:t>Net cash flow provided by investing activities was $96</w:t>
      </w:r>
      <w:r>
        <w:rPr>
          <w:sz w:val="20"/>
          <w:szCs w:val="20"/>
        </w:rPr>
        <w:t>.6 million for the six months ended June 30, 2020, as compared to net cash flow used for investing activities of $100.5 million for the comparable period in 2019.</w:t>
      </w:r>
    </w:p>
    <w:p w14:paraId="3801C93B" w14:textId="77777777" w:rsidR="00000000" w:rsidRDefault="00322B34">
      <w:pPr>
        <w:pStyle w:val="a3"/>
        <w:spacing w:before="0" w:beforeAutospacing="0" w:after="0" w:afterAutospacing="0"/>
        <w:ind w:firstLine="360"/>
        <w:jc w:val="both"/>
        <w:rPr>
          <w:sz w:val="20"/>
          <w:szCs w:val="20"/>
        </w:rPr>
      </w:pPr>
      <w:r>
        <w:rPr>
          <w:sz w:val="20"/>
          <w:szCs w:val="20"/>
        </w:rPr>
        <w:t> </w:t>
      </w:r>
    </w:p>
    <w:p w14:paraId="3791C077" w14:textId="77777777" w:rsidR="00000000" w:rsidRDefault="00322B34">
      <w:pPr>
        <w:pStyle w:val="a3"/>
        <w:spacing w:before="0" w:beforeAutospacing="0" w:after="0" w:afterAutospacing="0"/>
        <w:ind w:firstLine="360"/>
        <w:jc w:val="both"/>
        <w:rPr>
          <w:sz w:val="20"/>
          <w:szCs w:val="20"/>
        </w:rPr>
      </w:pPr>
      <w:r>
        <w:rPr>
          <w:sz w:val="20"/>
          <w:szCs w:val="20"/>
        </w:rPr>
        <w:t>Investing activities during 2020 primarily consisted of:</w:t>
      </w:r>
    </w:p>
    <w:p w14:paraId="6D915B83" w14:textId="77777777" w:rsidR="00000000" w:rsidRDefault="00322B34">
      <w:pPr>
        <w:pStyle w:val="a3"/>
        <w:spacing w:before="0" w:beforeAutospacing="0" w:after="0" w:afterAutospacing="0"/>
        <w:ind w:firstLine="540"/>
        <w:jc w:val="both"/>
        <w:rPr>
          <w:sz w:val="20"/>
          <w:szCs w:val="20"/>
        </w:rPr>
      </w:pPr>
      <w:r>
        <w:rPr>
          <w:sz w:val="20"/>
          <w:szCs w:val="20"/>
        </w:rPr>
        <w:t> </w:t>
      </w:r>
    </w:p>
    <w:p w14:paraId="7C7098F6" w14:textId="77777777" w:rsidR="00000000" w:rsidRDefault="00322B34">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C1D842E" w14:textId="77777777">
        <w:trPr>
          <w:tblCellSpacing w:w="0" w:type="dxa"/>
        </w:trPr>
        <w:tc>
          <w:tcPr>
            <w:tcW w:w="720" w:type="dxa"/>
            <w:vAlign w:val="center"/>
            <w:hideMark/>
          </w:tcPr>
          <w:p w14:paraId="06A9169F" w14:textId="77777777" w:rsidR="00000000" w:rsidRDefault="00322B34">
            <w:pPr>
              <w:rPr>
                <w:rFonts w:eastAsia="Times New Roman"/>
                <w:sz w:val="20"/>
                <w:szCs w:val="20"/>
              </w:rPr>
            </w:pPr>
            <w:r>
              <w:rPr>
                <w:rFonts w:eastAsia="Times New Roman"/>
                <w:sz w:val="20"/>
                <w:szCs w:val="20"/>
              </w:rPr>
              <w:t> </w:t>
            </w:r>
          </w:p>
        </w:tc>
        <w:tc>
          <w:tcPr>
            <w:tcW w:w="360" w:type="dxa"/>
            <w:hideMark/>
          </w:tcPr>
          <w:p w14:paraId="1FD591FA"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5F4DF0D8" w14:textId="77777777" w:rsidR="00000000" w:rsidRDefault="00322B34">
            <w:pPr>
              <w:pStyle w:val="a3"/>
              <w:spacing w:before="0" w:beforeAutospacing="0" w:after="0" w:afterAutospacing="0"/>
              <w:jc w:val="both"/>
              <w:rPr>
                <w:sz w:val="20"/>
                <w:szCs w:val="20"/>
              </w:rPr>
            </w:pPr>
            <w:r>
              <w:rPr>
                <w:sz w:val="20"/>
                <w:szCs w:val="20"/>
              </w:rPr>
              <w:t>$228.4 million in proceeds from the partial sale of the Company’s ACI cost method investment prior to its initial public offering (“IPO”) and the sale of 4.7 million shares of ACI common stock at its IPO;</w:t>
            </w:r>
          </w:p>
        </w:tc>
      </w:tr>
    </w:tbl>
    <w:p w14:paraId="2364C044"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67AC357" w14:textId="77777777">
        <w:trPr>
          <w:tblCellSpacing w:w="0" w:type="dxa"/>
        </w:trPr>
        <w:tc>
          <w:tcPr>
            <w:tcW w:w="720" w:type="dxa"/>
            <w:vAlign w:val="center"/>
            <w:hideMark/>
          </w:tcPr>
          <w:p w14:paraId="6B30A53A" w14:textId="77777777" w:rsidR="00000000" w:rsidRDefault="00322B34">
            <w:pPr>
              <w:rPr>
                <w:rFonts w:eastAsia="Times New Roman"/>
                <w:sz w:val="20"/>
                <w:szCs w:val="20"/>
              </w:rPr>
            </w:pPr>
            <w:r>
              <w:rPr>
                <w:rFonts w:eastAsia="Times New Roman"/>
                <w:sz w:val="20"/>
                <w:szCs w:val="20"/>
              </w:rPr>
              <w:t> </w:t>
            </w:r>
          </w:p>
        </w:tc>
        <w:tc>
          <w:tcPr>
            <w:tcW w:w="360" w:type="dxa"/>
            <w:hideMark/>
          </w:tcPr>
          <w:p w14:paraId="443F8893"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54673576" w14:textId="77777777" w:rsidR="00000000" w:rsidRDefault="00322B34">
            <w:pPr>
              <w:pStyle w:val="a3"/>
              <w:spacing w:before="0" w:beforeAutospacing="0" w:after="0" w:afterAutospacing="0"/>
              <w:jc w:val="both"/>
              <w:rPr>
                <w:sz w:val="20"/>
                <w:szCs w:val="20"/>
              </w:rPr>
            </w:pPr>
            <w:r>
              <w:rPr>
                <w:sz w:val="20"/>
                <w:szCs w:val="20"/>
              </w:rPr>
              <w:t>$13.4 million in proceeds from the sale of th</w:t>
            </w:r>
            <w:r>
              <w:rPr>
                <w:sz w:val="20"/>
                <w:szCs w:val="20"/>
              </w:rPr>
              <w:t>ree consolidated operating properties; and</w:t>
            </w:r>
          </w:p>
        </w:tc>
      </w:tr>
    </w:tbl>
    <w:p w14:paraId="7EA4A16A"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D3B6686" w14:textId="77777777">
        <w:trPr>
          <w:tblCellSpacing w:w="0" w:type="dxa"/>
        </w:trPr>
        <w:tc>
          <w:tcPr>
            <w:tcW w:w="720" w:type="dxa"/>
            <w:vAlign w:val="center"/>
            <w:hideMark/>
          </w:tcPr>
          <w:p w14:paraId="0CD16449" w14:textId="77777777" w:rsidR="00000000" w:rsidRDefault="00322B34">
            <w:pPr>
              <w:rPr>
                <w:rFonts w:eastAsia="Times New Roman"/>
                <w:sz w:val="20"/>
                <w:szCs w:val="20"/>
              </w:rPr>
            </w:pPr>
            <w:r>
              <w:rPr>
                <w:rFonts w:eastAsia="Times New Roman"/>
                <w:sz w:val="20"/>
                <w:szCs w:val="20"/>
              </w:rPr>
              <w:t> </w:t>
            </w:r>
          </w:p>
        </w:tc>
        <w:tc>
          <w:tcPr>
            <w:tcW w:w="360" w:type="dxa"/>
            <w:hideMark/>
          </w:tcPr>
          <w:p w14:paraId="5800F2E6"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37734C1B" w14:textId="77777777" w:rsidR="00000000" w:rsidRDefault="00322B34">
            <w:pPr>
              <w:pStyle w:val="a3"/>
              <w:spacing w:before="0" w:beforeAutospacing="0" w:after="0" w:afterAutospacing="0"/>
              <w:jc w:val="both"/>
              <w:rPr>
                <w:sz w:val="20"/>
                <w:szCs w:val="20"/>
              </w:rPr>
            </w:pPr>
            <w:r>
              <w:rPr>
                <w:sz w:val="20"/>
                <w:szCs w:val="20"/>
              </w:rPr>
              <w:t>$2.5 million in proceeds from insurance casualty claims.</w:t>
            </w:r>
          </w:p>
        </w:tc>
      </w:tr>
    </w:tbl>
    <w:p w14:paraId="4AD8FDCB" w14:textId="77777777" w:rsidR="00000000" w:rsidRDefault="00322B34">
      <w:pPr>
        <w:pStyle w:val="a3"/>
        <w:spacing w:before="0" w:beforeAutospacing="0" w:after="0" w:afterAutospacing="0"/>
        <w:ind w:left="1080"/>
        <w:jc w:val="both"/>
        <w:rPr>
          <w:sz w:val="20"/>
          <w:szCs w:val="20"/>
        </w:rPr>
      </w:pPr>
      <w:r>
        <w:rPr>
          <w:sz w:val="20"/>
          <w:szCs w:val="20"/>
        </w:rPr>
        <w:t> </w:t>
      </w:r>
    </w:p>
    <w:p w14:paraId="018D29CB" w14:textId="77777777" w:rsidR="00000000" w:rsidRDefault="00322B34">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99915A8" w14:textId="77777777">
        <w:trPr>
          <w:tblCellSpacing w:w="0" w:type="dxa"/>
        </w:trPr>
        <w:tc>
          <w:tcPr>
            <w:tcW w:w="720" w:type="dxa"/>
            <w:vAlign w:val="center"/>
            <w:hideMark/>
          </w:tcPr>
          <w:p w14:paraId="1F890A71" w14:textId="77777777" w:rsidR="00000000" w:rsidRDefault="00322B34">
            <w:pPr>
              <w:rPr>
                <w:rFonts w:eastAsia="Times New Roman"/>
                <w:sz w:val="20"/>
                <w:szCs w:val="20"/>
              </w:rPr>
            </w:pPr>
            <w:r>
              <w:rPr>
                <w:rFonts w:eastAsia="Times New Roman"/>
                <w:sz w:val="20"/>
                <w:szCs w:val="20"/>
              </w:rPr>
              <w:t> </w:t>
            </w:r>
          </w:p>
        </w:tc>
        <w:tc>
          <w:tcPr>
            <w:tcW w:w="360" w:type="dxa"/>
            <w:hideMark/>
          </w:tcPr>
          <w:p w14:paraId="676265A5"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44E2530E" w14:textId="77777777" w:rsidR="00000000" w:rsidRDefault="00322B34">
            <w:pPr>
              <w:pStyle w:val="a3"/>
              <w:spacing w:before="0" w:beforeAutospacing="0" w:after="0" w:afterAutospacing="0"/>
              <w:jc w:val="both"/>
              <w:rPr>
                <w:sz w:val="20"/>
                <w:szCs w:val="20"/>
              </w:rPr>
            </w:pPr>
            <w:r>
              <w:rPr>
                <w:sz w:val="20"/>
                <w:szCs w:val="20"/>
              </w:rPr>
              <w:t>$133.2 million for improvements to operating real estate primarily related to the Company’s active redevelopment pipeline and improvements to real estate under development;</w:t>
            </w:r>
          </w:p>
        </w:tc>
      </w:tr>
    </w:tbl>
    <w:p w14:paraId="40E09224"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C7432C0" w14:textId="77777777">
        <w:trPr>
          <w:tblCellSpacing w:w="0" w:type="dxa"/>
        </w:trPr>
        <w:tc>
          <w:tcPr>
            <w:tcW w:w="720" w:type="dxa"/>
            <w:vAlign w:val="center"/>
            <w:hideMark/>
          </w:tcPr>
          <w:p w14:paraId="02534D31" w14:textId="77777777" w:rsidR="00000000" w:rsidRDefault="00322B34">
            <w:pPr>
              <w:rPr>
                <w:rFonts w:eastAsia="Times New Roman"/>
                <w:sz w:val="20"/>
                <w:szCs w:val="20"/>
              </w:rPr>
            </w:pPr>
            <w:r>
              <w:rPr>
                <w:rFonts w:eastAsia="Times New Roman"/>
                <w:sz w:val="20"/>
                <w:szCs w:val="20"/>
              </w:rPr>
              <w:t> </w:t>
            </w:r>
          </w:p>
        </w:tc>
        <w:tc>
          <w:tcPr>
            <w:tcW w:w="360" w:type="dxa"/>
            <w:hideMark/>
          </w:tcPr>
          <w:p w14:paraId="50C509AC"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3210E028" w14:textId="77777777" w:rsidR="00000000" w:rsidRDefault="00322B34">
            <w:pPr>
              <w:pStyle w:val="a3"/>
              <w:spacing w:before="0" w:beforeAutospacing="0" w:after="0" w:afterAutospacing="0"/>
              <w:jc w:val="both"/>
              <w:rPr>
                <w:sz w:val="20"/>
                <w:szCs w:val="20"/>
              </w:rPr>
            </w:pPr>
            <w:r>
              <w:rPr>
                <w:sz w:val="20"/>
                <w:szCs w:val="20"/>
              </w:rPr>
              <w:t>$9.3 million for investments in and advances to real estate joint ventures, p</w:t>
            </w:r>
            <w:r>
              <w:rPr>
                <w:sz w:val="20"/>
                <w:szCs w:val="20"/>
              </w:rPr>
              <w:t>rimarily related to a redevelopment project within the Company’s joint venture portfolio, and investments in other real estate investments, primarily related to repayment of a mortgage within the Company’s Preferred Equity Program; and</w:t>
            </w:r>
          </w:p>
        </w:tc>
      </w:tr>
    </w:tbl>
    <w:p w14:paraId="20CBCFE3"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7F64EF9" w14:textId="77777777">
        <w:trPr>
          <w:tblCellSpacing w:w="0" w:type="dxa"/>
        </w:trPr>
        <w:tc>
          <w:tcPr>
            <w:tcW w:w="720" w:type="dxa"/>
            <w:vAlign w:val="center"/>
            <w:hideMark/>
          </w:tcPr>
          <w:p w14:paraId="45F2ECAA" w14:textId="77777777" w:rsidR="00000000" w:rsidRDefault="00322B34">
            <w:pPr>
              <w:rPr>
                <w:rFonts w:eastAsia="Times New Roman"/>
                <w:sz w:val="20"/>
                <w:szCs w:val="20"/>
              </w:rPr>
            </w:pPr>
            <w:r>
              <w:rPr>
                <w:rFonts w:eastAsia="Times New Roman"/>
                <w:sz w:val="20"/>
                <w:szCs w:val="20"/>
              </w:rPr>
              <w:t> </w:t>
            </w:r>
          </w:p>
        </w:tc>
        <w:tc>
          <w:tcPr>
            <w:tcW w:w="360" w:type="dxa"/>
            <w:hideMark/>
          </w:tcPr>
          <w:p w14:paraId="136E0E40"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00257496" w14:textId="77777777" w:rsidR="00000000" w:rsidRDefault="00322B34">
            <w:pPr>
              <w:pStyle w:val="a3"/>
              <w:spacing w:before="0" w:beforeAutospacing="0" w:after="0" w:afterAutospacing="0"/>
              <w:jc w:val="both"/>
              <w:rPr>
                <w:sz w:val="20"/>
                <w:szCs w:val="20"/>
              </w:rPr>
            </w:pPr>
            <w:r>
              <w:rPr>
                <w:sz w:val="20"/>
                <w:szCs w:val="20"/>
              </w:rPr>
              <w:t>$7.1 million f</w:t>
            </w:r>
            <w:r>
              <w:rPr>
                <w:sz w:val="20"/>
                <w:szCs w:val="20"/>
              </w:rPr>
              <w:t>or the acquisition of operating real estate.</w:t>
            </w:r>
          </w:p>
        </w:tc>
      </w:tr>
    </w:tbl>
    <w:p w14:paraId="7F406DF0" w14:textId="77777777" w:rsidR="00000000" w:rsidRDefault="00322B34">
      <w:pPr>
        <w:pStyle w:val="a3"/>
        <w:spacing w:before="0" w:beforeAutospacing="0" w:after="0" w:afterAutospacing="0"/>
        <w:ind w:left="720"/>
        <w:jc w:val="both"/>
        <w:rPr>
          <w:sz w:val="20"/>
          <w:szCs w:val="20"/>
        </w:rPr>
      </w:pPr>
      <w:r>
        <w:rPr>
          <w:sz w:val="20"/>
          <w:szCs w:val="20"/>
        </w:rPr>
        <w:t> </w:t>
      </w:r>
    </w:p>
    <w:p w14:paraId="65C6835A" w14:textId="77777777" w:rsidR="00000000" w:rsidRDefault="00322B34">
      <w:pPr>
        <w:jc w:val="center"/>
        <w:divId w:val="1818301737"/>
        <w:rPr>
          <w:rFonts w:eastAsia="Times New Roman"/>
          <w:sz w:val="20"/>
          <w:szCs w:val="20"/>
        </w:rPr>
      </w:pPr>
      <w:r>
        <w:rPr>
          <w:rFonts w:eastAsia="Times New Roman"/>
          <w:sz w:val="20"/>
          <w:szCs w:val="20"/>
        </w:rPr>
        <w:t xml:space="preserve">26 </w:t>
      </w:r>
    </w:p>
    <w:p w14:paraId="0BA9F495" w14:textId="77777777" w:rsidR="00000000" w:rsidRDefault="00322B34">
      <w:pPr>
        <w:divId w:val="61762102"/>
        <w:rPr>
          <w:rFonts w:eastAsia="Times New Roman"/>
          <w:sz w:val="20"/>
          <w:szCs w:val="20"/>
        </w:rPr>
      </w:pPr>
      <w:r>
        <w:rPr>
          <w:rFonts w:eastAsia="Times New Roman"/>
          <w:sz w:val="20"/>
          <w:szCs w:val="20"/>
        </w:rPr>
        <w:pict w14:anchorId="2BCF80D5">
          <v:rect id="_x0000_i1054" style="width:0;height:1.5pt" o:hralign="center" o:hrstd="t" o:hr="t" fillcolor="#a0a0a0" stroked="f"/>
        </w:pict>
      </w:r>
    </w:p>
    <w:p w14:paraId="1218A64A" w14:textId="77777777" w:rsidR="00000000" w:rsidRDefault="00322B34">
      <w:pPr>
        <w:divId w:val="164693165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6B01429" w14:textId="77777777" w:rsidR="00000000" w:rsidRDefault="00322B34">
      <w:pPr>
        <w:pStyle w:val="a3"/>
        <w:spacing w:before="0" w:beforeAutospacing="0" w:after="0" w:afterAutospacing="0"/>
        <w:rPr>
          <w:sz w:val="20"/>
          <w:szCs w:val="20"/>
        </w:rPr>
      </w:pPr>
      <w:r>
        <w:rPr>
          <w:sz w:val="20"/>
          <w:szCs w:val="20"/>
        </w:rPr>
        <w:t> </w:t>
      </w:r>
    </w:p>
    <w:p w14:paraId="3C025A56" w14:textId="77777777" w:rsidR="00000000" w:rsidRDefault="00322B34">
      <w:pPr>
        <w:pStyle w:val="a3"/>
        <w:spacing w:before="0" w:beforeAutospacing="0" w:after="0" w:afterAutospacing="0"/>
        <w:ind w:firstLine="360"/>
        <w:jc w:val="both"/>
        <w:rPr>
          <w:sz w:val="20"/>
          <w:szCs w:val="20"/>
        </w:rPr>
      </w:pPr>
      <w:r>
        <w:rPr>
          <w:sz w:val="20"/>
          <w:szCs w:val="20"/>
        </w:rPr>
        <w:t>Investing activities during 2019 primarily consisted of:</w:t>
      </w:r>
    </w:p>
    <w:p w14:paraId="41506F3B" w14:textId="77777777" w:rsidR="00000000" w:rsidRDefault="00322B34">
      <w:pPr>
        <w:pStyle w:val="a3"/>
        <w:spacing w:before="0" w:beforeAutospacing="0" w:after="0" w:afterAutospacing="0"/>
        <w:ind w:firstLine="540"/>
        <w:jc w:val="both"/>
        <w:rPr>
          <w:sz w:val="20"/>
          <w:szCs w:val="20"/>
        </w:rPr>
      </w:pPr>
      <w:r>
        <w:rPr>
          <w:sz w:val="20"/>
          <w:szCs w:val="20"/>
        </w:rPr>
        <w:t> </w:t>
      </w:r>
    </w:p>
    <w:p w14:paraId="45C80A0B" w14:textId="77777777" w:rsidR="00000000" w:rsidRDefault="00322B34">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C78BD42" w14:textId="77777777">
        <w:trPr>
          <w:tblCellSpacing w:w="0" w:type="dxa"/>
        </w:trPr>
        <w:tc>
          <w:tcPr>
            <w:tcW w:w="720" w:type="dxa"/>
            <w:vAlign w:val="center"/>
            <w:hideMark/>
          </w:tcPr>
          <w:p w14:paraId="26361925" w14:textId="77777777" w:rsidR="00000000" w:rsidRDefault="00322B34">
            <w:pPr>
              <w:rPr>
                <w:rFonts w:eastAsia="Times New Roman"/>
                <w:sz w:val="20"/>
                <w:szCs w:val="20"/>
              </w:rPr>
            </w:pPr>
            <w:r>
              <w:rPr>
                <w:rFonts w:eastAsia="Times New Roman"/>
                <w:sz w:val="20"/>
                <w:szCs w:val="20"/>
              </w:rPr>
              <w:t> </w:t>
            </w:r>
          </w:p>
        </w:tc>
        <w:tc>
          <w:tcPr>
            <w:tcW w:w="360" w:type="dxa"/>
            <w:hideMark/>
          </w:tcPr>
          <w:p w14:paraId="046F6F6B"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42122095" w14:textId="77777777" w:rsidR="00000000" w:rsidRDefault="00322B34">
            <w:pPr>
              <w:pStyle w:val="a3"/>
              <w:spacing w:before="0" w:beforeAutospacing="0" w:after="0" w:afterAutospacing="0"/>
              <w:jc w:val="both"/>
              <w:rPr>
                <w:sz w:val="20"/>
                <w:szCs w:val="20"/>
              </w:rPr>
            </w:pPr>
            <w:r>
              <w:rPr>
                <w:sz w:val="20"/>
                <w:szCs w:val="20"/>
              </w:rPr>
              <w:t>$106.8 million in proceeds from the sale of seven consolidated operating properties and five out-parcels;</w:t>
            </w:r>
          </w:p>
        </w:tc>
      </w:tr>
    </w:tbl>
    <w:p w14:paraId="4F01719B"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5F07B76" w14:textId="77777777">
        <w:trPr>
          <w:tblCellSpacing w:w="0" w:type="dxa"/>
        </w:trPr>
        <w:tc>
          <w:tcPr>
            <w:tcW w:w="720" w:type="dxa"/>
            <w:vAlign w:val="center"/>
            <w:hideMark/>
          </w:tcPr>
          <w:p w14:paraId="05701EFB" w14:textId="77777777" w:rsidR="00000000" w:rsidRDefault="00322B34">
            <w:pPr>
              <w:rPr>
                <w:rFonts w:eastAsia="Times New Roman"/>
                <w:sz w:val="20"/>
                <w:szCs w:val="20"/>
              </w:rPr>
            </w:pPr>
            <w:r>
              <w:rPr>
                <w:rFonts w:eastAsia="Times New Roman"/>
                <w:sz w:val="20"/>
                <w:szCs w:val="20"/>
              </w:rPr>
              <w:t> </w:t>
            </w:r>
          </w:p>
        </w:tc>
        <w:tc>
          <w:tcPr>
            <w:tcW w:w="360" w:type="dxa"/>
            <w:hideMark/>
          </w:tcPr>
          <w:p w14:paraId="3961243A"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5EB7A2E1" w14:textId="77777777" w:rsidR="00000000" w:rsidRDefault="00322B34">
            <w:pPr>
              <w:pStyle w:val="a3"/>
              <w:spacing w:before="0" w:beforeAutospacing="0" w:after="0" w:afterAutospacing="0"/>
              <w:jc w:val="both"/>
              <w:rPr>
                <w:sz w:val="20"/>
                <w:szCs w:val="20"/>
              </w:rPr>
            </w:pPr>
            <w:r>
              <w:rPr>
                <w:sz w:val="20"/>
                <w:szCs w:val="20"/>
              </w:rPr>
              <w:t>$8.7 million in reimbursements of investments in and advances to real estate joint ventures and reimbursements of investments in and advances to</w:t>
            </w:r>
            <w:r>
              <w:rPr>
                <w:sz w:val="20"/>
                <w:szCs w:val="20"/>
              </w:rPr>
              <w:t xml:space="preserve"> other real estate investments, primarily related to the sale of properties within the Company’s joint venture portfolio and Preferred Equity Program;</w:t>
            </w:r>
          </w:p>
        </w:tc>
      </w:tr>
    </w:tbl>
    <w:p w14:paraId="35BD4305"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337A52F" w14:textId="77777777">
        <w:trPr>
          <w:tblCellSpacing w:w="0" w:type="dxa"/>
        </w:trPr>
        <w:tc>
          <w:tcPr>
            <w:tcW w:w="720" w:type="dxa"/>
            <w:vAlign w:val="center"/>
            <w:hideMark/>
          </w:tcPr>
          <w:p w14:paraId="38C0F8E6" w14:textId="77777777" w:rsidR="00000000" w:rsidRDefault="00322B34">
            <w:pPr>
              <w:rPr>
                <w:rFonts w:eastAsia="Times New Roman"/>
                <w:sz w:val="20"/>
                <w:szCs w:val="20"/>
              </w:rPr>
            </w:pPr>
            <w:r>
              <w:rPr>
                <w:rFonts w:eastAsia="Times New Roman"/>
                <w:sz w:val="20"/>
                <w:szCs w:val="20"/>
              </w:rPr>
              <w:t> </w:t>
            </w:r>
          </w:p>
        </w:tc>
        <w:tc>
          <w:tcPr>
            <w:tcW w:w="360" w:type="dxa"/>
            <w:hideMark/>
          </w:tcPr>
          <w:p w14:paraId="5E19607A"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0E9708C2" w14:textId="77777777" w:rsidR="00000000" w:rsidRDefault="00322B34">
            <w:pPr>
              <w:pStyle w:val="a3"/>
              <w:spacing w:before="0" w:beforeAutospacing="0" w:after="0" w:afterAutospacing="0"/>
              <w:jc w:val="both"/>
              <w:rPr>
                <w:sz w:val="20"/>
                <w:szCs w:val="20"/>
              </w:rPr>
            </w:pPr>
            <w:r>
              <w:rPr>
                <w:sz w:val="20"/>
                <w:szCs w:val="20"/>
              </w:rPr>
              <w:t>$5.4 million in collection of mortgage loans receivable; and</w:t>
            </w:r>
          </w:p>
        </w:tc>
      </w:tr>
    </w:tbl>
    <w:p w14:paraId="18C8EA72"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4C57BB6" w14:textId="77777777">
        <w:trPr>
          <w:tblCellSpacing w:w="0" w:type="dxa"/>
        </w:trPr>
        <w:tc>
          <w:tcPr>
            <w:tcW w:w="720" w:type="dxa"/>
            <w:vAlign w:val="center"/>
            <w:hideMark/>
          </w:tcPr>
          <w:p w14:paraId="6ED6E03E" w14:textId="77777777" w:rsidR="00000000" w:rsidRDefault="00322B34">
            <w:pPr>
              <w:rPr>
                <w:rFonts w:eastAsia="Times New Roman"/>
                <w:sz w:val="20"/>
                <w:szCs w:val="20"/>
              </w:rPr>
            </w:pPr>
            <w:r>
              <w:rPr>
                <w:rFonts w:eastAsia="Times New Roman"/>
                <w:sz w:val="20"/>
                <w:szCs w:val="20"/>
              </w:rPr>
              <w:t> </w:t>
            </w:r>
          </w:p>
        </w:tc>
        <w:tc>
          <w:tcPr>
            <w:tcW w:w="360" w:type="dxa"/>
            <w:hideMark/>
          </w:tcPr>
          <w:p w14:paraId="446599A4"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08C410CF" w14:textId="77777777" w:rsidR="00000000" w:rsidRDefault="00322B34">
            <w:pPr>
              <w:pStyle w:val="a3"/>
              <w:spacing w:before="0" w:beforeAutospacing="0" w:after="0" w:afterAutospacing="0"/>
              <w:jc w:val="both"/>
              <w:rPr>
                <w:sz w:val="20"/>
                <w:szCs w:val="20"/>
              </w:rPr>
            </w:pPr>
            <w:r>
              <w:rPr>
                <w:sz w:val="20"/>
                <w:szCs w:val="20"/>
              </w:rPr>
              <w:t>$2.0 million in proceeds from insurance casualty claims.</w:t>
            </w:r>
          </w:p>
        </w:tc>
      </w:tr>
    </w:tbl>
    <w:p w14:paraId="0727DCE6" w14:textId="77777777" w:rsidR="00000000" w:rsidRDefault="00322B34">
      <w:pPr>
        <w:pStyle w:val="a3"/>
        <w:spacing w:before="0" w:beforeAutospacing="0" w:after="0" w:afterAutospacing="0"/>
        <w:ind w:left="1080"/>
        <w:jc w:val="both"/>
        <w:rPr>
          <w:sz w:val="20"/>
          <w:szCs w:val="20"/>
        </w:rPr>
      </w:pPr>
      <w:r>
        <w:rPr>
          <w:sz w:val="20"/>
          <w:szCs w:val="20"/>
        </w:rPr>
        <w:t> </w:t>
      </w:r>
    </w:p>
    <w:p w14:paraId="1F5206A0" w14:textId="77777777" w:rsidR="00000000" w:rsidRDefault="00322B34">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305166C" w14:textId="77777777">
        <w:trPr>
          <w:tblCellSpacing w:w="0" w:type="dxa"/>
        </w:trPr>
        <w:tc>
          <w:tcPr>
            <w:tcW w:w="720" w:type="dxa"/>
            <w:vAlign w:val="center"/>
            <w:hideMark/>
          </w:tcPr>
          <w:p w14:paraId="28D4DBE7" w14:textId="77777777" w:rsidR="00000000" w:rsidRDefault="00322B34">
            <w:pPr>
              <w:rPr>
                <w:rFonts w:eastAsia="Times New Roman"/>
                <w:sz w:val="20"/>
                <w:szCs w:val="20"/>
              </w:rPr>
            </w:pPr>
            <w:r>
              <w:rPr>
                <w:rFonts w:eastAsia="Times New Roman"/>
                <w:sz w:val="20"/>
                <w:szCs w:val="20"/>
              </w:rPr>
              <w:t> </w:t>
            </w:r>
          </w:p>
        </w:tc>
        <w:tc>
          <w:tcPr>
            <w:tcW w:w="360" w:type="dxa"/>
            <w:hideMark/>
          </w:tcPr>
          <w:p w14:paraId="0904F41B"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1E15525A" w14:textId="77777777" w:rsidR="00000000" w:rsidRDefault="00322B34">
            <w:pPr>
              <w:pStyle w:val="a3"/>
              <w:spacing w:before="0" w:beforeAutospacing="0" w:after="0" w:afterAutospacing="0"/>
              <w:jc w:val="both"/>
              <w:rPr>
                <w:sz w:val="20"/>
                <w:szCs w:val="20"/>
              </w:rPr>
            </w:pPr>
            <w:r>
              <w:rPr>
                <w:sz w:val="20"/>
                <w:szCs w:val="20"/>
              </w:rPr>
              <w:t>$197.4 million for improvements to operating real estate primarily related to the Company’s active redevelopment pipeline and improvements to real estate under development; and</w:t>
            </w:r>
          </w:p>
        </w:tc>
      </w:tr>
    </w:tbl>
    <w:p w14:paraId="6539EAE6"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5334757" w14:textId="77777777">
        <w:trPr>
          <w:tblCellSpacing w:w="0" w:type="dxa"/>
        </w:trPr>
        <w:tc>
          <w:tcPr>
            <w:tcW w:w="720" w:type="dxa"/>
            <w:vAlign w:val="center"/>
            <w:hideMark/>
          </w:tcPr>
          <w:p w14:paraId="79F56633" w14:textId="77777777" w:rsidR="00000000" w:rsidRDefault="00322B34">
            <w:pPr>
              <w:rPr>
                <w:rFonts w:eastAsia="Times New Roman"/>
                <w:sz w:val="20"/>
                <w:szCs w:val="20"/>
              </w:rPr>
            </w:pPr>
            <w:r>
              <w:rPr>
                <w:rFonts w:eastAsia="Times New Roman"/>
                <w:sz w:val="20"/>
                <w:szCs w:val="20"/>
              </w:rPr>
              <w:t> </w:t>
            </w:r>
          </w:p>
        </w:tc>
        <w:tc>
          <w:tcPr>
            <w:tcW w:w="360" w:type="dxa"/>
            <w:hideMark/>
          </w:tcPr>
          <w:p w14:paraId="565E9AE7"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06696ACF" w14:textId="77777777" w:rsidR="00000000" w:rsidRDefault="00322B34">
            <w:pPr>
              <w:pStyle w:val="a3"/>
              <w:spacing w:before="0" w:beforeAutospacing="0" w:after="0" w:afterAutospacing="0"/>
              <w:jc w:val="both"/>
              <w:rPr>
                <w:sz w:val="20"/>
                <w:szCs w:val="20"/>
              </w:rPr>
            </w:pPr>
            <w:r>
              <w:rPr>
                <w:sz w:val="20"/>
                <w:szCs w:val="20"/>
              </w:rPr>
              <w:t>$25.9 million for investments in and advances to real estate joint ventures, primarily related to a redevelopment project within the Company’s joint venture portfolio, and investments in other real estate investments, primarily related to repayment o</w:t>
            </w:r>
            <w:r>
              <w:rPr>
                <w:sz w:val="20"/>
                <w:szCs w:val="20"/>
              </w:rPr>
              <w:t>f a mortgage within the Company’s Preferred Equity Program.</w:t>
            </w:r>
          </w:p>
        </w:tc>
      </w:tr>
    </w:tbl>
    <w:p w14:paraId="6B449AA9" w14:textId="77777777" w:rsidR="00000000" w:rsidRDefault="00322B34">
      <w:pPr>
        <w:pStyle w:val="a3"/>
        <w:spacing w:before="0" w:beforeAutospacing="0" w:after="0" w:afterAutospacing="0"/>
        <w:jc w:val="both"/>
        <w:rPr>
          <w:sz w:val="20"/>
          <w:szCs w:val="20"/>
        </w:rPr>
      </w:pPr>
      <w:r>
        <w:rPr>
          <w:i/>
          <w:iCs/>
          <w:sz w:val="20"/>
          <w:szCs w:val="20"/>
        </w:rPr>
        <w:t> </w:t>
      </w:r>
    </w:p>
    <w:p w14:paraId="41EE3F3A" w14:textId="77777777" w:rsidR="00000000" w:rsidRDefault="00322B34">
      <w:pPr>
        <w:pStyle w:val="a3"/>
        <w:spacing w:before="0" w:beforeAutospacing="0" w:after="0" w:afterAutospacing="0"/>
        <w:jc w:val="both"/>
        <w:rPr>
          <w:sz w:val="20"/>
          <w:szCs w:val="20"/>
        </w:rPr>
      </w:pPr>
      <w:r>
        <w:rPr>
          <w:i/>
          <w:iCs/>
          <w:sz w:val="20"/>
          <w:szCs w:val="20"/>
        </w:rPr>
        <w:t>Acquisition of Operating Real Estate –</w:t>
      </w:r>
    </w:p>
    <w:p w14:paraId="6BFC7B65" w14:textId="77777777" w:rsidR="00000000" w:rsidRDefault="00322B34">
      <w:pPr>
        <w:pStyle w:val="a3"/>
        <w:spacing w:before="0" w:beforeAutospacing="0" w:after="0" w:afterAutospacing="0"/>
        <w:jc w:val="both"/>
        <w:rPr>
          <w:sz w:val="20"/>
          <w:szCs w:val="20"/>
        </w:rPr>
      </w:pPr>
      <w:r>
        <w:rPr>
          <w:i/>
          <w:iCs/>
          <w:sz w:val="20"/>
          <w:szCs w:val="20"/>
        </w:rPr>
        <w:t> </w:t>
      </w:r>
    </w:p>
    <w:p w14:paraId="5016BE09" w14:textId="77777777" w:rsidR="00000000" w:rsidRDefault="00322B34">
      <w:pPr>
        <w:pStyle w:val="a3"/>
        <w:spacing w:before="0" w:beforeAutospacing="0" w:after="0" w:afterAutospacing="0"/>
        <w:jc w:val="both"/>
        <w:rPr>
          <w:sz w:val="20"/>
          <w:szCs w:val="20"/>
        </w:rPr>
      </w:pPr>
      <w:r>
        <w:rPr>
          <w:sz w:val="20"/>
          <w:szCs w:val="20"/>
        </w:rPr>
        <w:t xml:space="preserve">       During the six months ended June 30, 2020 and 2019, the Company expended $7.1 million and $0 million (after use of Internal Revenue Code Section </w:t>
      </w:r>
      <w:r>
        <w:rPr>
          <w:sz w:val="20"/>
          <w:szCs w:val="20"/>
        </w:rPr>
        <w:t>1031 proceeds of $31.0 million in 2019), respectively, towards the acquisition of an operating real estate property adjacent to an existing operating real estate property. The Company anticipates spending up to approximately $25.0 million towards the acqui</w:t>
      </w:r>
      <w:r>
        <w:rPr>
          <w:sz w:val="20"/>
          <w:szCs w:val="20"/>
        </w:rPr>
        <w:t>sition of operating properties for the remainder of 2020. The funding of these capital requirements will be provided by proceeds from property dispositions, net cash flow provided by operating activities and availability under the Company's Credit Facility</w:t>
      </w:r>
      <w:r>
        <w:rPr>
          <w:sz w:val="20"/>
          <w:szCs w:val="20"/>
        </w:rPr>
        <w:t>.</w:t>
      </w:r>
    </w:p>
    <w:p w14:paraId="1385524A" w14:textId="77777777" w:rsidR="00000000" w:rsidRDefault="00322B34">
      <w:pPr>
        <w:pStyle w:val="a3"/>
        <w:spacing w:before="0" w:beforeAutospacing="0" w:after="0" w:afterAutospacing="0"/>
        <w:ind w:firstLine="360"/>
        <w:jc w:val="both"/>
        <w:rPr>
          <w:sz w:val="20"/>
          <w:szCs w:val="20"/>
        </w:rPr>
      </w:pPr>
      <w:r>
        <w:rPr>
          <w:sz w:val="20"/>
          <w:szCs w:val="20"/>
        </w:rPr>
        <w:t> </w:t>
      </w:r>
    </w:p>
    <w:p w14:paraId="7CB28D63" w14:textId="77777777" w:rsidR="00000000" w:rsidRDefault="00322B34">
      <w:pPr>
        <w:pStyle w:val="a3"/>
        <w:spacing w:before="0" w:beforeAutospacing="0" w:after="0" w:afterAutospacing="0"/>
        <w:jc w:val="both"/>
        <w:rPr>
          <w:sz w:val="20"/>
          <w:szCs w:val="20"/>
        </w:rPr>
      </w:pPr>
      <w:r>
        <w:rPr>
          <w:i/>
          <w:iCs/>
          <w:sz w:val="20"/>
          <w:szCs w:val="20"/>
        </w:rPr>
        <w:t>Improvements to Operating Real Estate –</w:t>
      </w:r>
    </w:p>
    <w:p w14:paraId="68E70B1E" w14:textId="77777777" w:rsidR="00000000" w:rsidRDefault="00322B34">
      <w:pPr>
        <w:pStyle w:val="a3"/>
        <w:spacing w:before="0" w:beforeAutospacing="0" w:after="0" w:afterAutospacing="0"/>
        <w:jc w:val="both"/>
        <w:rPr>
          <w:sz w:val="20"/>
          <w:szCs w:val="20"/>
        </w:rPr>
      </w:pPr>
      <w:r>
        <w:rPr>
          <w:sz w:val="20"/>
          <w:szCs w:val="20"/>
        </w:rPr>
        <w:t> </w:t>
      </w:r>
    </w:p>
    <w:p w14:paraId="02A27D5B" w14:textId="77777777" w:rsidR="00000000" w:rsidRDefault="00322B34">
      <w:pPr>
        <w:pStyle w:val="a3"/>
        <w:spacing w:before="0" w:beforeAutospacing="0" w:after="0" w:afterAutospacing="0"/>
        <w:ind w:firstLine="360"/>
        <w:jc w:val="both"/>
        <w:rPr>
          <w:sz w:val="20"/>
          <w:szCs w:val="20"/>
        </w:rPr>
      </w:pPr>
      <w:r>
        <w:rPr>
          <w:sz w:val="20"/>
          <w:szCs w:val="20"/>
        </w:rPr>
        <w:t>During the six months ended June 30, 2020 and 2019, the Company expended $110.8 million and $139.9 million, respectively, towards improvements to operating real estate. These amounts consist of the following (in thousands):</w:t>
      </w:r>
    </w:p>
    <w:p w14:paraId="2EAFBE69" w14:textId="77777777" w:rsidR="00000000" w:rsidRDefault="00322B34">
      <w:pPr>
        <w:pStyle w:val="a3"/>
        <w:spacing w:before="0" w:beforeAutospacing="0" w:after="0" w:afterAutospacing="0"/>
        <w:ind w:firstLine="720"/>
        <w:jc w:val="both"/>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14:paraId="555D257D" w14:textId="77777777">
        <w:trPr>
          <w:tblCellSpacing w:w="0" w:type="dxa"/>
        </w:trPr>
        <w:tc>
          <w:tcPr>
            <w:tcW w:w="0" w:type="auto"/>
            <w:vAlign w:val="bottom"/>
            <w:hideMark/>
          </w:tcPr>
          <w:p w14:paraId="27289E6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C50F715"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2923C688" w14:textId="77777777" w:rsidR="00000000" w:rsidRDefault="00322B34">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5C842A71" w14:textId="77777777" w:rsidR="00000000" w:rsidRDefault="00322B34">
            <w:pPr>
              <w:rPr>
                <w:rFonts w:eastAsia="Times New Roman"/>
                <w:sz w:val="20"/>
                <w:szCs w:val="20"/>
              </w:rPr>
            </w:pPr>
            <w:r>
              <w:rPr>
                <w:rFonts w:eastAsia="Times New Roman"/>
                <w:sz w:val="20"/>
                <w:szCs w:val="20"/>
              </w:rPr>
              <w:t> </w:t>
            </w:r>
          </w:p>
        </w:tc>
      </w:tr>
      <w:tr w:rsidR="00000000" w14:paraId="536E4873" w14:textId="77777777">
        <w:trPr>
          <w:tblCellSpacing w:w="0" w:type="dxa"/>
        </w:trPr>
        <w:tc>
          <w:tcPr>
            <w:tcW w:w="0" w:type="auto"/>
            <w:vAlign w:val="bottom"/>
            <w:hideMark/>
          </w:tcPr>
          <w:p w14:paraId="7174109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CAD4514"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E3FCA08"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203696D6"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9454204"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1028F16"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A380D97" w14:textId="77777777" w:rsidR="00000000" w:rsidRDefault="00322B34">
            <w:pPr>
              <w:rPr>
                <w:rFonts w:eastAsia="Times New Roman"/>
                <w:sz w:val="20"/>
                <w:szCs w:val="20"/>
              </w:rPr>
            </w:pPr>
            <w:r>
              <w:rPr>
                <w:rFonts w:eastAsia="Times New Roman"/>
                <w:sz w:val="20"/>
                <w:szCs w:val="20"/>
              </w:rPr>
              <w:t> </w:t>
            </w:r>
          </w:p>
        </w:tc>
      </w:tr>
      <w:tr w:rsidR="00000000" w14:paraId="0A27C38D" w14:textId="77777777">
        <w:trPr>
          <w:tblCellSpacing w:w="0" w:type="dxa"/>
        </w:trPr>
        <w:tc>
          <w:tcPr>
            <w:tcW w:w="3300" w:type="pct"/>
            <w:shd w:val="clear" w:color="auto" w:fill="CCEEFF"/>
            <w:vAlign w:val="bottom"/>
            <w:hideMark/>
          </w:tcPr>
          <w:p w14:paraId="48DE4183" w14:textId="77777777" w:rsidR="00000000" w:rsidRDefault="00322B34">
            <w:pPr>
              <w:pStyle w:val="a3"/>
              <w:spacing w:before="0" w:beforeAutospacing="0" w:after="0" w:afterAutospacing="0"/>
              <w:rPr>
                <w:sz w:val="20"/>
                <w:szCs w:val="20"/>
              </w:rPr>
            </w:pPr>
            <w:r>
              <w:rPr>
                <w:sz w:val="20"/>
                <w:szCs w:val="20"/>
              </w:rPr>
              <w:t>Redevelopment and renovations</w:t>
            </w:r>
          </w:p>
        </w:tc>
        <w:tc>
          <w:tcPr>
            <w:tcW w:w="50" w:type="pct"/>
            <w:tcBorders>
              <w:bottom w:val="nil"/>
            </w:tcBorders>
            <w:shd w:val="clear" w:color="auto" w:fill="CCEEFF"/>
            <w:vAlign w:val="bottom"/>
            <w:hideMark/>
          </w:tcPr>
          <w:p w14:paraId="11842159"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500163F" w14:textId="77777777" w:rsidR="00000000" w:rsidRDefault="00322B34">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14:paraId="3F622A3B" w14:textId="77777777" w:rsidR="00000000" w:rsidRDefault="00322B34">
            <w:pPr>
              <w:jc w:val="right"/>
              <w:rPr>
                <w:rFonts w:eastAsia="Times New Roman"/>
                <w:sz w:val="20"/>
                <w:szCs w:val="20"/>
              </w:rPr>
            </w:pPr>
            <w:r>
              <w:rPr>
                <w:rFonts w:eastAsia="Times New Roman"/>
                <w:sz w:val="20"/>
                <w:szCs w:val="20"/>
              </w:rPr>
              <w:t>93,663</w:t>
            </w:r>
          </w:p>
        </w:tc>
        <w:tc>
          <w:tcPr>
            <w:tcW w:w="50" w:type="pct"/>
            <w:tcBorders>
              <w:bottom w:val="nil"/>
            </w:tcBorders>
            <w:shd w:val="clear" w:color="auto" w:fill="CCEEFF"/>
            <w:vAlign w:val="bottom"/>
            <w:hideMark/>
          </w:tcPr>
          <w:p w14:paraId="33FAEDE1"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C849F6A"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6E474B5" w14:textId="77777777" w:rsidR="00000000" w:rsidRDefault="00322B34">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14:paraId="455E1D5E" w14:textId="77777777" w:rsidR="00000000" w:rsidRDefault="00322B34">
            <w:pPr>
              <w:jc w:val="right"/>
              <w:rPr>
                <w:rFonts w:eastAsia="Times New Roman"/>
                <w:sz w:val="20"/>
                <w:szCs w:val="20"/>
              </w:rPr>
            </w:pPr>
            <w:r>
              <w:rPr>
                <w:rFonts w:eastAsia="Times New Roman"/>
                <w:sz w:val="20"/>
                <w:szCs w:val="20"/>
              </w:rPr>
              <w:t>103,477</w:t>
            </w:r>
          </w:p>
        </w:tc>
        <w:tc>
          <w:tcPr>
            <w:tcW w:w="50" w:type="pct"/>
            <w:tcBorders>
              <w:bottom w:val="nil"/>
            </w:tcBorders>
            <w:shd w:val="clear" w:color="auto" w:fill="CCEEFF"/>
            <w:vAlign w:val="bottom"/>
            <w:hideMark/>
          </w:tcPr>
          <w:p w14:paraId="46998247" w14:textId="77777777" w:rsidR="00000000" w:rsidRDefault="00322B34">
            <w:pPr>
              <w:rPr>
                <w:rFonts w:eastAsia="Times New Roman"/>
                <w:sz w:val="20"/>
                <w:szCs w:val="20"/>
              </w:rPr>
            </w:pPr>
            <w:r>
              <w:rPr>
                <w:rFonts w:eastAsia="Times New Roman"/>
                <w:sz w:val="20"/>
                <w:szCs w:val="20"/>
              </w:rPr>
              <w:t> </w:t>
            </w:r>
          </w:p>
        </w:tc>
      </w:tr>
      <w:tr w:rsidR="00000000" w14:paraId="6FF181A0" w14:textId="77777777">
        <w:trPr>
          <w:tblCellSpacing w:w="0" w:type="dxa"/>
        </w:trPr>
        <w:tc>
          <w:tcPr>
            <w:tcW w:w="0" w:type="auto"/>
            <w:shd w:val="clear" w:color="auto" w:fill="FFFFFF"/>
            <w:vAlign w:val="bottom"/>
            <w:hideMark/>
          </w:tcPr>
          <w:p w14:paraId="32859EF6" w14:textId="77777777" w:rsidR="00000000" w:rsidRDefault="00322B34">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vAlign w:val="bottom"/>
            <w:hideMark/>
          </w:tcPr>
          <w:p w14:paraId="4B3019A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563202"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FFFFFF"/>
            <w:vAlign w:val="bottom"/>
            <w:hideMark/>
          </w:tcPr>
          <w:p w14:paraId="78C92B9F" w14:textId="77777777" w:rsidR="00000000" w:rsidRDefault="00322B34">
            <w:pPr>
              <w:jc w:val="right"/>
              <w:rPr>
                <w:rFonts w:eastAsia="Times New Roman"/>
                <w:sz w:val="20"/>
                <w:szCs w:val="20"/>
              </w:rPr>
            </w:pPr>
            <w:r>
              <w:rPr>
                <w:rFonts w:eastAsia="Times New Roman"/>
                <w:sz w:val="20"/>
                <w:szCs w:val="20"/>
              </w:rPr>
              <w:t>17,163</w:t>
            </w:r>
          </w:p>
        </w:tc>
        <w:tc>
          <w:tcPr>
            <w:tcW w:w="50" w:type="pct"/>
            <w:shd w:val="clear" w:color="auto" w:fill="FFFFFF"/>
            <w:vAlign w:val="bottom"/>
            <w:hideMark/>
          </w:tcPr>
          <w:p w14:paraId="589B7C1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F4EFB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9C8257"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941150D" w14:textId="77777777" w:rsidR="00000000" w:rsidRDefault="00322B34">
            <w:pPr>
              <w:jc w:val="right"/>
              <w:rPr>
                <w:rFonts w:eastAsia="Times New Roman"/>
                <w:sz w:val="20"/>
                <w:szCs w:val="20"/>
              </w:rPr>
            </w:pPr>
            <w:r>
              <w:rPr>
                <w:rFonts w:eastAsia="Times New Roman"/>
                <w:sz w:val="20"/>
                <w:szCs w:val="20"/>
              </w:rPr>
              <w:t>29,858</w:t>
            </w:r>
          </w:p>
        </w:tc>
        <w:tc>
          <w:tcPr>
            <w:tcW w:w="50" w:type="pct"/>
            <w:shd w:val="clear" w:color="auto" w:fill="FFFFFF"/>
            <w:vAlign w:val="bottom"/>
            <w:hideMark/>
          </w:tcPr>
          <w:p w14:paraId="30D17E92" w14:textId="77777777" w:rsidR="00000000" w:rsidRDefault="00322B34">
            <w:pPr>
              <w:rPr>
                <w:rFonts w:eastAsia="Times New Roman"/>
                <w:sz w:val="20"/>
                <w:szCs w:val="20"/>
              </w:rPr>
            </w:pPr>
            <w:r>
              <w:rPr>
                <w:rFonts w:eastAsia="Times New Roman"/>
                <w:sz w:val="20"/>
                <w:szCs w:val="20"/>
              </w:rPr>
              <w:t> </w:t>
            </w:r>
          </w:p>
        </w:tc>
      </w:tr>
      <w:tr w:rsidR="00000000" w14:paraId="68A3140D" w14:textId="77777777">
        <w:trPr>
          <w:tblCellSpacing w:w="0" w:type="dxa"/>
        </w:trPr>
        <w:tc>
          <w:tcPr>
            <w:tcW w:w="0" w:type="auto"/>
            <w:shd w:val="clear" w:color="auto" w:fill="CCEEFF"/>
            <w:vAlign w:val="bottom"/>
            <w:hideMark/>
          </w:tcPr>
          <w:p w14:paraId="1F06C81F" w14:textId="77777777" w:rsidR="00000000" w:rsidRDefault="00322B34">
            <w:pPr>
              <w:pStyle w:val="a3"/>
              <w:spacing w:before="0" w:beforeAutospacing="0" w:after="0" w:afterAutospacing="0"/>
              <w:rPr>
                <w:sz w:val="20"/>
                <w:szCs w:val="20"/>
              </w:rPr>
            </w:pPr>
            <w:r>
              <w:rPr>
                <w:sz w:val="20"/>
                <w:szCs w:val="20"/>
              </w:rPr>
              <w:t>Other</w:t>
            </w:r>
          </w:p>
        </w:tc>
        <w:tc>
          <w:tcPr>
            <w:tcW w:w="50" w:type="pct"/>
            <w:shd w:val="clear" w:color="auto" w:fill="CCEEFF"/>
            <w:vAlign w:val="bottom"/>
            <w:hideMark/>
          </w:tcPr>
          <w:p w14:paraId="6237FD70"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902AA06" w14:textId="77777777" w:rsidR="00000000" w:rsidRDefault="00322B34">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16417715"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8821E5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D3EFC3"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7A1F017" w14:textId="77777777" w:rsidR="00000000" w:rsidRDefault="00322B34">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1A84A3E9" w14:textId="77777777" w:rsidR="00000000" w:rsidRDefault="00322B34">
            <w:pPr>
              <w:jc w:val="right"/>
              <w:rPr>
                <w:rFonts w:eastAsia="Times New Roman"/>
                <w:sz w:val="20"/>
                <w:szCs w:val="20"/>
              </w:rPr>
            </w:pPr>
            <w:r>
              <w:rPr>
                <w:rFonts w:eastAsia="Times New Roman"/>
                <w:sz w:val="20"/>
                <w:szCs w:val="20"/>
              </w:rPr>
              <w:t>6,530</w:t>
            </w:r>
          </w:p>
        </w:tc>
        <w:tc>
          <w:tcPr>
            <w:tcW w:w="50" w:type="pct"/>
            <w:shd w:val="clear" w:color="auto" w:fill="CCEEFF"/>
            <w:tcMar>
              <w:top w:w="0" w:type="dxa"/>
              <w:left w:w="0" w:type="dxa"/>
              <w:bottom w:w="15" w:type="dxa"/>
              <w:right w:w="0" w:type="dxa"/>
            </w:tcMar>
            <w:vAlign w:val="bottom"/>
            <w:hideMark/>
          </w:tcPr>
          <w:p w14:paraId="6D90D75E" w14:textId="77777777" w:rsidR="00000000" w:rsidRDefault="00322B34">
            <w:pPr>
              <w:rPr>
                <w:rFonts w:eastAsia="Times New Roman"/>
                <w:sz w:val="20"/>
                <w:szCs w:val="20"/>
              </w:rPr>
            </w:pPr>
            <w:r>
              <w:rPr>
                <w:rFonts w:eastAsia="Times New Roman"/>
                <w:sz w:val="20"/>
                <w:szCs w:val="20"/>
              </w:rPr>
              <w:t> </w:t>
            </w:r>
          </w:p>
        </w:tc>
      </w:tr>
      <w:tr w:rsidR="00000000" w14:paraId="736E0559" w14:textId="77777777">
        <w:trPr>
          <w:tblCellSpacing w:w="0" w:type="dxa"/>
        </w:trPr>
        <w:tc>
          <w:tcPr>
            <w:tcW w:w="0" w:type="auto"/>
            <w:shd w:val="clear" w:color="auto" w:fill="FFFFFF"/>
            <w:vAlign w:val="bottom"/>
            <w:hideMark/>
          </w:tcPr>
          <w:p w14:paraId="53452DEF" w14:textId="77777777" w:rsidR="00000000" w:rsidRDefault="00322B34">
            <w:pPr>
              <w:pStyle w:val="a3"/>
              <w:spacing w:before="0" w:beforeAutospacing="0" w:after="0" w:afterAutospacing="0"/>
              <w:ind w:left="360"/>
              <w:rPr>
                <w:sz w:val="20"/>
                <w:szCs w:val="20"/>
              </w:rPr>
            </w:pPr>
            <w:r>
              <w:rPr>
                <w:sz w:val="20"/>
                <w:szCs w:val="20"/>
              </w:rPr>
              <w:t>Total improvements (1)</w:t>
            </w:r>
          </w:p>
        </w:tc>
        <w:tc>
          <w:tcPr>
            <w:tcW w:w="50" w:type="pct"/>
            <w:shd w:val="clear" w:color="auto" w:fill="FFFFFF"/>
            <w:vAlign w:val="bottom"/>
            <w:hideMark/>
          </w:tcPr>
          <w:p w14:paraId="2000034A"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B8B0314" w14:textId="77777777" w:rsidR="00000000" w:rsidRDefault="00322B34">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5F01DDE5" w14:textId="77777777" w:rsidR="00000000" w:rsidRDefault="00322B34">
            <w:pPr>
              <w:jc w:val="right"/>
              <w:rPr>
                <w:rFonts w:eastAsia="Times New Roman"/>
                <w:sz w:val="20"/>
                <w:szCs w:val="20"/>
              </w:rPr>
            </w:pPr>
            <w:r>
              <w:rPr>
                <w:rFonts w:eastAsia="Times New Roman"/>
                <w:sz w:val="20"/>
                <w:szCs w:val="20"/>
              </w:rPr>
              <w:t>110,826</w:t>
            </w:r>
          </w:p>
        </w:tc>
        <w:tc>
          <w:tcPr>
            <w:tcW w:w="50" w:type="pct"/>
            <w:shd w:val="clear" w:color="auto" w:fill="FFFFFF"/>
            <w:tcMar>
              <w:top w:w="0" w:type="dxa"/>
              <w:left w:w="0" w:type="dxa"/>
              <w:bottom w:w="45" w:type="dxa"/>
              <w:right w:w="0" w:type="dxa"/>
            </w:tcMar>
            <w:vAlign w:val="bottom"/>
            <w:hideMark/>
          </w:tcPr>
          <w:p w14:paraId="65AA8CE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EC7DA4"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D9CE2DB" w14:textId="77777777" w:rsidR="00000000" w:rsidRDefault="00322B34">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46B7C313" w14:textId="77777777" w:rsidR="00000000" w:rsidRDefault="00322B34">
            <w:pPr>
              <w:jc w:val="right"/>
              <w:rPr>
                <w:rFonts w:eastAsia="Times New Roman"/>
                <w:sz w:val="20"/>
                <w:szCs w:val="20"/>
              </w:rPr>
            </w:pPr>
            <w:r>
              <w:rPr>
                <w:rFonts w:eastAsia="Times New Roman"/>
                <w:sz w:val="20"/>
                <w:szCs w:val="20"/>
              </w:rPr>
              <w:t>139,865</w:t>
            </w:r>
          </w:p>
        </w:tc>
        <w:tc>
          <w:tcPr>
            <w:tcW w:w="50" w:type="pct"/>
            <w:shd w:val="clear" w:color="auto" w:fill="FFFFFF"/>
            <w:tcMar>
              <w:top w:w="0" w:type="dxa"/>
              <w:left w:w="0" w:type="dxa"/>
              <w:bottom w:w="45" w:type="dxa"/>
              <w:right w:w="0" w:type="dxa"/>
            </w:tcMar>
            <w:vAlign w:val="bottom"/>
            <w:hideMark/>
          </w:tcPr>
          <w:p w14:paraId="12C38FBD" w14:textId="77777777" w:rsidR="00000000" w:rsidRDefault="00322B34">
            <w:pPr>
              <w:rPr>
                <w:rFonts w:eastAsia="Times New Roman"/>
                <w:sz w:val="20"/>
                <w:szCs w:val="20"/>
              </w:rPr>
            </w:pPr>
            <w:r>
              <w:rPr>
                <w:rFonts w:eastAsia="Times New Roman"/>
                <w:sz w:val="20"/>
                <w:szCs w:val="20"/>
              </w:rPr>
              <w:t> </w:t>
            </w:r>
          </w:p>
        </w:tc>
      </w:tr>
    </w:tbl>
    <w:p w14:paraId="5ED0104E" w14:textId="77777777" w:rsidR="00000000" w:rsidRDefault="00322B34">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254385C" w14:textId="77777777">
        <w:trPr>
          <w:tblCellSpacing w:w="0" w:type="dxa"/>
        </w:trPr>
        <w:tc>
          <w:tcPr>
            <w:tcW w:w="360" w:type="dxa"/>
            <w:vAlign w:val="center"/>
            <w:hideMark/>
          </w:tcPr>
          <w:p w14:paraId="6F0E6C9B" w14:textId="77777777" w:rsidR="00000000" w:rsidRDefault="00322B34">
            <w:pPr>
              <w:rPr>
                <w:rFonts w:eastAsia="Times New Roman"/>
                <w:sz w:val="20"/>
                <w:szCs w:val="20"/>
              </w:rPr>
            </w:pPr>
            <w:r>
              <w:rPr>
                <w:rFonts w:eastAsia="Times New Roman"/>
                <w:sz w:val="20"/>
                <w:szCs w:val="20"/>
              </w:rPr>
              <w:t> </w:t>
            </w:r>
          </w:p>
        </w:tc>
        <w:tc>
          <w:tcPr>
            <w:tcW w:w="360" w:type="dxa"/>
            <w:hideMark/>
          </w:tcPr>
          <w:p w14:paraId="17696235" w14:textId="77777777" w:rsidR="00000000" w:rsidRDefault="00322B34">
            <w:pPr>
              <w:pStyle w:val="a3"/>
              <w:spacing w:before="0" w:beforeAutospacing="0" w:after="0" w:afterAutospacing="0"/>
              <w:jc w:val="both"/>
              <w:rPr>
                <w:sz w:val="20"/>
                <w:szCs w:val="20"/>
              </w:rPr>
            </w:pPr>
            <w:r>
              <w:rPr>
                <w:sz w:val="20"/>
                <w:szCs w:val="20"/>
              </w:rPr>
              <w:t>(1)</w:t>
            </w:r>
          </w:p>
        </w:tc>
        <w:tc>
          <w:tcPr>
            <w:tcW w:w="0" w:type="auto"/>
            <w:hideMark/>
          </w:tcPr>
          <w:p w14:paraId="40E9544F" w14:textId="77777777" w:rsidR="00000000" w:rsidRDefault="00322B34">
            <w:pPr>
              <w:pStyle w:val="a3"/>
              <w:spacing w:before="0" w:beforeAutospacing="0" w:after="0" w:afterAutospacing="0"/>
              <w:jc w:val="both"/>
              <w:rPr>
                <w:sz w:val="20"/>
                <w:szCs w:val="20"/>
              </w:rPr>
            </w:pPr>
            <w:r>
              <w:rPr>
                <w:sz w:val="20"/>
                <w:szCs w:val="20"/>
              </w:rPr>
              <w:t>During the six months ended June 30, 2020 and 2019, the Company capitalized payroll of $4.4 million and $4.0 million, respectively, and capitalized interest of $4.9 million and $2.5 million, respectively, in connection with the Company’s improvements to op</w:t>
            </w:r>
            <w:r>
              <w:rPr>
                <w:sz w:val="20"/>
                <w:szCs w:val="20"/>
              </w:rPr>
              <w:t>erating real estate.</w:t>
            </w:r>
          </w:p>
        </w:tc>
      </w:tr>
    </w:tbl>
    <w:p w14:paraId="0402FD37" w14:textId="77777777" w:rsidR="00000000" w:rsidRDefault="00322B34">
      <w:pPr>
        <w:pStyle w:val="a3"/>
        <w:spacing w:before="0" w:beforeAutospacing="0" w:after="0" w:afterAutospacing="0"/>
        <w:jc w:val="both"/>
        <w:rPr>
          <w:sz w:val="20"/>
          <w:szCs w:val="20"/>
        </w:rPr>
      </w:pPr>
      <w:r>
        <w:rPr>
          <w:sz w:val="20"/>
          <w:szCs w:val="20"/>
        </w:rPr>
        <w:t> </w:t>
      </w:r>
    </w:p>
    <w:p w14:paraId="01B8C7A7" w14:textId="77777777" w:rsidR="00000000" w:rsidRDefault="00322B34">
      <w:pPr>
        <w:pStyle w:val="a3"/>
        <w:spacing w:before="0" w:beforeAutospacing="0" w:after="0" w:afterAutospacing="0"/>
        <w:ind w:firstLine="360"/>
        <w:jc w:val="both"/>
        <w:rPr>
          <w:sz w:val="20"/>
          <w:szCs w:val="20"/>
        </w:rPr>
      </w:pPr>
      <w:r>
        <w:rPr>
          <w:sz w:val="20"/>
          <w:szCs w:val="20"/>
        </w:rPr>
        <w:t>The Company has an ongoing program to redevelop and re-tenant its properties to maintain or enhance its competitive position in the marketplace. The Company is actively pursuing redevelopment opportunities within its operating portf</w:t>
      </w:r>
      <w:r>
        <w:rPr>
          <w:sz w:val="20"/>
          <w:szCs w:val="20"/>
        </w:rPr>
        <w:t>olio which it believes will increase the overall value by bringing in new tenants and improving the assets’ value. The Company has identified three categories of redevelopment: (i) large scale redevelopment, which involves demolishing and building new squa</w:t>
      </w:r>
      <w:r>
        <w:rPr>
          <w:sz w:val="20"/>
          <w:szCs w:val="20"/>
        </w:rPr>
        <w:t>re footage; (ii) value creation redevelopment, which includes the subdivision of large anchor spaces into multiple tenant layouts; and (iii) creation of out-parcels and pads located in the front of the shopping center properties.</w:t>
      </w:r>
    </w:p>
    <w:p w14:paraId="28D00CA3" w14:textId="77777777" w:rsidR="00000000" w:rsidRDefault="00322B34">
      <w:pPr>
        <w:pStyle w:val="a3"/>
        <w:spacing w:before="0" w:beforeAutospacing="0" w:after="0" w:afterAutospacing="0"/>
        <w:ind w:firstLine="360"/>
        <w:jc w:val="both"/>
        <w:rPr>
          <w:sz w:val="20"/>
          <w:szCs w:val="20"/>
        </w:rPr>
      </w:pPr>
      <w:r>
        <w:rPr>
          <w:sz w:val="20"/>
          <w:szCs w:val="20"/>
        </w:rPr>
        <w:t> </w:t>
      </w:r>
    </w:p>
    <w:p w14:paraId="5081A12F" w14:textId="77777777" w:rsidR="00000000" w:rsidRDefault="00322B34">
      <w:pPr>
        <w:pStyle w:val="a3"/>
        <w:spacing w:before="0" w:beforeAutospacing="0" w:after="0" w:afterAutospacing="0"/>
        <w:ind w:firstLine="360"/>
        <w:jc w:val="both"/>
        <w:rPr>
          <w:sz w:val="20"/>
          <w:szCs w:val="20"/>
        </w:rPr>
      </w:pPr>
      <w:r>
        <w:rPr>
          <w:sz w:val="20"/>
          <w:szCs w:val="20"/>
        </w:rPr>
        <w:t>Due to the recent COVID-</w:t>
      </w:r>
      <w:r>
        <w:rPr>
          <w:sz w:val="20"/>
          <w:szCs w:val="20"/>
        </w:rPr>
        <w:t>19 pandemic mentioned above, the Company is re-evaluating its current redevelopment and re-tenanting projects and will only move forward with the projects it feels are necessary. The Company anticipates its capital commitment toward these redevelopment pro</w:t>
      </w:r>
      <w:r>
        <w:rPr>
          <w:sz w:val="20"/>
          <w:szCs w:val="20"/>
        </w:rPr>
        <w:t>jects and re-tenanting efforts for the remainder of 2020 will be approximately $75.0 million to $115.0 million. The funding of these capital requirements will be provided by proceeds from property dispositions, net cash flow provided by operating activitie</w:t>
      </w:r>
      <w:r>
        <w:rPr>
          <w:sz w:val="20"/>
          <w:szCs w:val="20"/>
        </w:rPr>
        <w:t>s and availability under the Company’s Credit Facility.</w:t>
      </w:r>
    </w:p>
    <w:p w14:paraId="18115BFF" w14:textId="77777777" w:rsidR="00000000" w:rsidRDefault="00322B34">
      <w:pPr>
        <w:pStyle w:val="a3"/>
        <w:spacing w:before="0" w:beforeAutospacing="0" w:after="0" w:afterAutospacing="0"/>
        <w:ind w:left="720"/>
        <w:jc w:val="both"/>
        <w:rPr>
          <w:sz w:val="20"/>
          <w:szCs w:val="20"/>
        </w:rPr>
      </w:pPr>
      <w:r>
        <w:rPr>
          <w:sz w:val="20"/>
          <w:szCs w:val="20"/>
        </w:rPr>
        <w:t> </w:t>
      </w:r>
    </w:p>
    <w:p w14:paraId="6D0309E5" w14:textId="77777777" w:rsidR="00000000" w:rsidRDefault="00322B34">
      <w:pPr>
        <w:pStyle w:val="a3"/>
        <w:spacing w:before="0" w:beforeAutospacing="0" w:after="0" w:afterAutospacing="0"/>
        <w:jc w:val="both"/>
        <w:rPr>
          <w:sz w:val="20"/>
          <w:szCs w:val="20"/>
        </w:rPr>
      </w:pPr>
      <w:r>
        <w:rPr>
          <w:sz w:val="20"/>
          <w:szCs w:val="20"/>
          <w:u w:val="single"/>
        </w:rPr>
        <w:t>Financing Activities</w:t>
      </w:r>
    </w:p>
    <w:p w14:paraId="289F823D" w14:textId="77777777" w:rsidR="00000000" w:rsidRDefault="00322B34">
      <w:pPr>
        <w:pStyle w:val="a3"/>
        <w:spacing w:before="0" w:beforeAutospacing="0" w:after="0" w:afterAutospacing="0"/>
        <w:jc w:val="both"/>
        <w:rPr>
          <w:sz w:val="20"/>
          <w:szCs w:val="20"/>
        </w:rPr>
      </w:pPr>
      <w:r>
        <w:rPr>
          <w:sz w:val="20"/>
          <w:szCs w:val="20"/>
        </w:rPr>
        <w:t> </w:t>
      </w:r>
    </w:p>
    <w:p w14:paraId="0A54354E" w14:textId="77777777" w:rsidR="00000000" w:rsidRDefault="00322B34">
      <w:pPr>
        <w:pStyle w:val="a3"/>
        <w:spacing w:before="0" w:beforeAutospacing="0" w:after="0" w:afterAutospacing="0"/>
        <w:ind w:firstLine="360"/>
        <w:jc w:val="both"/>
        <w:rPr>
          <w:sz w:val="20"/>
          <w:szCs w:val="20"/>
        </w:rPr>
      </w:pPr>
      <w:r>
        <w:rPr>
          <w:sz w:val="20"/>
          <w:szCs w:val="20"/>
        </w:rPr>
        <w:t>Net cash flow used for financing activities was $256.3 million for the six months ended June 30, 2020, as compared $242.6 million for the comparable period in 2019.</w:t>
      </w:r>
    </w:p>
    <w:p w14:paraId="5B8DAE54" w14:textId="77777777" w:rsidR="00000000" w:rsidRDefault="00322B34">
      <w:pPr>
        <w:pStyle w:val="a3"/>
        <w:spacing w:before="0" w:beforeAutospacing="0" w:after="0" w:afterAutospacing="0"/>
        <w:ind w:firstLine="360"/>
        <w:jc w:val="both"/>
        <w:rPr>
          <w:sz w:val="20"/>
          <w:szCs w:val="20"/>
        </w:rPr>
      </w:pPr>
      <w:r>
        <w:rPr>
          <w:sz w:val="20"/>
          <w:szCs w:val="20"/>
        </w:rPr>
        <w:t> </w:t>
      </w:r>
    </w:p>
    <w:p w14:paraId="6565A0CF" w14:textId="77777777" w:rsidR="00000000" w:rsidRDefault="00322B34">
      <w:pPr>
        <w:jc w:val="center"/>
        <w:divId w:val="1861507380"/>
        <w:rPr>
          <w:rFonts w:eastAsia="Times New Roman"/>
          <w:sz w:val="20"/>
          <w:szCs w:val="20"/>
        </w:rPr>
      </w:pPr>
      <w:r>
        <w:rPr>
          <w:rFonts w:eastAsia="Times New Roman"/>
          <w:sz w:val="20"/>
          <w:szCs w:val="20"/>
        </w:rPr>
        <w:t xml:space="preserve">27 </w:t>
      </w:r>
    </w:p>
    <w:p w14:paraId="06D70C4E" w14:textId="77777777" w:rsidR="00000000" w:rsidRDefault="00322B34">
      <w:pPr>
        <w:divId w:val="1641615032"/>
        <w:rPr>
          <w:rFonts w:eastAsia="Times New Roman"/>
          <w:sz w:val="20"/>
          <w:szCs w:val="20"/>
        </w:rPr>
      </w:pPr>
      <w:r>
        <w:rPr>
          <w:rFonts w:eastAsia="Times New Roman"/>
          <w:sz w:val="20"/>
          <w:szCs w:val="20"/>
        </w:rPr>
        <w:pict w14:anchorId="528E436B">
          <v:rect id="_x0000_i1055" style="width:0;height:1.5pt" o:hralign="center" o:hrstd="t" o:hr="t" fillcolor="#a0a0a0" stroked="f"/>
        </w:pict>
      </w:r>
    </w:p>
    <w:p w14:paraId="02FFBD6B" w14:textId="77777777" w:rsidR="00000000" w:rsidRDefault="00322B34">
      <w:pPr>
        <w:divId w:val="132720197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8126460" w14:textId="77777777" w:rsidR="00000000" w:rsidRDefault="00322B34">
      <w:pPr>
        <w:pStyle w:val="a3"/>
        <w:spacing w:before="0" w:beforeAutospacing="0" w:after="0" w:afterAutospacing="0"/>
        <w:rPr>
          <w:sz w:val="20"/>
          <w:szCs w:val="20"/>
        </w:rPr>
      </w:pPr>
      <w:r>
        <w:rPr>
          <w:sz w:val="20"/>
          <w:szCs w:val="20"/>
        </w:rPr>
        <w:t> </w:t>
      </w:r>
    </w:p>
    <w:p w14:paraId="64A17AAF" w14:textId="77777777" w:rsidR="00000000" w:rsidRDefault="00322B34">
      <w:pPr>
        <w:pStyle w:val="a3"/>
        <w:spacing w:before="0" w:beforeAutospacing="0" w:after="0" w:afterAutospacing="0"/>
        <w:ind w:firstLine="360"/>
        <w:jc w:val="both"/>
        <w:rPr>
          <w:sz w:val="20"/>
          <w:szCs w:val="20"/>
        </w:rPr>
      </w:pPr>
      <w:r>
        <w:rPr>
          <w:sz w:val="20"/>
          <w:szCs w:val="20"/>
        </w:rPr>
        <w:t>Financing activities during 2020 primarily consisted of:</w:t>
      </w:r>
    </w:p>
    <w:p w14:paraId="21EC8B2E" w14:textId="77777777" w:rsidR="00000000" w:rsidRDefault="00322B34">
      <w:pPr>
        <w:pStyle w:val="a3"/>
        <w:spacing w:before="0" w:beforeAutospacing="0" w:after="0" w:afterAutospacing="0"/>
        <w:jc w:val="both"/>
        <w:rPr>
          <w:sz w:val="20"/>
          <w:szCs w:val="20"/>
        </w:rPr>
      </w:pPr>
      <w:r>
        <w:rPr>
          <w:i/>
          <w:iCs/>
          <w:sz w:val="20"/>
          <w:szCs w:val="20"/>
        </w:rPr>
        <w:t> </w:t>
      </w:r>
    </w:p>
    <w:p w14:paraId="0AA42401" w14:textId="77777777" w:rsidR="00000000" w:rsidRDefault="00322B34">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10F68FC" w14:textId="77777777">
        <w:trPr>
          <w:tblCellSpacing w:w="0" w:type="dxa"/>
        </w:trPr>
        <w:tc>
          <w:tcPr>
            <w:tcW w:w="720" w:type="dxa"/>
            <w:vAlign w:val="center"/>
            <w:hideMark/>
          </w:tcPr>
          <w:p w14:paraId="5605E7FE" w14:textId="77777777" w:rsidR="00000000" w:rsidRDefault="00322B34">
            <w:pPr>
              <w:rPr>
                <w:rFonts w:eastAsia="Times New Roman"/>
                <w:sz w:val="20"/>
                <w:szCs w:val="20"/>
              </w:rPr>
            </w:pPr>
            <w:r>
              <w:rPr>
                <w:rFonts w:eastAsia="Times New Roman"/>
                <w:sz w:val="20"/>
                <w:szCs w:val="20"/>
              </w:rPr>
              <w:t> </w:t>
            </w:r>
          </w:p>
        </w:tc>
        <w:tc>
          <w:tcPr>
            <w:tcW w:w="360" w:type="dxa"/>
            <w:hideMark/>
          </w:tcPr>
          <w:p w14:paraId="3BA1ECDE"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4E08C236" w14:textId="77777777" w:rsidR="00000000" w:rsidRDefault="00322B34">
            <w:pPr>
              <w:pStyle w:val="a3"/>
              <w:spacing w:before="0" w:beforeAutospacing="0" w:after="0" w:afterAutospacing="0"/>
              <w:jc w:val="both"/>
              <w:rPr>
                <w:sz w:val="20"/>
                <w:szCs w:val="20"/>
              </w:rPr>
            </w:pPr>
            <w:r>
              <w:rPr>
                <w:sz w:val="20"/>
                <w:szCs w:val="20"/>
              </w:rPr>
              <w:t>$590.0 million in proceeds from issuance of the Company’s unsecured term loan credit facility (the "Term Loan").</w:t>
            </w:r>
          </w:p>
        </w:tc>
      </w:tr>
    </w:tbl>
    <w:p w14:paraId="073B5D73" w14:textId="77777777" w:rsidR="00000000" w:rsidRDefault="00322B34">
      <w:pPr>
        <w:pStyle w:val="a3"/>
        <w:spacing w:before="0" w:beforeAutospacing="0" w:after="0" w:afterAutospacing="0"/>
        <w:ind w:firstLine="540"/>
        <w:jc w:val="both"/>
        <w:rPr>
          <w:sz w:val="20"/>
          <w:szCs w:val="20"/>
        </w:rPr>
      </w:pPr>
      <w:r>
        <w:rPr>
          <w:i/>
          <w:iCs/>
          <w:sz w:val="20"/>
          <w:szCs w:val="20"/>
        </w:rPr>
        <w:t> </w:t>
      </w:r>
    </w:p>
    <w:p w14:paraId="0B7CA659" w14:textId="77777777" w:rsidR="00000000" w:rsidRDefault="00322B34">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FBFD193" w14:textId="77777777">
        <w:trPr>
          <w:tblCellSpacing w:w="0" w:type="dxa"/>
        </w:trPr>
        <w:tc>
          <w:tcPr>
            <w:tcW w:w="720" w:type="dxa"/>
            <w:vAlign w:val="center"/>
            <w:hideMark/>
          </w:tcPr>
          <w:p w14:paraId="48066632" w14:textId="77777777" w:rsidR="00000000" w:rsidRDefault="00322B34">
            <w:pPr>
              <w:rPr>
                <w:rFonts w:eastAsia="Times New Roman"/>
                <w:sz w:val="20"/>
                <w:szCs w:val="20"/>
              </w:rPr>
            </w:pPr>
            <w:r>
              <w:rPr>
                <w:rFonts w:eastAsia="Times New Roman"/>
                <w:sz w:val="20"/>
                <w:szCs w:val="20"/>
              </w:rPr>
              <w:t> </w:t>
            </w:r>
          </w:p>
        </w:tc>
        <w:tc>
          <w:tcPr>
            <w:tcW w:w="360" w:type="dxa"/>
            <w:hideMark/>
          </w:tcPr>
          <w:p w14:paraId="388B590B"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54E3BC68" w14:textId="77777777" w:rsidR="00000000" w:rsidRDefault="00322B34">
            <w:pPr>
              <w:pStyle w:val="a3"/>
              <w:spacing w:before="0" w:beforeAutospacing="0" w:after="0" w:afterAutospacing="0"/>
              <w:jc w:val="both"/>
              <w:rPr>
                <w:sz w:val="20"/>
                <w:szCs w:val="20"/>
              </w:rPr>
            </w:pPr>
            <w:r>
              <w:rPr>
                <w:sz w:val="20"/>
                <w:szCs w:val="20"/>
              </w:rPr>
              <w:t>$254.7 million of dividends paid;</w:t>
            </w:r>
          </w:p>
        </w:tc>
      </w:tr>
      <w:tr w:rsidR="00000000" w14:paraId="11CFF3A0" w14:textId="77777777">
        <w:trPr>
          <w:tblCellSpacing w:w="0" w:type="dxa"/>
        </w:trPr>
        <w:tc>
          <w:tcPr>
            <w:tcW w:w="720" w:type="dxa"/>
            <w:vAlign w:val="center"/>
            <w:hideMark/>
          </w:tcPr>
          <w:p w14:paraId="3CD7CE8B" w14:textId="77777777" w:rsidR="00000000" w:rsidRDefault="00322B34">
            <w:pPr>
              <w:rPr>
                <w:rFonts w:eastAsia="Times New Roman"/>
                <w:sz w:val="20"/>
                <w:szCs w:val="20"/>
              </w:rPr>
            </w:pPr>
            <w:r>
              <w:rPr>
                <w:rFonts w:eastAsia="Times New Roman"/>
                <w:sz w:val="20"/>
                <w:szCs w:val="20"/>
              </w:rPr>
              <w:t> </w:t>
            </w:r>
          </w:p>
        </w:tc>
        <w:tc>
          <w:tcPr>
            <w:tcW w:w="360" w:type="dxa"/>
            <w:hideMark/>
          </w:tcPr>
          <w:p w14:paraId="3E1B71AE" w14:textId="77777777" w:rsidR="00000000" w:rsidRDefault="00322B34">
            <w:pPr>
              <w:rPr>
                <w:rFonts w:eastAsia="Times New Roman"/>
                <w:sz w:val="20"/>
                <w:szCs w:val="20"/>
              </w:rPr>
            </w:pPr>
            <w:r>
              <w:rPr>
                <w:rFonts w:eastAsia="Times New Roman"/>
                <w:sz w:val="20"/>
                <w:szCs w:val="20"/>
              </w:rPr>
              <w:t>●</w:t>
            </w:r>
          </w:p>
        </w:tc>
        <w:tc>
          <w:tcPr>
            <w:tcW w:w="0" w:type="auto"/>
            <w:hideMark/>
          </w:tcPr>
          <w:p w14:paraId="3DE4E91E" w14:textId="77777777" w:rsidR="00000000" w:rsidRDefault="00322B34">
            <w:pPr>
              <w:rPr>
                <w:rFonts w:eastAsia="Times New Roman"/>
                <w:sz w:val="20"/>
                <w:szCs w:val="20"/>
              </w:rPr>
            </w:pPr>
            <w:r>
              <w:rPr>
                <w:rFonts w:eastAsia="Times New Roman"/>
                <w:sz w:val="20"/>
                <w:szCs w:val="20"/>
              </w:rPr>
              <w:t>$265.0 million in repayments of the Company’s Term Loan; </w:t>
            </w:r>
          </w:p>
        </w:tc>
      </w:tr>
      <w:tr w:rsidR="00000000" w14:paraId="298DADED" w14:textId="77777777">
        <w:trPr>
          <w:tblCellSpacing w:w="0" w:type="dxa"/>
        </w:trPr>
        <w:tc>
          <w:tcPr>
            <w:tcW w:w="720" w:type="dxa"/>
            <w:vAlign w:val="center"/>
            <w:hideMark/>
          </w:tcPr>
          <w:p w14:paraId="71C1FECA" w14:textId="77777777" w:rsidR="00000000" w:rsidRDefault="00322B34">
            <w:pPr>
              <w:rPr>
                <w:rFonts w:eastAsia="Times New Roman"/>
                <w:sz w:val="20"/>
                <w:szCs w:val="20"/>
              </w:rPr>
            </w:pPr>
            <w:r>
              <w:rPr>
                <w:rFonts w:eastAsia="Times New Roman"/>
                <w:sz w:val="20"/>
                <w:szCs w:val="20"/>
              </w:rPr>
              <w:t> </w:t>
            </w:r>
          </w:p>
        </w:tc>
        <w:tc>
          <w:tcPr>
            <w:tcW w:w="360" w:type="dxa"/>
            <w:hideMark/>
          </w:tcPr>
          <w:p w14:paraId="3A587808" w14:textId="77777777" w:rsidR="00000000" w:rsidRDefault="00322B34">
            <w:pPr>
              <w:rPr>
                <w:rFonts w:eastAsia="Times New Roman"/>
                <w:sz w:val="20"/>
                <w:szCs w:val="20"/>
              </w:rPr>
            </w:pPr>
            <w:r>
              <w:rPr>
                <w:rFonts w:eastAsia="Times New Roman"/>
                <w:sz w:val="20"/>
                <w:szCs w:val="20"/>
              </w:rPr>
              <w:t>●</w:t>
            </w:r>
          </w:p>
        </w:tc>
        <w:tc>
          <w:tcPr>
            <w:tcW w:w="0" w:type="auto"/>
            <w:hideMark/>
          </w:tcPr>
          <w:p w14:paraId="6F018D11" w14:textId="77777777" w:rsidR="00000000" w:rsidRDefault="00322B34">
            <w:pPr>
              <w:rPr>
                <w:rFonts w:eastAsia="Times New Roman"/>
                <w:sz w:val="20"/>
                <w:szCs w:val="20"/>
              </w:rPr>
            </w:pPr>
            <w:r>
              <w:rPr>
                <w:rFonts w:eastAsia="Times New Roman"/>
                <w:sz w:val="20"/>
                <w:szCs w:val="20"/>
              </w:rPr>
              <w:t>$200.0 million in repayments under the Company’s Credit Facility, net; </w:t>
            </w:r>
          </w:p>
        </w:tc>
      </w:tr>
    </w:tbl>
    <w:p w14:paraId="3B56348A"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3B9ACC6" w14:textId="77777777">
        <w:trPr>
          <w:tblCellSpacing w:w="0" w:type="dxa"/>
        </w:trPr>
        <w:tc>
          <w:tcPr>
            <w:tcW w:w="720" w:type="dxa"/>
            <w:vAlign w:val="center"/>
            <w:hideMark/>
          </w:tcPr>
          <w:p w14:paraId="752A6AFF" w14:textId="77777777" w:rsidR="00000000" w:rsidRDefault="00322B34">
            <w:pPr>
              <w:rPr>
                <w:rFonts w:eastAsia="Times New Roman"/>
                <w:sz w:val="20"/>
                <w:szCs w:val="20"/>
              </w:rPr>
            </w:pPr>
            <w:r>
              <w:rPr>
                <w:rFonts w:eastAsia="Times New Roman"/>
                <w:sz w:val="20"/>
                <w:szCs w:val="20"/>
              </w:rPr>
              <w:t> </w:t>
            </w:r>
          </w:p>
        </w:tc>
        <w:tc>
          <w:tcPr>
            <w:tcW w:w="360" w:type="dxa"/>
            <w:hideMark/>
          </w:tcPr>
          <w:p w14:paraId="7757A2CF"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780DC7DF" w14:textId="77777777" w:rsidR="00000000" w:rsidRDefault="00322B34">
            <w:pPr>
              <w:pStyle w:val="a3"/>
              <w:spacing w:before="0" w:beforeAutospacing="0" w:after="0" w:afterAutospacing="0"/>
              <w:jc w:val="both"/>
              <w:rPr>
                <w:sz w:val="20"/>
                <w:szCs w:val="20"/>
              </w:rPr>
            </w:pPr>
            <w:r>
              <w:rPr>
                <w:sz w:val="20"/>
                <w:szCs w:val="20"/>
              </w:rPr>
              <w:t>$93.9 million for principal payments on debt (primarily related to the repayment of debt on two encumbered properties and the payoff of a construction loan), including normal amo</w:t>
            </w:r>
            <w:r>
              <w:rPr>
                <w:sz w:val="20"/>
                <w:szCs w:val="20"/>
              </w:rPr>
              <w:t>rtization on rental property debt;</w:t>
            </w:r>
          </w:p>
        </w:tc>
      </w:tr>
    </w:tbl>
    <w:p w14:paraId="4525FE06"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6C7F315" w14:textId="77777777">
        <w:trPr>
          <w:tblCellSpacing w:w="0" w:type="dxa"/>
        </w:trPr>
        <w:tc>
          <w:tcPr>
            <w:tcW w:w="720" w:type="dxa"/>
            <w:vAlign w:val="center"/>
            <w:hideMark/>
          </w:tcPr>
          <w:p w14:paraId="5D8EFAB4" w14:textId="77777777" w:rsidR="00000000" w:rsidRDefault="00322B34">
            <w:pPr>
              <w:rPr>
                <w:rFonts w:eastAsia="Times New Roman"/>
                <w:sz w:val="20"/>
                <w:szCs w:val="20"/>
              </w:rPr>
            </w:pPr>
            <w:r>
              <w:rPr>
                <w:rFonts w:eastAsia="Times New Roman"/>
                <w:sz w:val="20"/>
                <w:szCs w:val="20"/>
              </w:rPr>
              <w:t> </w:t>
            </w:r>
          </w:p>
        </w:tc>
        <w:tc>
          <w:tcPr>
            <w:tcW w:w="360" w:type="dxa"/>
            <w:hideMark/>
          </w:tcPr>
          <w:p w14:paraId="5134B304"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6DC4824F" w14:textId="77777777" w:rsidR="00000000" w:rsidRDefault="00322B34">
            <w:pPr>
              <w:pStyle w:val="a3"/>
              <w:spacing w:before="0" w:beforeAutospacing="0" w:after="0" w:afterAutospacing="0"/>
              <w:jc w:val="both"/>
              <w:rPr>
                <w:sz w:val="20"/>
                <w:szCs w:val="20"/>
              </w:rPr>
            </w:pPr>
            <w:r>
              <w:rPr>
                <w:sz w:val="20"/>
                <w:szCs w:val="20"/>
              </w:rPr>
              <w:t>$22.1 million for the redemption/distribution of noncontrolling interests, primarily related to the redemption of certain partnership interests by consolidated subsidiaries;</w:t>
            </w:r>
          </w:p>
        </w:tc>
      </w:tr>
    </w:tbl>
    <w:p w14:paraId="5FC53323"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CA4119D" w14:textId="77777777">
        <w:trPr>
          <w:tblCellSpacing w:w="0" w:type="dxa"/>
        </w:trPr>
        <w:tc>
          <w:tcPr>
            <w:tcW w:w="720" w:type="dxa"/>
            <w:vAlign w:val="center"/>
            <w:hideMark/>
          </w:tcPr>
          <w:p w14:paraId="2B479CA2" w14:textId="77777777" w:rsidR="00000000" w:rsidRDefault="00322B34">
            <w:pPr>
              <w:rPr>
                <w:rFonts w:eastAsia="Times New Roman"/>
                <w:sz w:val="20"/>
                <w:szCs w:val="20"/>
              </w:rPr>
            </w:pPr>
            <w:r>
              <w:rPr>
                <w:rFonts w:eastAsia="Times New Roman"/>
                <w:sz w:val="20"/>
                <w:szCs w:val="20"/>
              </w:rPr>
              <w:t> </w:t>
            </w:r>
          </w:p>
        </w:tc>
        <w:tc>
          <w:tcPr>
            <w:tcW w:w="360" w:type="dxa"/>
            <w:hideMark/>
          </w:tcPr>
          <w:p w14:paraId="7550C14C"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361487A2" w14:textId="77777777" w:rsidR="00000000" w:rsidRDefault="00322B34">
            <w:pPr>
              <w:pStyle w:val="a3"/>
              <w:spacing w:before="0" w:beforeAutospacing="0" w:after="0" w:afterAutospacing="0"/>
              <w:jc w:val="both"/>
              <w:rPr>
                <w:sz w:val="20"/>
                <w:szCs w:val="20"/>
              </w:rPr>
            </w:pPr>
            <w:r>
              <w:rPr>
                <w:sz w:val="20"/>
                <w:szCs w:val="20"/>
              </w:rPr>
              <w:t>$6.4 million for financing originat</w:t>
            </w:r>
            <w:r>
              <w:rPr>
                <w:sz w:val="20"/>
                <w:szCs w:val="20"/>
              </w:rPr>
              <w:t>ion costs, primarily related to the Credit Facility and Term Loan; and</w:t>
            </w:r>
          </w:p>
        </w:tc>
      </w:tr>
    </w:tbl>
    <w:p w14:paraId="4D44A3FA"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9B9706E" w14:textId="77777777">
        <w:trPr>
          <w:tblCellSpacing w:w="0" w:type="dxa"/>
        </w:trPr>
        <w:tc>
          <w:tcPr>
            <w:tcW w:w="720" w:type="dxa"/>
            <w:vAlign w:val="center"/>
            <w:hideMark/>
          </w:tcPr>
          <w:p w14:paraId="5D5395E5" w14:textId="77777777" w:rsidR="00000000" w:rsidRDefault="00322B34">
            <w:pPr>
              <w:rPr>
                <w:rFonts w:eastAsia="Times New Roman"/>
                <w:sz w:val="20"/>
                <w:szCs w:val="20"/>
              </w:rPr>
            </w:pPr>
            <w:r>
              <w:rPr>
                <w:rFonts w:eastAsia="Times New Roman"/>
                <w:sz w:val="20"/>
                <w:szCs w:val="20"/>
              </w:rPr>
              <w:t> </w:t>
            </w:r>
          </w:p>
        </w:tc>
        <w:tc>
          <w:tcPr>
            <w:tcW w:w="360" w:type="dxa"/>
            <w:hideMark/>
          </w:tcPr>
          <w:p w14:paraId="6AAA577E"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23EB6CCB" w14:textId="77777777" w:rsidR="00000000" w:rsidRDefault="00322B34">
            <w:pPr>
              <w:pStyle w:val="a3"/>
              <w:spacing w:before="0" w:beforeAutospacing="0" w:after="0" w:afterAutospacing="0"/>
              <w:jc w:val="both"/>
              <w:rPr>
                <w:sz w:val="20"/>
                <w:szCs w:val="20"/>
              </w:rPr>
            </w:pPr>
            <w:r>
              <w:rPr>
                <w:sz w:val="20"/>
                <w:szCs w:val="20"/>
              </w:rPr>
              <w:t>$5.3 million in other financing related costs.</w:t>
            </w:r>
          </w:p>
        </w:tc>
      </w:tr>
    </w:tbl>
    <w:p w14:paraId="7A1AE6C7" w14:textId="77777777" w:rsidR="00000000" w:rsidRDefault="00322B34">
      <w:pPr>
        <w:pStyle w:val="a3"/>
        <w:spacing w:before="0" w:beforeAutospacing="0" w:after="0" w:afterAutospacing="0"/>
        <w:jc w:val="both"/>
        <w:rPr>
          <w:sz w:val="20"/>
          <w:szCs w:val="20"/>
        </w:rPr>
      </w:pPr>
      <w:r>
        <w:rPr>
          <w:sz w:val="20"/>
          <w:szCs w:val="20"/>
        </w:rPr>
        <w:t> </w:t>
      </w:r>
    </w:p>
    <w:p w14:paraId="751450AF" w14:textId="77777777" w:rsidR="00000000" w:rsidRDefault="00322B34">
      <w:pPr>
        <w:pStyle w:val="a3"/>
        <w:spacing w:before="0" w:beforeAutospacing="0" w:after="0" w:afterAutospacing="0"/>
        <w:ind w:firstLine="360"/>
        <w:jc w:val="both"/>
        <w:rPr>
          <w:sz w:val="20"/>
          <w:szCs w:val="20"/>
        </w:rPr>
      </w:pPr>
      <w:r>
        <w:rPr>
          <w:sz w:val="20"/>
          <w:szCs w:val="20"/>
        </w:rPr>
        <w:t>Financing activities during 2019 primarily consisted of:</w:t>
      </w:r>
    </w:p>
    <w:p w14:paraId="27683519" w14:textId="77777777" w:rsidR="00000000" w:rsidRDefault="00322B34">
      <w:pPr>
        <w:pStyle w:val="a3"/>
        <w:spacing w:before="0" w:beforeAutospacing="0" w:after="0" w:afterAutospacing="0"/>
        <w:ind w:firstLine="540"/>
        <w:jc w:val="both"/>
        <w:rPr>
          <w:sz w:val="20"/>
          <w:szCs w:val="20"/>
        </w:rPr>
      </w:pPr>
      <w:r>
        <w:rPr>
          <w:i/>
          <w:iCs/>
          <w:sz w:val="20"/>
          <w:szCs w:val="20"/>
        </w:rPr>
        <w:t> </w:t>
      </w:r>
    </w:p>
    <w:p w14:paraId="63C9CCBB" w14:textId="77777777" w:rsidR="00000000" w:rsidRDefault="00322B34">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3B91B6E" w14:textId="77777777">
        <w:trPr>
          <w:tblCellSpacing w:w="0" w:type="dxa"/>
        </w:trPr>
        <w:tc>
          <w:tcPr>
            <w:tcW w:w="720" w:type="dxa"/>
            <w:vAlign w:val="center"/>
            <w:hideMark/>
          </w:tcPr>
          <w:p w14:paraId="4FC01B2B" w14:textId="77777777" w:rsidR="00000000" w:rsidRDefault="00322B34">
            <w:pPr>
              <w:rPr>
                <w:rFonts w:eastAsia="Times New Roman"/>
                <w:sz w:val="20"/>
                <w:szCs w:val="20"/>
              </w:rPr>
            </w:pPr>
            <w:r>
              <w:rPr>
                <w:rFonts w:eastAsia="Times New Roman"/>
                <w:sz w:val="20"/>
                <w:szCs w:val="20"/>
              </w:rPr>
              <w:t> </w:t>
            </w:r>
          </w:p>
        </w:tc>
        <w:tc>
          <w:tcPr>
            <w:tcW w:w="360" w:type="dxa"/>
            <w:hideMark/>
          </w:tcPr>
          <w:p w14:paraId="17DF166B"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646BB985" w14:textId="77777777" w:rsidR="00000000" w:rsidRDefault="00322B34">
            <w:pPr>
              <w:pStyle w:val="a3"/>
              <w:spacing w:before="0" w:beforeAutospacing="0" w:after="0" w:afterAutospacing="0"/>
              <w:jc w:val="both"/>
              <w:rPr>
                <w:sz w:val="20"/>
                <w:szCs w:val="20"/>
              </w:rPr>
            </w:pPr>
            <w:r>
              <w:rPr>
                <w:sz w:val="20"/>
                <w:szCs w:val="20"/>
              </w:rPr>
              <w:t>$35.0 million in proceeds from borrowings under the Company’s Credit Facility, net; and</w:t>
            </w:r>
          </w:p>
        </w:tc>
      </w:tr>
    </w:tbl>
    <w:p w14:paraId="3F5E04F5"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419494F" w14:textId="77777777">
        <w:trPr>
          <w:tblCellSpacing w:w="0" w:type="dxa"/>
        </w:trPr>
        <w:tc>
          <w:tcPr>
            <w:tcW w:w="720" w:type="dxa"/>
            <w:vAlign w:val="center"/>
            <w:hideMark/>
          </w:tcPr>
          <w:p w14:paraId="14F0F51C" w14:textId="77777777" w:rsidR="00000000" w:rsidRDefault="00322B34">
            <w:pPr>
              <w:rPr>
                <w:rFonts w:eastAsia="Times New Roman"/>
                <w:sz w:val="20"/>
                <w:szCs w:val="20"/>
              </w:rPr>
            </w:pPr>
            <w:r>
              <w:rPr>
                <w:rFonts w:eastAsia="Times New Roman"/>
                <w:sz w:val="20"/>
                <w:szCs w:val="20"/>
              </w:rPr>
              <w:t> </w:t>
            </w:r>
          </w:p>
        </w:tc>
        <w:tc>
          <w:tcPr>
            <w:tcW w:w="360" w:type="dxa"/>
            <w:hideMark/>
          </w:tcPr>
          <w:p w14:paraId="7AF7FF4C"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1709F56E" w14:textId="77777777" w:rsidR="00000000" w:rsidRDefault="00322B34">
            <w:pPr>
              <w:pStyle w:val="a3"/>
              <w:spacing w:before="0" w:beforeAutospacing="0" w:after="0" w:afterAutospacing="0"/>
              <w:jc w:val="both"/>
              <w:rPr>
                <w:sz w:val="20"/>
                <w:szCs w:val="20"/>
              </w:rPr>
            </w:pPr>
            <w:r>
              <w:rPr>
                <w:sz w:val="20"/>
                <w:szCs w:val="20"/>
              </w:rPr>
              <w:t>$7.1 million in proceeds from construction loan financing at one development project.</w:t>
            </w:r>
          </w:p>
        </w:tc>
      </w:tr>
    </w:tbl>
    <w:p w14:paraId="091E5F6D" w14:textId="77777777" w:rsidR="00000000" w:rsidRDefault="00322B34">
      <w:pPr>
        <w:pStyle w:val="a3"/>
        <w:spacing w:before="0" w:beforeAutospacing="0" w:after="0" w:afterAutospacing="0"/>
        <w:ind w:firstLine="540"/>
        <w:jc w:val="both"/>
        <w:rPr>
          <w:sz w:val="20"/>
          <w:szCs w:val="20"/>
        </w:rPr>
      </w:pPr>
      <w:r>
        <w:rPr>
          <w:i/>
          <w:iCs/>
          <w:sz w:val="20"/>
          <w:szCs w:val="20"/>
        </w:rPr>
        <w:t> </w:t>
      </w:r>
    </w:p>
    <w:p w14:paraId="6D3F98A9" w14:textId="77777777" w:rsidR="00000000" w:rsidRDefault="00322B34">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C8B78FB" w14:textId="77777777">
        <w:trPr>
          <w:tblCellSpacing w:w="0" w:type="dxa"/>
        </w:trPr>
        <w:tc>
          <w:tcPr>
            <w:tcW w:w="720" w:type="dxa"/>
            <w:vAlign w:val="center"/>
            <w:hideMark/>
          </w:tcPr>
          <w:p w14:paraId="3BD070D9" w14:textId="77777777" w:rsidR="00000000" w:rsidRDefault="00322B34">
            <w:pPr>
              <w:rPr>
                <w:rFonts w:eastAsia="Times New Roman"/>
                <w:sz w:val="20"/>
                <w:szCs w:val="20"/>
              </w:rPr>
            </w:pPr>
            <w:r>
              <w:rPr>
                <w:rFonts w:eastAsia="Times New Roman"/>
                <w:sz w:val="20"/>
                <w:szCs w:val="20"/>
              </w:rPr>
              <w:t> </w:t>
            </w:r>
          </w:p>
        </w:tc>
        <w:tc>
          <w:tcPr>
            <w:tcW w:w="360" w:type="dxa"/>
            <w:hideMark/>
          </w:tcPr>
          <w:p w14:paraId="46860C93"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1F9D31C8" w14:textId="77777777" w:rsidR="00000000" w:rsidRDefault="00322B34">
            <w:pPr>
              <w:pStyle w:val="a3"/>
              <w:spacing w:before="0" w:beforeAutospacing="0" w:after="0" w:afterAutospacing="0"/>
              <w:jc w:val="both"/>
              <w:rPr>
                <w:sz w:val="20"/>
                <w:szCs w:val="20"/>
              </w:rPr>
            </w:pPr>
            <w:r>
              <w:rPr>
                <w:sz w:val="20"/>
                <w:szCs w:val="20"/>
              </w:rPr>
              <w:t>$265.2 million of dividends paid;</w:t>
            </w:r>
          </w:p>
        </w:tc>
      </w:tr>
    </w:tbl>
    <w:p w14:paraId="3DAD1F48"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DBF8BAB" w14:textId="77777777">
        <w:trPr>
          <w:tblCellSpacing w:w="0" w:type="dxa"/>
        </w:trPr>
        <w:tc>
          <w:tcPr>
            <w:tcW w:w="720" w:type="dxa"/>
            <w:vAlign w:val="center"/>
            <w:hideMark/>
          </w:tcPr>
          <w:p w14:paraId="3595EECA" w14:textId="77777777" w:rsidR="00000000" w:rsidRDefault="00322B34">
            <w:pPr>
              <w:rPr>
                <w:rFonts w:eastAsia="Times New Roman"/>
                <w:sz w:val="20"/>
                <w:szCs w:val="20"/>
              </w:rPr>
            </w:pPr>
            <w:r>
              <w:rPr>
                <w:rFonts w:eastAsia="Times New Roman"/>
                <w:sz w:val="20"/>
                <w:szCs w:val="20"/>
              </w:rPr>
              <w:t> </w:t>
            </w:r>
          </w:p>
        </w:tc>
        <w:tc>
          <w:tcPr>
            <w:tcW w:w="360" w:type="dxa"/>
            <w:hideMark/>
          </w:tcPr>
          <w:p w14:paraId="53F688DC"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33ED32B8" w14:textId="77777777" w:rsidR="00000000" w:rsidRDefault="00322B34">
            <w:pPr>
              <w:pStyle w:val="a3"/>
              <w:spacing w:before="0" w:beforeAutospacing="0" w:after="0" w:afterAutospacing="0"/>
              <w:jc w:val="both"/>
              <w:rPr>
                <w:sz w:val="20"/>
                <w:szCs w:val="20"/>
              </w:rPr>
            </w:pPr>
            <w:r>
              <w:rPr>
                <w:sz w:val="20"/>
                <w:szCs w:val="20"/>
              </w:rPr>
              <w:t>$12.4 million for principal payments on debt (related to the repayment of debt on an encumbered property), including normal amortization on rental property debt; and</w:t>
            </w:r>
          </w:p>
        </w:tc>
      </w:tr>
    </w:tbl>
    <w:p w14:paraId="285DFC42"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19C8DC5" w14:textId="77777777">
        <w:trPr>
          <w:tblCellSpacing w:w="0" w:type="dxa"/>
        </w:trPr>
        <w:tc>
          <w:tcPr>
            <w:tcW w:w="720" w:type="dxa"/>
            <w:vAlign w:val="center"/>
            <w:hideMark/>
          </w:tcPr>
          <w:p w14:paraId="38A34159" w14:textId="77777777" w:rsidR="00000000" w:rsidRDefault="00322B34">
            <w:pPr>
              <w:rPr>
                <w:rFonts w:eastAsia="Times New Roman"/>
                <w:sz w:val="20"/>
                <w:szCs w:val="20"/>
              </w:rPr>
            </w:pPr>
            <w:r>
              <w:rPr>
                <w:rFonts w:eastAsia="Times New Roman"/>
                <w:sz w:val="20"/>
                <w:szCs w:val="20"/>
              </w:rPr>
              <w:t> </w:t>
            </w:r>
          </w:p>
        </w:tc>
        <w:tc>
          <w:tcPr>
            <w:tcW w:w="360" w:type="dxa"/>
            <w:hideMark/>
          </w:tcPr>
          <w:p w14:paraId="6A0ED736" w14:textId="77777777" w:rsidR="00000000" w:rsidRDefault="00322B34">
            <w:pPr>
              <w:pStyle w:val="a3"/>
              <w:spacing w:before="0" w:beforeAutospacing="0" w:after="0" w:afterAutospacing="0"/>
              <w:jc w:val="both"/>
              <w:rPr>
                <w:sz w:val="20"/>
                <w:szCs w:val="20"/>
              </w:rPr>
            </w:pPr>
            <w:r>
              <w:rPr>
                <w:sz w:val="20"/>
                <w:szCs w:val="20"/>
              </w:rPr>
              <w:t>●</w:t>
            </w:r>
          </w:p>
        </w:tc>
        <w:tc>
          <w:tcPr>
            <w:tcW w:w="0" w:type="auto"/>
            <w:hideMark/>
          </w:tcPr>
          <w:p w14:paraId="56631153" w14:textId="77777777" w:rsidR="00000000" w:rsidRDefault="00322B34">
            <w:pPr>
              <w:pStyle w:val="a3"/>
              <w:spacing w:before="0" w:beforeAutospacing="0" w:after="0" w:afterAutospacing="0"/>
              <w:jc w:val="both"/>
              <w:rPr>
                <w:sz w:val="20"/>
                <w:szCs w:val="20"/>
              </w:rPr>
            </w:pPr>
            <w:r>
              <w:rPr>
                <w:sz w:val="20"/>
                <w:szCs w:val="20"/>
              </w:rPr>
              <w:t>$4.1 million for the redemption/distribution</w:t>
            </w:r>
            <w:r>
              <w:rPr>
                <w:sz w:val="20"/>
                <w:szCs w:val="20"/>
              </w:rPr>
              <w:t xml:space="preserve"> of noncontrolling interests, primarily related to the redemption of certain partnership interests by consolidated subsidiaries.</w:t>
            </w:r>
          </w:p>
        </w:tc>
      </w:tr>
    </w:tbl>
    <w:p w14:paraId="5DF798A1" w14:textId="77777777" w:rsidR="00000000" w:rsidRDefault="00322B34">
      <w:pPr>
        <w:pStyle w:val="a3"/>
        <w:spacing w:before="0" w:beforeAutospacing="0" w:after="0" w:afterAutospacing="0"/>
        <w:ind w:left="720"/>
        <w:rPr>
          <w:sz w:val="20"/>
          <w:szCs w:val="20"/>
        </w:rPr>
      </w:pPr>
      <w:r>
        <w:rPr>
          <w:sz w:val="20"/>
          <w:szCs w:val="20"/>
        </w:rPr>
        <w:t> </w:t>
      </w:r>
    </w:p>
    <w:p w14:paraId="7EA73F10" w14:textId="77777777" w:rsidR="00000000" w:rsidRDefault="00322B34">
      <w:pPr>
        <w:pStyle w:val="a3"/>
        <w:spacing w:before="0" w:beforeAutospacing="0" w:after="0" w:afterAutospacing="0"/>
        <w:ind w:firstLine="360"/>
        <w:jc w:val="both"/>
        <w:rPr>
          <w:sz w:val="20"/>
          <w:szCs w:val="20"/>
        </w:rPr>
      </w:pPr>
      <w:r>
        <w:rPr>
          <w:sz w:val="20"/>
          <w:szCs w:val="20"/>
        </w:rPr>
        <w:t>The Company continually evaluates its debt maturities, and, based on management’s current assessment, believes it has viable</w:t>
      </w:r>
      <w:r>
        <w:rPr>
          <w:sz w:val="20"/>
          <w:szCs w:val="20"/>
        </w:rPr>
        <w:t xml:space="preserve"> financing and refinancing alternatives that will not materially adversely impact its expected financial results. The Company continues to pursue borrowing opportunities with large commercial U.S. and global banks, select life insurance companies and certa</w:t>
      </w:r>
      <w:r>
        <w:rPr>
          <w:sz w:val="20"/>
          <w:szCs w:val="20"/>
        </w:rPr>
        <w:t>in regional and local banks.  Due to the recent COVID-19 pandemic, the Company has noticed significant volatility in the debt markets.  Although pricing remains dependent on specific deal terms, generally spreads for non-recourse mortgage, construction loa</w:t>
      </w:r>
      <w:r>
        <w:rPr>
          <w:sz w:val="20"/>
          <w:szCs w:val="20"/>
        </w:rPr>
        <w:t>n financing and unsecured debt are wider than spreads prior to the impact of the COVID-19 pandemic.</w:t>
      </w:r>
    </w:p>
    <w:p w14:paraId="712B3C33" w14:textId="77777777" w:rsidR="00000000" w:rsidRDefault="00322B34">
      <w:pPr>
        <w:pStyle w:val="a3"/>
        <w:spacing w:before="0" w:beforeAutospacing="0" w:after="0" w:afterAutospacing="0"/>
        <w:ind w:left="144" w:right="144"/>
        <w:rPr>
          <w:sz w:val="20"/>
          <w:szCs w:val="20"/>
        </w:rPr>
      </w:pPr>
      <w:r>
        <w:rPr>
          <w:sz w:val="20"/>
          <w:szCs w:val="20"/>
        </w:rPr>
        <w:t> </w:t>
      </w:r>
    </w:p>
    <w:p w14:paraId="22B1663E" w14:textId="77777777" w:rsidR="00000000" w:rsidRDefault="00322B34">
      <w:pPr>
        <w:pStyle w:val="a3"/>
        <w:spacing w:before="0" w:beforeAutospacing="0" w:after="0" w:afterAutospacing="0"/>
        <w:ind w:firstLine="360"/>
        <w:jc w:val="both"/>
        <w:rPr>
          <w:sz w:val="20"/>
          <w:szCs w:val="20"/>
        </w:rPr>
      </w:pPr>
      <w:r>
        <w:rPr>
          <w:sz w:val="20"/>
          <w:szCs w:val="20"/>
        </w:rPr>
        <w:t>Debt maturities for the remainder of 2020 consist of </w:t>
      </w:r>
      <w:r>
        <w:rPr>
          <w:sz w:val="20"/>
          <w:szCs w:val="20"/>
        </w:rPr>
        <w:t>$70.5 million of consolidated debt, $39.8 million of unconsolidated joint venture debt and $61.9 million of debt included in the Company’s Preferred Equity Program, assuming the utilization of extension options where available. The 2020 consolidated debt m</w:t>
      </w:r>
      <w:r>
        <w:rPr>
          <w:sz w:val="20"/>
          <w:szCs w:val="20"/>
        </w:rPr>
        <w:t>aturities are anticipated to be repaid with operating cash flows, borrowings from the Company’s Credit Facility and debt refinancing where applicable. The 2020 debt maturities on properties included in the Company’s unconsolidated joint ventures and in the</w:t>
      </w:r>
      <w:r>
        <w:rPr>
          <w:sz w:val="20"/>
          <w:szCs w:val="20"/>
        </w:rPr>
        <w:t xml:space="preserve"> Company’s Preferred Equity Program are anticipated to be repaid with operating cash flows, debt refinancing, credit facilities (where available) and partner capital contributions, as deemed appropriate.</w:t>
      </w:r>
    </w:p>
    <w:p w14:paraId="0AAC19CA" w14:textId="77777777" w:rsidR="00000000" w:rsidRDefault="00322B34">
      <w:pPr>
        <w:pStyle w:val="a3"/>
        <w:spacing w:before="0" w:beforeAutospacing="0" w:after="0" w:afterAutospacing="0"/>
        <w:ind w:firstLine="360"/>
        <w:jc w:val="both"/>
        <w:rPr>
          <w:sz w:val="20"/>
          <w:szCs w:val="20"/>
        </w:rPr>
      </w:pPr>
      <w:r>
        <w:rPr>
          <w:sz w:val="20"/>
          <w:szCs w:val="20"/>
        </w:rPr>
        <w:t> </w:t>
      </w:r>
    </w:p>
    <w:p w14:paraId="076615E1" w14:textId="77777777" w:rsidR="00000000" w:rsidRDefault="00322B34">
      <w:pPr>
        <w:pStyle w:val="a3"/>
        <w:spacing w:before="0" w:beforeAutospacing="0" w:after="0" w:afterAutospacing="0"/>
        <w:ind w:firstLine="360"/>
        <w:jc w:val="both"/>
        <w:rPr>
          <w:sz w:val="20"/>
          <w:szCs w:val="20"/>
        </w:rPr>
      </w:pPr>
      <w:r>
        <w:rPr>
          <w:sz w:val="20"/>
          <w:szCs w:val="20"/>
        </w:rPr>
        <w:t>The Company intends to maintain strong debt servic</w:t>
      </w:r>
      <w:r>
        <w:rPr>
          <w:sz w:val="20"/>
          <w:szCs w:val="20"/>
        </w:rPr>
        <w:t>e coverage and fixed charge coverage ratios as part of its commitment to maintain its investment-grade senior, unsecured debt ratings.  The Company may, from time to time, seek to obtain funds through additional common and preferred equity offerings, unsec</w:t>
      </w:r>
      <w:r>
        <w:rPr>
          <w:sz w:val="20"/>
          <w:szCs w:val="20"/>
        </w:rPr>
        <w:t>ured debt financings, mortgages and/or construction loan financing and other capital alternatives.</w:t>
      </w:r>
    </w:p>
    <w:p w14:paraId="726214C1" w14:textId="77777777" w:rsidR="00000000" w:rsidRDefault="00322B34">
      <w:pPr>
        <w:pStyle w:val="a3"/>
        <w:spacing w:before="0" w:beforeAutospacing="0" w:after="0" w:afterAutospacing="0"/>
        <w:ind w:firstLine="360"/>
        <w:jc w:val="both"/>
        <w:rPr>
          <w:sz w:val="20"/>
          <w:szCs w:val="20"/>
        </w:rPr>
      </w:pPr>
      <w:r>
        <w:rPr>
          <w:sz w:val="20"/>
          <w:szCs w:val="20"/>
        </w:rPr>
        <w:t> </w:t>
      </w:r>
    </w:p>
    <w:p w14:paraId="37C31CE9" w14:textId="77777777" w:rsidR="00000000" w:rsidRDefault="00322B34">
      <w:pPr>
        <w:pStyle w:val="a3"/>
        <w:spacing w:before="0" w:beforeAutospacing="0" w:after="0" w:afterAutospacing="0"/>
        <w:ind w:firstLine="360"/>
        <w:jc w:val="both"/>
        <w:rPr>
          <w:sz w:val="20"/>
          <w:szCs w:val="20"/>
        </w:rPr>
      </w:pPr>
      <w:r>
        <w:rPr>
          <w:sz w:val="20"/>
          <w:szCs w:val="20"/>
        </w:rPr>
        <w:t>Since the completion of the Company’s IPO in 1991, the Company has utilized the public debt and equity markets as its principal source of capital for its e</w:t>
      </w:r>
      <w:r>
        <w:rPr>
          <w:sz w:val="20"/>
          <w:szCs w:val="20"/>
        </w:rPr>
        <w:t>xpansion needs. Since the IPO, the Company has completed additional offerings of its public unsecured debt and equity, raising in the aggregate over $15.2 billion.  Proceeds from public capital market activities have been used for the purposes of, among ot</w:t>
      </w:r>
      <w:r>
        <w:rPr>
          <w:sz w:val="20"/>
          <w:szCs w:val="20"/>
        </w:rPr>
        <w:t>her things, repaying indebtedness, acquiring interests in open-air, grocery-anchored shopping centers and mixed-use assets, funding real estate under development projects, expanding and improving properties in the portfolio and other investments.</w:t>
      </w:r>
    </w:p>
    <w:p w14:paraId="5338E698" w14:textId="77777777" w:rsidR="00000000" w:rsidRDefault="00322B34">
      <w:pPr>
        <w:pStyle w:val="a3"/>
        <w:spacing w:before="0" w:beforeAutospacing="0" w:after="0" w:afterAutospacing="0"/>
        <w:ind w:firstLine="360"/>
        <w:jc w:val="both"/>
        <w:rPr>
          <w:sz w:val="20"/>
          <w:szCs w:val="20"/>
        </w:rPr>
      </w:pPr>
      <w:r>
        <w:rPr>
          <w:sz w:val="20"/>
          <w:szCs w:val="20"/>
        </w:rPr>
        <w:t> </w:t>
      </w:r>
    </w:p>
    <w:p w14:paraId="48F327CA" w14:textId="77777777" w:rsidR="00000000" w:rsidRDefault="00322B34">
      <w:pPr>
        <w:pStyle w:val="a3"/>
        <w:spacing w:before="0" w:beforeAutospacing="0" w:after="0" w:afterAutospacing="0"/>
        <w:ind w:firstLine="360"/>
        <w:jc w:val="both"/>
        <w:rPr>
          <w:sz w:val="20"/>
          <w:szCs w:val="20"/>
        </w:rPr>
      </w:pPr>
      <w:r>
        <w:rPr>
          <w:sz w:val="20"/>
          <w:szCs w:val="20"/>
        </w:rPr>
        <w:t xml:space="preserve">During </w:t>
      </w:r>
      <w:r>
        <w:rPr>
          <w:sz w:val="20"/>
          <w:szCs w:val="20"/>
        </w:rPr>
        <w:t>February 2018, the Company filed a shelf registration statement on Form S-3, which is effective for a term of three years, for the future unlimited offerings, from time to time, of debt securities, preferred stock, depositary shares, common stock and commo</w:t>
      </w:r>
      <w:r>
        <w:rPr>
          <w:sz w:val="20"/>
          <w:szCs w:val="20"/>
        </w:rPr>
        <w:t>n stock warrants. The Company, pursuant to this shelf registration statement may, from time to time, offer for sale its senior unsecured debt for any general corporate purposes, including (i) funding specific liquidity requirements in its business, includi</w:t>
      </w:r>
      <w:r>
        <w:rPr>
          <w:sz w:val="20"/>
          <w:szCs w:val="20"/>
        </w:rPr>
        <w:t>ng property acquisitions, development and redevelopment costs and (ii) managing the Company’s debt maturities.</w:t>
      </w:r>
    </w:p>
    <w:p w14:paraId="334A50AB" w14:textId="77777777" w:rsidR="00000000" w:rsidRDefault="00322B34">
      <w:pPr>
        <w:pStyle w:val="a3"/>
        <w:spacing w:before="0" w:beforeAutospacing="0" w:after="0" w:afterAutospacing="0"/>
        <w:ind w:firstLine="360"/>
        <w:jc w:val="both"/>
        <w:rPr>
          <w:sz w:val="20"/>
          <w:szCs w:val="20"/>
        </w:rPr>
      </w:pPr>
      <w:r>
        <w:rPr>
          <w:sz w:val="20"/>
          <w:szCs w:val="20"/>
        </w:rPr>
        <w:t> </w:t>
      </w:r>
    </w:p>
    <w:p w14:paraId="45057342" w14:textId="77777777" w:rsidR="00000000" w:rsidRDefault="00322B34">
      <w:pPr>
        <w:pStyle w:val="a3"/>
        <w:spacing w:before="0" w:beforeAutospacing="0" w:after="0" w:afterAutospacing="0"/>
        <w:ind w:firstLine="360"/>
        <w:jc w:val="both"/>
        <w:rPr>
          <w:sz w:val="20"/>
          <w:szCs w:val="20"/>
        </w:rPr>
      </w:pPr>
      <w:r>
        <w:rPr>
          <w:sz w:val="20"/>
          <w:szCs w:val="20"/>
        </w:rPr>
        <w:t>During May 2020, the Company filed a registration statement on Form S-8 for its 2020 Equity Participation Plan (the “2020 Plan”), which was app</w:t>
      </w:r>
      <w:r>
        <w:rPr>
          <w:sz w:val="20"/>
          <w:szCs w:val="20"/>
        </w:rPr>
        <w:t>roved by the Company’s stockholders and is a successor to the Restated Kimco Realty Corporation 2010 Equity Participation Plan that expired in March 2020.  The 2020 Plan provides for a maximum of 10,000,000 shares of the Company’s common stock to be reserv</w:t>
      </w:r>
      <w:r>
        <w:rPr>
          <w:sz w:val="20"/>
          <w:szCs w:val="20"/>
        </w:rPr>
        <w:t xml:space="preserve">ed for the issuance of stock options, stock appreciation rights, restricted stock, restricted stock units, performance awards, dividend equivalents, stock payments and deferred stock awards.  At June 30, 2020, the Company had 10.0 million shares of common </w:t>
      </w:r>
      <w:r>
        <w:rPr>
          <w:sz w:val="20"/>
          <w:szCs w:val="20"/>
        </w:rPr>
        <w:t>stock available for issuance under the 2020 Plan.</w:t>
      </w:r>
    </w:p>
    <w:p w14:paraId="7D237B39" w14:textId="77777777" w:rsidR="00000000" w:rsidRDefault="00322B34">
      <w:pPr>
        <w:pStyle w:val="a3"/>
        <w:spacing w:before="0" w:beforeAutospacing="0" w:after="0" w:afterAutospacing="0"/>
        <w:ind w:firstLine="360"/>
        <w:jc w:val="both"/>
        <w:rPr>
          <w:sz w:val="20"/>
          <w:szCs w:val="20"/>
        </w:rPr>
      </w:pPr>
      <w:r>
        <w:rPr>
          <w:sz w:val="20"/>
          <w:szCs w:val="20"/>
        </w:rPr>
        <w:t> </w:t>
      </w:r>
    </w:p>
    <w:p w14:paraId="553B2826" w14:textId="77777777" w:rsidR="00000000" w:rsidRDefault="00322B34">
      <w:pPr>
        <w:jc w:val="center"/>
        <w:divId w:val="1588347027"/>
        <w:rPr>
          <w:rFonts w:eastAsia="Times New Roman"/>
          <w:sz w:val="20"/>
          <w:szCs w:val="20"/>
        </w:rPr>
      </w:pPr>
      <w:r>
        <w:rPr>
          <w:rFonts w:eastAsia="Times New Roman"/>
          <w:sz w:val="20"/>
          <w:szCs w:val="20"/>
        </w:rPr>
        <w:t xml:space="preserve">28 </w:t>
      </w:r>
    </w:p>
    <w:p w14:paraId="5980301D" w14:textId="77777777" w:rsidR="00000000" w:rsidRDefault="00322B34">
      <w:pPr>
        <w:divId w:val="1942180863"/>
        <w:rPr>
          <w:rFonts w:eastAsia="Times New Roman"/>
          <w:sz w:val="20"/>
          <w:szCs w:val="20"/>
        </w:rPr>
      </w:pPr>
      <w:r>
        <w:rPr>
          <w:rFonts w:eastAsia="Times New Roman"/>
          <w:sz w:val="20"/>
          <w:szCs w:val="20"/>
        </w:rPr>
        <w:pict w14:anchorId="36BD4A1F">
          <v:rect id="_x0000_i1056" style="width:0;height:1.5pt" o:hralign="center" o:hrstd="t" o:hr="t" fillcolor="#a0a0a0" stroked="f"/>
        </w:pict>
      </w:r>
    </w:p>
    <w:p w14:paraId="25C2C179" w14:textId="77777777" w:rsidR="00000000" w:rsidRDefault="00322B34">
      <w:pPr>
        <w:divId w:val="144966062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B84F8E1" w14:textId="77777777" w:rsidR="00000000" w:rsidRDefault="00322B34">
      <w:pPr>
        <w:pStyle w:val="a3"/>
        <w:spacing w:before="0" w:beforeAutospacing="0" w:after="0" w:afterAutospacing="0"/>
        <w:rPr>
          <w:sz w:val="20"/>
          <w:szCs w:val="20"/>
        </w:rPr>
      </w:pPr>
      <w:r>
        <w:rPr>
          <w:sz w:val="20"/>
          <w:szCs w:val="20"/>
        </w:rPr>
        <w:t> </w:t>
      </w:r>
    </w:p>
    <w:p w14:paraId="774C92DF" w14:textId="77777777" w:rsidR="00000000" w:rsidRDefault="00322B34">
      <w:pPr>
        <w:pStyle w:val="a3"/>
        <w:spacing w:before="0" w:beforeAutospacing="0" w:after="0" w:afterAutospacing="0"/>
        <w:jc w:val="both"/>
        <w:rPr>
          <w:sz w:val="20"/>
          <w:szCs w:val="20"/>
        </w:rPr>
      </w:pPr>
      <w:r>
        <w:rPr>
          <w:i/>
          <w:iCs/>
          <w:sz w:val="20"/>
          <w:szCs w:val="20"/>
        </w:rPr>
        <w:t>Common Stock –</w:t>
      </w:r>
    </w:p>
    <w:p w14:paraId="4FAB6B9F" w14:textId="77777777" w:rsidR="00000000" w:rsidRDefault="00322B34">
      <w:pPr>
        <w:pStyle w:val="a3"/>
        <w:spacing w:before="0" w:beforeAutospacing="0" w:after="0" w:afterAutospacing="0"/>
        <w:jc w:val="both"/>
        <w:rPr>
          <w:sz w:val="20"/>
          <w:szCs w:val="20"/>
        </w:rPr>
      </w:pPr>
      <w:r>
        <w:rPr>
          <w:i/>
          <w:iCs/>
          <w:sz w:val="20"/>
          <w:szCs w:val="20"/>
        </w:rPr>
        <w:t> </w:t>
      </w:r>
    </w:p>
    <w:p w14:paraId="7E4CA147" w14:textId="77777777" w:rsidR="00000000" w:rsidRDefault="00322B34">
      <w:pPr>
        <w:pStyle w:val="a3"/>
        <w:spacing w:before="0" w:beforeAutospacing="0" w:after="0" w:afterAutospacing="0"/>
        <w:ind w:firstLine="360"/>
        <w:jc w:val="both"/>
        <w:rPr>
          <w:sz w:val="20"/>
          <w:szCs w:val="20"/>
        </w:rPr>
      </w:pPr>
      <w:r>
        <w:rPr>
          <w:sz w:val="20"/>
          <w:szCs w:val="20"/>
        </w:rPr>
        <w:t>During September 2019, the Company established an at the market continuous offering program (the “AT</w:t>
      </w:r>
      <w:r>
        <w:rPr>
          <w:sz w:val="20"/>
          <w:szCs w:val="20"/>
        </w:rPr>
        <w:t>M program”), pursuant to which the Company may offer and sell from time to time shares of its common stock, par value $0.01 per share, with an aggregate gross sales price of up to $500.0 million through a consortium of banks acting as sales agents. Sales o</w:t>
      </w:r>
      <w:r>
        <w:rPr>
          <w:sz w:val="20"/>
          <w:szCs w:val="20"/>
        </w:rPr>
        <w:t>f the shares of common stock may be made, as needed, from time to time in “at the market” offerings as defined in Rule 415 of the Securities Act of 1933, including by means of ordinary brokers’ transactions on the New York Stock Exchange or otherwise (i) a</w:t>
      </w:r>
      <w:r>
        <w:rPr>
          <w:sz w:val="20"/>
          <w:szCs w:val="20"/>
        </w:rPr>
        <w:t>t market prices prevailing at the time of sale, (ii) at prices related to prevailing market prices or (iii) as otherwise agreed to with the applicable sales agent. The Company did not offer for sale any shares of common stock under the ATM program during t</w:t>
      </w:r>
      <w:r>
        <w:rPr>
          <w:sz w:val="20"/>
          <w:szCs w:val="20"/>
        </w:rPr>
        <w:t>he six months ended June 30, 2020.</w:t>
      </w:r>
    </w:p>
    <w:p w14:paraId="5CD41DEC" w14:textId="77777777" w:rsidR="00000000" w:rsidRDefault="00322B34">
      <w:pPr>
        <w:pStyle w:val="a3"/>
        <w:spacing w:before="0" w:beforeAutospacing="0" w:after="0" w:afterAutospacing="0"/>
        <w:jc w:val="both"/>
        <w:rPr>
          <w:sz w:val="20"/>
          <w:szCs w:val="20"/>
        </w:rPr>
      </w:pPr>
      <w:r>
        <w:rPr>
          <w:i/>
          <w:iCs/>
          <w:sz w:val="20"/>
          <w:szCs w:val="20"/>
        </w:rPr>
        <w:t> </w:t>
      </w:r>
    </w:p>
    <w:p w14:paraId="508CCDC3" w14:textId="77777777" w:rsidR="00000000" w:rsidRDefault="00322B34">
      <w:pPr>
        <w:pStyle w:val="a3"/>
        <w:spacing w:before="0" w:beforeAutospacing="0" w:after="0" w:afterAutospacing="0"/>
        <w:ind w:firstLine="360"/>
        <w:jc w:val="both"/>
        <w:rPr>
          <w:sz w:val="20"/>
          <w:szCs w:val="20"/>
        </w:rPr>
      </w:pPr>
      <w:r>
        <w:rPr>
          <w:sz w:val="20"/>
          <w:szCs w:val="20"/>
        </w:rPr>
        <w:t>During February 2020, the Company extended its share repurchase program for a term of two years, which will expire in February 2022, pursuant to which the Company may repurchase shares of its common stock, par value $0.</w:t>
      </w:r>
      <w:r>
        <w:rPr>
          <w:sz w:val="20"/>
          <w:szCs w:val="20"/>
        </w:rPr>
        <w:t>01 per share, with an aggregate gross purchase price of up to $300.0 million. The Company did not repurchase any shares under the share repurchase program during the six months ended June 30, 2020. As of June 30, 2020, the Company had $224.9 million availa</w:t>
      </w:r>
      <w:r>
        <w:rPr>
          <w:sz w:val="20"/>
          <w:szCs w:val="20"/>
        </w:rPr>
        <w:t>ble under this share repurchase program.</w:t>
      </w:r>
    </w:p>
    <w:p w14:paraId="44BE8250" w14:textId="77777777" w:rsidR="00000000" w:rsidRDefault="00322B34">
      <w:pPr>
        <w:pStyle w:val="a3"/>
        <w:spacing w:before="0" w:beforeAutospacing="0" w:after="0" w:afterAutospacing="0"/>
        <w:ind w:firstLine="360"/>
        <w:jc w:val="both"/>
        <w:rPr>
          <w:sz w:val="20"/>
          <w:szCs w:val="20"/>
        </w:rPr>
      </w:pPr>
      <w:r>
        <w:rPr>
          <w:i/>
          <w:iCs/>
          <w:sz w:val="20"/>
          <w:szCs w:val="20"/>
        </w:rPr>
        <w:t> </w:t>
      </w:r>
    </w:p>
    <w:p w14:paraId="5B9A140C" w14:textId="77777777" w:rsidR="00000000" w:rsidRDefault="00322B34">
      <w:pPr>
        <w:pStyle w:val="a3"/>
        <w:spacing w:before="0" w:beforeAutospacing="0" w:after="0" w:afterAutospacing="0"/>
        <w:jc w:val="both"/>
        <w:rPr>
          <w:sz w:val="20"/>
          <w:szCs w:val="20"/>
        </w:rPr>
      </w:pPr>
      <w:r>
        <w:rPr>
          <w:i/>
          <w:iCs/>
          <w:sz w:val="20"/>
          <w:szCs w:val="20"/>
        </w:rPr>
        <w:t>Senior Notes –</w:t>
      </w:r>
    </w:p>
    <w:p w14:paraId="40FFFA29" w14:textId="77777777" w:rsidR="00000000" w:rsidRDefault="00322B34">
      <w:pPr>
        <w:pStyle w:val="a3"/>
        <w:spacing w:before="0" w:beforeAutospacing="0" w:after="0" w:afterAutospacing="0"/>
        <w:jc w:val="both"/>
        <w:rPr>
          <w:sz w:val="20"/>
          <w:szCs w:val="20"/>
        </w:rPr>
      </w:pPr>
      <w:r>
        <w:rPr>
          <w:i/>
          <w:iCs/>
          <w:sz w:val="20"/>
          <w:szCs w:val="20"/>
        </w:rPr>
        <w:t> </w:t>
      </w:r>
    </w:p>
    <w:p w14:paraId="372CBCA7" w14:textId="77777777" w:rsidR="00000000" w:rsidRDefault="00322B34">
      <w:pPr>
        <w:pStyle w:val="a3"/>
        <w:spacing w:before="0" w:beforeAutospacing="0" w:after="0" w:afterAutospacing="0"/>
        <w:ind w:firstLine="360"/>
        <w:jc w:val="both"/>
        <w:rPr>
          <w:sz w:val="20"/>
          <w:szCs w:val="20"/>
        </w:rPr>
      </w:pPr>
      <w:r>
        <w:rPr>
          <w:sz w:val="20"/>
          <w:szCs w:val="20"/>
        </w:rPr>
        <w:t>On July 15, 2020, the Company announced the partial redemption of $200.0 million of its 3.20% senior unsecured notes outstanding, which mature in May 2021. These notes will be redeemed on July 30, 2020 and the Company will incur a prepayment charge of appr</w:t>
      </w:r>
      <w:r>
        <w:rPr>
          <w:sz w:val="20"/>
          <w:szCs w:val="20"/>
        </w:rPr>
        <w:t>oximately $3.3 million resulting from the partial repayment. As of June 30, 2020, $484.9 million was outstanding on these notes.</w:t>
      </w:r>
    </w:p>
    <w:p w14:paraId="4A4E30A1" w14:textId="77777777" w:rsidR="00000000" w:rsidRDefault="00322B34">
      <w:pPr>
        <w:pStyle w:val="a3"/>
        <w:spacing w:before="0" w:beforeAutospacing="0" w:after="0" w:afterAutospacing="0"/>
        <w:jc w:val="both"/>
        <w:rPr>
          <w:sz w:val="20"/>
          <w:szCs w:val="20"/>
        </w:rPr>
      </w:pPr>
      <w:r>
        <w:rPr>
          <w:sz w:val="20"/>
          <w:szCs w:val="20"/>
        </w:rPr>
        <w:t> </w:t>
      </w:r>
    </w:p>
    <w:p w14:paraId="34AC61C9" w14:textId="77777777" w:rsidR="00000000" w:rsidRDefault="00322B34">
      <w:pPr>
        <w:pStyle w:val="a3"/>
        <w:spacing w:before="0" w:beforeAutospacing="0" w:after="0" w:afterAutospacing="0"/>
        <w:ind w:firstLine="360"/>
        <w:jc w:val="both"/>
        <w:rPr>
          <w:sz w:val="20"/>
          <w:szCs w:val="20"/>
        </w:rPr>
      </w:pPr>
      <w:r>
        <w:rPr>
          <w:sz w:val="20"/>
          <w:szCs w:val="20"/>
        </w:rPr>
        <w:t>The Company’s supplemental indenture governing its senior notes contains the following covenants, all of which the Company is</w:t>
      </w:r>
      <w:r>
        <w:rPr>
          <w:sz w:val="20"/>
          <w:szCs w:val="20"/>
        </w:rPr>
        <w:t xml:space="preserve"> compliant with:</w:t>
      </w:r>
    </w:p>
    <w:p w14:paraId="543038EE" w14:textId="77777777" w:rsidR="00000000" w:rsidRDefault="00322B34">
      <w:pPr>
        <w:pStyle w:val="a3"/>
        <w:spacing w:before="0" w:beforeAutospacing="0" w:after="0" w:afterAutospacing="0"/>
        <w:ind w:firstLine="360"/>
        <w:rPr>
          <w:sz w:val="20"/>
          <w:szCs w:val="20"/>
        </w:rPr>
      </w:pPr>
      <w:r>
        <w:rPr>
          <w:sz w:val="20"/>
          <w:szCs w:val="20"/>
        </w:rPr>
        <w:t> </w:t>
      </w:r>
    </w:p>
    <w:tbl>
      <w:tblPr>
        <w:tblW w:w="4750" w:type="pct"/>
        <w:tblCellSpacing w:w="0" w:type="dxa"/>
        <w:tblInd w:w="180" w:type="dxa"/>
        <w:tblCellMar>
          <w:left w:w="0" w:type="dxa"/>
          <w:right w:w="0" w:type="dxa"/>
        </w:tblCellMar>
        <w:tblLook w:val="04A0" w:firstRow="1" w:lastRow="0" w:firstColumn="1" w:lastColumn="0" w:noHBand="0" w:noVBand="1"/>
      </w:tblPr>
      <w:tblGrid>
        <w:gridCol w:w="5286"/>
        <w:gridCol w:w="79"/>
        <w:gridCol w:w="1184"/>
        <w:gridCol w:w="79"/>
        <w:gridCol w:w="1184"/>
        <w:gridCol w:w="79"/>
      </w:tblGrid>
      <w:tr w:rsidR="00000000" w14:paraId="52062E4D" w14:textId="77777777">
        <w:trPr>
          <w:tblCellSpacing w:w="0" w:type="dxa"/>
        </w:trPr>
        <w:tc>
          <w:tcPr>
            <w:tcW w:w="3350" w:type="pct"/>
            <w:tcBorders>
              <w:bottom w:val="single" w:sz="6" w:space="0" w:color="000000"/>
            </w:tcBorders>
            <w:vAlign w:val="bottom"/>
            <w:hideMark/>
          </w:tcPr>
          <w:p w14:paraId="5904E54A" w14:textId="77777777" w:rsidR="00000000" w:rsidRDefault="00322B34">
            <w:pPr>
              <w:pStyle w:val="a3"/>
              <w:spacing w:before="0" w:beforeAutospacing="0" w:after="0" w:afterAutospacing="0"/>
              <w:jc w:val="center"/>
              <w:rPr>
                <w:sz w:val="20"/>
                <w:szCs w:val="20"/>
              </w:rPr>
            </w:pPr>
            <w:r>
              <w:rPr>
                <w:b/>
                <w:bCs/>
                <w:sz w:val="20"/>
                <w:szCs w:val="20"/>
              </w:rPr>
              <w:t>Covenant</w:t>
            </w:r>
          </w:p>
        </w:tc>
        <w:tc>
          <w:tcPr>
            <w:tcW w:w="50" w:type="pct"/>
            <w:vAlign w:val="bottom"/>
            <w:hideMark/>
          </w:tcPr>
          <w:p w14:paraId="2BDD3820" w14:textId="77777777" w:rsidR="00000000" w:rsidRDefault="00322B34">
            <w:pPr>
              <w:jc w:val="center"/>
              <w:rPr>
                <w:rFonts w:eastAsia="Times New Roman"/>
                <w:sz w:val="20"/>
                <w:szCs w:val="20"/>
              </w:rPr>
            </w:pPr>
            <w:r>
              <w:rPr>
                <w:rFonts w:eastAsia="Times New Roman"/>
                <w:sz w:val="20"/>
                <w:szCs w:val="20"/>
              </w:rPr>
              <w:t> </w:t>
            </w:r>
          </w:p>
        </w:tc>
        <w:tc>
          <w:tcPr>
            <w:tcW w:w="750" w:type="pct"/>
            <w:tcBorders>
              <w:bottom w:val="single" w:sz="6" w:space="0" w:color="000000"/>
            </w:tcBorders>
            <w:vAlign w:val="bottom"/>
            <w:hideMark/>
          </w:tcPr>
          <w:p w14:paraId="60BF0135" w14:textId="77777777" w:rsidR="00000000" w:rsidRDefault="00322B34">
            <w:pPr>
              <w:pStyle w:val="a3"/>
              <w:spacing w:before="0" w:beforeAutospacing="0" w:after="0" w:afterAutospacing="0"/>
              <w:jc w:val="center"/>
              <w:rPr>
                <w:sz w:val="20"/>
                <w:szCs w:val="20"/>
              </w:rPr>
            </w:pPr>
            <w:r>
              <w:rPr>
                <w:b/>
                <w:bCs/>
                <w:sz w:val="20"/>
                <w:szCs w:val="20"/>
              </w:rPr>
              <w:t>Must Be</w:t>
            </w:r>
          </w:p>
        </w:tc>
        <w:tc>
          <w:tcPr>
            <w:tcW w:w="50" w:type="pct"/>
            <w:vAlign w:val="bottom"/>
            <w:hideMark/>
          </w:tcPr>
          <w:p w14:paraId="1A9E4970" w14:textId="77777777" w:rsidR="00000000" w:rsidRDefault="00322B34">
            <w:pPr>
              <w:rPr>
                <w:rFonts w:eastAsia="Times New Roman"/>
                <w:sz w:val="20"/>
                <w:szCs w:val="20"/>
              </w:rPr>
            </w:pPr>
            <w:r>
              <w:rPr>
                <w:rFonts w:eastAsia="Times New Roman"/>
                <w:sz w:val="20"/>
                <w:szCs w:val="20"/>
              </w:rPr>
              <w:t> </w:t>
            </w:r>
          </w:p>
        </w:tc>
        <w:tc>
          <w:tcPr>
            <w:tcW w:w="750" w:type="pct"/>
            <w:tcBorders>
              <w:bottom w:val="single" w:sz="6" w:space="0" w:color="000000"/>
            </w:tcBorders>
            <w:vAlign w:val="bottom"/>
            <w:hideMark/>
          </w:tcPr>
          <w:p w14:paraId="457418D7" w14:textId="77777777" w:rsidR="00000000" w:rsidRDefault="00322B34">
            <w:pPr>
              <w:pStyle w:val="a3"/>
              <w:spacing w:before="0" w:beforeAutospacing="0" w:after="0" w:afterAutospacing="0"/>
              <w:jc w:val="center"/>
              <w:rPr>
                <w:sz w:val="20"/>
                <w:szCs w:val="20"/>
              </w:rPr>
            </w:pPr>
            <w:r>
              <w:rPr>
                <w:b/>
                <w:bCs/>
                <w:sz w:val="20"/>
                <w:szCs w:val="20"/>
              </w:rPr>
              <w:t>As of June 30, 2020</w:t>
            </w:r>
          </w:p>
        </w:tc>
        <w:tc>
          <w:tcPr>
            <w:tcW w:w="50" w:type="pct"/>
            <w:tcMar>
              <w:top w:w="0" w:type="dxa"/>
              <w:left w:w="0" w:type="dxa"/>
              <w:bottom w:w="15" w:type="dxa"/>
              <w:right w:w="0" w:type="dxa"/>
            </w:tcMar>
            <w:vAlign w:val="bottom"/>
            <w:hideMark/>
          </w:tcPr>
          <w:p w14:paraId="11E9D111" w14:textId="77777777" w:rsidR="00000000" w:rsidRDefault="00322B34">
            <w:pPr>
              <w:rPr>
                <w:rFonts w:eastAsia="Times New Roman"/>
                <w:sz w:val="20"/>
                <w:szCs w:val="20"/>
              </w:rPr>
            </w:pPr>
            <w:r>
              <w:rPr>
                <w:rFonts w:eastAsia="Times New Roman"/>
                <w:sz w:val="20"/>
                <w:szCs w:val="20"/>
              </w:rPr>
              <w:t> </w:t>
            </w:r>
          </w:p>
        </w:tc>
      </w:tr>
      <w:tr w:rsidR="00000000" w14:paraId="02123C6B" w14:textId="77777777">
        <w:trPr>
          <w:tblCellSpacing w:w="0" w:type="dxa"/>
        </w:trPr>
        <w:tc>
          <w:tcPr>
            <w:tcW w:w="3350" w:type="pct"/>
            <w:tcBorders>
              <w:bottom w:val="nil"/>
            </w:tcBorders>
            <w:shd w:val="clear" w:color="auto" w:fill="CCEEFF"/>
            <w:vAlign w:val="bottom"/>
            <w:hideMark/>
          </w:tcPr>
          <w:p w14:paraId="522B117E" w14:textId="77777777" w:rsidR="00000000" w:rsidRDefault="00322B34">
            <w:pPr>
              <w:pStyle w:val="a3"/>
              <w:spacing w:before="0" w:beforeAutospacing="0" w:after="0" w:afterAutospacing="0"/>
              <w:rPr>
                <w:sz w:val="20"/>
                <w:szCs w:val="20"/>
              </w:rPr>
            </w:pPr>
            <w:r>
              <w:rPr>
                <w:sz w:val="20"/>
                <w:szCs w:val="20"/>
              </w:rPr>
              <w:t>Consolidated Indebtedness to Total Assets</w:t>
            </w:r>
          </w:p>
        </w:tc>
        <w:tc>
          <w:tcPr>
            <w:tcW w:w="50" w:type="pct"/>
            <w:tcBorders>
              <w:bottom w:val="nil"/>
            </w:tcBorders>
            <w:shd w:val="clear" w:color="auto" w:fill="CCEEFF"/>
            <w:vAlign w:val="bottom"/>
            <w:hideMark/>
          </w:tcPr>
          <w:p w14:paraId="594B0097" w14:textId="77777777" w:rsidR="00000000" w:rsidRDefault="00322B34">
            <w:pPr>
              <w:jc w:val="center"/>
              <w:rPr>
                <w:rFonts w:eastAsia="Times New Roman"/>
                <w:sz w:val="20"/>
                <w:szCs w:val="20"/>
              </w:rPr>
            </w:pPr>
            <w:r>
              <w:rPr>
                <w:rFonts w:eastAsia="Times New Roman"/>
                <w:sz w:val="20"/>
                <w:szCs w:val="20"/>
              </w:rPr>
              <w:t> </w:t>
            </w:r>
          </w:p>
        </w:tc>
        <w:tc>
          <w:tcPr>
            <w:tcW w:w="750" w:type="pct"/>
            <w:tcBorders>
              <w:bottom w:val="nil"/>
            </w:tcBorders>
            <w:shd w:val="clear" w:color="auto" w:fill="CCEEFF"/>
            <w:vAlign w:val="bottom"/>
            <w:hideMark/>
          </w:tcPr>
          <w:p w14:paraId="2D627753" w14:textId="77777777" w:rsidR="00000000" w:rsidRDefault="00322B34">
            <w:pPr>
              <w:pStyle w:val="a3"/>
              <w:spacing w:before="0" w:beforeAutospacing="0" w:after="0" w:afterAutospacing="0"/>
              <w:jc w:val="center"/>
              <w:rPr>
                <w:sz w:val="20"/>
                <w:szCs w:val="20"/>
              </w:rPr>
            </w:pPr>
            <w:r>
              <w:rPr>
                <w:sz w:val="20"/>
                <w:szCs w:val="20"/>
              </w:rPr>
              <w:t>&lt;65%</w:t>
            </w:r>
          </w:p>
        </w:tc>
        <w:tc>
          <w:tcPr>
            <w:tcW w:w="50" w:type="pct"/>
            <w:tcBorders>
              <w:bottom w:val="nil"/>
            </w:tcBorders>
            <w:shd w:val="clear" w:color="auto" w:fill="CCEEFF"/>
            <w:vAlign w:val="bottom"/>
            <w:hideMark/>
          </w:tcPr>
          <w:p w14:paraId="35887628" w14:textId="77777777" w:rsidR="00000000" w:rsidRDefault="00322B34">
            <w:pPr>
              <w:rPr>
                <w:rFonts w:eastAsia="Times New Roman"/>
                <w:sz w:val="20"/>
                <w:szCs w:val="20"/>
              </w:rPr>
            </w:pPr>
            <w:r>
              <w:rPr>
                <w:rFonts w:eastAsia="Times New Roman"/>
                <w:sz w:val="20"/>
                <w:szCs w:val="20"/>
              </w:rPr>
              <w:t> </w:t>
            </w:r>
          </w:p>
        </w:tc>
        <w:tc>
          <w:tcPr>
            <w:tcW w:w="750" w:type="pct"/>
            <w:tcBorders>
              <w:bottom w:val="nil"/>
            </w:tcBorders>
            <w:shd w:val="clear" w:color="auto" w:fill="CCEEFF"/>
            <w:vAlign w:val="bottom"/>
            <w:hideMark/>
          </w:tcPr>
          <w:p w14:paraId="4F29AF8D" w14:textId="77777777" w:rsidR="00000000" w:rsidRDefault="00322B34">
            <w:pPr>
              <w:jc w:val="center"/>
              <w:rPr>
                <w:rFonts w:eastAsia="Times New Roman"/>
                <w:sz w:val="20"/>
                <w:szCs w:val="20"/>
              </w:rPr>
            </w:pPr>
            <w:r>
              <w:rPr>
                <w:rFonts w:eastAsia="Times New Roman"/>
                <w:sz w:val="20"/>
                <w:szCs w:val="20"/>
              </w:rPr>
              <w:t>39%</w:t>
            </w:r>
          </w:p>
        </w:tc>
        <w:tc>
          <w:tcPr>
            <w:tcW w:w="50" w:type="pct"/>
            <w:tcBorders>
              <w:bottom w:val="nil"/>
            </w:tcBorders>
            <w:shd w:val="clear" w:color="auto" w:fill="CCEEFF"/>
            <w:vAlign w:val="bottom"/>
            <w:hideMark/>
          </w:tcPr>
          <w:p w14:paraId="0D4097F5" w14:textId="77777777" w:rsidR="00000000" w:rsidRDefault="00322B34">
            <w:pPr>
              <w:rPr>
                <w:rFonts w:eastAsia="Times New Roman"/>
                <w:sz w:val="20"/>
                <w:szCs w:val="20"/>
              </w:rPr>
            </w:pPr>
            <w:r>
              <w:rPr>
                <w:rFonts w:eastAsia="Times New Roman"/>
                <w:sz w:val="20"/>
                <w:szCs w:val="20"/>
              </w:rPr>
              <w:t> </w:t>
            </w:r>
          </w:p>
        </w:tc>
      </w:tr>
      <w:tr w:rsidR="00000000" w14:paraId="11DA6B96" w14:textId="77777777">
        <w:trPr>
          <w:tblCellSpacing w:w="0" w:type="dxa"/>
        </w:trPr>
        <w:tc>
          <w:tcPr>
            <w:tcW w:w="3350" w:type="pct"/>
            <w:shd w:val="clear" w:color="auto" w:fill="FFFFFF"/>
            <w:vAlign w:val="bottom"/>
            <w:hideMark/>
          </w:tcPr>
          <w:p w14:paraId="10A48102" w14:textId="77777777" w:rsidR="00000000" w:rsidRDefault="00322B34">
            <w:pPr>
              <w:pStyle w:val="a3"/>
              <w:spacing w:before="0" w:beforeAutospacing="0" w:after="0" w:afterAutospacing="0"/>
              <w:rPr>
                <w:sz w:val="20"/>
                <w:szCs w:val="20"/>
              </w:rPr>
            </w:pPr>
            <w:r>
              <w:rPr>
                <w:sz w:val="20"/>
                <w:szCs w:val="20"/>
              </w:rPr>
              <w:t>Consolidated Secured Indebtedness to Total Assets</w:t>
            </w:r>
          </w:p>
        </w:tc>
        <w:tc>
          <w:tcPr>
            <w:tcW w:w="50" w:type="pct"/>
            <w:shd w:val="clear" w:color="auto" w:fill="FFFFFF"/>
            <w:vAlign w:val="bottom"/>
            <w:hideMark/>
          </w:tcPr>
          <w:p w14:paraId="11F5DCAF" w14:textId="77777777" w:rsidR="00000000" w:rsidRDefault="00322B34">
            <w:pPr>
              <w:jc w:val="center"/>
              <w:rPr>
                <w:rFonts w:eastAsia="Times New Roman"/>
                <w:sz w:val="20"/>
                <w:szCs w:val="20"/>
              </w:rPr>
            </w:pPr>
            <w:r>
              <w:rPr>
                <w:rFonts w:eastAsia="Times New Roman"/>
                <w:sz w:val="20"/>
                <w:szCs w:val="20"/>
              </w:rPr>
              <w:t> </w:t>
            </w:r>
          </w:p>
        </w:tc>
        <w:tc>
          <w:tcPr>
            <w:tcW w:w="750" w:type="pct"/>
            <w:shd w:val="clear" w:color="auto" w:fill="FFFFFF"/>
            <w:vAlign w:val="bottom"/>
            <w:hideMark/>
          </w:tcPr>
          <w:p w14:paraId="201FDD79" w14:textId="77777777" w:rsidR="00000000" w:rsidRDefault="00322B34">
            <w:pPr>
              <w:pStyle w:val="a3"/>
              <w:spacing w:before="0" w:beforeAutospacing="0" w:after="0" w:afterAutospacing="0"/>
              <w:jc w:val="center"/>
              <w:rPr>
                <w:sz w:val="20"/>
                <w:szCs w:val="20"/>
              </w:rPr>
            </w:pPr>
            <w:r>
              <w:rPr>
                <w:sz w:val="20"/>
                <w:szCs w:val="20"/>
              </w:rPr>
              <w:t>&lt;40%</w:t>
            </w:r>
          </w:p>
        </w:tc>
        <w:tc>
          <w:tcPr>
            <w:tcW w:w="50" w:type="pct"/>
            <w:shd w:val="clear" w:color="auto" w:fill="FFFFFF"/>
            <w:vAlign w:val="bottom"/>
            <w:hideMark/>
          </w:tcPr>
          <w:p w14:paraId="018031C5" w14:textId="77777777" w:rsidR="00000000" w:rsidRDefault="00322B3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2E01F8A2" w14:textId="77777777" w:rsidR="00000000" w:rsidRDefault="00322B34">
            <w:pPr>
              <w:jc w:val="center"/>
              <w:rPr>
                <w:rFonts w:eastAsia="Times New Roman"/>
                <w:sz w:val="20"/>
                <w:szCs w:val="20"/>
              </w:rPr>
            </w:pPr>
            <w:r>
              <w:rPr>
                <w:rFonts w:eastAsia="Times New Roman"/>
                <w:sz w:val="20"/>
                <w:szCs w:val="20"/>
              </w:rPr>
              <w:t>3%</w:t>
            </w:r>
          </w:p>
        </w:tc>
        <w:tc>
          <w:tcPr>
            <w:tcW w:w="50" w:type="pct"/>
            <w:shd w:val="clear" w:color="auto" w:fill="FFFFFF"/>
            <w:vAlign w:val="bottom"/>
            <w:hideMark/>
          </w:tcPr>
          <w:p w14:paraId="1CAC1CD2" w14:textId="77777777" w:rsidR="00000000" w:rsidRDefault="00322B34">
            <w:pPr>
              <w:rPr>
                <w:rFonts w:eastAsia="Times New Roman"/>
                <w:sz w:val="20"/>
                <w:szCs w:val="20"/>
              </w:rPr>
            </w:pPr>
            <w:r>
              <w:rPr>
                <w:rFonts w:eastAsia="Times New Roman"/>
                <w:sz w:val="20"/>
                <w:szCs w:val="20"/>
              </w:rPr>
              <w:t> </w:t>
            </w:r>
          </w:p>
        </w:tc>
      </w:tr>
      <w:tr w:rsidR="00000000" w14:paraId="07472EE6" w14:textId="77777777">
        <w:trPr>
          <w:tblCellSpacing w:w="0" w:type="dxa"/>
        </w:trPr>
        <w:tc>
          <w:tcPr>
            <w:tcW w:w="3350" w:type="pct"/>
            <w:shd w:val="clear" w:color="auto" w:fill="CCEEFF"/>
            <w:vAlign w:val="bottom"/>
            <w:hideMark/>
          </w:tcPr>
          <w:p w14:paraId="035E19AC" w14:textId="77777777" w:rsidR="00000000" w:rsidRDefault="00322B34">
            <w:pPr>
              <w:pStyle w:val="a3"/>
              <w:spacing w:before="0" w:beforeAutospacing="0" w:after="0" w:afterAutospacing="0"/>
              <w:rPr>
                <w:sz w:val="20"/>
                <w:szCs w:val="20"/>
              </w:rPr>
            </w:pPr>
            <w:r>
              <w:rPr>
                <w:sz w:val="20"/>
                <w:szCs w:val="20"/>
              </w:rPr>
              <w:t>Consolidated Income Available for Debt Service to Maximum Annual Service Charge</w:t>
            </w:r>
          </w:p>
        </w:tc>
        <w:tc>
          <w:tcPr>
            <w:tcW w:w="50" w:type="pct"/>
            <w:shd w:val="clear" w:color="auto" w:fill="CCEEFF"/>
            <w:vAlign w:val="bottom"/>
            <w:hideMark/>
          </w:tcPr>
          <w:p w14:paraId="4C0B91D8" w14:textId="77777777" w:rsidR="00000000" w:rsidRDefault="00322B34">
            <w:pPr>
              <w:jc w:val="center"/>
              <w:rPr>
                <w:rFonts w:eastAsia="Times New Roman"/>
                <w:sz w:val="20"/>
                <w:szCs w:val="20"/>
              </w:rPr>
            </w:pPr>
            <w:r>
              <w:rPr>
                <w:rFonts w:eastAsia="Times New Roman"/>
                <w:sz w:val="20"/>
                <w:szCs w:val="20"/>
              </w:rPr>
              <w:t> </w:t>
            </w:r>
          </w:p>
        </w:tc>
        <w:tc>
          <w:tcPr>
            <w:tcW w:w="750" w:type="pct"/>
            <w:shd w:val="clear" w:color="auto" w:fill="CCEEFF"/>
            <w:vAlign w:val="bottom"/>
            <w:hideMark/>
          </w:tcPr>
          <w:p w14:paraId="72E6F00F" w14:textId="77777777" w:rsidR="00000000" w:rsidRDefault="00322B34">
            <w:pPr>
              <w:pStyle w:val="a3"/>
              <w:spacing w:before="0" w:beforeAutospacing="0" w:after="0" w:afterAutospacing="0"/>
              <w:jc w:val="center"/>
              <w:rPr>
                <w:sz w:val="20"/>
                <w:szCs w:val="20"/>
              </w:rPr>
            </w:pPr>
            <w:r>
              <w:rPr>
                <w:sz w:val="20"/>
                <w:szCs w:val="20"/>
              </w:rPr>
              <w:t>&gt;1.50x</w:t>
            </w:r>
          </w:p>
        </w:tc>
        <w:tc>
          <w:tcPr>
            <w:tcW w:w="50" w:type="pct"/>
            <w:shd w:val="clear" w:color="auto" w:fill="CCEEFF"/>
            <w:vAlign w:val="bottom"/>
            <w:hideMark/>
          </w:tcPr>
          <w:p w14:paraId="209456DA" w14:textId="77777777" w:rsidR="00000000" w:rsidRDefault="00322B3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75D4B625" w14:textId="77777777" w:rsidR="00000000" w:rsidRDefault="00322B34">
            <w:pPr>
              <w:pStyle w:val="a3"/>
              <w:spacing w:before="0" w:beforeAutospacing="0" w:after="0" w:afterAutospacing="0"/>
              <w:jc w:val="center"/>
              <w:rPr>
                <w:sz w:val="20"/>
                <w:szCs w:val="20"/>
              </w:rPr>
            </w:pPr>
            <w:r>
              <w:rPr>
                <w:sz w:val="20"/>
                <w:szCs w:val="20"/>
              </w:rPr>
              <w:t>8.2x</w:t>
            </w:r>
          </w:p>
        </w:tc>
        <w:tc>
          <w:tcPr>
            <w:tcW w:w="50" w:type="pct"/>
            <w:shd w:val="clear" w:color="auto" w:fill="CCEEFF"/>
            <w:vAlign w:val="bottom"/>
            <w:hideMark/>
          </w:tcPr>
          <w:p w14:paraId="7C5C982F" w14:textId="77777777" w:rsidR="00000000" w:rsidRDefault="00322B34">
            <w:pPr>
              <w:rPr>
                <w:rFonts w:eastAsia="Times New Roman"/>
                <w:sz w:val="20"/>
                <w:szCs w:val="20"/>
              </w:rPr>
            </w:pPr>
            <w:r>
              <w:rPr>
                <w:rFonts w:eastAsia="Times New Roman"/>
                <w:sz w:val="20"/>
                <w:szCs w:val="20"/>
              </w:rPr>
              <w:t> </w:t>
            </w:r>
          </w:p>
        </w:tc>
      </w:tr>
      <w:tr w:rsidR="00000000" w14:paraId="2D78A04D" w14:textId="77777777">
        <w:trPr>
          <w:tblCellSpacing w:w="0" w:type="dxa"/>
        </w:trPr>
        <w:tc>
          <w:tcPr>
            <w:tcW w:w="3350" w:type="pct"/>
            <w:shd w:val="clear" w:color="auto" w:fill="FFFFFF"/>
            <w:vAlign w:val="bottom"/>
            <w:hideMark/>
          </w:tcPr>
          <w:p w14:paraId="50DEEFB7" w14:textId="77777777" w:rsidR="00000000" w:rsidRDefault="00322B34">
            <w:pPr>
              <w:pStyle w:val="a3"/>
              <w:spacing w:before="0" w:beforeAutospacing="0" w:after="0" w:afterAutospacing="0"/>
              <w:rPr>
                <w:sz w:val="20"/>
                <w:szCs w:val="20"/>
              </w:rPr>
            </w:pPr>
            <w:r>
              <w:rPr>
                <w:sz w:val="20"/>
                <w:szCs w:val="20"/>
              </w:rPr>
              <w:t>Unencumbered Total Asset Value to Consolidated Unsecured Indebtedness</w:t>
            </w:r>
          </w:p>
        </w:tc>
        <w:tc>
          <w:tcPr>
            <w:tcW w:w="50" w:type="pct"/>
            <w:shd w:val="clear" w:color="auto" w:fill="FFFFFF"/>
            <w:vAlign w:val="bottom"/>
            <w:hideMark/>
          </w:tcPr>
          <w:p w14:paraId="139F283C" w14:textId="77777777" w:rsidR="00000000" w:rsidRDefault="00322B34">
            <w:pPr>
              <w:jc w:val="center"/>
              <w:rPr>
                <w:rFonts w:eastAsia="Times New Roman"/>
                <w:sz w:val="20"/>
                <w:szCs w:val="20"/>
              </w:rPr>
            </w:pPr>
            <w:r>
              <w:rPr>
                <w:rFonts w:eastAsia="Times New Roman"/>
                <w:sz w:val="20"/>
                <w:szCs w:val="20"/>
              </w:rPr>
              <w:t> </w:t>
            </w:r>
          </w:p>
        </w:tc>
        <w:tc>
          <w:tcPr>
            <w:tcW w:w="750" w:type="pct"/>
            <w:shd w:val="clear" w:color="auto" w:fill="FFFFFF"/>
            <w:vAlign w:val="bottom"/>
            <w:hideMark/>
          </w:tcPr>
          <w:p w14:paraId="5BD736B9" w14:textId="77777777" w:rsidR="00000000" w:rsidRDefault="00322B34">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14:paraId="6A5B487F" w14:textId="77777777" w:rsidR="00000000" w:rsidRDefault="00322B3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4AF9228D" w14:textId="77777777" w:rsidR="00000000" w:rsidRDefault="00322B34">
            <w:pPr>
              <w:pStyle w:val="a3"/>
              <w:spacing w:before="0" w:beforeAutospacing="0" w:after="0" w:afterAutospacing="0"/>
              <w:jc w:val="center"/>
              <w:rPr>
                <w:sz w:val="20"/>
                <w:szCs w:val="20"/>
              </w:rPr>
            </w:pPr>
            <w:r>
              <w:rPr>
                <w:sz w:val="20"/>
                <w:szCs w:val="20"/>
              </w:rPr>
              <w:t>2.5x</w:t>
            </w:r>
          </w:p>
        </w:tc>
        <w:tc>
          <w:tcPr>
            <w:tcW w:w="50" w:type="pct"/>
            <w:shd w:val="clear" w:color="auto" w:fill="FFFFFF"/>
            <w:vAlign w:val="bottom"/>
            <w:hideMark/>
          </w:tcPr>
          <w:p w14:paraId="52AF6313" w14:textId="77777777" w:rsidR="00000000" w:rsidRDefault="00322B34">
            <w:pPr>
              <w:rPr>
                <w:rFonts w:eastAsia="Times New Roman"/>
                <w:sz w:val="20"/>
                <w:szCs w:val="20"/>
              </w:rPr>
            </w:pPr>
            <w:r>
              <w:rPr>
                <w:rFonts w:eastAsia="Times New Roman"/>
                <w:sz w:val="20"/>
                <w:szCs w:val="20"/>
              </w:rPr>
              <w:t> </w:t>
            </w:r>
          </w:p>
        </w:tc>
      </w:tr>
    </w:tbl>
    <w:p w14:paraId="07AA7FFE" w14:textId="77777777" w:rsidR="00000000" w:rsidRDefault="00322B34">
      <w:pPr>
        <w:pStyle w:val="a3"/>
        <w:spacing w:before="0" w:beforeAutospacing="0" w:after="0" w:afterAutospacing="0"/>
        <w:ind w:firstLine="360"/>
        <w:jc w:val="both"/>
        <w:rPr>
          <w:sz w:val="20"/>
          <w:szCs w:val="20"/>
        </w:rPr>
      </w:pPr>
      <w:r>
        <w:rPr>
          <w:sz w:val="20"/>
          <w:szCs w:val="20"/>
        </w:rPr>
        <w:t> </w:t>
      </w:r>
    </w:p>
    <w:p w14:paraId="32FCFAD5" w14:textId="77777777" w:rsidR="00000000" w:rsidRDefault="00322B34">
      <w:pPr>
        <w:pStyle w:val="a3"/>
        <w:spacing w:before="0" w:beforeAutospacing="0" w:after="0" w:afterAutospacing="0"/>
        <w:ind w:firstLine="360"/>
        <w:jc w:val="both"/>
        <w:rPr>
          <w:sz w:val="20"/>
          <w:szCs w:val="20"/>
        </w:rPr>
      </w:pPr>
      <w:r>
        <w:rPr>
          <w:sz w:val="20"/>
          <w:szCs w:val="20"/>
        </w:rPr>
        <w:t xml:space="preserve">For a full description of the various indenture covenants, refer to the Indenture dated September 1, 1993; the First Supplemental Indenture dated August 4, 1994; the Second Supplemental Indenture dated April 7, 1995; the Third Supplemental Indenture dated </w:t>
      </w:r>
      <w:r>
        <w:rPr>
          <w:sz w:val="20"/>
          <w:szCs w:val="20"/>
        </w:rPr>
        <w:t>June 2, 2006; the Fourth Supplemental Indenture dated April 26, 2007; the Fifth Supplemental Indenture dated as of September 24, 2009; the Sixth Supplemental Indenture dated as of May 23, 2013; and the Seventh Supplemental Indenture dated as of April 24, 2</w:t>
      </w:r>
      <w:r>
        <w:rPr>
          <w:sz w:val="20"/>
          <w:szCs w:val="20"/>
        </w:rPr>
        <w:t>014, each as filed with the SEC. See the Exhibits Index to our Annual Report on Form 10-K for the year ended December 31, 2019 for specific filing information.</w:t>
      </w:r>
    </w:p>
    <w:p w14:paraId="2E2F82C4" w14:textId="77777777" w:rsidR="00000000" w:rsidRDefault="00322B34">
      <w:pPr>
        <w:pStyle w:val="a3"/>
        <w:spacing w:before="0" w:beforeAutospacing="0" w:after="0" w:afterAutospacing="0"/>
        <w:ind w:firstLine="360"/>
        <w:jc w:val="both"/>
        <w:rPr>
          <w:sz w:val="20"/>
          <w:szCs w:val="20"/>
        </w:rPr>
      </w:pPr>
      <w:r>
        <w:rPr>
          <w:sz w:val="20"/>
          <w:szCs w:val="20"/>
        </w:rPr>
        <w:t> </w:t>
      </w:r>
    </w:p>
    <w:p w14:paraId="6FB85452" w14:textId="77777777" w:rsidR="00000000" w:rsidRDefault="00322B34">
      <w:pPr>
        <w:pStyle w:val="a3"/>
        <w:spacing w:before="0" w:beforeAutospacing="0" w:after="0" w:afterAutospacing="0"/>
        <w:jc w:val="both"/>
        <w:rPr>
          <w:sz w:val="20"/>
          <w:szCs w:val="20"/>
        </w:rPr>
      </w:pPr>
      <w:r>
        <w:rPr>
          <w:i/>
          <w:iCs/>
          <w:sz w:val="20"/>
          <w:szCs w:val="20"/>
        </w:rPr>
        <w:t>Credit Facility –</w:t>
      </w:r>
    </w:p>
    <w:p w14:paraId="0D87B3B2" w14:textId="77777777" w:rsidR="00000000" w:rsidRDefault="00322B34">
      <w:pPr>
        <w:pStyle w:val="a3"/>
        <w:spacing w:before="0" w:beforeAutospacing="0" w:after="0" w:afterAutospacing="0"/>
        <w:ind w:firstLine="360"/>
        <w:jc w:val="both"/>
        <w:rPr>
          <w:sz w:val="20"/>
          <w:szCs w:val="20"/>
        </w:rPr>
      </w:pPr>
      <w:r>
        <w:rPr>
          <w:sz w:val="20"/>
          <w:szCs w:val="20"/>
        </w:rPr>
        <w:t> </w:t>
      </w:r>
    </w:p>
    <w:p w14:paraId="2A056857" w14:textId="77777777" w:rsidR="00000000" w:rsidRDefault="00322B34">
      <w:pPr>
        <w:pStyle w:val="a3"/>
        <w:spacing w:before="0" w:beforeAutospacing="0" w:after="0" w:afterAutospacing="0"/>
        <w:ind w:firstLine="360"/>
        <w:jc w:val="both"/>
        <w:rPr>
          <w:sz w:val="20"/>
          <w:szCs w:val="20"/>
        </w:rPr>
      </w:pPr>
      <w:r>
        <w:rPr>
          <w:sz w:val="20"/>
          <w:szCs w:val="20"/>
        </w:rPr>
        <w:t xml:space="preserve">In February 2020, the Company obtained a new $2.0 billion Credit Facility </w:t>
      </w:r>
      <w:r>
        <w:rPr>
          <w:sz w:val="20"/>
          <w:szCs w:val="20"/>
        </w:rPr>
        <w:t>with a group of banks, which replaced the Company’s existing $2.25 billion unsecured revolving credit facility. The Credit Facility is scheduled to expire in March 2024, with two additional six-month options to extend the maturity date, at the Company’s di</w:t>
      </w:r>
      <w:r>
        <w:rPr>
          <w:sz w:val="20"/>
          <w:szCs w:val="20"/>
        </w:rPr>
        <w:t xml:space="preserve">scretion, to March 2025. The Credit Facility, which accrues interest at a rate of LIBOR plus 77.5 basis points (1.18% as of June 30, 2020), can be increased to $2.75 billion through an accordion feature. The Credit Facility is a green credit facility tied </w:t>
      </w:r>
      <w:r>
        <w:rPr>
          <w:sz w:val="20"/>
          <w:szCs w:val="20"/>
        </w:rPr>
        <w:t>to climate actions, as described in the agreement. Upon achieving such climate actions, the rate on the Credit Facility is reduced by 1 basis point. Pursuant to the terms of the Credit Facility, the Company, among other things, is subject to covenants requ</w:t>
      </w:r>
      <w:r>
        <w:rPr>
          <w:sz w:val="20"/>
          <w:szCs w:val="20"/>
        </w:rPr>
        <w:t>iring the maintenance of (i) maximum indebtedness ratios and (ii) minimum interest and fixed charge coverage ratios. As of June 30, 2020, the Credit Facility had no outstanding balance and $0.3 million appropriated for letters of credit and the Company was</w:t>
      </w:r>
      <w:r>
        <w:rPr>
          <w:sz w:val="20"/>
          <w:szCs w:val="20"/>
        </w:rPr>
        <w:t xml:space="preserve"> in compliance with its covenants.</w:t>
      </w:r>
    </w:p>
    <w:p w14:paraId="2C809FAF" w14:textId="77777777" w:rsidR="00000000" w:rsidRDefault="00322B34">
      <w:pPr>
        <w:pStyle w:val="a3"/>
        <w:spacing w:before="0" w:beforeAutospacing="0" w:after="0" w:afterAutospacing="0"/>
        <w:ind w:firstLine="360"/>
        <w:jc w:val="both"/>
        <w:rPr>
          <w:sz w:val="20"/>
          <w:szCs w:val="20"/>
        </w:rPr>
      </w:pPr>
      <w:r>
        <w:rPr>
          <w:sz w:val="20"/>
          <w:szCs w:val="20"/>
        </w:rPr>
        <w:t> </w:t>
      </w:r>
    </w:p>
    <w:p w14:paraId="5D7ABA63" w14:textId="77777777" w:rsidR="00000000" w:rsidRDefault="00322B34">
      <w:pPr>
        <w:pStyle w:val="a3"/>
        <w:spacing w:before="0" w:beforeAutospacing="0" w:after="0" w:afterAutospacing="0"/>
        <w:ind w:firstLine="360"/>
        <w:jc w:val="both"/>
        <w:rPr>
          <w:sz w:val="20"/>
          <w:szCs w:val="20"/>
        </w:rPr>
      </w:pPr>
      <w:r>
        <w:rPr>
          <w:sz w:val="20"/>
          <w:szCs w:val="20"/>
        </w:rPr>
        <w:t>Pursuant to the terms of the Credit Facility, the Company, among other things, is subject to maintenance of various covenants. The Company is currently in compliance with these covenants. The financial covenants for the</w:t>
      </w:r>
      <w:r>
        <w:rPr>
          <w:sz w:val="20"/>
          <w:szCs w:val="20"/>
        </w:rPr>
        <w:t xml:space="preserve"> Credit Facility are as follows:</w:t>
      </w:r>
    </w:p>
    <w:p w14:paraId="484D628C" w14:textId="77777777" w:rsidR="00000000" w:rsidRDefault="00322B34">
      <w:pPr>
        <w:pStyle w:val="a3"/>
        <w:spacing w:before="0" w:beforeAutospacing="0" w:after="0" w:afterAutospacing="0"/>
        <w:ind w:firstLine="360"/>
        <w:rPr>
          <w:sz w:val="20"/>
          <w:szCs w:val="20"/>
        </w:rPr>
      </w:pPr>
      <w:r>
        <w:rPr>
          <w:sz w:val="20"/>
          <w:szCs w:val="20"/>
        </w:rPr>
        <w:t> </w:t>
      </w:r>
    </w:p>
    <w:tbl>
      <w:tblPr>
        <w:tblW w:w="4750" w:type="pct"/>
        <w:tblCellSpacing w:w="0" w:type="dxa"/>
        <w:tblInd w:w="180" w:type="dxa"/>
        <w:tblCellMar>
          <w:left w:w="0" w:type="dxa"/>
          <w:right w:w="0" w:type="dxa"/>
        </w:tblCellMar>
        <w:tblLook w:val="04A0" w:firstRow="1" w:lastRow="0" w:firstColumn="1" w:lastColumn="0" w:noHBand="0" w:noVBand="1"/>
      </w:tblPr>
      <w:tblGrid>
        <w:gridCol w:w="5286"/>
        <w:gridCol w:w="79"/>
        <w:gridCol w:w="1184"/>
        <w:gridCol w:w="79"/>
        <w:gridCol w:w="1184"/>
        <w:gridCol w:w="79"/>
      </w:tblGrid>
      <w:tr w:rsidR="00000000" w14:paraId="459422B9" w14:textId="77777777">
        <w:trPr>
          <w:tblCellSpacing w:w="0" w:type="dxa"/>
        </w:trPr>
        <w:tc>
          <w:tcPr>
            <w:tcW w:w="3350" w:type="pct"/>
            <w:tcBorders>
              <w:bottom w:val="single" w:sz="6" w:space="0" w:color="000000"/>
            </w:tcBorders>
            <w:vAlign w:val="bottom"/>
            <w:hideMark/>
          </w:tcPr>
          <w:p w14:paraId="5BCA74FE" w14:textId="77777777" w:rsidR="00000000" w:rsidRDefault="00322B34">
            <w:pPr>
              <w:pStyle w:val="a3"/>
              <w:spacing w:before="0" w:beforeAutospacing="0" w:after="0" w:afterAutospacing="0"/>
              <w:jc w:val="center"/>
              <w:rPr>
                <w:sz w:val="20"/>
                <w:szCs w:val="20"/>
              </w:rPr>
            </w:pPr>
            <w:r>
              <w:rPr>
                <w:b/>
                <w:bCs/>
                <w:sz w:val="20"/>
                <w:szCs w:val="20"/>
              </w:rPr>
              <w:t>Covenant</w:t>
            </w:r>
          </w:p>
        </w:tc>
        <w:tc>
          <w:tcPr>
            <w:tcW w:w="50" w:type="pct"/>
            <w:vAlign w:val="bottom"/>
            <w:hideMark/>
          </w:tcPr>
          <w:p w14:paraId="00F70FD7" w14:textId="77777777" w:rsidR="00000000" w:rsidRDefault="00322B34">
            <w:pPr>
              <w:jc w:val="center"/>
              <w:rPr>
                <w:rFonts w:eastAsia="Times New Roman"/>
                <w:sz w:val="20"/>
                <w:szCs w:val="20"/>
              </w:rPr>
            </w:pPr>
            <w:r>
              <w:rPr>
                <w:rFonts w:eastAsia="Times New Roman"/>
                <w:sz w:val="20"/>
                <w:szCs w:val="20"/>
              </w:rPr>
              <w:t> </w:t>
            </w:r>
          </w:p>
        </w:tc>
        <w:tc>
          <w:tcPr>
            <w:tcW w:w="750" w:type="pct"/>
            <w:tcBorders>
              <w:bottom w:val="single" w:sz="6" w:space="0" w:color="000000"/>
            </w:tcBorders>
            <w:vAlign w:val="bottom"/>
            <w:hideMark/>
          </w:tcPr>
          <w:p w14:paraId="21275D3C" w14:textId="77777777" w:rsidR="00000000" w:rsidRDefault="00322B34">
            <w:pPr>
              <w:pStyle w:val="a3"/>
              <w:spacing w:before="0" w:beforeAutospacing="0" w:after="0" w:afterAutospacing="0"/>
              <w:jc w:val="center"/>
              <w:rPr>
                <w:sz w:val="20"/>
                <w:szCs w:val="20"/>
              </w:rPr>
            </w:pPr>
            <w:r>
              <w:rPr>
                <w:b/>
                <w:bCs/>
                <w:sz w:val="20"/>
                <w:szCs w:val="20"/>
              </w:rPr>
              <w:t>Must Be</w:t>
            </w:r>
          </w:p>
        </w:tc>
        <w:tc>
          <w:tcPr>
            <w:tcW w:w="50" w:type="pct"/>
            <w:vAlign w:val="bottom"/>
            <w:hideMark/>
          </w:tcPr>
          <w:p w14:paraId="7E308E20" w14:textId="77777777" w:rsidR="00000000" w:rsidRDefault="00322B34">
            <w:pPr>
              <w:rPr>
                <w:rFonts w:eastAsia="Times New Roman"/>
                <w:sz w:val="20"/>
                <w:szCs w:val="20"/>
              </w:rPr>
            </w:pPr>
            <w:r>
              <w:rPr>
                <w:rFonts w:eastAsia="Times New Roman"/>
                <w:sz w:val="20"/>
                <w:szCs w:val="20"/>
              </w:rPr>
              <w:t> </w:t>
            </w:r>
          </w:p>
        </w:tc>
        <w:tc>
          <w:tcPr>
            <w:tcW w:w="750" w:type="pct"/>
            <w:tcBorders>
              <w:bottom w:val="single" w:sz="6" w:space="0" w:color="000000"/>
            </w:tcBorders>
            <w:vAlign w:val="bottom"/>
            <w:hideMark/>
          </w:tcPr>
          <w:p w14:paraId="27C96A55" w14:textId="77777777" w:rsidR="00000000" w:rsidRDefault="00322B34">
            <w:pPr>
              <w:pStyle w:val="a3"/>
              <w:spacing w:before="0" w:beforeAutospacing="0" w:after="0" w:afterAutospacing="0"/>
              <w:jc w:val="center"/>
              <w:rPr>
                <w:sz w:val="20"/>
                <w:szCs w:val="20"/>
              </w:rPr>
            </w:pPr>
            <w:r>
              <w:rPr>
                <w:b/>
                <w:bCs/>
                <w:sz w:val="20"/>
                <w:szCs w:val="20"/>
              </w:rPr>
              <w:t>As of June 30, 2020</w:t>
            </w:r>
          </w:p>
        </w:tc>
        <w:tc>
          <w:tcPr>
            <w:tcW w:w="50" w:type="pct"/>
            <w:tcMar>
              <w:top w:w="0" w:type="dxa"/>
              <w:left w:w="0" w:type="dxa"/>
              <w:bottom w:w="15" w:type="dxa"/>
              <w:right w:w="0" w:type="dxa"/>
            </w:tcMar>
            <w:vAlign w:val="bottom"/>
            <w:hideMark/>
          </w:tcPr>
          <w:p w14:paraId="7501151E" w14:textId="77777777" w:rsidR="00000000" w:rsidRDefault="00322B34">
            <w:pPr>
              <w:rPr>
                <w:rFonts w:eastAsia="Times New Roman"/>
                <w:sz w:val="20"/>
                <w:szCs w:val="20"/>
              </w:rPr>
            </w:pPr>
            <w:r>
              <w:rPr>
                <w:rFonts w:eastAsia="Times New Roman"/>
                <w:sz w:val="20"/>
                <w:szCs w:val="20"/>
              </w:rPr>
              <w:t> </w:t>
            </w:r>
          </w:p>
        </w:tc>
      </w:tr>
      <w:tr w:rsidR="00000000" w14:paraId="354FDA1A" w14:textId="77777777">
        <w:trPr>
          <w:tblCellSpacing w:w="0" w:type="dxa"/>
        </w:trPr>
        <w:tc>
          <w:tcPr>
            <w:tcW w:w="3350" w:type="pct"/>
            <w:tcBorders>
              <w:bottom w:val="nil"/>
            </w:tcBorders>
            <w:shd w:val="clear" w:color="auto" w:fill="CCEEFF"/>
            <w:vAlign w:val="bottom"/>
            <w:hideMark/>
          </w:tcPr>
          <w:p w14:paraId="5F04F2BD" w14:textId="77777777" w:rsidR="00000000" w:rsidRDefault="00322B34">
            <w:pPr>
              <w:pStyle w:val="a3"/>
              <w:spacing w:before="0" w:beforeAutospacing="0" w:after="0" w:afterAutospacing="0"/>
              <w:rPr>
                <w:sz w:val="20"/>
                <w:szCs w:val="20"/>
              </w:rPr>
            </w:pPr>
            <w:r>
              <w:rPr>
                <w:sz w:val="20"/>
                <w:szCs w:val="20"/>
              </w:rPr>
              <w:t>Total Indebtedness to Gross Asset Value (“GAV”)</w:t>
            </w:r>
          </w:p>
        </w:tc>
        <w:tc>
          <w:tcPr>
            <w:tcW w:w="50" w:type="pct"/>
            <w:tcBorders>
              <w:bottom w:val="nil"/>
            </w:tcBorders>
            <w:shd w:val="clear" w:color="auto" w:fill="CCEEFF"/>
            <w:vAlign w:val="bottom"/>
            <w:hideMark/>
          </w:tcPr>
          <w:p w14:paraId="5BE12D33" w14:textId="77777777" w:rsidR="00000000" w:rsidRDefault="00322B34">
            <w:pPr>
              <w:jc w:val="center"/>
              <w:rPr>
                <w:rFonts w:eastAsia="Times New Roman"/>
                <w:sz w:val="20"/>
                <w:szCs w:val="20"/>
              </w:rPr>
            </w:pPr>
            <w:r>
              <w:rPr>
                <w:rFonts w:eastAsia="Times New Roman"/>
                <w:sz w:val="20"/>
                <w:szCs w:val="20"/>
              </w:rPr>
              <w:t> </w:t>
            </w:r>
          </w:p>
        </w:tc>
        <w:tc>
          <w:tcPr>
            <w:tcW w:w="750" w:type="pct"/>
            <w:tcBorders>
              <w:bottom w:val="nil"/>
            </w:tcBorders>
            <w:shd w:val="clear" w:color="auto" w:fill="CCEEFF"/>
            <w:vAlign w:val="bottom"/>
            <w:hideMark/>
          </w:tcPr>
          <w:p w14:paraId="688FF6FC" w14:textId="77777777" w:rsidR="00000000" w:rsidRDefault="00322B34">
            <w:pPr>
              <w:pStyle w:val="a3"/>
              <w:spacing w:before="0" w:beforeAutospacing="0" w:after="0" w:afterAutospacing="0"/>
              <w:jc w:val="center"/>
              <w:rPr>
                <w:sz w:val="20"/>
                <w:szCs w:val="20"/>
              </w:rPr>
            </w:pPr>
            <w:r>
              <w:rPr>
                <w:sz w:val="20"/>
                <w:szCs w:val="20"/>
              </w:rPr>
              <w:t>&lt;60%</w:t>
            </w:r>
          </w:p>
        </w:tc>
        <w:tc>
          <w:tcPr>
            <w:tcW w:w="50" w:type="pct"/>
            <w:tcBorders>
              <w:bottom w:val="nil"/>
            </w:tcBorders>
            <w:shd w:val="clear" w:color="auto" w:fill="CCEEFF"/>
            <w:vAlign w:val="bottom"/>
            <w:hideMark/>
          </w:tcPr>
          <w:p w14:paraId="76030C3E" w14:textId="77777777" w:rsidR="00000000" w:rsidRDefault="00322B34">
            <w:pPr>
              <w:rPr>
                <w:rFonts w:eastAsia="Times New Roman"/>
                <w:sz w:val="20"/>
                <w:szCs w:val="20"/>
              </w:rPr>
            </w:pPr>
            <w:r>
              <w:rPr>
                <w:rFonts w:eastAsia="Times New Roman"/>
                <w:sz w:val="20"/>
                <w:szCs w:val="20"/>
              </w:rPr>
              <w:t> </w:t>
            </w:r>
          </w:p>
        </w:tc>
        <w:tc>
          <w:tcPr>
            <w:tcW w:w="750" w:type="pct"/>
            <w:tcBorders>
              <w:bottom w:val="nil"/>
            </w:tcBorders>
            <w:shd w:val="clear" w:color="auto" w:fill="CCEEFF"/>
            <w:vAlign w:val="bottom"/>
            <w:hideMark/>
          </w:tcPr>
          <w:p w14:paraId="6DF99989" w14:textId="77777777" w:rsidR="00000000" w:rsidRDefault="00322B34">
            <w:pPr>
              <w:jc w:val="center"/>
              <w:rPr>
                <w:rFonts w:eastAsia="Times New Roman"/>
                <w:sz w:val="20"/>
                <w:szCs w:val="20"/>
              </w:rPr>
            </w:pPr>
            <w:r>
              <w:rPr>
                <w:rFonts w:eastAsia="Times New Roman"/>
                <w:sz w:val="20"/>
                <w:szCs w:val="20"/>
              </w:rPr>
              <w:t>43%</w:t>
            </w:r>
          </w:p>
        </w:tc>
        <w:tc>
          <w:tcPr>
            <w:tcW w:w="50" w:type="pct"/>
            <w:tcBorders>
              <w:bottom w:val="nil"/>
            </w:tcBorders>
            <w:shd w:val="clear" w:color="auto" w:fill="CCEEFF"/>
            <w:vAlign w:val="bottom"/>
            <w:hideMark/>
          </w:tcPr>
          <w:p w14:paraId="1B841615" w14:textId="77777777" w:rsidR="00000000" w:rsidRDefault="00322B34">
            <w:pPr>
              <w:rPr>
                <w:rFonts w:eastAsia="Times New Roman"/>
                <w:sz w:val="20"/>
                <w:szCs w:val="20"/>
              </w:rPr>
            </w:pPr>
            <w:r>
              <w:rPr>
                <w:rFonts w:eastAsia="Times New Roman"/>
                <w:sz w:val="20"/>
                <w:szCs w:val="20"/>
              </w:rPr>
              <w:t> </w:t>
            </w:r>
          </w:p>
        </w:tc>
      </w:tr>
      <w:tr w:rsidR="00000000" w14:paraId="77D12C8B" w14:textId="77777777">
        <w:trPr>
          <w:tblCellSpacing w:w="0" w:type="dxa"/>
        </w:trPr>
        <w:tc>
          <w:tcPr>
            <w:tcW w:w="3350" w:type="pct"/>
            <w:shd w:val="clear" w:color="auto" w:fill="FFFFFF"/>
            <w:vAlign w:val="bottom"/>
            <w:hideMark/>
          </w:tcPr>
          <w:p w14:paraId="536EF34E" w14:textId="77777777" w:rsidR="00000000" w:rsidRDefault="00322B34">
            <w:pPr>
              <w:pStyle w:val="a3"/>
              <w:spacing w:before="0" w:beforeAutospacing="0" w:after="0" w:afterAutospacing="0"/>
              <w:rPr>
                <w:sz w:val="20"/>
                <w:szCs w:val="20"/>
              </w:rPr>
            </w:pPr>
            <w:r>
              <w:rPr>
                <w:sz w:val="20"/>
                <w:szCs w:val="20"/>
              </w:rPr>
              <w:t>Total Priority Indebtedness to GAV</w:t>
            </w:r>
          </w:p>
        </w:tc>
        <w:tc>
          <w:tcPr>
            <w:tcW w:w="50" w:type="pct"/>
            <w:shd w:val="clear" w:color="auto" w:fill="FFFFFF"/>
            <w:vAlign w:val="bottom"/>
            <w:hideMark/>
          </w:tcPr>
          <w:p w14:paraId="6278EBB3" w14:textId="77777777" w:rsidR="00000000" w:rsidRDefault="00322B34">
            <w:pPr>
              <w:jc w:val="center"/>
              <w:rPr>
                <w:rFonts w:eastAsia="Times New Roman"/>
                <w:sz w:val="20"/>
                <w:szCs w:val="20"/>
              </w:rPr>
            </w:pPr>
            <w:r>
              <w:rPr>
                <w:rFonts w:eastAsia="Times New Roman"/>
                <w:sz w:val="20"/>
                <w:szCs w:val="20"/>
              </w:rPr>
              <w:t> </w:t>
            </w:r>
          </w:p>
        </w:tc>
        <w:tc>
          <w:tcPr>
            <w:tcW w:w="750" w:type="pct"/>
            <w:shd w:val="clear" w:color="auto" w:fill="FFFFFF"/>
            <w:vAlign w:val="bottom"/>
            <w:hideMark/>
          </w:tcPr>
          <w:p w14:paraId="53F70F3D" w14:textId="77777777" w:rsidR="00000000" w:rsidRDefault="00322B34">
            <w:pPr>
              <w:pStyle w:val="a3"/>
              <w:spacing w:before="0" w:beforeAutospacing="0" w:after="0" w:afterAutospacing="0"/>
              <w:jc w:val="center"/>
              <w:rPr>
                <w:sz w:val="20"/>
                <w:szCs w:val="20"/>
              </w:rPr>
            </w:pPr>
            <w:r>
              <w:rPr>
                <w:sz w:val="20"/>
                <w:szCs w:val="20"/>
              </w:rPr>
              <w:t>&lt;35%</w:t>
            </w:r>
          </w:p>
        </w:tc>
        <w:tc>
          <w:tcPr>
            <w:tcW w:w="50" w:type="pct"/>
            <w:shd w:val="clear" w:color="auto" w:fill="FFFFFF"/>
            <w:vAlign w:val="bottom"/>
            <w:hideMark/>
          </w:tcPr>
          <w:p w14:paraId="48106F80" w14:textId="77777777" w:rsidR="00000000" w:rsidRDefault="00322B3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39926142" w14:textId="77777777" w:rsidR="00000000" w:rsidRDefault="00322B34">
            <w:pPr>
              <w:jc w:val="center"/>
              <w:rPr>
                <w:rFonts w:eastAsia="Times New Roman"/>
                <w:sz w:val="20"/>
                <w:szCs w:val="20"/>
              </w:rPr>
            </w:pPr>
            <w:r>
              <w:rPr>
                <w:rFonts w:eastAsia="Times New Roman"/>
                <w:sz w:val="20"/>
                <w:szCs w:val="20"/>
              </w:rPr>
              <w:t>2%</w:t>
            </w:r>
          </w:p>
        </w:tc>
        <w:tc>
          <w:tcPr>
            <w:tcW w:w="50" w:type="pct"/>
            <w:shd w:val="clear" w:color="auto" w:fill="FFFFFF"/>
            <w:vAlign w:val="bottom"/>
            <w:hideMark/>
          </w:tcPr>
          <w:p w14:paraId="3FAA0010" w14:textId="77777777" w:rsidR="00000000" w:rsidRDefault="00322B34">
            <w:pPr>
              <w:rPr>
                <w:rFonts w:eastAsia="Times New Roman"/>
                <w:sz w:val="20"/>
                <w:szCs w:val="20"/>
              </w:rPr>
            </w:pPr>
            <w:r>
              <w:rPr>
                <w:rFonts w:eastAsia="Times New Roman"/>
                <w:sz w:val="20"/>
                <w:szCs w:val="20"/>
              </w:rPr>
              <w:t> </w:t>
            </w:r>
          </w:p>
        </w:tc>
      </w:tr>
      <w:tr w:rsidR="00000000" w14:paraId="5707F29E" w14:textId="77777777">
        <w:trPr>
          <w:tblCellSpacing w:w="0" w:type="dxa"/>
        </w:trPr>
        <w:tc>
          <w:tcPr>
            <w:tcW w:w="3350" w:type="pct"/>
            <w:shd w:val="clear" w:color="auto" w:fill="CCEEFF"/>
            <w:vAlign w:val="bottom"/>
            <w:hideMark/>
          </w:tcPr>
          <w:p w14:paraId="2EA6BC52" w14:textId="77777777" w:rsidR="00000000" w:rsidRDefault="00322B34">
            <w:pPr>
              <w:pStyle w:val="a3"/>
              <w:spacing w:before="0" w:beforeAutospacing="0" w:after="0" w:afterAutospacing="0"/>
              <w:rPr>
                <w:sz w:val="20"/>
                <w:szCs w:val="20"/>
              </w:rPr>
            </w:pPr>
            <w:r>
              <w:rPr>
                <w:sz w:val="20"/>
                <w:szCs w:val="20"/>
              </w:rPr>
              <w:t>Unencumbered Asset Net Operating Income to Total Unsecured Interest Expense</w:t>
            </w:r>
          </w:p>
        </w:tc>
        <w:tc>
          <w:tcPr>
            <w:tcW w:w="50" w:type="pct"/>
            <w:shd w:val="clear" w:color="auto" w:fill="CCEEFF"/>
            <w:vAlign w:val="bottom"/>
            <w:hideMark/>
          </w:tcPr>
          <w:p w14:paraId="4D9357F3" w14:textId="77777777" w:rsidR="00000000" w:rsidRDefault="00322B34">
            <w:pPr>
              <w:jc w:val="center"/>
              <w:rPr>
                <w:rFonts w:eastAsia="Times New Roman"/>
                <w:sz w:val="20"/>
                <w:szCs w:val="20"/>
              </w:rPr>
            </w:pPr>
            <w:r>
              <w:rPr>
                <w:rFonts w:eastAsia="Times New Roman"/>
                <w:sz w:val="20"/>
                <w:szCs w:val="20"/>
              </w:rPr>
              <w:t> </w:t>
            </w:r>
          </w:p>
        </w:tc>
        <w:tc>
          <w:tcPr>
            <w:tcW w:w="750" w:type="pct"/>
            <w:shd w:val="clear" w:color="auto" w:fill="CCEEFF"/>
            <w:vAlign w:val="bottom"/>
            <w:hideMark/>
          </w:tcPr>
          <w:p w14:paraId="28A1EE07" w14:textId="77777777" w:rsidR="00000000" w:rsidRDefault="00322B34">
            <w:pPr>
              <w:pStyle w:val="a3"/>
              <w:spacing w:before="0" w:beforeAutospacing="0" w:after="0" w:afterAutospacing="0"/>
              <w:jc w:val="center"/>
              <w:rPr>
                <w:sz w:val="20"/>
                <w:szCs w:val="20"/>
              </w:rPr>
            </w:pPr>
            <w:r>
              <w:rPr>
                <w:sz w:val="20"/>
                <w:szCs w:val="20"/>
              </w:rPr>
              <w:t>&gt;1.75x</w:t>
            </w:r>
          </w:p>
        </w:tc>
        <w:tc>
          <w:tcPr>
            <w:tcW w:w="50" w:type="pct"/>
            <w:shd w:val="clear" w:color="auto" w:fill="CCEEFF"/>
            <w:vAlign w:val="bottom"/>
            <w:hideMark/>
          </w:tcPr>
          <w:p w14:paraId="673559D5" w14:textId="77777777" w:rsidR="00000000" w:rsidRDefault="00322B34">
            <w:pPr>
              <w:rPr>
                <w:rFonts w:eastAsia="Times New Roman"/>
                <w:sz w:val="20"/>
                <w:szCs w:val="20"/>
              </w:rPr>
            </w:pPr>
            <w:r>
              <w:rPr>
                <w:rFonts w:eastAsia="Times New Roman"/>
                <w:sz w:val="20"/>
                <w:szCs w:val="20"/>
              </w:rPr>
              <w:t> </w:t>
            </w:r>
          </w:p>
        </w:tc>
        <w:tc>
          <w:tcPr>
            <w:tcW w:w="750" w:type="pct"/>
            <w:shd w:val="clear" w:color="auto" w:fill="CCEEFF"/>
            <w:vAlign w:val="bottom"/>
            <w:hideMark/>
          </w:tcPr>
          <w:p w14:paraId="04C431AD" w14:textId="77777777" w:rsidR="00000000" w:rsidRDefault="00322B34">
            <w:pPr>
              <w:pStyle w:val="a3"/>
              <w:spacing w:before="0" w:beforeAutospacing="0" w:after="0" w:afterAutospacing="0"/>
              <w:jc w:val="center"/>
              <w:rPr>
                <w:sz w:val="20"/>
                <w:szCs w:val="20"/>
              </w:rPr>
            </w:pPr>
            <w:r>
              <w:rPr>
                <w:sz w:val="20"/>
                <w:szCs w:val="20"/>
              </w:rPr>
              <w:t>3.9x</w:t>
            </w:r>
          </w:p>
        </w:tc>
        <w:tc>
          <w:tcPr>
            <w:tcW w:w="50" w:type="pct"/>
            <w:shd w:val="clear" w:color="auto" w:fill="CCEEFF"/>
            <w:vAlign w:val="bottom"/>
            <w:hideMark/>
          </w:tcPr>
          <w:p w14:paraId="75B25F89" w14:textId="77777777" w:rsidR="00000000" w:rsidRDefault="00322B34">
            <w:pPr>
              <w:rPr>
                <w:rFonts w:eastAsia="Times New Roman"/>
                <w:sz w:val="20"/>
                <w:szCs w:val="20"/>
              </w:rPr>
            </w:pPr>
            <w:r>
              <w:rPr>
                <w:rFonts w:eastAsia="Times New Roman"/>
                <w:sz w:val="20"/>
                <w:szCs w:val="20"/>
              </w:rPr>
              <w:t> </w:t>
            </w:r>
          </w:p>
        </w:tc>
      </w:tr>
      <w:tr w:rsidR="00000000" w14:paraId="01BEE323" w14:textId="77777777">
        <w:trPr>
          <w:tblCellSpacing w:w="0" w:type="dxa"/>
        </w:trPr>
        <w:tc>
          <w:tcPr>
            <w:tcW w:w="3350" w:type="pct"/>
            <w:shd w:val="clear" w:color="auto" w:fill="FFFFFF"/>
            <w:vAlign w:val="bottom"/>
            <w:hideMark/>
          </w:tcPr>
          <w:p w14:paraId="66F38E4F" w14:textId="77777777" w:rsidR="00000000" w:rsidRDefault="00322B34">
            <w:pPr>
              <w:pStyle w:val="a3"/>
              <w:spacing w:before="0" w:beforeAutospacing="0" w:after="0" w:afterAutospacing="0"/>
              <w:rPr>
                <w:sz w:val="20"/>
                <w:szCs w:val="20"/>
              </w:rPr>
            </w:pPr>
            <w:r>
              <w:rPr>
                <w:sz w:val="20"/>
                <w:szCs w:val="20"/>
              </w:rPr>
              <w:t>Fixed Charge Total Adjusted EBITDA to Total Debt Service</w:t>
            </w:r>
          </w:p>
        </w:tc>
        <w:tc>
          <w:tcPr>
            <w:tcW w:w="50" w:type="pct"/>
            <w:shd w:val="clear" w:color="auto" w:fill="FFFFFF"/>
            <w:vAlign w:val="bottom"/>
            <w:hideMark/>
          </w:tcPr>
          <w:p w14:paraId="28A750A8" w14:textId="77777777" w:rsidR="00000000" w:rsidRDefault="00322B34">
            <w:pPr>
              <w:jc w:val="center"/>
              <w:rPr>
                <w:rFonts w:eastAsia="Times New Roman"/>
                <w:sz w:val="20"/>
                <w:szCs w:val="20"/>
              </w:rPr>
            </w:pPr>
            <w:r>
              <w:rPr>
                <w:rFonts w:eastAsia="Times New Roman"/>
                <w:sz w:val="20"/>
                <w:szCs w:val="20"/>
              </w:rPr>
              <w:t> </w:t>
            </w:r>
          </w:p>
        </w:tc>
        <w:tc>
          <w:tcPr>
            <w:tcW w:w="750" w:type="pct"/>
            <w:shd w:val="clear" w:color="auto" w:fill="FFFFFF"/>
            <w:vAlign w:val="bottom"/>
            <w:hideMark/>
          </w:tcPr>
          <w:p w14:paraId="35CDFC59" w14:textId="77777777" w:rsidR="00000000" w:rsidRDefault="00322B34">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14:paraId="3A56A877" w14:textId="77777777" w:rsidR="00000000" w:rsidRDefault="00322B34">
            <w:pPr>
              <w:rPr>
                <w:rFonts w:eastAsia="Times New Roman"/>
                <w:sz w:val="20"/>
                <w:szCs w:val="20"/>
              </w:rPr>
            </w:pPr>
            <w:r>
              <w:rPr>
                <w:rFonts w:eastAsia="Times New Roman"/>
                <w:sz w:val="20"/>
                <w:szCs w:val="20"/>
              </w:rPr>
              <w:t> </w:t>
            </w:r>
          </w:p>
        </w:tc>
        <w:tc>
          <w:tcPr>
            <w:tcW w:w="750" w:type="pct"/>
            <w:shd w:val="clear" w:color="auto" w:fill="FFFFFF"/>
            <w:vAlign w:val="bottom"/>
            <w:hideMark/>
          </w:tcPr>
          <w:p w14:paraId="2989B7AC" w14:textId="77777777" w:rsidR="00000000" w:rsidRDefault="00322B34">
            <w:pPr>
              <w:pStyle w:val="a3"/>
              <w:spacing w:before="0" w:beforeAutospacing="0" w:after="0" w:afterAutospacing="0"/>
              <w:jc w:val="center"/>
              <w:rPr>
                <w:sz w:val="20"/>
                <w:szCs w:val="20"/>
              </w:rPr>
            </w:pPr>
            <w:r>
              <w:rPr>
                <w:sz w:val="20"/>
                <w:szCs w:val="20"/>
              </w:rPr>
              <w:t>3.1x</w:t>
            </w:r>
          </w:p>
        </w:tc>
        <w:tc>
          <w:tcPr>
            <w:tcW w:w="50" w:type="pct"/>
            <w:shd w:val="clear" w:color="auto" w:fill="FFFFFF"/>
            <w:vAlign w:val="bottom"/>
            <w:hideMark/>
          </w:tcPr>
          <w:p w14:paraId="2357FE2E" w14:textId="77777777" w:rsidR="00000000" w:rsidRDefault="00322B34">
            <w:pPr>
              <w:rPr>
                <w:rFonts w:eastAsia="Times New Roman"/>
                <w:sz w:val="20"/>
                <w:szCs w:val="20"/>
              </w:rPr>
            </w:pPr>
            <w:r>
              <w:rPr>
                <w:rFonts w:eastAsia="Times New Roman"/>
                <w:sz w:val="20"/>
                <w:szCs w:val="20"/>
              </w:rPr>
              <w:t> </w:t>
            </w:r>
          </w:p>
        </w:tc>
      </w:tr>
    </w:tbl>
    <w:p w14:paraId="131C6094" w14:textId="77777777" w:rsidR="00000000" w:rsidRDefault="00322B34">
      <w:pPr>
        <w:pStyle w:val="a3"/>
        <w:spacing w:before="0" w:beforeAutospacing="0" w:after="0" w:afterAutospacing="0"/>
        <w:ind w:firstLine="360"/>
        <w:jc w:val="both"/>
        <w:rPr>
          <w:sz w:val="20"/>
          <w:szCs w:val="20"/>
        </w:rPr>
      </w:pPr>
      <w:r>
        <w:rPr>
          <w:sz w:val="20"/>
          <w:szCs w:val="20"/>
        </w:rPr>
        <w:t> </w:t>
      </w:r>
    </w:p>
    <w:p w14:paraId="42B1BD59" w14:textId="77777777" w:rsidR="00000000" w:rsidRDefault="00322B34">
      <w:pPr>
        <w:pStyle w:val="a3"/>
        <w:spacing w:before="0" w:beforeAutospacing="0" w:after="0" w:afterAutospacing="0"/>
        <w:ind w:firstLine="360"/>
        <w:jc w:val="both"/>
        <w:rPr>
          <w:sz w:val="20"/>
          <w:szCs w:val="20"/>
        </w:rPr>
      </w:pPr>
      <w:r>
        <w:rPr>
          <w:sz w:val="20"/>
          <w:szCs w:val="20"/>
        </w:rPr>
        <w:t>For a full description of the Credit Facility’s covenants, refer to the Amended and Restated Credit Agreement dated as of February 27, 2020, filed as Exhibit 10.1 to the Company’s Current Report on Form 8-K dated February 28, 2020.</w:t>
      </w:r>
    </w:p>
    <w:p w14:paraId="37B9D6ED" w14:textId="77777777" w:rsidR="00000000" w:rsidRDefault="00322B34">
      <w:pPr>
        <w:pStyle w:val="a3"/>
        <w:spacing w:before="0" w:beforeAutospacing="0" w:after="0" w:afterAutospacing="0"/>
        <w:ind w:firstLine="720"/>
        <w:jc w:val="both"/>
        <w:rPr>
          <w:sz w:val="20"/>
          <w:szCs w:val="20"/>
        </w:rPr>
      </w:pPr>
      <w:r>
        <w:rPr>
          <w:sz w:val="20"/>
          <w:szCs w:val="20"/>
        </w:rPr>
        <w:t> </w:t>
      </w:r>
    </w:p>
    <w:p w14:paraId="6F770289" w14:textId="77777777" w:rsidR="00000000" w:rsidRDefault="00322B34">
      <w:pPr>
        <w:jc w:val="center"/>
        <w:divId w:val="2100056154"/>
        <w:rPr>
          <w:rFonts w:eastAsia="Times New Roman"/>
          <w:sz w:val="20"/>
          <w:szCs w:val="20"/>
        </w:rPr>
      </w:pPr>
      <w:r>
        <w:rPr>
          <w:rFonts w:eastAsia="Times New Roman"/>
          <w:sz w:val="20"/>
          <w:szCs w:val="20"/>
        </w:rPr>
        <w:t xml:space="preserve">29 </w:t>
      </w:r>
    </w:p>
    <w:p w14:paraId="43A923B3" w14:textId="77777777" w:rsidR="00000000" w:rsidRDefault="00322B34">
      <w:pPr>
        <w:divId w:val="2033264750"/>
        <w:rPr>
          <w:rFonts w:eastAsia="Times New Roman"/>
          <w:sz w:val="20"/>
          <w:szCs w:val="20"/>
        </w:rPr>
      </w:pPr>
      <w:r>
        <w:rPr>
          <w:rFonts w:eastAsia="Times New Roman"/>
          <w:sz w:val="20"/>
          <w:szCs w:val="20"/>
        </w:rPr>
        <w:pict w14:anchorId="16D15078">
          <v:rect id="_x0000_i1057" style="width:0;height:1.5pt" o:hralign="center" o:hrstd="t" o:hr="t" fillcolor="#a0a0a0" stroked="f"/>
        </w:pict>
      </w:r>
    </w:p>
    <w:p w14:paraId="4ACB7373" w14:textId="77777777" w:rsidR="00000000" w:rsidRDefault="00322B34">
      <w:pPr>
        <w:divId w:val="59054677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A18F26B" w14:textId="77777777" w:rsidR="00000000" w:rsidRDefault="00322B34">
      <w:pPr>
        <w:pStyle w:val="a3"/>
        <w:spacing w:before="0" w:beforeAutospacing="0" w:after="0" w:afterAutospacing="0"/>
        <w:rPr>
          <w:sz w:val="20"/>
          <w:szCs w:val="20"/>
        </w:rPr>
      </w:pPr>
      <w:r>
        <w:rPr>
          <w:sz w:val="20"/>
          <w:szCs w:val="20"/>
        </w:rPr>
        <w:t> </w:t>
      </w:r>
    </w:p>
    <w:p w14:paraId="2A18E570" w14:textId="77777777" w:rsidR="00000000" w:rsidRDefault="00322B34">
      <w:pPr>
        <w:pStyle w:val="a3"/>
        <w:spacing w:before="0" w:beforeAutospacing="0" w:after="0" w:afterAutospacing="0"/>
        <w:jc w:val="both"/>
        <w:rPr>
          <w:sz w:val="20"/>
          <w:szCs w:val="20"/>
        </w:rPr>
      </w:pPr>
      <w:r>
        <w:rPr>
          <w:i/>
          <w:iCs/>
          <w:sz w:val="20"/>
          <w:szCs w:val="20"/>
        </w:rPr>
        <w:t>Term Loan –</w:t>
      </w:r>
    </w:p>
    <w:p w14:paraId="1826C930" w14:textId="77777777" w:rsidR="00000000" w:rsidRDefault="00322B34">
      <w:pPr>
        <w:pStyle w:val="a3"/>
        <w:spacing w:before="0" w:beforeAutospacing="0" w:after="0" w:afterAutospacing="0"/>
        <w:jc w:val="both"/>
        <w:rPr>
          <w:sz w:val="20"/>
          <w:szCs w:val="20"/>
        </w:rPr>
      </w:pPr>
      <w:r>
        <w:rPr>
          <w:i/>
          <w:iCs/>
          <w:sz w:val="20"/>
          <w:szCs w:val="20"/>
        </w:rPr>
        <w:t> </w:t>
      </w:r>
    </w:p>
    <w:p w14:paraId="23010590" w14:textId="77777777" w:rsidR="00000000" w:rsidRDefault="00322B34">
      <w:pPr>
        <w:pStyle w:val="a3"/>
        <w:spacing w:before="0" w:beforeAutospacing="0" w:after="0" w:afterAutospacing="0"/>
        <w:ind w:firstLine="360"/>
        <w:jc w:val="both"/>
        <w:rPr>
          <w:sz w:val="20"/>
          <w:szCs w:val="20"/>
        </w:rPr>
      </w:pPr>
      <w:r>
        <w:rPr>
          <w:sz w:val="20"/>
          <w:szCs w:val="20"/>
        </w:rPr>
        <w:t>On April 1, 2020, the Company entered into a new Term Loan with total outstanding borrowings of $590.0 million pursuant to a credit agreement with a group of banks. The Term Loan was scheduled to mature in April 2021, with a one-year extension option to ex</w:t>
      </w:r>
      <w:r>
        <w:rPr>
          <w:sz w:val="20"/>
          <w:szCs w:val="20"/>
        </w:rPr>
        <w:t>tend the maturity date, at the Company’s discretion, to April 2022. The Term Loan accrued interest at a rate of LIBOR plus 140 basis points (1.65% as of June 30, 2020) or, at the Company’s option, a spread of 40 basis points to the base rate defined in the</w:t>
      </w:r>
      <w:r>
        <w:rPr>
          <w:sz w:val="20"/>
          <w:szCs w:val="20"/>
        </w:rPr>
        <w:t xml:space="preserve"> Term Loan, that in each case fluctuated in accordance with changes in the Company’s senior debt ratings. The Term Loan could be increased by an additional $750.0 million through an accordion feature. Pursuant to the terms of the Term Loan, the Company was</w:t>
      </w:r>
      <w:r>
        <w:rPr>
          <w:sz w:val="20"/>
          <w:szCs w:val="20"/>
        </w:rPr>
        <w:t xml:space="preserve"> subject to covenants that were substantially the same as those in the Credit Facility. The Company repaid $265.0 million of the outstanding borrowings under the Term Loan in June 2020 with the proceeds it received from ACI (see Footnote 6 to the Notes to </w:t>
      </w:r>
      <w:r>
        <w:rPr>
          <w:sz w:val="20"/>
          <w:szCs w:val="20"/>
        </w:rPr>
        <w:t>the Company’s Condensed Consolidated Financial Statements). As of June 30, 2020, the Term Loan had an outstanding balance of $325.0 million and the Company was in compliance with its covenants. Subsequent to June 30, 2020, the Term Loan was fully repaid an</w:t>
      </w:r>
      <w:r>
        <w:rPr>
          <w:sz w:val="20"/>
          <w:szCs w:val="20"/>
        </w:rPr>
        <w:t>d the facility was terminated.</w:t>
      </w:r>
    </w:p>
    <w:p w14:paraId="793F37F5" w14:textId="77777777" w:rsidR="00000000" w:rsidRDefault="00322B34">
      <w:pPr>
        <w:pStyle w:val="a3"/>
        <w:spacing w:before="0" w:beforeAutospacing="0" w:after="0" w:afterAutospacing="0"/>
        <w:ind w:firstLine="360"/>
        <w:jc w:val="both"/>
        <w:rPr>
          <w:sz w:val="20"/>
          <w:szCs w:val="20"/>
        </w:rPr>
      </w:pPr>
      <w:r>
        <w:rPr>
          <w:sz w:val="20"/>
          <w:szCs w:val="20"/>
        </w:rPr>
        <w:t> </w:t>
      </w:r>
    </w:p>
    <w:p w14:paraId="09529942" w14:textId="77777777" w:rsidR="00000000" w:rsidRDefault="00322B34">
      <w:pPr>
        <w:pStyle w:val="a3"/>
        <w:spacing w:before="0" w:beforeAutospacing="0" w:after="0" w:afterAutospacing="0"/>
        <w:jc w:val="both"/>
        <w:rPr>
          <w:sz w:val="20"/>
          <w:szCs w:val="20"/>
        </w:rPr>
      </w:pPr>
      <w:r>
        <w:rPr>
          <w:i/>
          <w:iCs/>
          <w:sz w:val="20"/>
          <w:szCs w:val="20"/>
        </w:rPr>
        <w:t>Green Bond –</w:t>
      </w:r>
    </w:p>
    <w:p w14:paraId="40CE3824" w14:textId="77777777" w:rsidR="00000000" w:rsidRDefault="00322B34">
      <w:pPr>
        <w:pStyle w:val="a3"/>
        <w:spacing w:before="0" w:beforeAutospacing="0" w:after="0" w:afterAutospacing="0"/>
        <w:jc w:val="both"/>
        <w:rPr>
          <w:sz w:val="20"/>
          <w:szCs w:val="20"/>
        </w:rPr>
      </w:pPr>
      <w:r>
        <w:rPr>
          <w:i/>
          <w:iCs/>
          <w:sz w:val="20"/>
          <w:szCs w:val="20"/>
        </w:rPr>
        <w:t> </w:t>
      </w:r>
    </w:p>
    <w:p w14:paraId="424C9BA3" w14:textId="77777777" w:rsidR="00000000" w:rsidRDefault="00322B34">
      <w:pPr>
        <w:pStyle w:val="a3"/>
        <w:spacing w:before="0" w:beforeAutospacing="0" w:after="0" w:afterAutospacing="0"/>
        <w:ind w:firstLine="360"/>
        <w:jc w:val="both"/>
        <w:rPr>
          <w:sz w:val="20"/>
          <w:szCs w:val="20"/>
        </w:rPr>
      </w:pPr>
      <w:r>
        <w:rPr>
          <w:sz w:val="20"/>
          <w:szCs w:val="20"/>
        </w:rPr>
        <w:t>In July 2020, the Company issued $500.0 million of unsecured notes (the “Green Bond”) which are scheduled to mature in October 2030 and accrue interest at a rate of 2.70% per annum. The net proceeds from this</w:t>
      </w:r>
      <w:r>
        <w:rPr>
          <w:sz w:val="20"/>
          <w:szCs w:val="20"/>
        </w:rPr>
        <w:t xml:space="preserve"> offering are allocated to finance or refinance, in whole or in part, recently completed, existing or future Eligible Green Projects, in alignment with the four core components of the Green Bond Principles, 2018 ("GBP") as administered by the International</w:t>
      </w:r>
      <w:r>
        <w:rPr>
          <w:sz w:val="20"/>
          <w:szCs w:val="20"/>
        </w:rPr>
        <w:t xml:space="preserve"> Capital Market Association. Eligible Green Projects include projects with disbursements made in the three years preceding the issue date of the notes. The Company intends to spend the remaining net proceeds from the offering during the life of the notes.</w:t>
      </w:r>
    </w:p>
    <w:p w14:paraId="0FFB9EE6" w14:textId="77777777" w:rsidR="00000000" w:rsidRDefault="00322B34">
      <w:pPr>
        <w:pStyle w:val="a3"/>
        <w:spacing w:before="0" w:beforeAutospacing="0" w:after="0" w:afterAutospacing="0"/>
        <w:ind w:firstLine="360"/>
        <w:jc w:val="both"/>
        <w:rPr>
          <w:sz w:val="20"/>
          <w:szCs w:val="20"/>
        </w:rPr>
      </w:pPr>
      <w:r>
        <w:rPr>
          <w:sz w:val="20"/>
          <w:szCs w:val="20"/>
        </w:rPr>
        <w:t> </w:t>
      </w:r>
    </w:p>
    <w:p w14:paraId="430B997F" w14:textId="77777777" w:rsidR="00000000" w:rsidRDefault="00322B34">
      <w:pPr>
        <w:pStyle w:val="a3"/>
        <w:spacing w:before="0" w:beforeAutospacing="0" w:after="0" w:afterAutospacing="0"/>
        <w:jc w:val="both"/>
        <w:rPr>
          <w:sz w:val="20"/>
          <w:szCs w:val="20"/>
        </w:rPr>
      </w:pPr>
      <w:r>
        <w:rPr>
          <w:i/>
          <w:iCs/>
          <w:sz w:val="20"/>
          <w:szCs w:val="20"/>
        </w:rPr>
        <w:t>Mortgages and Construction Loan Payable –</w:t>
      </w:r>
    </w:p>
    <w:p w14:paraId="2F0C82F7" w14:textId="77777777" w:rsidR="00000000" w:rsidRDefault="00322B34">
      <w:pPr>
        <w:pStyle w:val="a3"/>
        <w:spacing w:before="0" w:beforeAutospacing="0" w:after="0" w:afterAutospacing="0"/>
        <w:jc w:val="both"/>
        <w:rPr>
          <w:sz w:val="20"/>
          <w:szCs w:val="20"/>
        </w:rPr>
      </w:pPr>
      <w:r>
        <w:rPr>
          <w:i/>
          <w:iCs/>
          <w:sz w:val="20"/>
          <w:szCs w:val="20"/>
        </w:rPr>
        <w:t> </w:t>
      </w:r>
    </w:p>
    <w:p w14:paraId="0E0911CE" w14:textId="77777777" w:rsidR="00000000" w:rsidRDefault="00322B34">
      <w:pPr>
        <w:pStyle w:val="a3"/>
        <w:spacing w:before="0" w:beforeAutospacing="0" w:after="0" w:afterAutospacing="0"/>
        <w:ind w:firstLine="360"/>
        <w:jc w:val="both"/>
        <w:rPr>
          <w:sz w:val="20"/>
          <w:szCs w:val="20"/>
        </w:rPr>
      </w:pPr>
      <w:r>
        <w:rPr>
          <w:sz w:val="20"/>
          <w:szCs w:val="20"/>
        </w:rPr>
        <w:t>In August 2018, the Company closed on a construction loan commitment of $67.0 million relating to one development property. This loan commitment was scheduled to mature in August 2020, with six additional six-month options to extend the maturity date to Au</w:t>
      </w:r>
      <w:r>
        <w:rPr>
          <w:sz w:val="20"/>
          <w:szCs w:val="20"/>
        </w:rPr>
        <w:t>gust 2023 and bore interest at a rate of LIBOR plus 180 basis points. This construction loan was fully repaid in January 2020.</w:t>
      </w:r>
    </w:p>
    <w:p w14:paraId="0CFCB7AC" w14:textId="77777777" w:rsidR="00000000" w:rsidRDefault="00322B34">
      <w:pPr>
        <w:pStyle w:val="a3"/>
        <w:spacing w:before="0" w:beforeAutospacing="0" w:after="0" w:afterAutospacing="0"/>
        <w:jc w:val="both"/>
        <w:rPr>
          <w:sz w:val="20"/>
          <w:szCs w:val="20"/>
        </w:rPr>
      </w:pPr>
      <w:r>
        <w:rPr>
          <w:sz w:val="20"/>
          <w:szCs w:val="20"/>
        </w:rPr>
        <w:t> </w:t>
      </w:r>
    </w:p>
    <w:p w14:paraId="561EFEED" w14:textId="77777777" w:rsidR="00000000" w:rsidRDefault="00322B34">
      <w:pPr>
        <w:pStyle w:val="a3"/>
        <w:spacing w:before="0" w:beforeAutospacing="0" w:after="0" w:afterAutospacing="0"/>
        <w:ind w:firstLine="360"/>
        <w:jc w:val="both"/>
        <w:rPr>
          <w:sz w:val="20"/>
          <w:szCs w:val="20"/>
        </w:rPr>
      </w:pPr>
      <w:r>
        <w:rPr>
          <w:sz w:val="20"/>
          <w:szCs w:val="20"/>
        </w:rPr>
        <w:t>During the six months ended June 30, 2020, the Company repaid $21.6 million of mortgage debt (including fair market value adjus</w:t>
      </w:r>
      <w:r>
        <w:rPr>
          <w:sz w:val="20"/>
          <w:szCs w:val="20"/>
        </w:rPr>
        <w:t>tment of $0.2 million) that encumbered two operating properties.</w:t>
      </w:r>
    </w:p>
    <w:p w14:paraId="7E26A1D6" w14:textId="77777777" w:rsidR="00000000" w:rsidRDefault="00322B34">
      <w:pPr>
        <w:pStyle w:val="a3"/>
        <w:spacing w:before="0" w:beforeAutospacing="0" w:after="0" w:afterAutospacing="0"/>
        <w:jc w:val="both"/>
        <w:rPr>
          <w:sz w:val="20"/>
          <w:szCs w:val="20"/>
        </w:rPr>
      </w:pPr>
      <w:r>
        <w:rPr>
          <w:sz w:val="20"/>
          <w:szCs w:val="20"/>
        </w:rPr>
        <w:t> </w:t>
      </w:r>
    </w:p>
    <w:p w14:paraId="2B1B837B" w14:textId="77777777" w:rsidR="00000000" w:rsidRDefault="00322B34">
      <w:pPr>
        <w:pStyle w:val="a3"/>
        <w:spacing w:before="0" w:beforeAutospacing="0" w:after="0" w:afterAutospacing="0"/>
        <w:ind w:firstLine="360"/>
        <w:jc w:val="both"/>
        <w:rPr>
          <w:sz w:val="20"/>
          <w:szCs w:val="20"/>
        </w:rPr>
      </w:pPr>
      <w:r>
        <w:rPr>
          <w:sz w:val="20"/>
          <w:szCs w:val="20"/>
        </w:rPr>
        <w:t>In addition to the public equity and debt markets as capital sources, the Company may, from time to time, obtain mortgage financing on selected properties and construction loan financing to</w:t>
      </w:r>
      <w:r>
        <w:rPr>
          <w:sz w:val="20"/>
          <w:szCs w:val="20"/>
        </w:rPr>
        <w:t xml:space="preserve"> partially fund the capital needs of its real estate development projects. As of June 30, 2020, the Company had over 320 unencumbered property interests in its portfolio.</w:t>
      </w:r>
    </w:p>
    <w:p w14:paraId="598FDF85" w14:textId="77777777" w:rsidR="00000000" w:rsidRDefault="00322B34">
      <w:pPr>
        <w:pStyle w:val="a3"/>
        <w:spacing w:before="0" w:beforeAutospacing="0" w:after="0" w:afterAutospacing="0"/>
        <w:ind w:firstLine="360"/>
        <w:jc w:val="both"/>
        <w:rPr>
          <w:sz w:val="20"/>
          <w:szCs w:val="20"/>
        </w:rPr>
      </w:pPr>
      <w:r>
        <w:rPr>
          <w:sz w:val="20"/>
          <w:szCs w:val="20"/>
        </w:rPr>
        <w:t> </w:t>
      </w:r>
    </w:p>
    <w:p w14:paraId="7F7EE959" w14:textId="77777777" w:rsidR="00000000" w:rsidRDefault="00322B34">
      <w:pPr>
        <w:pStyle w:val="a3"/>
        <w:spacing w:before="0" w:beforeAutospacing="0" w:after="0" w:afterAutospacing="0"/>
        <w:jc w:val="both"/>
        <w:rPr>
          <w:sz w:val="20"/>
          <w:szCs w:val="20"/>
        </w:rPr>
      </w:pPr>
      <w:r>
        <w:rPr>
          <w:i/>
          <w:iCs/>
          <w:sz w:val="20"/>
          <w:szCs w:val="20"/>
        </w:rPr>
        <w:t>COVID-19 –</w:t>
      </w:r>
    </w:p>
    <w:p w14:paraId="42CAFB16" w14:textId="77777777" w:rsidR="00000000" w:rsidRDefault="00322B34">
      <w:pPr>
        <w:pStyle w:val="a3"/>
        <w:spacing w:before="0" w:beforeAutospacing="0" w:after="0" w:afterAutospacing="0"/>
        <w:ind w:firstLine="360"/>
        <w:jc w:val="both"/>
        <w:rPr>
          <w:sz w:val="20"/>
          <w:szCs w:val="20"/>
        </w:rPr>
      </w:pPr>
      <w:r>
        <w:rPr>
          <w:sz w:val="20"/>
          <w:szCs w:val="20"/>
        </w:rPr>
        <w:t> </w:t>
      </w:r>
    </w:p>
    <w:p w14:paraId="000F494C" w14:textId="77777777" w:rsidR="00000000" w:rsidRDefault="00322B34">
      <w:pPr>
        <w:pStyle w:val="a3"/>
        <w:spacing w:before="0" w:beforeAutospacing="0" w:after="0" w:afterAutospacing="0"/>
        <w:ind w:firstLine="360"/>
        <w:jc w:val="both"/>
        <w:rPr>
          <w:sz w:val="20"/>
          <w:szCs w:val="20"/>
        </w:rPr>
      </w:pPr>
      <w:r>
        <w:rPr>
          <w:sz w:val="20"/>
          <w:szCs w:val="20"/>
        </w:rPr>
        <w:t>As the COVID-19 pandemic continues to evolve, an uncertainty remains i</w:t>
      </w:r>
      <w:r>
        <w:rPr>
          <w:sz w:val="20"/>
          <w:szCs w:val="20"/>
        </w:rPr>
        <w:t xml:space="preserve">n relation to the long-term economic impact it will have. As a result, the Company has focused on creating a strong liquidity position by: (i) maintaining availability under its $2.0 billion ($2.75 billion with the accordion feature) Credit Facility; (ii) </w:t>
      </w:r>
      <w:r>
        <w:rPr>
          <w:sz w:val="20"/>
          <w:szCs w:val="20"/>
        </w:rPr>
        <w:t>issuing a new $500.0 million Green Bond; (iii) paying down its existing Term Loan; (iv) holding $201.7 million of cash and cash equivalents on hand at June 30, 2020; and (iv) as mentioned above, having access to over 320 unencumbered property interests.</w:t>
      </w:r>
    </w:p>
    <w:p w14:paraId="657B94F7" w14:textId="77777777" w:rsidR="00000000" w:rsidRDefault="00322B34">
      <w:pPr>
        <w:pStyle w:val="a3"/>
        <w:spacing w:before="0" w:beforeAutospacing="0" w:after="0" w:afterAutospacing="0"/>
        <w:ind w:firstLine="360"/>
        <w:jc w:val="both"/>
        <w:rPr>
          <w:sz w:val="20"/>
          <w:szCs w:val="20"/>
        </w:rPr>
      </w:pPr>
      <w:r>
        <w:rPr>
          <w:sz w:val="20"/>
          <w:szCs w:val="20"/>
        </w:rPr>
        <w:t> </w:t>
      </w:r>
    </w:p>
    <w:p w14:paraId="510EB5F3" w14:textId="77777777" w:rsidR="00000000" w:rsidRDefault="00322B34">
      <w:pPr>
        <w:pStyle w:val="a3"/>
        <w:spacing w:before="0" w:beforeAutospacing="0" w:after="0" w:afterAutospacing="0"/>
        <w:ind w:firstLine="360"/>
        <w:jc w:val="both"/>
        <w:rPr>
          <w:sz w:val="20"/>
          <w:szCs w:val="20"/>
        </w:rPr>
      </w:pPr>
      <w:r>
        <w:rPr>
          <w:sz w:val="20"/>
          <w:szCs w:val="20"/>
        </w:rPr>
        <w:t>The Company continues to monitor the impact of COVID-19 on the Company’s business, tenants and industry as a whole. The magnitude and duration of the COVID-19 pandemic and its impact on the Company’s operations and liquidity is uncertain as of the filing d</w:t>
      </w:r>
      <w:r>
        <w:rPr>
          <w:sz w:val="20"/>
          <w:szCs w:val="20"/>
        </w:rPr>
        <w:t>ate of this Quarterly Report on Form 10-Q as this pandemic continues to evolve globally and within the United States. However, if the COVID-19 pandemic continues on its current trajectory, such impacts could grow and become material and could materially di</w:t>
      </w:r>
      <w:r>
        <w:rPr>
          <w:sz w:val="20"/>
          <w:szCs w:val="20"/>
        </w:rPr>
        <w:t>srupt the Company’s business operations and materially adversely affect the Company’s liquidity.</w:t>
      </w:r>
    </w:p>
    <w:p w14:paraId="3C671A2C" w14:textId="77777777" w:rsidR="00000000" w:rsidRDefault="00322B34">
      <w:pPr>
        <w:pStyle w:val="a3"/>
        <w:spacing w:before="0" w:beforeAutospacing="0" w:after="0" w:afterAutospacing="0"/>
        <w:ind w:firstLine="720"/>
        <w:jc w:val="both"/>
        <w:rPr>
          <w:sz w:val="20"/>
          <w:szCs w:val="20"/>
        </w:rPr>
      </w:pPr>
      <w:r>
        <w:rPr>
          <w:sz w:val="20"/>
          <w:szCs w:val="20"/>
        </w:rPr>
        <w:t> </w:t>
      </w:r>
    </w:p>
    <w:p w14:paraId="5A63DD3A" w14:textId="77777777" w:rsidR="00000000" w:rsidRDefault="00322B34">
      <w:pPr>
        <w:pStyle w:val="a3"/>
        <w:spacing w:before="0" w:beforeAutospacing="0" w:after="0" w:afterAutospacing="0"/>
        <w:jc w:val="both"/>
        <w:rPr>
          <w:sz w:val="20"/>
          <w:szCs w:val="20"/>
        </w:rPr>
      </w:pPr>
      <w:r>
        <w:rPr>
          <w:i/>
          <w:iCs/>
          <w:sz w:val="20"/>
          <w:szCs w:val="20"/>
        </w:rPr>
        <w:t>Dividends –</w:t>
      </w:r>
    </w:p>
    <w:p w14:paraId="442AF2B4" w14:textId="77777777" w:rsidR="00000000" w:rsidRDefault="00322B34">
      <w:pPr>
        <w:pStyle w:val="a3"/>
        <w:spacing w:before="0" w:beforeAutospacing="0" w:after="0" w:afterAutospacing="0"/>
        <w:jc w:val="both"/>
        <w:rPr>
          <w:sz w:val="20"/>
          <w:szCs w:val="20"/>
        </w:rPr>
      </w:pPr>
      <w:r>
        <w:rPr>
          <w:i/>
          <w:iCs/>
          <w:sz w:val="20"/>
          <w:szCs w:val="20"/>
        </w:rPr>
        <w:t> </w:t>
      </w:r>
    </w:p>
    <w:p w14:paraId="3EADCE2A" w14:textId="77777777" w:rsidR="00000000" w:rsidRDefault="00322B34">
      <w:pPr>
        <w:pStyle w:val="a3"/>
        <w:spacing w:before="0" w:beforeAutospacing="0" w:after="0" w:afterAutospacing="0"/>
        <w:ind w:firstLine="360"/>
        <w:jc w:val="both"/>
        <w:rPr>
          <w:sz w:val="20"/>
          <w:szCs w:val="20"/>
        </w:rPr>
      </w:pPr>
      <w:r>
        <w:rPr>
          <w:sz w:val="20"/>
          <w:szCs w:val="20"/>
        </w:rPr>
        <w:t>The Company’s Board of Directors will continue to evaluate the Company’s dividend policy on a quarterly basis as the Board of Directors monitor</w:t>
      </w:r>
      <w:r>
        <w:rPr>
          <w:sz w:val="20"/>
          <w:szCs w:val="20"/>
        </w:rPr>
        <w:t>s sources of capital and evaluates the impact of the economy and capital markets availability on operating fundamentals.  Since cash used to pay dividends reduces amounts available for capital investment, the Company generally intends to maintain a dividen</w:t>
      </w:r>
      <w:r>
        <w:rPr>
          <w:sz w:val="20"/>
          <w:szCs w:val="20"/>
        </w:rPr>
        <w:t xml:space="preserve">d payout ratio that reserves such amounts as it considers necessary for the expansion and renovation of shopping centers in its portfolio, debt reduction, the acquisition of interests in new properties and other investments as suitable opportunities arise </w:t>
      </w:r>
      <w:r>
        <w:rPr>
          <w:sz w:val="20"/>
          <w:szCs w:val="20"/>
        </w:rPr>
        <w:t>and such other factors as the Board of Directors considers appropriate.  Cash dividends paid for common and preferred issuances of stock for the six months ended June 30, 2020 and 2019 were $254.7 million and $265.2 million, respectively.</w:t>
      </w:r>
    </w:p>
    <w:p w14:paraId="2CCAF4E1" w14:textId="77777777" w:rsidR="00000000" w:rsidRDefault="00322B34">
      <w:pPr>
        <w:pStyle w:val="a3"/>
        <w:spacing w:before="0" w:beforeAutospacing="0" w:after="0" w:afterAutospacing="0"/>
        <w:jc w:val="both"/>
        <w:rPr>
          <w:sz w:val="20"/>
          <w:szCs w:val="20"/>
        </w:rPr>
      </w:pPr>
      <w:r>
        <w:rPr>
          <w:sz w:val="20"/>
          <w:szCs w:val="20"/>
        </w:rPr>
        <w:t> </w:t>
      </w:r>
    </w:p>
    <w:p w14:paraId="01212A7E" w14:textId="77777777" w:rsidR="00000000" w:rsidRDefault="00322B34">
      <w:pPr>
        <w:jc w:val="center"/>
        <w:divId w:val="260067565"/>
        <w:rPr>
          <w:rFonts w:eastAsia="Times New Roman"/>
          <w:sz w:val="20"/>
          <w:szCs w:val="20"/>
        </w:rPr>
      </w:pPr>
      <w:r>
        <w:rPr>
          <w:rFonts w:eastAsia="Times New Roman"/>
          <w:sz w:val="20"/>
          <w:szCs w:val="20"/>
        </w:rPr>
        <w:t xml:space="preserve">30 </w:t>
      </w:r>
    </w:p>
    <w:p w14:paraId="7067D393" w14:textId="77777777" w:rsidR="00000000" w:rsidRDefault="00322B34">
      <w:pPr>
        <w:divId w:val="15734364"/>
        <w:rPr>
          <w:rFonts w:eastAsia="Times New Roman"/>
          <w:sz w:val="20"/>
          <w:szCs w:val="20"/>
        </w:rPr>
      </w:pPr>
      <w:r>
        <w:rPr>
          <w:rFonts w:eastAsia="Times New Roman"/>
          <w:sz w:val="20"/>
          <w:szCs w:val="20"/>
        </w:rPr>
        <w:pict w14:anchorId="7708D0D3">
          <v:rect id="_x0000_i1058" style="width:0;height:1.5pt" o:hralign="center" o:hrstd="t" o:hr="t" fillcolor="#a0a0a0" stroked="f"/>
        </w:pict>
      </w:r>
    </w:p>
    <w:p w14:paraId="5A2CAA42" w14:textId="77777777" w:rsidR="00000000" w:rsidRDefault="00322B34">
      <w:pPr>
        <w:divId w:val="87053174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E8C9517" w14:textId="77777777" w:rsidR="00000000" w:rsidRDefault="00322B34">
      <w:pPr>
        <w:pStyle w:val="a3"/>
        <w:spacing w:before="0" w:beforeAutospacing="0" w:after="0" w:afterAutospacing="0"/>
        <w:rPr>
          <w:sz w:val="20"/>
          <w:szCs w:val="20"/>
        </w:rPr>
      </w:pPr>
      <w:r>
        <w:rPr>
          <w:sz w:val="20"/>
          <w:szCs w:val="20"/>
        </w:rPr>
        <w:t> </w:t>
      </w:r>
    </w:p>
    <w:p w14:paraId="7240A1DE" w14:textId="77777777" w:rsidR="00000000" w:rsidRDefault="00322B34">
      <w:pPr>
        <w:pStyle w:val="a3"/>
        <w:spacing w:before="0" w:beforeAutospacing="0" w:after="0" w:afterAutospacing="0"/>
        <w:ind w:firstLine="360"/>
        <w:jc w:val="both"/>
        <w:rPr>
          <w:sz w:val="20"/>
          <w:szCs w:val="20"/>
        </w:rPr>
      </w:pPr>
      <w:r>
        <w:rPr>
          <w:sz w:val="20"/>
          <w:szCs w:val="20"/>
        </w:rPr>
        <w:t xml:space="preserve">Although the Company receives substantially all of its rental payments on a monthly basis, it generally has paid dividends quarterly. Amounts accumulated in advance of each </w:t>
      </w:r>
      <w:r>
        <w:rPr>
          <w:sz w:val="20"/>
          <w:szCs w:val="20"/>
        </w:rPr>
        <w:t>quarterly distribution will be invested by the Company in short-term money market or other suitable instruments. As a result of the COVID-19 pandemic and the future economic uncertainties, out of an abundance of caution, the Company’s Board of Directors ha</w:t>
      </w:r>
      <w:r>
        <w:rPr>
          <w:sz w:val="20"/>
          <w:szCs w:val="20"/>
        </w:rPr>
        <w:t xml:space="preserve">s temporarily suspended the dividend on its common shares. The Company’s Board of Directors will continue to monitor the Company’s financial performance and economic outlook on a monthly basis and, at a later date, intends to reinstate the common dividend </w:t>
      </w:r>
      <w:r>
        <w:rPr>
          <w:sz w:val="20"/>
          <w:szCs w:val="20"/>
        </w:rPr>
        <w:t>during 2020 of at least the amount equal to the Company’s REIT taxable income distribution requirements.</w:t>
      </w:r>
    </w:p>
    <w:p w14:paraId="348EAE12" w14:textId="77777777" w:rsidR="00000000" w:rsidRDefault="00322B34">
      <w:pPr>
        <w:pStyle w:val="a3"/>
        <w:spacing w:before="0" w:beforeAutospacing="0" w:after="0" w:afterAutospacing="0"/>
        <w:ind w:firstLine="360"/>
        <w:jc w:val="both"/>
        <w:rPr>
          <w:sz w:val="20"/>
          <w:szCs w:val="20"/>
        </w:rPr>
      </w:pPr>
      <w:r>
        <w:rPr>
          <w:sz w:val="20"/>
          <w:szCs w:val="20"/>
        </w:rPr>
        <w:t> </w:t>
      </w:r>
    </w:p>
    <w:p w14:paraId="60B8BC15" w14:textId="77777777" w:rsidR="00000000" w:rsidRDefault="00322B34">
      <w:pPr>
        <w:pStyle w:val="a3"/>
        <w:spacing w:before="0" w:beforeAutospacing="0" w:after="0" w:afterAutospacing="0"/>
        <w:ind w:firstLine="360"/>
        <w:jc w:val="both"/>
        <w:rPr>
          <w:sz w:val="20"/>
          <w:szCs w:val="20"/>
        </w:rPr>
      </w:pPr>
      <w:r>
        <w:rPr>
          <w:sz w:val="20"/>
          <w:szCs w:val="20"/>
        </w:rPr>
        <w:t>The Company’s Board of Directors declared quarterly dividends with respect to the Company’s classes of cumulative redeemable preferred shares (Classe</w:t>
      </w:r>
      <w:r>
        <w:rPr>
          <w:sz w:val="20"/>
          <w:szCs w:val="20"/>
        </w:rPr>
        <w:t xml:space="preserve">s L and M). All dividends on preferred shares were paid on July 15, 2020, to shareholders of record on July 1, 2020. Additionally, the Company’s Board of Directors declared quarterly dividends with respect to the Company’s classes of cumulative redeemable </w:t>
      </w:r>
      <w:r>
        <w:rPr>
          <w:sz w:val="20"/>
          <w:szCs w:val="20"/>
        </w:rPr>
        <w:t>preferred shares (Classes L and M). All dividends on the preferred shares are scheduled to be paid on October 15, 2020, to shareholders of record on October 1, 2020.</w:t>
      </w:r>
    </w:p>
    <w:p w14:paraId="2A145FC6" w14:textId="77777777" w:rsidR="00000000" w:rsidRDefault="00322B34">
      <w:pPr>
        <w:pStyle w:val="a3"/>
        <w:spacing w:before="0" w:beforeAutospacing="0" w:after="0" w:afterAutospacing="0"/>
        <w:jc w:val="both"/>
        <w:rPr>
          <w:sz w:val="20"/>
          <w:szCs w:val="20"/>
        </w:rPr>
      </w:pPr>
      <w:r>
        <w:rPr>
          <w:sz w:val="20"/>
          <w:szCs w:val="20"/>
        </w:rPr>
        <w:t> </w:t>
      </w:r>
    </w:p>
    <w:p w14:paraId="6AAB0937" w14:textId="77777777" w:rsidR="00000000" w:rsidRDefault="00322B34">
      <w:pPr>
        <w:pStyle w:val="a3"/>
        <w:spacing w:before="0" w:beforeAutospacing="0" w:after="0" w:afterAutospacing="0"/>
        <w:jc w:val="both"/>
        <w:rPr>
          <w:sz w:val="20"/>
          <w:szCs w:val="20"/>
        </w:rPr>
      </w:pPr>
      <w:r>
        <w:rPr>
          <w:sz w:val="20"/>
          <w:szCs w:val="20"/>
          <w:u w:val="single"/>
        </w:rPr>
        <w:t>Funds From Operations</w:t>
      </w:r>
    </w:p>
    <w:p w14:paraId="3E8D7E76" w14:textId="77777777" w:rsidR="00000000" w:rsidRDefault="00322B34">
      <w:pPr>
        <w:pStyle w:val="a3"/>
        <w:spacing w:before="0" w:beforeAutospacing="0" w:after="0" w:afterAutospacing="0"/>
        <w:jc w:val="both"/>
        <w:rPr>
          <w:sz w:val="20"/>
          <w:szCs w:val="20"/>
        </w:rPr>
      </w:pPr>
      <w:r>
        <w:rPr>
          <w:sz w:val="20"/>
          <w:szCs w:val="20"/>
        </w:rPr>
        <w:t> </w:t>
      </w:r>
    </w:p>
    <w:p w14:paraId="55395BE5" w14:textId="77777777" w:rsidR="00000000" w:rsidRDefault="00322B34">
      <w:pPr>
        <w:pStyle w:val="a3"/>
        <w:spacing w:before="0" w:beforeAutospacing="0" w:after="0" w:afterAutospacing="0"/>
        <w:ind w:firstLine="360"/>
        <w:jc w:val="both"/>
        <w:rPr>
          <w:sz w:val="20"/>
          <w:szCs w:val="20"/>
        </w:rPr>
      </w:pPr>
      <w:r>
        <w:rPr>
          <w:sz w:val="20"/>
          <w:szCs w:val="20"/>
        </w:rPr>
        <w:t>Funds From Operations (“FFO”) is a supplemental non-GAAP financi</w:t>
      </w:r>
      <w:r>
        <w:rPr>
          <w:sz w:val="20"/>
          <w:szCs w:val="20"/>
        </w:rPr>
        <w:t>al measure utilized to evaluate the operating performance of real estate companies. NAREIT defines FFO as net income/(loss) available to the Company’s common shareholders computed in accordance with generally accepted accounting principles in the United St</w:t>
      </w:r>
      <w:r>
        <w:rPr>
          <w:sz w:val="20"/>
          <w:szCs w:val="20"/>
        </w:rPr>
        <w:t>ates (“GAAP”), excluding (i) depreciation and amortization related to real estate, (ii) gains or losses from sales of certain real estate assets, (iii) gains and losses from change in control, (iv) impairment write-downs of certain real estate assets and i</w:t>
      </w:r>
      <w:r>
        <w:rPr>
          <w:sz w:val="20"/>
          <w:szCs w:val="20"/>
        </w:rPr>
        <w:t>nvestments in entities when the impairment is directly attributable to decreases in the value of depreciable real estate held by the entity and (v) after adjustments for unconsolidated partnerships and joint ventures calculated to reflect FFO on the same b</w:t>
      </w:r>
      <w:r>
        <w:rPr>
          <w:sz w:val="20"/>
          <w:szCs w:val="20"/>
        </w:rPr>
        <w:t>asis. The Company also made an election to exclude from its calculation of FFO (i) gains and losses on the sale of assets and impairments of assets incidental to its main business and (ii) mark-to-market changes in the value of its equity securities. As su</w:t>
      </w:r>
      <w:r>
        <w:rPr>
          <w:sz w:val="20"/>
          <w:szCs w:val="20"/>
        </w:rPr>
        <w:t>ch, the Company does not include gains/impairments on land parcels, gains/losses (realized or unrealized) from marketable securities or gains/impairments on preferred equity participations in NAREIT defined FFO. As a result of this election, the Company wi</w:t>
      </w:r>
      <w:r>
        <w:rPr>
          <w:sz w:val="20"/>
          <w:szCs w:val="20"/>
        </w:rPr>
        <w:t xml:space="preserve">ll no longer disclose FFO available to the Company’s common shareholders as adjusted (“FFO as adjusted”) as an additional supplemental measure. The incidental adjustments noted above which were previously excluded from NAREIT FFO and used to determine FFO </w:t>
      </w:r>
      <w:r>
        <w:rPr>
          <w:sz w:val="20"/>
          <w:szCs w:val="20"/>
        </w:rPr>
        <w:t>as adjusted are now included in NAREIT FFO and therefore the Company believes FFO as adjusted is no longer necessary.</w:t>
      </w:r>
    </w:p>
    <w:p w14:paraId="148730AB" w14:textId="77777777" w:rsidR="00000000" w:rsidRDefault="00322B34">
      <w:pPr>
        <w:pStyle w:val="a3"/>
        <w:spacing w:before="0" w:beforeAutospacing="0" w:after="0" w:afterAutospacing="0"/>
        <w:ind w:firstLine="360"/>
        <w:jc w:val="both"/>
        <w:rPr>
          <w:sz w:val="20"/>
          <w:szCs w:val="20"/>
        </w:rPr>
      </w:pPr>
      <w:r>
        <w:rPr>
          <w:sz w:val="20"/>
          <w:szCs w:val="20"/>
        </w:rPr>
        <w:t> </w:t>
      </w:r>
    </w:p>
    <w:p w14:paraId="2162C6BF" w14:textId="77777777" w:rsidR="00000000" w:rsidRDefault="00322B34">
      <w:pPr>
        <w:pStyle w:val="a3"/>
        <w:spacing w:before="0" w:beforeAutospacing="0" w:after="0" w:afterAutospacing="0"/>
        <w:ind w:firstLine="360"/>
        <w:jc w:val="both"/>
        <w:rPr>
          <w:sz w:val="20"/>
          <w:szCs w:val="20"/>
        </w:rPr>
      </w:pPr>
      <w:r>
        <w:rPr>
          <w:sz w:val="20"/>
          <w:szCs w:val="20"/>
        </w:rPr>
        <w:t>The Company presents FFO available to the Company’s common shareholders as it considers it an important supplemental measure of our oper</w:t>
      </w:r>
      <w:r>
        <w:rPr>
          <w:sz w:val="20"/>
          <w:szCs w:val="20"/>
        </w:rPr>
        <w:t>ating performance and believes it is frequently used by securities analysts, investors and other interested parties in the evaluation of REITs, many of which present FFO available to the Company’s common shareholders when reporting results. Comparison of o</w:t>
      </w:r>
      <w:r>
        <w:rPr>
          <w:sz w:val="20"/>
          <w:szCs w:val="20"/>
        </w:rPr>
        <w:t>ur presentation of FFO available to the Company’s common shareholders to similarly titled measures for other REITs may not necessarily be meaningful due to possible differences in the application of the NAREIT definition used by such REITs.</w:t>
      </w:r>
    </w:p>
    <w:p w14:paraId="656F50D2" w14:textId="77777777" w:rsidR="00000000" w:rsidRDefault="00322B34">
      <w:pPr>
        <w:pStyle w:val="a3"/>
        <w:spacing w:before="0" w:beforeAutospacing="0" w:after="0" w:afterAutospacing="0"/>
        <w:ind w:firstLine="360"/>
        <w:jc w:val="both"/>
        <w:rPr>
          <w:sz w:val="20"/>
          <w:szCs w:val="20"/>
        </w:rPr>
      </w:pPr>
      <w:r>
        <w:rPr>
          <w:sz w:val="20"/>
          <w:szCs w:val="20"/>
        </w:rPr>
        <w:t> </w:t>
      </w:r>
    </w:p>
    <w:p w14:paraId="7A7C7468" w14:textId="77777777" w:rsidR="00000000" w:rsidRDefault="00322B34">
      <w:pPr>
        <w:pStyle w:val="a3"/>
        <w:spacing w:before="0" w:beforeAutospacing="0" w:after="0" w:afterAutospacing="0"/>
        <w:ind w:firstLine="360"/>
        <w:jc w:val="both"/>
        <w:rPr>
          <w:sz w:val="20"/>
          <w:szCs w:val="20"/>
        </w:rPr>
      </w:pPr>
      <w:r>
        <w:rPr>
          <w:sz w:val="20"/>
          <w:szCs w:val="20"/>
        </w:rPr>
        <w:t>FFO is a supp</w:t>
      </w:r>
      <w:r>
        <w:rPr>
          <w:sz w:val="20"/>
          <w:szCs w:val="20"/>
        </w:rPr>
        <w:t>lemental non-GAAP financial measure of real estate companies’ operating performances, which does not represent cash generated from operating activities in accordance with GAAP and therefore, should not be considered an alternative for net income or cash fl</w:t>
      </w:r>
      <w:r>
        <w:rPr>
          <w:sz w:val="20"/>
          <w:szCs w:val="20"/>
        </w:rPr>
        <w:t>ows from operations as a measure of liquidity.  Our method of calculating FFO available to the Company’s common shareholders may be different from methods used by other REITs and, accordingly, may not be comparable to such other REITs.</w:t>
      </w:r>
    </w:p>
    <w:p w14:paraId="138ABE1C" w14:textId="77777777" w:rsidR="00000000" w:rsidRDefault="00322B34">
      <w:pPr>
        <w:pStyle w:val="a3"/>
        <w:spacing w:before="0" w:beforeAutospacing="0" w:after="0" w:afterAutospacing="0"/>
        <w:ind w:firstLine="720"/>
        <w:jc w:val="both"/>
        <w:rPr>
          <w:sz w:val="20"/>
          <w:szCs w:val="20"/>
        </w:rPr>
      </w:pPr>
      <w:r>
        <w:rPr>
          <w:sz w:val="20"/>
          <w:szCs w:val="20"/>
        </w:rPr>
        <w:t> </w:t>
      </w:r>
    </w:p>
    <w:p w14:paraId="4CABE341" w14:textId="77777777" w:rsidR="00000000" w:rsidRDefault="00322B34">
      <w:pPr>
        <w:pStyle w:val="a3"/>
        <w:spacing w:before="0" w:beforeAutospacing="0" w:after="0" w:afterAutospacing="0"/>
        <w:ind w:firstLine="360"/>
        <w:jc w:val="both"/>
        <w:rPr>
          <w:sz w:val="20"/>
          <w:szCs w:val="20"/>
        </w:rPr>
      </w:pPr>
      <w:r>
        <w:rPr>
          <w:sz w:val="20"/>
          <w:szCs w:val="20"/>
        </w:rPr>
        <w:t>The Company’s reco</w:t>
      </w:r>
      <w:r>
        <w:rPr>
          <w:sz w:val="20"/>
          <w:szCs w:val="20"/>
        </w:rPr>
        <w:t>nciliation of net income available to the Company’s common shareholders to FFO available to the Company’s common shareholders is reflected in the table below (in thousands, except per share data).</w:t>
      </w:r>
    </w:p>
    <w:p w14:paraId="793A1F75"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4750" w:type="pct"/>
        <w:tblCellSpacing w:w="0" w:type="dxa"/>
        <w:tblInd w:w="100" w:type="dxa"/>
        <w:tblCellMar>
          <w:left w:w="0" w:type="dxa"/>
          <w:right w:w="0" w:type="dxa"/>
        </w:tblCellMar>
        <w:tblLook w:val="04A0" w:firstRow="1" w:lastRow="0" w:firstColumn="1" w:lastColumn="0" w:noHBand="0" w:noVBand="1"/>
      </w:tblPr>
      <w:tblGrid>
        <w:gridCol w:w="4071"/>
        <w:gridCol w:w="50"/>
        <w:gridCol w:w="150"/>
        <w:gridCol w:w="717"/>
        <w:gridCol w:w="67"/>
        <w:gridCol w:w="50"/>
        <w:gridCol w:w="150"/>
        <w:gridCol w:w="664"/>
        <w:gridCol w:w="67"/>
        <w:gridCol w:w="50"/>
        <w:gridCol w:w="150"/>
        <w:gridCol w:w="717"/>
        <w:gridCol w:w="67"/>
        <w:gridCol w:w="50"/>
        <w:gridCol w:w="150"/>
        <w:gridCol w:w="654"/>
        <w:gridCol w:w="67"/>
      </w:tblGrid>
      <w:tr w:rsidR="00000000" w14:paraId="4F883FA3" w14:textId="77777777">
        <w:trPr>
          <w:tblCellSpacing w:w="0" w:type="dxa"/>
        </w:trPr>
        <w:tc>
          <w:tcPr>
            <w:tcW w:w="0" w:type="auto"/>
            <w:vAlign w:val="bottom"/>
            <w:hideMark/>
          </w:tcPr>
          <w:p w14:paraId="45D5CC75"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6116F35"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5E421C3" w14:textId="77777777" w:rsidR="00000000" w:rsidRDefault="00322B34">
            <w:pPr>
              <w:pStyle w:val="a3"/>
              <w:spacing w:before="0" w:beforeAutospacing="0" w:after="0" w:afterAutospacing="0"/>
              <w:jc w:val="center"/>
              <w:rPr>
                <w:sz w:val="20"/>
                <w:szCs w:val="20"/>
              </w:rPr>
            </w:pPr>
            <w:r>
              <w:rPr>
                <w:b/>
                <w:bCs/>
                <w:sz w:val="20"/>
                <w:szCs w:val="20"/>
              </w:rPr>
              <w:t>Three Months Ended June 30,</w:t>
            </w:r>
          </w:p>
        </w:tc>
        <w:tc>
          <w:tcPr>
            <w:tcW w:w="0" w:type="auto"/>
            <w:tcMar>
              <w:top w:w="0" w:type="dxa"/>
              <w:left w:w="0" w:type="dxa"/>
              <w:bottom w:w="15" w:type="dxa"/>
              <w:right w:w="0" w:type="dxa"/>
            </w:tcMar>
            <w:vAlign w:val="bottom"/>
            <w:hideMark/>
          </w:tcPr>
          <w:p w14:paraId="2BF02A0E"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78A2A5C"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A87EC01" w14:textId="77777777" w:rsidR="00000000" w:rsidRDefault="00322B34">
            <w:pPr>
              <w:pStyle w:val="a3"/>
              <w:spacing w:before="0" w:beforeAutospacing="0" w:after="0" w:afterAutospacing="0"/>
              <w:jc w:val="center"/>
              <w:rPr>
                <w:sz w:val="20"/>
                <w:szCs w:val="20"/>
              </w:rPr>
            </w:pPr>
            <w:r>
              <w:rPr>
                <w:b/>
                <w:bCs/>
                <w:sz w:val="20"/>
                <w:szCs w:val="20"/>
              </w:rPr>
              <w:t xml:space="preserve">Six </w:t>
            </w:r>
            <w:r>
              <w:rPr>
                <w:b/>
                <w:bCs/>
                <w:sz w:val="20"/>
                <w:szCs w:val="20"/>
              </w:rPr>
              <w:t>Months Ended June 30,</w:t>
            </w:r>
          </w:p>
        </w:tc>
        <w:tc>
          <w:tcPr>
            <w:tcW w:w="0" w:type="auto"/>
            <w:tcMar>
              <w:top w:w="0" w:type="dxa"/>
              <w:left w:w="0" w:type="dxa"/>
              <w:bottom w:w="15" w:type="dxa"/>
              <w:right w:w="0" w:type="dxa"/>
            </w:tcMar>
            <w:vAlign w:val="bottom"/>
            <w:hideMark/>
          </w:tcPr>
          <w:p w14:paraId="5B75C15F" w14:textId="77777777" w:rsidR="00000000" w:rsidRDefault="00322B34">
            <w:pPr>
              <w:rPr>
                <w:rFonts w:eastAsia="Times New Roman"/>
                <w:sz w:val="20"/>
                <w:szCs w:val="20"/>
              </w:rPr>
            </w:pPr>
            <w:r>
              <w:rPr>
                <w:rFonts w:eastAsia="Times New Roman"/>
                <w:sz w:val="20"/>
                <w:szCs w:val="20"/>
              </w:rPr>
              <w:t> </w:t>
            </w:r>
          </w:p>
        </w:tc>
      </w:tr>
      <w:tr w:rsidR="00000000" w14:paraId="4F90E124" w14:textId="77777777">
        <w:trPr>
          <w:tblCellSpacing w:w="0" w:type="dxa"/>
        </w:trPr>
        <w:tc>
          <w:tcPr>
            <w:tcW w:w="0" w:type="auto"/>
            <w:vAlign w:val="bottom"/>
            <w:hideMark/>
          </w:tcPr>
          <w:p w14:paraId="38FE4029"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0CF0269C"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405ED9C"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227969B1"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6D8740F"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8E9253C"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03465B13"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D208713"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3EAACF6"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7CFA27AA"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3D09DD8"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5442F54"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3D86468" w14:textId="77777777" w:rsidR="00000000" w:rsidRDefault="00322B34">
            <w:pPr>
              <w:rPr>
                <w:rFonts w:eastAsia="Times New Roman"/>
                <w:sz w:val="20"/>
                <w:szCs w:val="20"/>
              </w:rPr>
            </w:pPr>
            <w:r>
              <w:rPr>
                <w:rFonts w:eastAsia="Times New Roman"/>
                <w:sz w:val="20"/>
                <w:szCs w:val="20"/>
              </w:rPr>
              <w:t> </w:t>
            </w:r>
          </w:p>
        </w:tc>
      </w:tr>
      <w:tr w:rsidR="00000000" w14:paraId="6F2523DC" w14:textId="77777777">
        <w:trPr>
          <w:tblCellSpacing w:w="0" w:type="dxa"/>
        </w:trPr>
        <w:tc>
          <w:tcPr>
            <w:tcW w:w="2600" w:type="pct"/>
            <w:shd w:val="clear" w:color="auto" w:fill="CCEEFF"/>
            <w:vAlign w:val="bottom"/>
            <w:hideMark/>
          </w:tcPr>
          <w:p w14:paraId="041A098F" w14:textId="77777777" w:rsidR="00000000" w:rsidRDefault="00322B34">
            <w:pPr>
              <w:pStyle w:val="a3"/>
              <w:spacing w:before="0" w:beforeAutospacing="0" w:after="0" w:afterAutospacing="0"/>
              <w:rPr>
                <w:sz w:val="20"/>
                <w:szCs w:val="20"/>
              </w:rPr>
            </w:pPr>
            <w:r>
              <w:rPr>
                <w:b/>
                <w:bCs/>
                <w:sz w:val="20"/>
                <w:szCs w:val="20"/>
              </w:rPr>
              <w:t>Net income available to the Company’s common shareholders</w:t>
            </w:r>
          </w:p>
        </w:tc>
        <w:tc>
          <w:tcPr>
            <w:tcW w:w="50" w:type="pct"/>
            <w:tcBorders>
              <w:bottom w:val="nil"/>
            </w:tcBorders>
            <w:shd w:val="clear" w:color="auto" w:fill="CCEEFF"/>
            <w:vAlign w:val="bottom"/>
            <w:hideMark/>
          </w:tcPr>
          <w:p w14:paraId="75ED6081"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E9C1F7D" w14:textId="77777777" w:rsidR="00000000" w:rsidRDefault="00322B3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3670C42B" w14:textId="77777777" w:rsidR="00000000" w:rsidRDefault="00322B34">
            <w:pPr>
              <w:jc w:val="right"/>
              <w:rPr>
                <w:rFonts w:eastAsia="Times New Roman"/>
                <w:sz w:val="20"/>
                <w:szCs w:val="20"/>
              </w:rPr>
            </w:pPr>
            <w:r>
              <w:rPr>
                <w:rFonts w:eastAsia="Times New Roman"/>
                <w:b/>
                <w:bCs/>
                <w:sz w:val="20"/>
                <w:szCs w:val="20"/>
              </w:rPr>
              <w:t>741,539</w:t>
            </w:r>
          </w:p>
        </w:tc>
        <w:tc>
          <w:tcPr>
            <w:tcW w:w="50" w:type="pct"/>
            <w:tcBorders>
              <w:bottom w:val="nil"/>
            </w:tcBorders>
            <w:shd w:val="clear" w:color="auto" w:fill="CCEEFF"/>
            <w:vAlign w:val="bottom"/>
            <w:hideMark/>
          </w:tcPr>
          <w:p w14:paraId="1F228395"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0A1EBC6E"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582F7E82" w14:textId="77777777" w:rsidR="00000000" w:rsidRDefault="00322B3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3115240F" w14:textId="77777777" w:rsidR="00000000" w:rsidRDefault="00322B34">
            <w:pPr>
              <w:jc w:val="right"/>
              <w:rPr>
                <w:rFonts w:eastAsia="Times New Roman"/>
                <w:sz w:val="20"/>
                <w:szCs w:val="20"/>
              </w:rPr>
            </w:pPr>
            <w:r>
              <w:rPr>
                <w:rFonts w:eastAsia="Times New Roman"/>
                <w:b/>
                <w:bCs/>
                <w:sz w:val="20"/>
                <w:szCs w:val="20"/>
              </w:rPr>
              <w:t>86,493</w:t>
            </w:r>
          </w:p>
        </w:tc>
        <w:tc>
          <w:tcPr>
            <w:tcW w:w="50" w:type="pct"/>
            <w:tcBorders>
              <w:bottom w:val="nil"/>
            </w:tcBorders>
            <w:shd w:val="clear" w:color="auto" w:fill="CCEEFF"/>
            <w:vAlign w:val="bottom"/>
            <w:hideMark/>
          </w:tcPr>
          <w:p w14:paraId="13151D55"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C12FD1A"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F84A343" w14:textId="77777777" w:rsidR="00000000" w:rsidRDefault="00322B3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4E7832DB" w14:textId="77777777" w:rsidR="00000000" w:rsidRDefault="00322B34">
            <w:pPr>
              <w:jc w:val="right"/>
              <w:rPr>
                <w:rFonts w:eastAsia="Times New Roman"/>
                <w:sz w:val="20"/>
                <w:szCs w:val="20"/>
              </w:rPr>
            </w:pPr>
            <w:r>
              <w:rPr>
                <w:rFonts w:eastAsia="Times New Roman"/>
                <w:b/>
                <w:bCs/>
                <w:sz w:val="20"/>
                <w:szCs w:val="20"/>
              </w:rPr>
              <w:t>825,285</w:t>
            </w:r>
          </w:p>
        </w:tc>
        <w:tc>
          <w:tcPr>
            <w:tcW w:w="50" w:type="pct"/>
            <w:tcBorders>
              <w:bottom w:val="nil"/>
            </w:tcBorders>
            <w:shd w:val="clear" w:color="auto" w:fill="CCEEFF"/>
            <w:vAlign w:val="bottom"/>
            <w:hideMark/>
          </w:tcPr>
          <w:p w14:paraId="7443DC96"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A726F4F"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3251D9D" w14:textId="77777777" w:rsidR="00000000" w:rsidRDefault="00322B3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01EDE9CE" w14:textId="77777777" w:rsidR="00000000" w:rsidRDefault="00322B34">
            <w:pPr>
              <w:jc w:val="right"/>
              <w:rPr>
                <w:rFonts w:eastAsia="Times New Roman"/>
                <w:sz w:val="20"/>
                <w:szCs w:val="20"/>
              </w:rPr>
            </w:pPr>
            <w:r>
              <w:rPr>
                <w:rFonts w:eastAsia="Times New Roman"/>
                <w:b/>
                <w:bCs/>
                <w:sz w:val="20"/>
                <w:szCs w:val="20"/>
              </w:rPr>
              <w:t>188,128</w:t>
            </w:r>
          </w:p>
        </w:tc>
        <w:tc>
          <w:tcPr>
            <w:tcW w:w="50" w:type="pct"/>
            <w:tcBorders>
              <w:bottom w:val="nil"/>
            </w:tcBorders>
            <w:shd w:val="clear" w:color="auto" w:fill="CCEEFF"/>
            <w:vAlign w:val="bottom"/>
            <w:hideMark/>
          </w:tcPr>
          <w:p w14:paraId="1F2F282E" w14:textId="77777777" w:rsidR="00000000" w:rsidRDefault="00322B34">
            <w:pPr>
              <w:rPr>
                <w:rFonts w:eastAsia="Times New Roman"/>
                <w:sz w:val="20"/>
                <w:szCs w:val="20"/>
              </w:rPr>
            </w:pPr>
            <w:r>
              <w:rPr>
                <w:rFonts w:eastAsia="Times New Roman"/>
                <w:sz w:val="20"/>
                <w:szCs w:val="20"/>
              </w:rPr>
              <w:t> </w:t>
            </w:r>
          </w:p>
        </w:tc>
      </w:tr>
      <w:tr w:rsidR="00000000" w14:paraId="5414F1E9" w14:textId="77777777">
        <w:trPr>
          <w:tblCellSpacing w:w="0" w:type="dxa"/>
        </w:trPr>
        <w:tc>
          <w:tcPr>
            <w:tcW w:w="0" w:type="auto"/>
            <w:shd w:val="clear" w:color="auto" w:fill="FFFFFF"/>
            <w:vAlign w:val="bottom"/>
            <w:hideMark/>
          </w:tcPr>
          <w:p w14:paraId="7EDD93C6" w14:textId="77777777" w:rsidR="00000000" w:rsidRDefault="00322B34">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14:paraId="157AFFA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AE72B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17400DF" w14:textId="77777777" w:rsidR="00000000" w:rsidRDefault="00322B34">
            <w:pPr>
              <w:jc w:val="right"/>
              <w:rPr>
                <w:rFonts w:eastAsia="Times New Roman"/>
                <w:sz w:val="20"/>
                <w:szCs w:val="20"/>
              </w:rPr>
            </w:pPr>
            <w:r>
              <w:rPr>
                <w:rFonts w:eastAsia="Times New Roman"/>
                <w:sz w:val="20"/>
                <w:szCs w:val="20"/>
              </w:rPr>
              <w:t>(1,850</w:t>
            </w:r>
          </w:p>
        </w:tc>
        <w:tc>
          <w:tcPr>
            <w:tcW w:w="50" w:type="pct"/>
            <w:shd w:val="clear" w:color="auto" w:fill="FFFFFF"/>
            <w:vAlign w:val="bottom"/>
            <w:hideMark/>
          </w:tcPr>
          <w:p w14:paraId="5A52206F"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1BB32FB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3A92A4"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6186D88" w14:textId="77777777" w:rsidR="00000000" w:rsidRDefault="00322B34">
            <w:pPr>
              <w:jc w:val="right"/>
              <w:rPr>
                <w:rFonts w:eastAsia="Times New Roman"/>
                <w:sz w:val="20"/>
                <w:szCs w:val="20"/>
              </w:rPr>
            </w:pPr>
            <w:r>
              <w:rPr>
                <w:rFonts w:eastAsia="Times New Roman"/>
                <w:sz w:val="20"/>
                <w:szCs w:val="20"/>
              </w:rPr>
              <w:t>(14,762</w:t>
            </w:r>
          </w:p>
        </w:tc>
        <w:tc>
          <w:tcPr>
            <w:tcW w:w="50" w:type="pct"/>
            <w:shd w:val="clear" w:color="auto" w:fill="FFFFFF"/>
            <w:vAlign w:val="bottom"/>
            <w:hideMark/>
          </w:tcPr>
          <w:p w14:paraId="422EA69D"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12BAB55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CACDED"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24ACD59" w14:textId="77777777" w:rsidR="00000000" w:rsidRDefault="00322B34">
            <w:pPr>
              <w:jc w:val="right"/>
              <w:rPr>
                <w:rFonts w:eastAsia="Times New Roman"/>
                <w:sz w:val="20"/>
                <w:szCs w:val="20"/>
              </w:rPr>
            </w:pPr>
            <w:r>
              <w:rPr>
                <w:rFonts w:eastAsia="Times New Roman"/>
                <w:sz w:val="20"/>
                <w:szCs w:val="20"/>
              </w:rPr>
              <w:t>(5,697</w:t>
            </w:r>
          </w:p>
        </w:tc>
        <w:tc>
          <w:tcPr>
            <w:tcW w:w="50" w:type="pct"/>
            <w:shd w:val="clear" w:color="auto" w:fill="FFFFFF"/>
            <w:vAlign w:val="bottom"/>
            <w:hideMark/>
          </w:tcPr>
          <w:p w14:paraId="4AB4976A"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0D218D4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36D455"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17CA967" w14:textId="77777777" w:rsidR="00000000" w:rsidRDefault="00322B34">
            <w:pPr>
              <w:jc w:val="right"/>
              <w:rPr>
                <w:rFonts w:eastAsia="Times New Roman"/>
                <w:sz w:val="20"/>
                <w:szCs w:val="20"/>
              </w:rPr>
            </w:pPr>
            <w:r>
              <w:rPr>
                <w:rFonts w:eastAsia="Times New Roman"/>
                <w:sz w:val="20"/>
                <w:szCs w:val="20"/>
              </w:rPr>
              <w:t>(38,357</w:t>
            </w:r>
          </w:p>
        </w:tc>
        <w:tc>
          <w:tcPr>
            <w:tcW w:w="50" w:type="pct"/>
            <w:shd w:val="clear" w:color="auto" w:fill="FFFFFF"/>
            <w:vAlign w:val="bottom"/>
            <w:hideMark/>
          </w:tcPr>
          <w:p w14:paraId="067BBD2C" w14:textId="77777777" w:rsidR="00000000" w:rsidRDefault="00322B34">
            <w:pPr>
              <w:rPr>
                <w:rFonts w:eastAsia="Times New Roman"/>
                <w:sz w:val="20"/>
                <w:szCs w:val="20"/>
              </w:rPr>
            </w:pPr>
            <w:r>
              <w:rPr>
                <w:rFonts w:eastAsia="Times New Roman"/>
                <w:sz w:val="20"/>
                <w:szCs w:val="20"/>
              </w:rPr>
              <w:t>)</w:t>
            </w:r>
          </w:p>
        </w:tc>
      </w:tr>
      <w:tr w:rsidR="00000000" w14:paraId="410E92C7" w14:textId="77777777">
        <w:trPr>
          <w:tblCellSpacing w:w="0" w:type="dxa"/>
        </w:trPr>
        <w:tc>
          <w:tcPr>
            <w:tcW w:w="0" w:type="auto"/>
            <w:shd w:val="clear" w:color="auto" w:fill="CCEEFF"/>
            <w:vAlign w:val="bottom"/>
            <w:hideMark/>
          </w:tcPr>
          <w:p w14:paraId="429168F0" w14:textId="77777777" w:rsidR="00000000" w:rsidRDefault="00322B34">
            <w:pPr>
              <w:pStyle w:val="a3"/>
              <w:spacing w:before="0" w:beforeAutospacing="0" w:after="0" w:afterAutospacing="0"/>
              <w:rPr>
                <w:sz w:val="20"/>
                <w:szCs w:val="20"/>
              </w:rPr>
            </w:pPr>
            <w:r>
              <w:rPr>
                <w:sz w:val="20"/>
                <w:szCs w:val="20"/>
              </w:rPr>
              <w:t>Gain on sale of joint venture properties</w:t>
            </w:r>
          </w:p>
        </w:tc>
        <w:tc>
          <w:tcPr>
            <w:tcW w:w="50" w:type="pct"/>
            <w:shd w:val="clear" w:color="auto" w:fill="CCEEFF"/>
            <w:vAlign w:val="bottom"/>
            <w:hideMark/>
          </w:tcPr>
          <w:p w14:paraId="5F738B3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B18B02"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C2EC27D"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8E80B8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0E226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4A179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B77DDB7" w14:textId="77777777" w:rsidR="00000000" w:rsidRDefault="00322B34">
            <w:pPr>
              <w:jc w:val="right"/>
              <w:rPr>
                <w:rFonts w:eastAsia="Times New Roman"/>
                <w:sz w:val="20"/>
                <w:szCs w:val="20"/>
              </w:rPr>
            </w:pPr>
            <w:r>
              <w:rPr>
                <w:rFonts w:eastAsia="Times New Roman"/>
                <w:sz w:val="20"/>
                <w:szCs w:val="20"/>
              </w:rPr>
              <w:t>(8,496</w:t>
            </w:r>
          </w:p>
        </w:tc>
        <w:tc>
          <w:tcPr>
            <w:tcW w:w="50" w:type="pct"/>
            <w:shd w:val="clear" w:color="auto" w:fill="CCEEFF"/>
            <w:vAlign w:val="bottom"/>
            <w:hideMark/>
          </w:tcPr>
          <w:p w14:paraId="10817180"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50EC01E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12FDC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89E6780" w14:textId="77777777" w:rsidR="00000000" w:rsidRDefault="00322B34">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14:paraId="2FF579C9"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774DD72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43E9C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86C65D0" w14:textId="77777777" w:rsidR="00000000" w:rsidRDefault="00322B34">
            <w:pPr>
              <w:jc w:val="right"/>
              <w:rPr>
                <w:rFonts w:eastAsia="Times New Roman"/>
                <w:sz w:val="20"/>
                <w:szCs w:val="20"/>
              </w:rPr>
            </w:pPr>
            <w:r>
              <w:rPr>
                <w:rFonts w:eastAsia="Times New Roman"/>
                <w:sz w:val="20"/>
                <w:szCs w:val="20"/>
              </w:rPr>
              <w:t>(13,186</w:t>
            </w:r>
          </w:p>
        </w:tc>
        <w:tc>
          <w:tcPr>
            <w:tcW w:w="50" w:type="pct"/>
            <w:shd w:val="clear" w:color="auto" w:fill="CCEEFF"/>
            <w:vAlign w:val="bottom"/>
            <w:hideMark/>
          </w:tcPr>
          <w:p w14:paraId="018AB356" w14:textId="77777777" w:rsidR="00000000" w:rsidRDefault="00322B34">
            <w:pPr>
              <w:rPr>
                <w:rFonts w:eastAsia="Times New Roman"/>
                <w:sz w:val="20"/>
                <w:szCs w:val="20"/>
              </w:rPr>
            </w:pPr>
            <w:r>
              <w:rPr>
                <w:rFonts w:eastAsia="Times New Roman"/>
                <w:sz w:val="20"/>
                <w:szCs w:val="20"/>
              </w:rPr>
              <w:t>)</w:t>
            </w:r>
          </w:p>
        </w:tc>
      </w:tr>
      <w:tr w:rsidR="00000000" w14:paraId="2A06613C" w14:textId="77777777">
        <w:trPr>
          <w:tblCellSpacing w:w="0" w:type="dxa"/>
        </w:trPr>
        <w:tc>
          <w:tcPr>
            <w:tcW w:w="0" w:type="auto"/>
            <w:shd w:val="clear" w:color="auto" w:fill="FFFFFF"/>
            <w:vAlign w:val="bottom"/>
            <w:hideMark/>
          </w:tcPr>
          <w:p w14:paraId="6721C065" w14:textId="77777777" w:rsidR="00000000" w:rsidRDefault="00322B34">
            <w:pPr>
              <w:pStyle w:val="a3"/>
              <w:spacing w:before="0" w:beforeAutospacing="0" w:after="0" w:afterAutospacing="0"/>
              <w:rPr>
                <w:sz w:val="20"/>
                <w:szCs w:val="20"/>
              </w:rPr>
            </w:pPr>
            <w:r>
              <w:rPr>
                <w:sz w:val="20"/>
                <w:szCs w:val="20"/>
              </w:rPr>
              <w:t>Depreciation and amortization - real estate related</w:t>
            </w:r>
          </w:p>
        </w:tc>
        <w:tc>
          <w:tcPr>
            <w:tcW w:w="50" w:type="pct"/>
            <w:shd w:val="clear" w:color="auto" w:fill="FFFFFF"/>
            <w:vAlign w:val="bottom"/>
            <w:hideMark/>
          </w:tcPr>
          <w:p w14:paraId="14DEE1C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881ECE"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2128F51" w14:textId="77777777" w:rsidR="00000000" w:rsidRDefault="00322B34">
            <w:pPr>
              <w:jc w:val="right"/>
              <w:rPr>
                <w:rFonts w:eastAsia="Times New Roman"/>
                <w:sz w:val="20"/>
                <w:szCs w:val="20"/>
              </w:rPr>
            </w:pPr>
            <w:r>
              <w:rPr>
                <w:rFonts w:eastAsia="Times New Roman"/>
                <w:sz w:val="20"/>
                <w:szCs w:val="20"/>
              </w:rPr>
              <w:t>72,296</w:t>
            </w:r>
          </w:p>
        </w:tc>
        <w:tc>
          <w:tcPr>
            <w:tcW w:w="50" w:type="pct"/>
            <w:shd w:val="clear" w:color="auto" w:fill="FFFFFF"/>
            <w:vAlign w:val="bottom"/>
            <w:hideMark/>
          </w:tcPr>
          <w:p w14:paraId="6D10DF0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49101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FC436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4B2FE4A" w14:textId="77777777" w:rsidR="00000000" w:rsidRDefault="00322B34">
            <w:pPr>
              <w:jc w:val="right"/>
              <w:rPr>
                <w:rFonts w:eastAsia="Times New Roman"/>
                <w:sz w:val="20"/>
                <w:szCs w:val="20"/>
              </w:rPr>
            </w:pPr>
            <w:r>
              <w:rPr>
                <w:rFonts w:eastAsia="Times New Roman"/>
                <w:sz w:val="20"/>
                <w:szCs w:val="20"/>
              </w:rPr>
              <w:t>68,723</w:t>
            </w:r>
          </w:p>
        </w:tc>
        <w:tc>
          <w:tcPr>
            <w:tcW w:w="50" w:type="pct"/>
            <w:shd w:val="clear" w:color="auto" w:fill="FFFFFF"/>
            <w:vAlign w:val="bottom"/>
            <w:hideMark/>
          </w:tcPr>
          <w:p w14:paraId="11D2537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D9F74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F0CF03"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1428CF8" w14:textId="77777777" w:rsidR="00000000" w:rsidRDefault="00322B34">
            <w:pPr>
              <w:jc w:val="right"/>
              <w:rPr>
                <w:rFonts w:eastAsia="Times New Roman"/>
                <w:sz w:val="20"/>
                <w:szCs w:val="20"/>
              </w:rPr>
            </w:pPr>
            <w:r>
              <w:rPr>
                <w:rFonts w:eastAsia="Times New Roman"/>
                <w:sz w:val="20"/>
                <w:szCs w:val="20"/>
              </w:rPr>
              <w:t>141,003</w:t>
            </w:r>
          </w:p>
        </w:tc>
        <w:tc>
          <w:tcPr>
            <w:tcW w:w="50" w:type="pct"/>
            <w:shd w:val="clear" w:color="auto" w:fill="FFFFFF"/>
            <w:vAlign w:val="bottom"/>
            <w:hideMark/>
          </w:tcPr>
          <w:p w14:paraId="4126C8A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EBADB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742E8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F29E435" w14:textId="77777777" w:rsidR="00000000" w:rsidRDefault="00322B34">
            <w:pPr>
              <w:jc w:val="right"/>
              <w:rPr>
                <w:rFonts w:eastAsia="Times New Roman"/>
                <w:sz w:val="20"/>
                <w:szCs w:val="20"/>
              </w:rPr>
            </w:pPr>
            <w:r>
              <w:rPr>
                <w:rFonts w:eastAsia="Times New Roman"/>
                <w:sz w:val="20"/>
                <w:szCs w:val="20"/>
              </w:rPr>
              <w:t>139,983</w:t>
            </w:r>
          </w:p>
        </w:tc>
        <w:tc>
          <w:tcPr>
            <w:tcW w:w="50" w:type="pct"/>
            <w:shd w:val="clear" w:color="auto" w:fill="FFFFFF"/>
            <w:vAlign w:val="bottom"/>
            <w:hideMark/>
          </w:tcPr>
          <w:p w14:paraId="4524A623" w14:textId="77777777" w:rsidR="00000000" w:rsidRDefault="00322B34">
            <w:pPr>
              <w:rPr>
                <w:rFonts w:eastAsia="Times New Roman"/>
                <w:sz w:val="20"/>
                <w:szCs w:val="20"/>
              </w:rPr>
            </w:pPr>
            <w:r>
              <w:rPr>
                <w:rFonts w:eastAsia="Times New Roman"/>
                <w:sz w:val="20"/>
                <w:szCs w:val="20"/>
              </w:rPr>
              <w:t> </w:t>
            </w:r>
          </w:p>
        </w:tc>
      </w:tr>
      <w:tr w:rsidR="00000000" w14:paraId="6E1EC893" w14:textId="77777777">
        <w:trPr>
          <w:tblCellSpacing w:w="0" w:type="dxa"/>
        </w:trPr>
        <w:tc>
          <w:tcPr>
            <w:tcW w:w="0" w:type="auto"/>
            <w:shd w:val="clear" w:color="auto" w:fill="CCEEFF"/>
            <w:vAlign w:val="bottom"/>
            <w:hideMark/>
          </w:tcPr>
          <w:p w14:paraId="51CD1070" w14:textId="77777777" w:rsidR="00000000" w:rsidRDefault="00322B34">
            <w:pPr>
              <w:pStyle w:val="a3"/>
              <w:spacing w:before="0" w:beforeAutospacing="0" w:after="0" w:afterAutospacing="0"/>
              <w:rPr>
                <w:sz w:val="20"/>
                <w:szCs w:val="20"/>
              </w:rPr>
            </w:pPr>
            <w:r>
              <w:rPr>
                <w:sz w:val="20"/>
                <w:szCs w:val="20"/>
              </w:rPr>
              <w:t>Depreciation and amortization - real estate joint ventures</w:t>
            </w:r>
          </w:p>
        </w:tc>
        <w:tc>
          <w:tcPr>
            <w:tcW w:w="50" w:type="pct"/>
            <w:shd w:val="clear" w:color="auto" w:fill="CCEEFF"/>
            <w:vAlign w:val="bottom"/>
            <w:hideMark/>
          </w:tcPr>
          <w:p w14:paraId="42FC8A2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4BEDF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4F56F6F" w14:textId="77777777" w:rsidR="00000000" w:rsidRDefault="00322B34">
            <w:pPr>
              <w:jc w:val="right"/>
              <w:rPr>
                <w:rFonts w:eastAsia="Times New Roman"/>
                <w:sz w:val="20"/>
                <w:szCs w:val="20"/>
              </w:rPr>
            </w:pPr>
            <w:r>
              <w:rPr>
                <w:rFonts w:eastAsia="Times New Roman"/>
                <w:sz w:val="20"/>
                <w:szCs w:val="20"/>
              </w:rPr>
              <w:t>10,178</w:t>
            </w:r>
          </w:p>
        </w:tc>
        <w:tc>
          <w:tcPr>
            <w:tcW w:w="50" w:type="pct"/>
            <w:shd w:val="clear" w:color="auto" w:fill="CCEEFF"/>
            <w:vAlign w:val="bottom"/>
            <w:hideMark/>
          </w:tcPr>
          <w:p w14:paraId="26C0A01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CB212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C37383"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A335815" w14:textId="77777777" w:rsidR="00000000" w:rsidRDefault="00322B34">
            <w:pPr>
              <w:jc w:val="right"/>
              <w:rPr>
                <w:rFonts w:eastAsia="Times New Roman"/>
                <w:sz w:val="20"/>
                <w:szCs w:val="20"/>
              </w:rPr>
            </w:pPr>
            <w:r>
              <w:rPr>
                <w:rFonts w:eastAsia="Times New Roman"/>
                <w:sz w:val="20"/>
                <w:szCs w:val="20"/>
              </w:rPr>
              <w:t>10,115</w:t>
            </w:r>
          </w:p>
        </w:tc>
        <w:tc>
          <w:tcPr>
            <w:tcW w:w="50" w:type="pct"/>
            <w:shd w:val="clear" w:color="auto" w:fill="CCEEFF"/>
            <w:vAlign w:val="bottom"/>
            <w:hideMark/>
          </w:tcPr>
          <w:p w14:paraId="7EC7024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AE75A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E4027F"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440ADE2" w14:textId="77777777" w:rsidR="00000000" w:rsidRDefault="00322B34">
            <w:pPr>
              <w:jc w:val="right"/>
              <w:rPr>
                <w:rFonts w:eastAsia="Times New Roman"/>
                <w:sz w:val="20"/>
                <w:szCs w:val="20"/>
              </w:rPr>
            </w:pPr>
            <w:r>
              <w:rPr>
                <w:rFonts w:eastAsia="Times New Roman"/>
                <w:sz w:val="20"/>
                <w:szCs w:val="20"/>
              </w:rPr>
              <w:t>20,742</w:t>
            </w:r>
          </w:p>
        </w:tc>
        <w:tc>
          <w:tcPr>
            <w:tcW w:w="50" w:type="pct"/>
            <w:shd w:val="clear" w:color="auto" w:fill="CCEEFF"/>
            <w:vAlign w:val="bottom"/>
            <w:hideMark/>
          </w:tcPr>
          <w:p w14:paraId="305B989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F9720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9877F2"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43E4CFD" w14:textId="77777777" w:rsidR="00000000" w:rsidRDefault="00322B34">
            <w:pPr>
              <w:jc w:val="right"/>
              <w:rPr>
                <w:rFonts w:eastAsia="Times New Roman"/>
                <w:sz w:val="20"/>
                <w:szCs w:val="20"/>
              </w:rPr>
            </w:pPr>
            <w:r>
              <w:rPr>
                <w:rFonts w:eastAsia="Times New Roman"/>
                <w:sz w:val="20"/>
                <w:szCs w:val="20"/>
              </w:rPr>
              <w:t>20,276</w:t>
            </w:r>
          </w:p>
        </w:tc>
        <w:tc>
          <w:tcPr>
            <w:tcW w:w="50" w:type="pct"/>
            <w:shd w:val="clear" w:color="auto" w:fill="CCEEFF"/>
            <w:vAlign w:val="bottom"/>
            <w:hideMark/>
          </w:tcPr>
          <w:p w14:paraId="451C6A17" w14:textId="77777777" w:rsidR="00000000" w:rsidRDefault="00322B34">
            <w:pPr>
              <w:rPr>
                <w:rFonts w:eastAsia="Times New Roman"/>
                <w:sz w:val="20"/>
                <w:szCs w:val="20"/>
              </w:rPr>
            </w:pPr>
            <w:r>
              <w:rPr>
                <w:rFonts w:eastAsia="Times New Roman"/>
                <w:sz w:val="20"/>
                <w:szCs w:val="20"/>
              </w:rPr>
              <w:t> </w:t>
            </w:r>
          </w:p>
        </w:tc>
      </w:tr>
      <w:tr w:rsidR="00000000" w14:paraId="3834D7AF" w14:textId="77777777">
        <w:trPr>
          <w:tblCellSpacing w:w="0" w:type="dxa"/>
        </w:trPr>
        <w:tc>
          <w:tcPr>
            <w:tcW w:w="0" w:type="auto"/>
            <w:shd w:val="clear" w:color="auto" w:fill="FFFFFF"/>
            <w:vAlign w:val="bottom"/>
            <w:hideMark/>
          </w:tcPr>
          <w:p w14:paraId="2E018F89" w14:textId="77777777" w:rsidR="00000000" w:rsidRDefault="00322B34">
            <w:pPr>
              <w:pStyle w:val="a3"/>
              <w:spacing w:before="0" w:beforeAutospacing="0" w:after="0" w:afterAutospacing="0"/>
              <w:rPr>
                <w:sz w:val="20"/>
                <w:szCs w:val="20"/>
              </w:rPr>
            </w:pPr>
            <w:r>
              <w:rPr>
                <w:sz w:val="20"/>
                <w:szCs w:val="20"/>
              </w:rPr>
              <w:t>Impairment charges of depreciable real estate properties</w:t>
            </w:r>
          </w:p>
        </w:tc>
        <w:tc>
          <w:tcPr>
            <w:tcW w:w="50" w:type="pct"/>
            <w:shd w:val="clear" w:color="auto" w:fill="FFFFFF"/>
            <w:vAlign w:val="bottom"/>
            <w:hideMark/>
          </w:tcPr>
          <w:p w14:paraId="0CEC566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BBB33D"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8D814BB" w14:textId="77777777" w:rsidR="00000000" w:rsidRDefault="00322B34">
            <w:pPr>
              <w:jc w:val="right"/>
              <w:rPr>
                <w:rFonts w:eastAsia="Times New Roman"/>
                <w:sz w:val="20"/>
                <w:szCs w:val="20"/>
              </w:rPr>
            </w:pPr>
            <w:r>
              <w:rPr>
                <w:rFonts w:eastAsia="Times New Roman"/>
                <w:sz w:val="20"/>
                <w:szCs w:val="20"/>
              </w:rPr>
              <w:t>138</w:t>
            </w:r>
          </w:p>
        </w:tc>
        <w:tc>
          <w:tcPr>
            <w:tcW w:w="50" w:type="pct"/>
            <w:shd w:val="clear" w:color="auto" w:fill="FFFFFF"/>
            <w:vAlign w:val="bottom"/>
            <w:hideMark/>
          </w:tcPr>
          <w:p w14:paraId="14A0478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E456E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E71F2E"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2A40F30" w14:textId="77777777" w:rsidR="00000000" w:rsidRDefault="00322B34">
            <w:pPr>
              <w:jc w:val="right"/>
              <w:rPr>
                <w:rFonts w:eastAsia="Times New Roman"/>
                <w:sz w:val="20"/>
                <w:szCs w:val="20"/>
              </w:rPr>
            </w:pPr>
            <w:r>
              <w:rPr>
                <w:rFonts w:eastAsia="Times New Roman"/>
                <w:sz w:val="20"/>
                <w:szCs w:val="20"/>
              </w:rPr>
              <w:t>18,247</w:t>
            </w:r>
          </w:p>
        </w:tc>
        <w:tc>
          <w:tcPr>
            <w:tcW w:w="50" w:type="pct"/>
            <w:shd w:val="clear" w:color="auto" w:fill="FFFFFF"/>
            <w:vAlign w:val="bottom"/>
            <w:hideMark/>
          </w:tcPr>
          <w:p w14:paraId="2AE7785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0125A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0F7043"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B526AF7" w14:textId="77777777" w:rsidR="00000000" w:rsidRDefault="00322B34">
            <w:pPr>
              <w:jc w:val="right"/>
              <w:rPr>
                <w:rFonts w:eastAsia="Times New Roman"/>
                <w:sz w:val="20"/>
                <w:szCs w:val="20"/>
              </w:rPr>
            </w:pPr>
            <w:r>
              <w:rPr>
                <w:rFonts w:eastAsia="Times New Roman"/>
                <w:sz w:val="20"/>
                <w:szCs w:val="20"/>
              </w:rPr>
              <w:t>3,579</w:t>
            </w:r>
          </w:p>
        </w:tc>
        <w:tc>
          <w:tcPr>
            <w:tcW w:w="50" w:type="pct"/>
            <w:shd w:val="clear" w:color="auto" w:fill="FFFFFF"/>
            <w:vAlign w:val="bottom"/>
            <w:hideMark/>
          </w:tcPr>
          <w:p w14:paraId="53DE818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1B68E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94A92F"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A2B312F" w14:textId="77777777" w:rsidR="00000000" w:rsidRDefault="00322B34">
            <w:pPr>
              <w:jc w:val="right"/>
              <w:rPr>
                <w:rFonts w:eastAsia="Times New Roman"/>
                <w:sz w:val="20"/>
                <w:szCs w:val="20"/>
              </w:rPr>
            </w:pPr>
            <w:r>
              <w:rPr>
                <w:rFonts w:eastAsia="Times New Roman"/>
                <w:sz w:val="20"/>
                <w:szCs w:val="20"/>
              </w:rPr>
              <w:t>24,655</w:t>
            </w:r>
          </w:p>
        </w:tc>
        <w:tc>
          <w:tcPr>
            <w:tcW w:w="50" w:type="pct"/>
            <w:shd w:val="clear" w:color="auto" w:fill="FFFFFF"/>
            <w:vAlign w:val="bottom"/>
            <w:hideMark/>
          </w:tcPr>
          <w:p w14:paraId="160AD25C" w14:textId="77777777" w:rsidR="00000000" w:rsidRDefault="00322B34">
            <w:pPr>
              <w:rPr>
                <w:rFonts w:eastAsia="Times New Roman"/>
                <w:sz w:val="20"/>
                <w:szCs w:val="20"/>
              </w:rPr>
            </w:pPr>
            <w:r>
              <w:rPr>
                <w:rFonts w:eastAsia="Times New Roman"/>
                <w:sz w:val="20"/>
                <w:szCs w:val="20"/>
              </w:rPr>
              <w:t> </w:t>
            </w:r>
          </w:p>
        </w:tc>
      </w:tr>
      <w:tr w:rsidR="00000000" w14:paraId="0098D9BC" w14:textId="77777777">
        <w:trPr>
          <w:tblCellSpacing w:w="0" w:type="dxa"/>
        </w:trPr>
        <w:tc>
          <w:tcPr>
            <w:tcW w:w="0" w:type="auto"/>
            <w:shd w:val="clear" w:color="auto" w:fill="CCEEFF"/>
            <w:vAlign w:val="bottom"/>
            <w:hideMark/>
          </w:tcPr>
          <w:p w14:paraId="5E431A42" w14:textId="77777777" w:rsidR="00000000" w:rsidRDefault="00322B34">
            <w:pPr>
              <w:pStyle w:val="a3"/>
              <w:spacing w:before="0" w:beforeAutospacing="0" w:after="0" w:afterAutospacing="0"/>
              <w:rPr>
                <w:sz w:val="20"/>
                <w:szCs w:val="20"/>
              </w:rPr>
            </w:pPr>
            <w:r>
              <w:rPr>
                <w:sz w:val="20"/>
                <w:szCs w:val="20"/>
              </w:rPr>
              <w:t>Gain on sale of cost method investment</w:t>
            </w:r>
          </w:p>
        </w:tc>
        <w:tc>
          <w:tcPr>
            <w:tcW w:w="50" w:type="pct"/>
            <w:shd w:val="clear" w:color="auto" w:fill="CCEEFF"/>
            <w:vAlign w:val="bottom"/>
            <w:hideMark/>
          </w:tcPr>
          <w:p w14:paraId="4F532CF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F0FB83"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BEDAD20" w14:textId="77777777" w:rsidR="00000000" w:rsidRDefault="00322B34">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18178AFB"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5A3B777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6286C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CD9D190"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B498DE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D4C14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07F17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BC794A2" w14:textId="77777777" w:rsidR="00000000" w:rsidRDefault="00322B34">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429DF759"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4126F96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3AF016"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31945A5"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B91B9FC" w14:textId="77777777" w:rsidR="00000000" w:rsidRDefault="00322B34">
            <w:pPr>
              <w:rPr>
                <w:rFonts w:eastAsia="Times New Roman"/>
                <w:sz w:val="20"/>
                <w:szCs w:val="20"/>
              </w:rPr>
            </w:pPr>
            <w:r>
              <w:rPr>
                <w:rFonts w:eastAsia="Times New Roman"/>
                <w:sz w:val="20"/>
                <w:szCs w:val="20"/>
              </w:rPr>
              <w:t> </w:t>
            </w:r>
          </w:p>
        </w:tc>
      </w:tr>
      <w:tr w:rsidR="00000000" w14:paraId="0E79C0F0" w14:textId="77777777">
        <w:trPr>
          <w:tblCellSpacing w:w="0" w:type="dxa"/>
        </w:trPr>
        <w:tc>
          <w:tcPr>
            <w:tcW w:w="0" w:type="auto"/>
            <w:shd w:val="clear" w:color="auto" w:fill="FFFFFF"/>
            <w:vAlign w:val="bottom"/>
            <w:hideMark/>
          </w:tcPr>
          <w:p w14:paraId="02E5A4F8" w14:textId="77777777" w:rsidR="00000000" w:rsidRDefault="00322B34">
            <w:pPr>
              <w:pStyle w:val="a3"/>
              <w:spacing w:before="0" w:beforeAutospacing="0" w:after="0" w:afterAutospacing="0"/>
              <w:rPr>
                <w:sz w:val="20"/>
                <w:szCs w:val="20"/>
              </w:rPr>
            </w:pPr>
            <w:r>
              <w:rPr>
                <w:sz w:val="20"/>
                <w:szCs w:val="20"/>
              </w:rPr>
              <w:t>Profit participation from other real estate investments, net</w:t>
            </w:r>
          </w:p>
        </w:tc>
        <w:tc>
          <w:tcPr>
            <w:tcW w:w="50" w:type="pct"/>
            <w:shd w:val="clear" w:color="auto" w:fill="FFFFFF"/>
            <w:vAlign w:val="bottom"/>
            <w:hideMark/>
          </w:tcPr>
          <w:p w14:paraId="3EF65CE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566EE8"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AE97DDD" w14:textId="77777777" w:rsidR="00000000" w:rsidRDefault="00322B34">
            <w:pPr>
              <w:jc w:val="right"/>
              <w:rPr>
                <w:rFonts w:eastAsia="Times New Roman"/>
                <w:sz w:val="20"/>
                <w:szCs w:val="20"/>
              </w:rPr>
            </w:pPr>
            <w:r>
              <w:rPr>
                <w:rFonts w:eastAsia="Times New Roman"/>
                <w:sz w:val="20"/>
                <w:szCs w:val="20"/>
              </w:rPr>
              <w:t>(1,186</w:t>
            </w:r>
          </w:p>
        </w:tc>
        <w:tc>
          <w:tcPr>
            <w:tcW w:w="50" w:type="pct"/>
            <w:shd w:val="clear" w:color="auto" w:fill="FFFFFF"/>
            <w:vAlign w:val="bottom"/>
            <w:hideMark/>
          </w:tcPr>
          <w:p w14:paraId="1A8E8159"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6804E2C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7C2BDB"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CAB424F" w14:textId="77777777" w:rsidR="00000000" w:rsidRDefault="00322B34">
            <w:pPr>
              <w:jc w:val="right"/>
              <w:rPr>
                <w:rFonts w:eastAsia="Times New Roman"/>
                <w:sz w:val="20"/>
                <w:szCs w:val="20"/>
              </w:rPr>
            </w:pPr>
            <w:r>
              <w:rPr>
                <w:rFonts w:eastAsia="Times New Roman"/>
                <w:sz w:val="20"/>
                <w:szCs w:val="20"/>
              </w:rPr>
              <w:t>(8,754</w:t>
            </w:r>
          </w:p>
        </w:tc>
        <w:tc>
          <w:tcPr>
            <w:tcW w:w="50" w:type="pct"/>
            <w:shd w:val="clear" w:color="auto" w:fill="FFFFFF"/>
            <w:vAlign w:val="bottom"/>
            <w:hideMark/>
          </w:tcPr>
          <w:p w14:paraId="711B8AB1"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48A498C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8589C4"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70319FE" w14:textId="77777777" w:rsidR="00000000" w:rsidRDefault="00322B34">
            <w:pPr>
              <w:jc w:val="right"/>
              <w:rPr>
                <w:rFonts w:eastAsia="Times New Roman"/>
                <w:sz w:val="20"/>
                <w:szCs w:val="20"/>
              </w:rPr>
            </w:pPr>
            <w:r>
              <w:rPr>
                <w:rFonts w:eastAsia="Times New Roman"/>
                <w:sz w:val="20"/>
                <w:szCs w:val="20"/>
              </w:rPr>
              <w:t>(7,469</w:t>
            </w:r>
          </w:p>
        </w:tc>
        <w:tc>
          <w:tcPr>
            <w:tcW w:w="50" w:type="pct"/>
            <w:shd w:val="clear" w:color="auto" w:fill="FFFFFF"/>
            <w:vAlign w:val="bottom"/>
            <w:hideMark/>
          </w:tcPr>
          <w:p w14:paraId="0D08ED6F"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2A896BB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F6A572"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535EF51" w14:textId="77777777" w:rsidR="00000000" w:rsidRDefault="00322B34">
            <w:pPr>
              <w:jc w:val="right"/>
              <w:rPr>
                <w:rFonts w:eastAsia="Times New Roman"/>
                <w:sz w:val="20"/>
                <w:szCs w:val="20"/>
              </w:rPr>
            </w:pPr>
            <w:r>
              <w:rPr>
                <w:rFonts w:eastAsia="Times New Roman"/>
                <w:sz w:val="20"/>
                <w:szCs w:val="20"/>
              </w:rPr>
              <w:t>(9,784</w:t>
            </w:r>
          </w:p>
        </w:tc>
        <w:tc>
          <w:tcPr>
            <w:tcW w:w="50" w:type="pct"/>
            <w:shd w:val="clear" w:color="auto" w:fill="FFFFFF"/>
            <w:vAlign w:val="bottom"/>
            <w:hideMark/>
          </w:tcPr>
          <w:p w14:paraId="712AB54A" w14:textId="77777777" w:rsidR="00000000" w:rsidRDefault="00322B34">
            <w:pPr>
              <w:rPr>
                <w:rFonts w:eastAsia="Times New Roman"/>
                <w:sz w:val="20"/>
                <w:szCs w:val="20"/>
              </w:rPr>
            </w:pPr>
            <w:r>
              <w:rPr>
                <w:rFonts w:eastAsia="Times New Roman"/>
                <w:sz w:val="20"/>
                <w:szCs w:val="20"/>
              </w:rPr>
              <w:t>)</w:t>
            </w:r>
          </w:p>
        </w:tc>
      </w:tr>
      <w:tr w:rsidR="00000000" w14:paraId="17CF4FB8" w14:textId="77777777">
        <w:trPr>
          <w:tblCellSpacing w:w="0" w:type="dxa"/>
        </w:trPr>
        <w:tc>
          <w:tcPr>
            <w:tcW w:w="0" w:type="auto"/>
            <w:shd w:val="clear" w:color="auto" w:fill="CCEEFF"/>
            <w:vAlign w:val="bottom"/>
            <w:hideMark/>
          </w:tcPr>
          <w:p w14:paraId="6FEB5DC6" w14:textId="77777777" w:rsidR="00000000" w:rsidRDefault="00322B34">
            <w:pPr>
              <w:pStyle w:val="a3"/>
              <w:spacing w:before="0" w:beforeAutospacing="0" w:after="0" w:afterAutospacing="0"/>
              <w:rPr>
                <w:sz w:val="20"/>
                <w:szCs w:val="20"/>
              </w:rPr>
            </w:pPr>
            <w:r>
              <w:rPr>
                <w:sz w:val="20"/>
                <w:szCs w:val="20"/>
              </w:rPr>
              <w:t>Gain on marketable securities, net</w:t>
            </w:r>
          </w:p>
        </w:tc>
        <w:tc>
          <w:tcPr>
            <w:tcW w:w="50" w:type="pct"/>
            <w:shd w:val="clear" w:color="auto" w:fill="CCEEFF"/>
            <w:vAlign w:val="bottom"/>
            <w:hideMark/>
          </w:tcPr>
          <w:p w14:paraId="337963A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F1A94E"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BF8FDCA" w14:textId="77777777" w:rsidR="00000000" w:rsidRDefault="00322B34">
            <w:pPr>
              <w:jc w:val="right"/>
              <w:rPr>
                <w:rFonts w:eastAsia="Times New Roman"/>
                <w:sz w:val="20"/>
                <w:szCs w:val="20"/>
              </w:rPr>
            </w:pPr>
            <w:r>
              <w:rPr>
                <w:rFonts w:eastAsia="Times New Roman"/>
                <w:sz w:val="20"/>
                <w:szCs w:val="20"/>
              </w:rPr>
              <w:t>(526,243</w:t>
            </w:r>
          </w:p>
        </w:tc>
        <w:tc>
          <w:tcPr>
            <w:tcW w:w="50" w:type="pct"/>
            <w:shd w:val="clear" w:color="auto" w:fill="CCEEFF"/>
            <w:vAlign w:val="bottom"/>
            <w:hideMark/>
          </w:tcPr>
          <w:p w14:paraId="3A2CE9CD"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681238E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1D2705"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F6EBA63" w14:textId="77777777" w:rsidR="00000000" w:rsidRDefault="00322B34">
            <w:pPr>
              <w:jc w:val="right"/>
              <w:rPr>
                <w:rFonts w:eastAsia="Times New Roman"/>
                <w:sz w:val="20"/>
                <w:szCs w:val="20"/>
              </w:rPr>
            </w:pPr>
            <w:r>
              <w:rPr>
                <w:rFonts w:eastAsia="Times New Roman"/>
                <w:sz w:val="20"/>
                <w:szCs w:val="20"/>
              </w:rPr>
              <w:t>(71</w:t>
            </w:r>
          </w:p>
        </w:tc>
        <w:tc>
          <w:tcPr>
            <w:tcW w:w="50" w:type="pct"/>
            <w:shd w:val="clear" w:color="auto" w:fill="CCEEFF"/>
            <w:vAlign w:val="bottom"/>
            <w:hideMark/>
          </w:tcPr>
          <w:p w14:paraId="35F1646C"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8A651C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9B671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7CF324D" w14:textId="77777777" w:rsidR="00000000" w:rsidRDefault="00322B34">
            <w:pPr>
              <w:jc w:val="right"/>
              <w:rPr>
                <w:rFonts w:eastAsia="Times New Roman"/>
                <w:sz w:val="20"/>
                <w:szCs w:val="20"/>
              </w:rPr>
            </w:pPr>
            <w:r>
              <w:rPr>
                <w:rFonts w:eastAsia="Times New Roman"/>
                <w:sz w:val="20"/>
                <w:szCs w:val="20"/>
              </w:rPr>
              <w:t>(521,577</w:t>
            </w:r>
          </w:p>
        </w:tc>
        <w:tc>
          <w:tcPr>
            <w:tcW w:w="50" w:type="pct"/>
            <w:shd w:val="clear" w:color="auto" w:fill="CCEEFF"/>
            <w:vAlign w:val="bottom"/>
            <w:hideMark/>
          </w:tcPr>
          <w:p w14:paraId="22C99681"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2A9FA73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DF7081"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BEBD830" w14:textId="77777777" w:rsidR="00000000" w:rsidRDefault="00322B34">
            <w:pPr>
              <w:jc w:val="right"/>
              <w:rPr>
                <w:rFonts w:eastAsia="Times New Roman"/>
                <w:sz w:val="20"/>
                <w:szCs w:val="20"/>
              </w:rPr>
            </w:pPr>
            <w:r>
              <w:rPr>
                <w:rFonts w:eastAsia="Times New Roman"/>
                <w:sz w:val="20"/>
                <w:szCs w:val="20"/>
              </w:rPr>
              <w:t>(1,574</w:t>
            </w:r>
          </w:p>
        </w:tc>
        <w:tc>
          <w:tcPr>
            <w:tcW w:w="50" w:type="pct"/>
            <w:shd w:val="clear" w:color="auto" w:fill="CCEEFF"/>
            <w:vAlign w:val="bottom"/>
            <w:hideMark/>
          </w:tcPr>
          <w:p w14:paraId="41D15C50" w14:textId="77777777" w:rsidR="00000000" w:rsidRDefault="00322B34">
            <w:pPr>
              <w:rPr>
                <w:rFonts w:eastAsia="Times New Roman"/>
                <w:sz w:val="20"/>
                <w:szCs w:val="20"/>
              </w:rPr>
            </w:pPr>
            <w:r>
              <w:rPr>
                <w:rFonts w:eastAsia="Times New Roman"/>
                <w:sz w:val="20"/>
                <w:szCs w:val="20"/>
              </w:rPr>
              <w:t>)</w:t>
            </w:r>
          </w:p>
        </w:tc>
      </w:tr>
      <w:tr w:rsidR="00000000" w14:paraId="50EDC8D3" w14:textId="77777777">
        <w:trPr>
          <w:tblCellSpacing w:w="0" w:type="dxa"/>
        </w:trPr>
        <w:tc>
          <w:tcPr>
            <w:tcW w:w="0" w:type="auto"/>
            <w:shd w:val="clear" w:color="auto" w:fill="FFFFFF"/>
            <w:vAlign w:val="bottom"/>
            <w:hideMark/>
          </w:tcPr>
          <w:p w14:paraId="0731F37B" w14:textId="77777777" w:rsidR="00000000" w:rsidRDefault="00322B34">
            <w:pPr>
              <w:pStyle w:val="a3"/>
              <w:spacing w:before="0" w:beforeAutospacing="0" w:after="0" w:afterAutospacing="0"/>
              <w:rPr>
                <w:sz w:val="20"/>
                <w:szCs w:val="20"/>
              </w:rPr>
            </w:pPr>
            <w:r>
              <w:rPr>
                <w:sz w:val="20"/>
                <w:szCs w:val="20"/>
              </w:rPr>
              <w:t>Provision for income taxes (1)</w:t>
            </w:r>
          </w:p>
        </w:tc>
        <w:tc>
          <w:tcPr>
            <w:tcW w:w="50" w:type="pct"/>
            <w:shd w:val="clear" w:color="auto" w:fill="FFFFFF"/>
            <w:vAlign w:val="bottom"/>
            <w:hideMark/>
          </w:tcPr>
          <w:p w14:paraId="22565A8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DC94C8"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A44BA62"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9AF39D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4B9B3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8E7534"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9333F34"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E0C9CA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E1DE8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229531"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1C262D3" w14:textId="77777777" w:rsidR="00000000" w:rsidRDefault="00322B34">
            <w:pPr>
              <w:jc w:val="right"/>
              <w:rPr>
                <w:rFonts w:eastAsia="Times New Roman"/>
                <w:sz w:val="20"/>
                <w:szCs w:val="20"/>
              </w:rPr>
            </w:pPr>
            <w:r>
              <w:rPr>
                <w:rFonts w:eastAsia="Times New Roman"/>
                <w:sz w:val="20"/>
                <w:szCs w:val="20"/>
              </w:rPr>
              <w:t>1</w:t>
            </w:r>
          </w:p>
        </w:tc>
        <w:tc>
          <w:tcPr>
            <w:tcW w:w="50" w:type="pct"/>
            <w:shd w:val="clear" w:color="auto" w:fill="FFFFFF"/>
            <w:vAlign w:val="bottom"/>
            <w:hideMark/>
          </w:tcPr>
          <w:p w14:paraId="7956136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32BBE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5F0EA5"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0C18A50"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BE3E5A5" w14:textId="77777777" w:rsidR="00000000" w:rsidRDefault="00322B34">
            <w:pPr>
              <w:rPr>
                <w:rFonts w:eastAsia="Times New Roman"/>
                <w:sz w:val="20"/>
                <w:szCs w:val="20"/>
              </w:rPr>
            </w:pPr>
            <w:r>
              <w:rPr>
                <w:rFonts w:eastAsia="Times New Roman"/>
                <w:sz w:val="20"/>
                <w:szCs w:val="20"/>
              </w:rPr>
              <w:t> </w:t>
            </w:r>
          </w:p>
        </w:tc>
      </w:tr>
      <w:tr w:rsidR="00000000" w14:paraId="50CAA104" w14:textId="77777777">
        <w:trPr>
          <w:tblCellSpacing w:w="0" w:type="dxa"/>
        </w:trPr>
        <w:tc>
          <w:tcPr>
            <w:tcW w:w="0" w:type="auto"/>
            <w:shd w:val="clear" w:color="auto" w:fill="CCEEFF"/>
            <w:vAlign w:val="bottom"/>
            <w:hideMark/>
          </w:tcPr>
          <w:p w14:paraId="4D3E3758" w14:textId="77777777" w:rsidR="00000000" w:rsidRDefault="00322B34">
            <w:pPr>
              <w:pStyle w:val="a3"/>
              <w:spacing w:before="0" w:beforeAutospacing="0" w:after="0" w:afterAutospacing="0"/>
              <w:rPr>
                <w:sz w:val="20"/>
                <w:szCs w:val="20"/>
              </w:rPr>
            </w:pPr>
            <w:r>
              <w:rPr>
                <w:sz w:val="20"/>
                <w:szCs w:val="20"/>
              </w:rPr>
              <w:t>Noncontrolling interests (1)</w:t>
            </w:r>
          </w:p>
        </w:tc>
        <w:tc>
          <w:tcPr>
            <w:tcW w:w="50" w:type="pct"/>
            <w:shd w:val="clear" w:color="auto" w:fill="CCEEFF"/>
            <w:vAlign w:val="bottom"/>
            <w:hideMark/>
          </w:tcPr>
          <w:p w14:paraId="66DE0C00"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F7F3E74"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7F8BDBE7" w14:textId="77777777" w:rsidR="00000000" w:rsidRDefault="00322B34">
            <w:pPr>
              <w:jc w:val="right"/>
              <w:rPr>
                <w:rFonts w:eastAsia="Times New Roman"/>
                <w:sz w:val="20"/>
                <w:szCs w:val="20"/>
              </w:rPr>
            </w:pPr>
            <w:r>
              <w:rPr>
                <w:rFonts w:eastAsia="Times New Roman"/>
                <w:sz w:val="20"/>
                <w:szCs w:val="20"/>
              </w:rPr>
              <w:t>(559</w:t>
            </w:r>
          </w:p>
        </w:tc>
        <w:tc>
          <w:tcPr>
            <w:tcW w:w="50" w:type="pct"/>
            <w:shd w:val="clear" w:color="auto" w:fill="CCEEFF"/>
            <w:tcMar>
              <w:top w:w="0" w:type="dxa"/>
              <w:left w:w="0" w:type="dxa"/>
              <w:bottom w:w="15" w:type="dxa"/>
              <w:right w:w="0" w:type="dxa"/>
            </w:tcMar>
            <w:vAlign w:val="bottom"/>
            <w:hideMark/>
          </w:tcPr>
          <w:p w14:paraId="33801F2F"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55392810"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CC2CD6D"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84F7962" w14:textId="77777777" w:rsidR="00000000" w:rsidRDefault="00322B34">
            <w:pPr>
              <w:jc w:val="right"/>
              <w:rPr>
                <w:rFonts w:eastAsia="Times New Roman"/>
                <w:sz w:val="20"/>
                <w:szCs w:val="20"/>
              </w:rPr>
            </w:pPr>
            <w:r>
              <w:rPr>
                <w:rFonts w:eastAsia="Times New Roman"/>
                <w:sz w:val="20"/>
                <w:szCs w:val="20"/>
              </w:rPr>
              <w:t>(333</w:t>
            </w:r>
          </w:p>
        </w:tc>
        <w:tc>
          <w:tcPr>
            <w:tcW w:w="50" w:type="pct"/>
            <w:shd w:val="clear" w:color="auto" w:fill="CCEEFF"/>
            <w:tcMar>
              <w:top w:w="0" w:type="dxa"/>
              <w:left w:w="0" w:type="dxa"/>
              <w:bottom w:w="15" w:type="dxa"/>
              <w:right w:w="0" w:type="dxa"/>
            </w:tcMar>
            <w:vAlign w:val="bottom"/>
            <w:hideMark/>
          </w:tcPr>
          <w:p w14:paraId="0BF07394"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228EB97A"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86E4673"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9918E69" w14:textId="77777777" w:rsidR="00000000" w:rsidRDefault="00322B34">
            <w:pPr>
              <w:jc w:val="right"/>
              <w:rPr>
                <w:rFonts w:eastAsia="Times New Roman"/>
                <w:sz w:val="20"/>
                <w:szCs w:val="20"/>
              </w:rPr>
            </w:pPr>
            <w:r>
              <w:rPr>
                <w:rFonts w:eastAsia="Times New Roman"/>
                <w:sz w:val="20"/>
                <w:szCs w:val="20"/>
              </w:rPr>
              <w:t>(1,063</w:t>
            </w:r>
          </w:p>
        </w:tc>
        <w:tc>
          <w:tcPr>
            <w:tcW w:w="50" w:type="pct"/>
            <w:shd w:val="clear" w:color="auto" w:fill="CCEEFF"/>
            <w:tcMar>
              <w:top w:w="0" w:type="dxa"/>
              <w:left w:w="0" w:type="dxa"/>
              <w:bottom w:w="15" w:type="dxa"/>
              <w:right w:w="0" w:type="dxa"/>
            </w:tcMar>
            <w:vAlign w:val="bottom"/>
            <w:hideMark/>
          </w:tcPr>
          <w:p w14:paraId="00110374"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27BE1A30"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2FF5AE3"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94E8776" w14:textId="77777777" w:rsidR="00000000" w:rsidRDefault="00322B34">
            <w:pPr>
              <w:jc w:val="right"/>
              <w:rPr>
                <w:rFonts w:eastAsia="Times New Roman"/>
                <w:sz w:val="20"/>
                <w:szCs w:val="20"/>
              </w:rPr>
            </w:pPr>
            <w:r>
              <w:rPr>
                <w:rFonts w:eastAsia="Times New Roman"/>
                <w:sz w:val="20"/>
                <w:szCs w:val="20"/>
              </w:rPr>
              <w:t>(581</w:t>
            </w:r>
          </w:p>
        </w:tc>
        <w:tc>
          <w:tcPr>
            <w:tcW w:w="50" w:type="pct"/>
            <w:shd w:val="clear" w:color="auto" w:fill="CCEEFF"/>
            <w:tcMar>
              <w:top w:w="0" w:type="dxa"/>
              <w:left w:w="0" w:type="dxa"/>
              <w:bottom w:w="15" w:type="dxa"/>
              <w:right w:w="0" w:type="dxa"/>
            </w:tcMar>
            <w:vAlign w:val="bottom"/>
            <w:hideMark/>
          </w:tcPr>
          <w:p w14:paraId="34AFA145" w14:textId="77777777" w:rsidR="00000000" w:rsidRDefault="00322B34">
            <w:pPr>
              <w:rPr>
                <w:rFonts w:eastAsia="Times New Roman"/>
                <w:sz w:val="20"/>
                <w:szCs w:val="20"/>
              </w:rPr>
            </w:pPr>
            <w:r>
              <w:rPr>
                <w:rFonts w:eastAsia="Times New Roman"/>
                <w:sz w:val="20"/>
                <w:szCs w:val="20"/>
              </w:rPr>
              <w:t>)</w:t>
            </w:r>
          </w:p>
        </w:tc>
      </w:tr>
      <w:tr w:rsidR="00000000" w14:paraId="09B0B7BF" w14:textId="77777777">
        <w:trPr>
          <w:tblCellSpacing w:w="0" w:type="dxa"/>
        </w:trPr>
        <w:tc>
          <w:tcPr>
            <w:tcW w:w="0" w:type="auto"/>
            <w:shd w:val="clear" w:color="auto" w:fill="FFFFFF"/>
            <w:vAlign w:val="bottom"/>
            <w:hideMark/>
          </w:tcPr>
          <w:p w14:paraId="08900533" w14:textId="77777777" w:rsidR="00000000" w:rsidRDefault="00322B34">
            <w:pPr>
              <w:pStyle w:val="a3"/>
              <w:spacing w:before="0" w:beforeAutospacing="0" w:after="0" w:afterAutospacing="0"/>
              <w:rPr>
                <w:sz w:val="20"/>
                <w:szCs w:val="20"/>
              </w:rPr>
            </w:pPr>
            <w:r>
              <w:rPr>
                <w:b/>
                <w:bCs/>
                <w:sz w:val="20"/>
                <w:szCs w:val="20"/>
              </w:rPr>
              <w:t>FFO available to the Company’s common shareholders</w:t>
            </w:r>
          </w:p>
        </w:tc>
        <w:tc>
          <w:tcPr>
            <w:tcW w:w="50" w:type="pct"/>
            <w:shd w:val="clear" w:color="auto" w:fill="FFFFFF"/>
            <w:vAlign w:val="bottom"/>
            <w:hideMark/>
          </w:tcPr>
          <w:p w14:paraId="18243AD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0F1FE41" w14:textId="77777777" w:rsidR="00000000" w:rsidRDefault="00322B34">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14:paraId="1EB3EDA4" w14:textId="77777777" w:rsidR="00000000" w:rsidRDefault="00322B34">
            <w:pPr>
              <w:jc w:val="right"/>
              <w:rPr>
                <w:rFonts w:eastAsia="Times New Roman"/>
                <w:sz w:val="20"/>
                <w:szCs w:val="20"/>
              </w:rPr>
            </w:pPr>
            <w:r>
              <w:rPr>
                <w:rFonts w:eastAsia="Times New Roman"/>
                <w:b/>
                <w:bCs/>
                <w:sz w:val="20"/>
                <w:szCs w:val="20"/>
              </w:rPr>
              <w:t>103,481</w:t>
            </w:r>
          </w:p>
        </w:tc>
        <w:tc>
          <w:tcPr>
            <w:tcW w:w="50" w:type="pct"/>
            <w:shd w:val="clear" w:color="auto" w:fill="FFFFFF"/>
            <w:tcMar>
              <w:top w:w="0" w:type="dxa"/>
              <w:left w:w="0" w:type="dxa"/>
              <w:bottom w:w="15" w:type="dxa"/>
              <w:right w:w="0" w:type="dxa"/>
            </w:tcMar>
            <w:vAlign w:val="bottom"/>
            <w:hideMark/>
          </w:tcPr>
          <w:p w14:paraId="77B060E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816956"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3B2DABD" w14:textId="77777777" w:rsidR="00000000" w:rsidRDefault="00322B34">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14:paraId="6F7E5DF9" w14:textId="77777777" w:rsidR="00000000" w:rsidRDefault="00322B34">
            <w:pPr>
              <w:jc w:val="right"/>
              <w:rPr>
                <w:rFonts w:eastAsia="Times New Roman"/>
                <w:sz w:val="20"/>
                <w:szCs w:val="20"/>
              </w:rPr>
            </w:pPr>
            <w:r>
              <w:rPr>
                <w:rFonts w:eastAsia="Times New Roman"/>
                <w:b/>
                <w:bCs/>
                <w:sz w:val="20"/>
                <w:szCs w:val="20"/>
              </w:rPr>
              <w:t>151,162</w:t>
            </w:r>
          </w:p>
        </w:tc>
        <w:tc>
          <w:tcPr>
            <w:tcW w:w="50" w:type="pct"/>
            <w:shd w:val="clear" w:color="auto" w:fill="FFFFFF"/>
            <w:tcMar>
              <w:top w:w="0" w:type="dxa"/>
              <w:left w:w="0" w:type="dxa"/>
              <w:bottom w:w="15" w:type="dxa"/>
              <w:right w:w="0" w:type="dxa"/>
            </w:tcMar>
            <w:vAlign w:val="bottom"/>
            <w:hideMark/>
          </w:tcPr>
          <w:p w14:paraId="5DE8071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645A3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9E5C28E" w14:textId="77777777" w:rsidR="00000000" w:rsidRDefault="00322B34">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14:paraId="4E657B81" w14:textId="77777777" w:rsidR="00000000" w:rsidRDefault="00322B34">
            <w:pPr>
              <w:jc w:val="right"/>
              <w:rPr>
                <w:rFonts w:eastAsia="Times New Roman"/>
                <w:sz w:val="20"/>
                <w:szCs w:val="20"/>
              </w:rPr>
            </w:pPr>
            <w:r>
              <w:rPr>
                <w:rFonts w:eastAsia="Times New Roman"/>
                <w:b/>
                <w:bCs/>
                <w:sz w:val="20"/>
                <w:szCs w:val="20"/>
              </w:rPr>
              <w:t xml:space="preserve">263,954 </w:t>
            </w:r>
          </w:p>
        </w:tc>
        <w:tc>
          <w:tcPr>
            <w:tcW w:w="50" w:type="pct"/>
            <w:shd w:val="clear" w:color="auto" w:fill="FFFFFF"/>
            <w:tcMar>
              <w:top w:w="0" w:type="dxa"/>
              <w:left w:w="0" w:type="dxa"/>
              <w:bottom w:w="15" w:type="dxa"/>
              <w:right w:w="0" w:type="dxa"/>
            </w:tcMar>
            <w:vAlign w:val="bottom"/>
            <w:hideMark/>
          </w:tcPr>
          <w:p w14:paraId="263FED5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81D908"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96FF659" w14:textId="77777777" w:rsidR="00000000" w:rsidRDefault="00322B34">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14:paraId="574AAAA5" w14:textId="77777777" w:rsidR="00000000" w:rsidRDefault="00322B34">
            <w:pPr>
              <w:jc w:val="right"/>
              <w:rPr>
                <w:rFonts w:eastAsia="Times New Roman"/>
                <w:sz w:val="20"/>
                <w:szCs w:val="20"/>
              </w:rPr>
            </w:pPr>
            <w:r>
              <w:rPr>
                <w:rFonts w:eastAsia="Times New Roman"/>
                <w:b/>
                <w:bCs/>
                <w:sz w:val="20"/>
                <w:szCs w:val="20"/>
              </w:rPr>
              <w:t>309,560</w:t>
            </w:r>
          </w:p>
        </w:tc>
        <w:tc>
          <w:tcPr>
            <w:tcW w:w="50" w:type="pct"/>
            <w:shd w:val="clear" w:color="auto" w:fill="FFFFFF"/>
            <w:tcMar>
              <w:top w:w="0" w:type="dxa"/>
              <w:left w:w="0" w:type="dxa"/>
              <w:bottom w:w="15" w:type="dxa"/>
              <w:right w:w="0" w:type="dxa"/>
            </w:tcMar>
            <w:vAlign w:val="bottom"/>
            <w:hideMark/>
          </w:tcPr>
          <w:p w14:paraId="66814E96" w14:textId="77777777" w:rsidR="00000000" w:rsidRDefault="00322B34">
            <w:pPr>
              <w:rPr>
                <w:rFonts w:eastAsia="Times New Roman"/>
                <w:sz w:val="20"/>
                <w:szCs w:val="20"/>
              </w:rPr>
            </w:pPr>
            <w:r>
              <w:rPr>
                <w:rFonts w:eastAsia="Times New Roman"/>
                <w:sz w:val="20"/>
                <w:szCs w:val="20"/>
              </w:rPr>
              <w:t> </w:t>
            </w:r>
          </w:p>
        </w:tc>
      </w:tr>
      <w:tr w:rsidR="00000000" w14:paraId="088021C1" w14:textId="77777777">
        <w:trPr>
          <w:tblCellSpacing w:w="0" w:type="dxa"/>
        </w:trPr>
        <w:tc>
          <w:tcPr>
            <w:tcW w:w="0" w:type="auto"/>
            <w:shd w:val="clear" w:color="auto" w:fill="CCEEFF"/>
            <w:vAlign w:val="bottom"/>
            <w:hideMark/>
          </w:tcPr>
          <w:p w14:paraId="5B85D966" w14:textId="77777777" w:rsidR="00000000" w:rsidRDefault="00322B34">
            <w:pPr>
              <w:pStyle w:val="a3"/>
              <w:spacing w:before="0" w:beforeAutospacing="0" w:after="0" w:afterAutospacing="0"/>
              <w:rPr>
                <w:sz w:val="20"/>
                <w:szCs w:val="20"/>
              </w:rPr>
            </w:pPr>
            <w:r>
              <w:rPr>
                <w:sz w:val="20"/>
                <w:szCs w:val="20"/>
              </w:rPr>
              <w:t>Weighted average shares outstanding for FFO calculations:</w:t>
            </w:r>
          </w:p>
        </w:tc>
        <w:tc>
          <w:tcPr>
            <w:tcW w:w="0" w:type="auto"/>
            <w:shd w:val="clear" w:color="auto" w:fill="CCEEFF"/>
            <w:vAlign w:val="bottom"/>
            <w:hideMark/>
          </w:tcPr>
          <w:p w14:paraId="38F2150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1E0B8E"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AE282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46D9F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24163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744A9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5F49C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9DD13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705C9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9BC68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1BBDB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4A412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B1E13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1AAED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B315A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515D96" w14:textId="77777777" w:rsidR="00000000" w:rsidRDefault="00322B34">
            <w:pPr>
              <w:rPr>
                <w:rFonts w:eastAsia="Times New Roman"/>
                <w:sz w:val="20"/>
                <w:szCs w:val="20"/>
              </w:rPr>
            </w:pPr>
            <w:r>
              <w:rPr>
                <w:rFonts w:eastAsia="Times New Roman"/>
                <w:sz w:val="20"/>
                <w:szCs w:val="20"/>
              </w:rPr>
              <w:t> </w:t>
            </w:r>
          </w:p>
        </w:tc>
      </w:tr>
      <w:tr w:rsidR="00000000" w14:paraId="08916252" w14:textId="77777777">
        <w:trPr>
          <w:tblCellSpacing w:w="0" w:type="dxa"/>
        </w:trPr>
        <w:tc>
          <w:tcPr>
            <w:tcW w:w="0" w:type="auto"/>
            <w:shd w:val="clear" w:color="auto" w:fill="FFFFFF"/>
            <w:vAlign w:val="bottom"/>
            <w:hideMark/>
          </w:tcPr>
          <w:p w14:paraId="369BB012" w14:textId="77777777" w:rsidR="00000000" w:rsidRDefault="00322B34">
            <w:pPr>
              <w:pStyle w:val="a3"/>
              <w:spacing w:before="0" w:beforeAutospacing="0" w:after="0" w:afterAutospacing="0"/>
              <w:rPr>
                <w:sz w:val="20"/>
                <w:szCs w:val="20"/>
              </w:rPr>
            </w:pPr>
            <w:r>
              <w:rPr>
                <w:sz w:val="20"/>
                <w:szCs w:val="20"/>
              </w:rPr>
              <w:t>Basic</w:t>
            </w:r>
          </w:p>
        </w:tc>
        <w:tc>
          <w:tcPr>
            <w:tcW w:w="50" w:type="pct"/>
            <w:shd w:val="clear" w:color="auto" w:fill="FFFFFF"/>
            <w:vAlign w:val="bottom"/>
            <w:hideMark/>
          </w:tcPr>
          <w:p w14:paraId="0DBE7CE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CA8601"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783B744" w14:textId="77777777" w:rsidR="00000000" w:rsidRDefault="00322B34">
            <w:pPr>
              <w:jc w:val="right"/>
              <w:rPr>
                <w:rFonts w:eastAsia="Times New Roman"/>
                <w:sz w:val="20"/>
                <w:szCs w:val="20"/>
              </w:rPr>
            </w:pPr>
            <w:r>
              <w:rPr>
                <w:rFonts w:eastAsia="Times New Roman"/>
                <w:sz w:val="20"/>
                <w:szCs w:val="20"/>
              </w:rPr>
              <w:t>429,967</w:t>
            </w:r>
          </w:p>
        </w:tc>
        <w:tc>
          <w:tcPr>
            <w:tcW w:w="50" w:type="pct"/>
            <w:shd w:val="clear" w:color="auto" w:fill="FFFFFF"/>
            <w:vAlign w:val="bottom"/>
            <w:hideMark/>
          </w:tcPr>
          <w:p w14:paraId="131AA2E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E8C48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C90B06"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EB8A8D6" w14:textId="77777777" w:rsidR="00000000" w:rsidRDefault="00322B34">
            <w:pPr>
              <w:jc w:val="right"/>
              <w:rPr>
                <w:rFonts w:eastAsia="Times New Roman"/>
                <w:sz w:val="20"/>
                <w:szCs w:val="20"/>
              </w:rPr>
            </w:pPr>
            <w:r>
              <w:rPr>
                <w:rFonts w:eastAsia="Times New Roman"/>
                <w:sz w:val="20"/>
                <w:szCs w:val="20"/>
              </w:rPr>
              <w:t>419,697</w:t>
            </w:r>
          </w:p>
        </w:tc>
        <w:tc>
          <w:tcPr>
            <w:tcW w:w="50" w:type="pct"/>
            <w:shd w:val="clear" w:color="auto" w:fill="FFFFFF"/>
            <w:vAlign w:val="bottom"/>
            <w:hideMark/>
          </w:tcPr>
          <w:p w14:paraId="0D321AC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39C95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ECE26D"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7B71356" w14:textId="77777777" w:rsidR="00000000" w:rsidRDefault="00322B34">
            <w:pPr>
              <w:jc w:val="right"/>
              <w:rPr>
                <w:rFonts w:eastAsia="Times New Roman"/>
                <w:sz w:val="20"/>
                <w:szCs w:val="20"/>
              </w:rPr>
            </w:pPr>
            <w:r>
              <w:rPr>
                <w:rFonts w:eastAsia="Times New Roman"/>
                <w:sz w:val="20"/>
                <w:szCs w:val="20"/>
              </w:rPr>
              <w:t>429,851</w:t>
            </w:r>
          </w:p>
        </w:tc>
        <w:tc>
          <w:tcPr>
            <w:tcW w:w="50" w:type="pct"/>
            <w:shd w:val="clear" w:color="auto" w:fill="FFFFFF"/>
            <w:vAlign w:val="bottom"/>
            <w:hideMark/>
          </w:tcPr>
          <w:p w14:paraId="456DBCB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EE57D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AC508E"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C9B510B" w14:textId="77777777" w:rsidR="00000000" w:rsidRDefault="00322B34">
            <w:pPr>
              <w:jc w:val="right"/>
              <w:rPr>
                <w:rFonts w:eastAsia="Times New Roman"/>
                <w:sz w:val="20"/>
                <w:szCs w:val="20"/>
              </w:rPr>
            </w:pPr>
            <w:r>
              <w:rPr>
                <w:rFonts w:eastAsia="Times New Roman"/>
                <w:sz w:val="20"/>
                <w:szCs w:val="20"/>
              </w:rPr>
              <w:t>419,581</w:t>
            </w:r>
          </w:p>
        </w:tc>
        <w:tc>
          <w:tcPr>
            <w:tcW w:w="50" w:type="pct"/>
            <w:shd w:val="clear" w:color="auto" w:fill="FFFFFF"/>
            <w:vAlign w:val="bottom"/>
            <w:hideMark/>
          </w:tcPr>
          <w:p w14:paraId="6D80FDB1" w14:textId="77777777" w:rsidR="00000000" w:rsidRDefault="00322B34">
            <w:pPr>
              <w:rPr>
                <w:rFonts w:eastAsia="Times New Roman"/>
                <w:sz w:val="20"/>
                <w:szCs w:val="20"/>
              </w:rPr>
            </w:pPr>
            <w:r>
              <w:rPr>
                <w:rFonts w:eastAsia="Times New Roman"/>
                <w:sz w:val="20"/>
                <w:szCs w:val="20"/>
              </w:rPr>
              <w:t> </w:t>
            </w:r>
          </w:p>
        </w:tc>
      </w:tr>
      <w:tr w:rsidR="00000000" w14:paraId="600D3F19" w14:textId="77777777">
        <w:trPr>
          <w:tblCellSpacing w:w="0" w:type="dxa"/>
        </w:trPr>
        <w:tc>
          <w:tcPr>
            <w:tcW w:w="0" w:type="auto"/>
            <w:shd w:val="clear" w:color="auto" w:fill="CCEEFF"/>
            <w:vAlign w:val="bottom"/>
            <w:hideMark/>
          </w:tcPr>
          <w:p w14:paraId="4C75905F" w14:textId="77777777" w:rsidR="00000000" w:rsidRDefault="00322B34">
            <w:pPr>
              <w:pStyle w:val="a3"/>
              <w:spacing w:before="0" w:beforeAutospacing="0" w:after="0" w:afterAutospacing="0"/>
              <w:ind w:left="180"/>
              <w:rPr>
                <w:sz w:val="20"/>
                <w:szCs w:val="20"/>
              </w:rPr>
            </w:pPr>
            <w:r>
              <w:rPr>
                <w:sz w:val="20"/>
                <w:szCs w:val="20"/>
              </w:rPr>
              <w:t>Units</w:t>
            </w:r>
          </w:p>
        </w:tc>
        <w:tc>
          <w:tcPr>
            <w:tcW w:w="50" w:type="pct"/>
            <w:shd w:val="clear" w:color="auto" w:fill="CCEEFF"/>
            <w:vAlign w:val="bottom"/>
            <w:hideMark/>
          </w:tcPr>
          <w:p w14:paraId="5530694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437753"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0457D46" w14:textId="77777777" w:rsidR="00000000" w:rsidRDefault="00322B34">
            <w:pPr>
              <w:jc w:val="right"/>
              <w:rPr>
                <w:rFonts w:eastAsia="Times New Roman"/>
                <w:sz w:val="20"/>
                <w:szCs w:val="20"/>
              </w:rPr>
            </w:pPr>
            <w:r>
              <w:rPr>
                <w:rFonts w:eastAsia="Times New Roman"/>
                <w:sz w:val="20"/>
                <w:szCs w:val="20"/>
              </w:rPr>
              <w:t>663</w:t>
            </w:r>
          </w:p>
        </w:tc>
        <w:tc>
          <w:tcPr>
            <w:tcW w:w="50" w:type="pct"/>
            <w:shd w:val="clear" w:color="auto" w:fill="CCEEFF"/>
            <w:vAlign w:val="bottom"/>
            <w:hideMark/>
          </w:tcPr>
          <w:p w14:paraId="64E3C34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C6E39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14FFAD"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5A16D0E" w14:textId="77777777" w:rsidR="00000000" w:rsidRDefault="00322B34">
            <w:pPr>
              <w:jc w:val="right"/>
              <w:rPr>
                <w:rFonts w:eastAsia="Times New Roman"/>
                <w:sz w:val="20"/>
                <w:szCs w:val="20"/>
              </w:rPr>
            </w:pPr>
            <w:r>
              <w:rPr>
                <w:rFonts w:eastAsia="Times New Roman"/>
                <w:sz w:val="20"/>
                <w:szCs w:val="20"/>
              </w:rPr>
              <w:t>835</w:t>
            </w:r>
          </w:p>
        </w:tc>
        <w:tc>
          <w:tcPr>
            <w:tcW w:w="50" w:type="pct"/>
            <w:shd w:val="clear" w:color="auto" w:fill="CCEEFF"/>
            <w:vAlign w:val="bottom"/>
            <w:hideMark/>
          </w:tcPr>
          <w:p w14:paraId="4CE1B0C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48153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62C50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12DACE2" w14:textId="77777777" w:rsidR="00000000" w:rsidRDefault="00322B34">
            <w:pPr>
              <w:jc w:val="right"/>
              <w:rPr>
                <w:rFonts w:eastAsia="Times New Roman"/>
                <w:sz w:val="20"/>
                <w:szCs w:val="20"/>
              </w:rPr>
            </w:pPr>
            <w:r>
              <w:rPr>
                <w:rFonts w:eastAsia="Times New Roman"/>
                <w:sz w:val="20"/>
                <w:szCs w:val="20"/>
              </w:rPr>
              <w:t>638</w:t>
            </w:r>
          </w:p>
        </w:tc>
        <w:tc>
          <w:tcPr>
            <w:tcW w:w="50" w:type="pct"/>
            <w:shd w:val="clear" w:color="auto" w:fill="CCEEFF"/>
            <w:vAlign w:val="bottom"/>
            <w:hideMark/>
          </w:tcPr>
          <w:p w14:paraId="104E1FF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2BF8C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F2D14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B53E12B" w14:textId="77777777" w:rsidR="00000000" w:rsidRDefault="00322B34">
            <w:pPr>
              <w:jc w:val="right"/>
              <w:rPr>
                <w:rFonts w:eastAsia="Times New Roman"/>
                <w:sz w:val="20"/>
                <w:szCs w:val="20"/>
              </w:rPr>
            </w:pPr>
            <w:r>
              <w:rPr>
                <w:rFonts w:eastAsia="Times New Roman"/>
                <w:sz w:val="20"/>
                <w:szCs w:val="20"/>
              </w:rPr>
              <w:t>825</w:t>
            </w:r>
          </w:p>
        </w:tc>
        <w:tc>
          <w:tcPr>
            <w:tcW w:w="50" w:type="pct"/>
            <w:shd w:val="clear" w:color="auto" w:fill="CCEEFF"/>
            <w:vAlign w:val="bottom"/>
            <w:hideMark/>
          </w:tcPr>
          <w:p w14:paraId="0BF20DEF" w14:textId="77777777" w:rsidR="00000000" w:rsidRDefault="00322B34">
            <w:pPr>
              <w:rPr>
                <w:rFonts w:eastAsia="Times New Roman"/>
                <w:sz w:val="20"/>
                <w:szCs w:val="20"/>
              </w:rPr>
            </w:pPr>
            <w:r>
              <w:rPr>
                <w:rFonts w:eastAsia="Times New Roman"/>
                <w:sz w:val="20"/>
                <w:szCs w:val="20"/>
              </w:rPr>
              <w:t> </w:t>
            </w:r>
          </w:p>
        </w:tc>
      </w:tr>
      <w:tr w:rsidR="00000000" w14:paraId="58A89F72" w14:textId="77777777">
        <w:trPr>
          <w:tblCellSpacing w:w="0" w:type="dxa"/>
        </w:trPr>
        <w:tc>
          <w:tcPr>
            <w:tcW w:w="0" w:type="auto"/>
            <w:shd w:val="clear" w:color="auto" w:fill="FFFFFF"/>
            <w:vAlign w:val="bottom"/>
            <w:hideMark/>
          </w:tcPr>
          <w:p w14:paraId="773A818A" w14:textId="77777777" w:rsidR="00000000" w:rsidRDefault="00322B34">
            <w:pPr>
              <w:pStyle w:val="a3"/>
              <w:spacing w:before="0" w:beforeAutospacing="0" w:after="0" w:afterAutospacing="0"/>
              <w:ind w:left="180"/>
              <w:rPr>
                <w:sz w:val="20"/>
                <w:szCs w:val="20"/>
              </w:rPr>
            </w:pPr>
            <w:r>
              <w:rPr>
                <w:sz w:val="20"/>
                <w:szCs w:val="20"/>
              </w:rPr>
              <w:t>Dilutive effect of equity awards</w:t>
            </w:r>
          </w:p>
        </w:tc>
        <w:tc>
          <w:tcPr>
            <w:tcW w:w="50" w:type="pct"/>
            <w:shd w:val="clear" w:color="auto" w:fill="FFFFFF"/>
            <w:vAlign w:val="bottom"/>
            <w:hideMark/>
          </w:tcPr>
          <w:p w14:paraId="1A8874B6"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FF21B0B"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604664B" w14:textId="77777777" w:rsidR="00000000" w:rsidRDefault="00322B34">
            <w:pPr>
              <w:jc w:val="right"/>
              <w:rPr>
                <w:rFonts w:eastAsia="Times New Roman"/>
                <w:sz w:val="20"/>
                <w:szCs w:val="20"/>
              </w:rPr>
            </w:pPr>
            <w:r>
              <w:rPr>
                <w:rFonts w:eastAsia="Times New Roman"/>
                <w:sz w:val="20"/>
                <w:szCs w:val="20"/>
              </w:rPr>
              <w:t>970</w:t>
            </w:r>
          </w:p>
        </w:tc>
        <w:tc>
          <w:tcPr>
            <w:tcW w:w="50" w:type="pct"/>
            <w:shd w:val="clear" w:color="auto" w:fill="FFFFFF"/>
            <w:tcMar>
              <w:top w:w="0" w:type="dxa"/>
              <w:left w:w="0" w:type="dxa"/>
              <w:bottom w:w="15" w:type="dxa"/>
              <w:right w:w="0" w:type="dxa"/>
            </w:tcMar>
            <w:vAlign w:val="bottom"/>
            <w:hideMark/>
          </w:tcPr>
          <w:p w14:paraId="71D4F0E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2BE8AE"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C8A0565"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5FDD7A6" w14:textId="77777777" w:rsidR="00000000" w:rsidRDefault="00322B34">
            <w:pPr>
              <w:jc w:val="right"/>
              <w:rPr>
                <w:rFonts w:eastAsia="Times New Roman"/>
                <w:sz w:val="20"/>
                <w:szCs w:val="20"/>
              </w:rPr>
            </w:pPr>
            <w:r>
              <w:rPr>
                <w:rFonts w:eastAsia="Times New Roman"/>
                <w:sz w:val="20"/>
                <w:szCs w:val="20"/>
              </w:rPr>
              <w:t>949</w:t>
            </w:r>
          </w:p>
        </w:tc>
        <w:tc>
          <w:tcPr>
            <w:tcW w:w="50" w:type="pct"/>
            <w:shd w:val="clear" w:color="auto" w:fill="FFFFFF"/>
            <w:tcMar>
              <w:top w:w="0" w:type="dxa"/>
              <w:left w:w="0" w:type="dxa"/>
              <w:bottom w:w="15" w:type="dxa"/>
              <w:right w:w="0" w:type="dxa"/>
            </w:tcMar>
            <w:vAlign w:val="bottom"/>
            <w:hideMark/>
          </w:tcPr>
          <w:p w14:paraId="6646BA9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722BE5"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10ACAA2"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60C658C" w14:textId="77777777" w:rsidR="00000000" w:rsidRDefault="00322B34">
            <w:pPr>
              <w:jc w:val="right"/>
              <w:rPr>
                <w:rFonts w:eastAsia="Times New Roman"/>
                <w:sz w:val="20"/>
                <w:szCs w:val="20"/>
              </w:rPr>
            </w:pPr>
            <w:r>
              <w:rPr>
                <w:rFonts w:eastAsia="Times New Roman"/>
                <w:sz w:val="20"/>
                <w:szCs w:val="20"/>
              </w:rPr>
              <w:t>1,469</w:t>
            </w:r>
          </w:p>
        </w:tc>
        <w:tc>
          <w:tcPr>
            <w:tcW w:w="50" w:type="pct"/>
            <w:shd w:val="clear" w:color="auto" w:fill="FFFFFF"/>
            <w:tcMar>
              <w:top w:w="0" w:type="dxa"/>
              <w:left w:w="0" w:type="dxa"/>
              <w:bottom w:w="15" w:type="dxa"/>
              <w:right w:w="0" w:type="dxa"/>
            </w:tcMar>
            <w:vAlign w:val="bottom"/>
            <w:hideMark/>
          </w:tcPr>
          <w:p w14:paraId="24A0644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33EF61"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B73322E"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D58F5A9" w14:textId="77777777" w:rsidR="00000000" w:rsidRDefault="00322B34">
            <w:pPr>
              <w:jc w:val="right"/>
              <w:rPr>
                <w:rFonts w:eastAsia="Times New Roman"/>
                <w:sz w:val="20"/>
                <w:szCs w:val="20"/>
              </w:rPr>
            </w:pPr>
            <w:r>
              <w:rPr>
                <w:rFonts w:eastAsia="Times New Roman"/>
                <w:sz w:val="20"/>
                <w:szCs w:val="20"/>
              </w:rPr>
              <w:t>1,166</w:t>
            </w:r>
          </w:p>
        </w:tc>
        <w:tc>
          <w:tcPr>
            <w:tcW w:w="50" w:type="pct"/>
            <w:shd w:val="clear" w:color="auto" w:fill="FFFFFF"/>
            <w:tcMar>
              <w:top w:w="0" w:type="dxa"/>
              <w:left w:w="0" w:type="dxa"/>
              <w:bottom w:w="15" w:type="dxa"/>
              <w:right w:w="0" w:type="dxa"/>
            </w:tcMar>
            <w:vAlign w:val="bottom"/>
            <w:hideMark/>
          </w:tcPr>
          <w:p w14:paraId="68D54443" w14:textId="77777777" w:rsidR="00000000" w:rsidRDefault="00322B34">
            <w:pPr>
              <w:rPr>
                <w:rFonts w:eastAsia="Times New Roman"/>
                <w:sz w:val="20"/>
                <w:szCs w:val="20"/>
              </w:rPr>
            </w:pPr>
            <w:r>
              <w:rPr>
                <w:rFonts w:eastAsia="Times New Roman"/>
                <w:sz w:val="20"/>
                <w:szCs w:val="20"/>
              </w:rPr>
              <w:t> </w:t>
            </w:r>
          </w:p>
        </w:tc>
      </w:tr>
      <w:tr w:rsidR="00000000" w14:paraId="65209537" w14:textId="77777777">
        <w:trPr>
          <w:tblCellSpacing w:w="0" w:type="dxa"/>
        </w:trPr>
        <w:tc>
          <w:tcPr>
            <w:tcW w:w="0" w:type="auto"/>
            <w:shd w:val="clear" w:color="auto" w:fill="CCEEFF"/>
            <w:vAlign w:val="bottom"/>
            <w:hideMark/>
          </w:tcPr>
          <w:p w14:paraId="57F9C1D6" w14:textId="77777777" w:rsidR="00000000" w:rsidRDefault="00322B34">
            <w:pPr>
              <w:pStyle w:val="a3"/>
              <w:spacing w:before="0" w:beforeAutospacing="0" w:after="0" w:afterAutospacing="0"/>
              <w:rPr>
                <w:sz w:val="20"/>
                <w:szCs w:val="20"/>
              </w:rPr>
            </w:pPr>
            <w:r>
              <w:rPr>
                <w:sz w:val="20"/>
                <w:szCs w:val="20"/>
              </w:rPr>
              <w:t>Diluted (2)</w:t>
            </w:r>
          </w:p>
        </w:tc>
        <w:tc>
          <w:tcPr>
            <w:tcW w:w="50" w:type="pct"/>
            <w:shd w:val="clear" w:color="auto" w:fill="CCEEFF"/>
            <w:vAlign w:val="bottom"/>
            <w:hideMark/>
          </w:tcPr>
          <w:p w14:paraId="238E1E63"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E30882B" w14:textId="77777777" w:rsidR="00000000" w:rsidRDefault="00322B3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46E4A90C" w14:textId="77777777" w:rsidR="00000000" w:rsidRDefault="00322B34">
            <w:pPr>
              <w:jc w:val="right"/>
              <w:rPr>
                <w:rFonts w:eastAsia="Times New Roman"/>
                <w:sz w:val="20"/>
                <w:szCs w:val="20"/>
              </w:rPr>
            </w:pPr>
            <w:r>
              <w:rPr>
                <w:rFonts w:eastAsia="Times New Roman"/>
                <w:sz w:val="20"/>
                <w:szCs w:val="20"/>
              </w:rPr>
              <w:t>431,599</w:t>
            </w:r>
          </w:p>
        </w:tc>
        <w:tc>
          <w:tcPr>
            <w:tcW w:w="50" w:type="pct"/>
            <w:shd w:val="clear" w:color="auto" w:fill="CCEEFF"/>
            <w:tcMar>
              <w:top w:w="0" w:type="dxa"/>
              <w:left w:w="0" w:type="dxa"/>
              <w:bottom w:w="45" w:type="dxa"/>
              <w:right w:w="0" w:type="dxa"/>
            </w:tcMar>
            <w:vAlign w:val="bottom"/>
            <w:hideMark/>
          </w:tcPr>
          <w:p w14:paraId="4D35F98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B213B9"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CAB60B9" w14:textId="77777777" w:rsidR="00000000" w:rsidRDefault="00322B3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25AA5BBF" w14:textId="77777777" w:rsidR="00000000" w:rsidRDefault="00322B34">
            <w:pPr>
              <w:jc w:val="right"/>
              <w:rPr>
                <w:rFonts w:eastAsia="Times New Roman"/>
                <w:sz w:val="20"/>
                <w:szCs w:val="20"/>
              </w:rPr>
            </w:pPr>
            <w:r>
              <w:rPr>
                <w:rFonts w:eastAsia="Times New Roman"/>
                <w:sz w:val="20"/>
                <w:szCs w:val="20"/>
              </w:rPr>
              <w:t>421,481</w:t>
            </w:r>
          </w:p>
        </w:tc>
        <w:tc>
          <w:tcPr>
            <w:tcW w:w="50" w:type="pct"/>
            <w:shd w:val="clear" w:color="auto" w:fill="CCEEFF"/>
            <w:tcMar>
              <w:top w:w="0" w:type="dxa"/>
              <w:left w:w="0" w:type="dxa"/>
              <w:bottom w:w="45" w:type="dxa"/>
              <w:right w:w="0" w:type="dxa"/>
            </w:tcMar>
            <w:vAlign w:val="bottom"/>
            <w:hideMark/>
          </w:tcPr>
          <w:p w14:paraId="138E6D4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02194C"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D916BC7" w14:textId="77777777" w:rsidR="00000000" w:rsidRDefault="00322B3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6EE06BBC" w14:textId="77777777" w:rsidR="00000000" w:rsidRDefault="00322B34">
            <w:pPr>
              <w:jc w:val="right"/>
              <w:rPr>
                <w:rFonts w:eastAsia="Times New Roman"/>
                <w:sz w:val="20"/>
                <w:szCs w:val="20"/>
              </w:rPr>
            </w:pPr>
            <w:r>
              <w:rPr>
                <w:rFonts w:eastAsia="Times New Roman"/>
                <w:sz w:val="20"/>
                <w:szCs w:val="20"/>
              </w:rPr>
              <w:t>431,959</w:t>
            </w:r>
          </w:p>
        </w:tc>
        <w:tc>
          <w:tcPr>
            <w:tcW w:w="50" w:type="pct"/>
            <w:shd w:val="clear" w:color="auto" w:fill="CCEEFF"/>
            <w:tcMar>
              <w:top w:w="0" w:type="dxa"/>
              <w:left w:w="0" w:type="dxa"/>
              <w:bottom w:w="45" w:type="dxa"/>
              <w:right w:w="0" w:type="dxa"/>
            </w:tcMar>
            <w:vAlign w:val="bottom"/>
            <w:hideMark/>
          </w:tcPr>
          <w:p w14:paraId="3291FF3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F89475"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C641E2D" w14:textId="77777777" w:rsidR="00000000" w:rsidRDefault="00322B34">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37E67DBD" w14:textId="77777777" w:rsidR="00000000" w:rsidRDefault="00322B34">
            <w:pPr>
              <w:jc w:val="right"/>
              <w:rPr>
                <w:rFonts w:eastAsia="Times New Roman"/>
                <w:sz w:val="20"/>
                <w:szCs w:val="20"/>
              </w:rPr>
            </w:pPr>
            <w:r>
              <w:rPr>
                <w:rFonts w:eastAsia="Times New Roman"/>
                <w:sz w:val="20"/>
                <w:szCs w:val="20"/>
              </w:rPr>
              <w:t>421,572</w:t>
            </w:r>
          </w:p>
        </w:tc>
        <w:tc>
          <w:tcPr>
            <w:tcW w:w="50" w:type="pct"/>
            <w:shd w:val="clear" w:color="auto" w:fill="CCEEFF"/>
            <w:tcMar>
              <w:top w:w="0" w:type="dxa"/>
              <w:left w:w="0" w:type="dxa"/>
              <w:bottom w:w="45" w:type="dxa"/>
              <w:right w:w="0" w:type="dxa"/>
            </w:tcMar>
            <w:vAlign w:val="bottom"/>
            <w:hideMark/>
          </w:tcPr>
          <w:p w14:paraId="207289E3" w14:textId="77777777" w:rsidR="00000000" w:rsidRDefault="00322B34">
            <w:pPr>
              <w:rPr>
                <w:rFonts w:eastAsia="Times New Roman"/>
                <w:sz w:val="20"/>
                <w:szCs w:val="20"/>
              </w:rPr>
            </w:pPr>
            <w:r>
              <w:rPr>
                <w:rFonts w:eastAsia="Times New Roman"/>
                <w:sz w:val="20"/>
                <w:szCs w:val="20"/>
              </w:rPr>
              <w:t> </w:t>
            </w:r>
          </w:p>
        </w:tc>
      </w:tr>
      <w:tr w:rsidR="00000000" w14:paraId="192206EB" w14:textId="77777777">
        <w:trPr>
          <w:tblCellSpacing w:w="0" w:type="dxa"/>
        </w:trPr>
        <w:tc>
          <w:tcPr>
            <w:tcW w:w="0" w:type="auto"/>
            <w:shd w:val="clear" w:color="auto" w:fill="FFFFFF"/>
            <w:vAlign w:val="bottom"/>
            <w:hideMark/>
          </w:tcPr>
          <w:p w14:paraId="2E09515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8197A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4760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4FDA0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6B49C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FB3DD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7FA74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40867C"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74386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A3F2A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A1A00D"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85FE53"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7A635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41A20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F19A7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BFC2B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9DA724" w14:textId="77777777" w:rsidR="00000000" w:rsidRDefault="00322B34">
            <w:pPr>
              <w:rPr>
                <w:rFonts w:eastAsia="Times New Roman"/>
                <w:sz w:val="20"/>
                <w:szCs w:val="20"/>
              </w:rPr>
            </w:pPr>
            <w:r>
              <w:rPr>
                <w:rFonts w:eastAsia="Times New Roman"/>
                <w:sz w:val="20"/>
                <w:szCs w:val="20"/>
              </w:rPr>
              <w:t> </w:t>
            </w:r>
          </w:p>
        </w:tc>
      </w:tr>
      <w:tr w:rsidR="00000000" w14:paraId="709B10DA" w14:textId="77777777">
        <w:trPr>
          <w:tblCellSpacing w:w="0" w:type="dxa"/>
        </w:trPr>
        <w:tc>
          <w:tcPr>
            <w:tcW w:w="0" w:type="auto"/>
            <w:shd w:val="clear" w:color="auto" w:fill="CCEEFF"/>
            <w:vAlign w:val="bottom"/>
            <w:hideMark/>
          </w:tcPr>
          <w:p w14:paraId="49701C25" w14:textId="77777777" w:rsidR="00000000" w:rsidRDefault="00322B34">
            <w:pPr>
              <w:pStyle w:val="a3"/>
              <w:spacing w:before="0" w:beforeAutospacing="0" w:after="0" w:afterAutospacing="0"/>
              <w:rPr>
                <w:sz w:val="20"/>
                <w:szCs w:val="20"/>
              </w:rPr>
            </w:pPr>
            <w:r>
              <w:rPr>
                <w:b/>
                <w:bCs/>
                <w:sz w:val="20"/>
                <w:szCs w:val="20"/>
              </w:rPr>
              <w:t>FFO per common share – basic</w:t>
            </w:r>
          </w:p>
        </w:tc>
        <w:tc>
          <w:tcPr>
            <w:tcW w:w="50" w:type="pct"/>
            <w:shd w:val="clear" w:color="auto" w:fill="CCEEFF"/>
            <w:vAlign w:val="bottom"/>
            <w:hideMark/>
          </w:tcPr>
          <w:p w14:paraId="6CF488D0"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C317770"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10C008D7" w14:textId="77777777" w:rsidR="00000000" w:rsidRDefault="00322B34">
            <w:pPr>
              <w:jc w:val="right"/>
              <w:rPr>
                <w:rFonts w:eastAsia="Times New Roman"/>
                <w:sz w:val="20"/>
                <w:szCs w:val="20"/>
              </w:rPr>
            </w:pPr>
            <w:r>
              <w:rPr>
                <w:rFonts w:eastAsia="Times New Roman"/>
                <w:sz w:val="20"/>
                <w:szCs w:val="20"/>
              </w:rPr>
              <w:t>0.24</w:t>
            </w:r>
          </w:p>
        </w:tc>
        <w:tc>
          <w:tcPr>
            <w:tcW w:w="50" w:type="pct"/>
            <w:shd w:val="clear" w:color="auto" w:fill="CCEEFF"/>
            <w:tcMar>
              <w:top w:w="0" w:type="dxa"/>
              <w:left w:w="0" w:type="dxa"/>
              <w:bottom w:w="45" w:type="dxa"/>
              <w:right w:w="0" w:type="dxa"/>
            </w:tcMar>
            <w:vAlign w:val="bottom"/>
            <w:hideMark/>
          </w:tcPr>
          <w:p w14:paraId="321FCB0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BD1B8C"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9D68653"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15EC0E66" w14:textId="77777777" w:rsidR="00000000" w:rsidRDefault="00322B34">
            <w:pPr>
              <w:jc w:val="right"/>
              <w:rPr>
                <w:rFonts w:eastAsia="Times New Roman"/>
                <w:sz w:val="20"/>
                <w:szCs w:val="20"/>
              </w:rPr>
            </w:pPr>
            <w:r>
              <w:rPr>
                <w:rFonts w:eastAsia="Times New Roman"/>
                <w:sz w:val="20"/>
                <w:szCs w:val="20"/>
              </w:rPr>
              <w:t>0.36</w:t>
            </w:r>
          </w:p>
        </w:tc>
        <w:tc>
          <w:tcPr>
            <w:tcW w:w="50" w:type="pct"/>
            <w:shd w:val="clear" w:color="auto" w:fill="CCEEFF"/>
            <w:tcMar>
              <w:top w:w="0" w:type="dxa"/>
              <w:left w:w="0" w:type="dxa"/>
              <w:bottom w:w="45" w:type="dxa"/>
              <w:right w:w="0" w:type="dxa"/>
            </w:tcMar>
            <w:vAlign w:val="bottom"/>
            <w:hideMark/>
          </w:tcPr>
          <w:p w14:paraId="1BF1164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F0769E"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6033030"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035C8266" w14:textId="77777777" w:rsidR="00000000" w:rsidRDefault="00322B34">
            <w:pPr>
              <w:jc w:val="right"/>
              <w:rPr>
                <w:rFonts w:eastAsia="Times New Roman"/>
                <w:sz w:val="20"/>
                <w:szCs w:val="20"/>
              </w:rPr>
            </w:pPr>
            <w:r>
              <w:rPr>
                <w:rFonts w:eastAsia="Times New Roman"/>
                <w:sz w:val="20"/>
                <w:szCs w:val="20"/>
              </w:rPr>
              <w:t>0.61</w:t>
            </w:r>
          </w:p>
        </w:tc>
        <w:tc>
          <w:tcPr>
            <w:tcW w:w="50" w:type="pct"/>
            <w:shd w:val="clear" w:color="auto" w:fill="CCEEFF"/>
            <w:tcMar>
              <w:top w:w="0" w:type="dxa"/>
              <w:left w:w="0" w:type="dxa"/>
              <w:bottom w:w="45" w:type="dxa"/>
              <w:right w:w="0" w:type="dxa"/>
            </w:tcMar>
            <w:vAlign w:val="bottom"/>
            <w:hideMark/>
          </w:tcPr>
          <w:p w14:paraId="0F03382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8F0E3D"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021DF40"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3E7E70B8" w14:textId="77777777" w:rsidR="00000000" w:rsidRDefault="00322B34">
            <w:pPr>
              <w:jc w:val="right"/>
              <w:rPr>
                <w:rFonts w:eastAsia="Times New Roman"/>
                <w:sz w:val="20"/>
                <w:szCs w:val="20"/>
              </w:rPr>
            </w:pPr>
            <w:r>
              <w:rPr>
                <w:rFonts w:eastAsia="Times New Roman"/>
                <w:sz w:val="20"/>
                <w:szCs w:val="20"/>
              </w:rPr>
              <w:t>0.74</w:t>
            </w:r>
          </w:p>
        </w:tc>
        <w:tc>
          <w:tcPr>
            <w:tcW w:w="50" w:type="pct"/>
            <w:shd w:val="clear" w:color="auto" w:fill="CCEEFF"/>
            <w:tcMar>
              <w:top w:w="0" w:type="dxa"/>
              <w:left w:w="0" w:type="dxa"/>
              <w:bottom w:w="45" w:type="dxa"/>
              <w:right w:w="0" w:type="dxa"/>
            </w:tcMar>
            <w:vAlign w:val="bottom"/>
            <w:hideMark/>
          </w:tcPr>
          <w:p w14:paraId="13B70DDA" w14:textId="77777777" w:rsidR="00000000" w:rsidRDefault="00322B34">
            <w:pPr>
              <w:rPr>
                <w:rFonts w:eastAsia="Times New Roman"/>
                <w:sz w:val="20"/>
                <w:szCs w:val="20"/>
              </w:rPr>
            </w:pPr>
            <w:r>
              <w:rPr>
                <w:rFonts w:eastAsia="Times New Roman"/>
                <w:sz w:val="20"/>
                <w:szCs w:val="20"/>
              </w:rPr>
              <w:t> </w:t>
            </w:r>
          </w:p>
        </w:tc>
      </w:tr>
      <w:tr w:rsidR="00000000" w14:paraId="7C5F864B" w14:textId="77777777">
        <w:trPr>
          <w:tblCellSpacing w:w="0" w:type="dxa"/>
        </w:trPr>
        <w:tc>
          <w:tcPr>
            <w:tcW w:w="0" w:type="auto"/>
            <w:shd w:val="clear" w:color="auto" w:fill="FFFFFF"/>
            <w:vAlign w:val="bottom"/>
            <w:hideMark/>
          </w:tcPr>
          <w:p w14:paraId="07E25EEE" w14:textId="77777777" w:rsidR="00000000" w:rsidRDefault="00322B34">
            <w:pPr>
              <w:pStyle w:val="a3"/>
              <w:spacing w:before="0" w:beforeAutospacing="0" w:after="0" w:afterAutospacing="0"/>
              <w:rPr>
                <w:sz w:val="20"/>
                <w:szCs w:val="20"/>
              </w:rPr>
            </w:pPr>
            <w:r>
              <w:rPr>
                <w:b/>
                <w:bCs/>
                <w:sz w:val="20"/>
                <w:szCs w:val="20"/>
              </w:rPr>
              <w:t>FFO per common share – diluted</w:t>
            </w:r>
            <w:r>
              <w:rPr>
                <w:sz w:val="20"/>
                <w:szCs w:val="20"/>
              </w:rPr>
              <w:t xml:space="preserve"> (2)</w:t>
            </w:r>
          </w:p>
        </w:tc>
        <w:tc>
          <w:tcPr>
            <w:tcW w:w="50" w:type="pct"/>
            <w:shd w:val="clear" w:color="auto" w:fill="FFFFFF"/>
            <w:vAlign w:val="bottom"/>
            <w:hideMark/>
          </w:tcPr>
          <w:p w14:paraId="12607AF3"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A596F62"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7412B16E" w14:textId="77777777" w:rsidR="00000000" w:rsidRDefault="00322B34">
            <w:pPr>
              <w:jc w:val="right"/>
              <w:rPr>
                <w:rFonts w:eastAsia="Times New Roman"/>
                <w:sz w:val="20"/>
                <w:szCs w:val="20"/>
              </w:rPr>
            </w:pPr>
            <w:r>
              <w:rPr>
                <w:rFonts w:eastAsia="Times New Roman"/>
                <w:sz w:val="20"/>
                <w:szCs w:val="20"/>
              </w:rPr>
              <w:t>0.24</w:t>
            </w:r>
          </w:p>
        </w:tc>
        <w:tc>
          <w:tcPr>
            <w:tcW w:w="50" w:type="pct"/>
            <w:shd w:val="clear" w:color="auto" w:fill="FFFFFF"/>
            <w:tcMar>
              <w:top w:w="0" w:type="dxa"/>
              <w:left w:w="0" w:type="dxa"/>
              <w:bottom w:w="45" w:type="dxa"/>
              <w:right w:w="0" w:type="dxa"/>
            </w:tcMar>
            <w:vAlign w:val="bottom"/>
            <w:hideMark/>
          </w:tcPr>
          <w:p w14:paraId="0C2DB6F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D0A15B"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ECAFD6B"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7C68D825" w14:textId="77777777" w:rsidR="00000000" w:rsidRDefault="00322B34">
            <w:pPr>
              <w:jc w:val="right"/>
              <w:rPr>
                <w:rFonts w:eastAsia="Times New Roman"/>
                <w:sz w:val="20"/>
                <w:szCs w:val="20"/>
              </w:rPr>
            </w:pPr>
            <w:r>
              <w:rPr>
                <w:rFonts w:eastAsia="Times New Roman"/>
                <w:sz w:val="20"/>
                <w:szCs w:val="20"/>
              </w:rPr>
              <w:t>0.36</w:t>
            </w:r>
          </w:p>
        </w:tc>
        <w:tc>
          <w:tcPr>
            <w:tcW w:w="50" w:type="pct"/>
            <w:shd w:val="clear" w:color="auto" w:fill="FFFFFF"/>
            <w:tcMar>
              <w:top w:w="0" w:type="dxa"/>
              <w:left w:w="0" w:type="dxa"/>
              <w:bottom w:w="45" w:type="dxa"/>
              <w:right w:w="0" w:type="dxa"/>
            </w:tcMar>
            <w:vAlign w:val="bottom"/>
            <w:hideMark/>
          </w:tcPr>
          <w:p w14:paraId="5D39016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F76691"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426B194"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7B7739A1" w14:textId="77777777" w:rsidR="00000000" w:rsidRDefault="00322B34">
            <w:pPr>
              <w:jc w:val="right"/>
              <w:rPr>
                <w:rFonts w:eastAsia="Times New Roman"/>
                <w:sz w:val="20"/>
                <w:szCs w:val="20"/>
              </w:rPr>
            </w:pPr>
            <w:r>
              <w:rPr>
                <w:rFonts w:eastAsia="Times New Roman"/>
                <w:sz w:val="20"/>
                <w:szCs w:val="20"/>
              </w:rPr>
              <w:t>0.61</w:t>
            </w:r>
          </w:p>
        </w:tc>
        <w:tc>
          <w:tcPr>
            <w:tcW w:w="50" w:type="pct"/>
            <w:shd w:val="clear" w:color="auto" w:fill="FFFFFF"/>
            <w:tcMar>
              <w:top w:w="0" w:type="dxa"/>
              <w:left w:w="0" w:type="dxa"/>
              <w:bottom w:w="45" w:type="dxa"/>
              <w:right w:w="0" w:type="dxa"/>
            </w:tcMar>
            <w:vAlign w:val="bottom"/>
            <w:hideMark/>
          </w:tcPr>
          <w:p w14:paraId="27EABE8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9C8115"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610F15F" w14:textId="77777777" w:rsidR="00000000" w:rsidRDefault="00322B34">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6308B555" w14:textId="77777777" w:rsidR="00000000" w:rsidRDefault="00322B34">
            <w:pPr>
              <w:jc w:val="right"/>
              <w:rPr>
                <w:rFonts w:eastAsia="Times New Roman"/>
                <w:sz w:val="20"/>
                <w:szCs w:val="20"/>
              </w:rPr>
            </w:pPr>
            <w:r>
              <w:rPr>
                <w:rFonts w:eastAsia="Times New Roman"/>
                <w:sz w:val="20"/>
                <w:szCs w:val="20"/>
              </w:rPr>
              <w:t>0.74</w:t>
            </w:r>
          </w:p>
        </w:tc>
        <w:tc>
          <w:tcPr>
            <w:tcW w:w="50" w:type="pct"/>
            <w:shd w:val="clear" w:color="auto" w:fill="FFFFFF"/>
            <w:tcMar>
              <w:top w:w="0" w:type="dxa"/>
              <w:left w:w="0" w:type="dxa"/>
              <w:bottom w:w="45" w:type="dxa"/>
              <w:right w:w="0" w:type="dxa"/>
            </w:tcMar>
            <w:vAlign w:val="bottom"/>
            <w:hideMark/>
          </w:tcPr>
          <w:p w14:paraId="60216654" w14:textId="77777777" w:rsidR="00000000" w:rsidRDefault="00322B34">
            <w:pPr>
              <w:rPr>
                <w:rFonts w:eastAsia="Times New Roman"/>
                <w:sz w:val="20"/>
                <w:szCs w:val="20"/>
              </w:rPr>
            </w:pPr>
            <w:r>
              <w:rPr>
                <w:rFonts w:eastAsia="Times New Roman"/>
                <w:sz w:val="20"/>
                <w:szCs w:val="20"/>
              </w:rPr>
              <w:t> </w:t>
            </w:r>
          </w:p>
        </w:tc>
      </w:tr>
    </w:tbl>
    <w:p w14:paraId="77AFED05" w14:textId="77777777" w:rsidR="00000000" w:rsidRDefault="00322B34">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806E13A" w14:textId="77777777">
        <w:trPr>
          <w:tblCellSpacing w:w="0" w:type="dxa"/>
        </w:trPr>
        <w:tc>
          <w:tcPr>
            <w:tcW w:w="360" w:type="dxa"/>
            <w:vAlign w:val="center"/>
            <w:hideMark/>
          </w:tcPr>
          <w:p w14:paraId="3324C9BC" w14:textId="77777777" w:rsidR="00000000" w:rsidRDefault="00322B34">
            <w:pPr>
              <w:rPr>
                <w:rFonts w:eastAsia="Times New Roman"/>
                <w:sz w:val="20"/>
                <w:szCs w:val="20"/>
              </w:rPr>
            </w:pPr>
            <w:r>
              <w:rPr>
                <w:rFonts w:eastAsia="Times New Roman"/>
                <w:sz w:val="20"/>
                <w:szCs w:val="20"/>
              </w:rPr>
              <w:t> </w:t>
            </w:r>
          </w:p>
        </w:tc>
        <w:tc>
          <w:tcPr>
            <w:tcW w:w="360" w:type="dxa"/>
            <w:hideMark/>
          </w:tcPr>
          <w:p w14:paraId="255C00F3" w14:textId="77777777" w:rsidR="00000000" w:rsidRDefault="00322B34">
            <w:pPr>
              <w:pStyle w:val="a3"/>
              <w:spacing w:before="0" w:beforeAutospacing="0" w:after="0" w:afterAutospacing="0"/>
              <w:jc w:val="both"/>
              <w:rPr>
                <w:sz w:val="20"/>
                <w:szCs w:val="20"/>
              </w:rPr>
            </w:pPr>
            <w:r>
              <w:rPr>
                <w:sz w:val="20"/>
                <w:szCs w:val="20"/>
              </w:rPr>
              <w:t>(1)</w:t>
            </w:r>
          </w:p>
        </w:tc>
        <w:tc>
          <w:tcPr>
            <w:tcW w:w="0" w:type="auto"/>
            <w:hideMark/>
          </w:tcPr>
          <w:p w14:paraId="559D20F9" w14:textId="77777777" w:rsidR="00000000" w:rsidRDefault="00322B34">
            <w:pPr>
              <w:pStyle w:val="a3"/>
              <w:spacing w:before="0" w:beforeAutospacing="0" w:after="0" w:afterAutospacing="0"/>
              <w:jc w:val="both"/>
              <w:rPr>
                <w:sz w:val="20"/>
                <w:szCs w:val="20"/>
              </w:rPr>
            </w:pPr>
            <w:r>
              <w:rPr>
                <w:sz w:val="20"/>
                <w:szCs w:val="20"/>
              </w:rPr>
              <w:t>Related to gains, impairments, and depreciation on properties, where applicable.</w:t>
            </w:r>
          </w:p>
        </w:tc>
      </w:tr>
    </w:tbl>
    <w:p w14:paraId="0AFB2FB6"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E1906BD" w14:textId="77777777">
        <w:trPr>
          <w:tblCellSpacing w:w="0" w:type="dxa"/>
        </w:trPr>
        <w:tc>
          <w:tcPr>
            <w:tcW w:w="360" w:type="dxa"/>
            <w:vAlign w:val="center"/>
            <w:hideMark/>
          </w:tcPr>
          <w:p w14:paraId="61621116" w14:textId="77777777" w:rsidR="00000000" w:rsidRDefault="00322B34">
            <w:pPr>
              <w:rPr>
                <w:rFonts w:eastAsia="Times New Roman"/>
                <w:sz w:val="20"/>
                <w:szCs w:val="20"/>
              </w:rPr>
            </w:pPr>
            <w:r>
              <w:rPr>
                <w:rFonts w:eastAsia="Times New Roman"/>
                <w:sz w:val="20"/>
                <w:szCs w:val="20"/>
              </w:rPr>
              <w:t> </w:t>
            </w:r>
          </w:p>
        </w:tc>
        <w:tc>
          <w:tcPr>
            <w:tcW w:w="360" w:type="dxa"/>
            <w:hideMark/>
          </w:tcPr>
          <w:p w14:paraId="0A366D22" w14:textId="77777777" w:rsidR="00000000" w:rsidRDefault="00322B34">
            <w:pPr>
              <w:pStyle w:val="a3"/>
              <w:spacing w:before="0" w:beforeAutospacing="0" w:after="0" w:afterAutospacing="0"/>
              <w:jc w:val="both"/>
              <w:rPr>
                <w:sz w:val="20"/>
                <w:szCs w:val="20"/>
              </w:rPr>
            </w:pPr>
            <w:r>
              <w:rPr>
                <w:sz w:val="20"/>
                <w:szCs w:val="20"/>
              </w:rPr>
              <w:t>(2)</w:t>
            </w:r>
          </w:p>
        </w:tc>
        <w:tc>
          <w:tcPr>
            <w:tcW w:w="0" w:type="auto"/>
            <w:hideMark/>
          </w:tcPr>
          <w:p w14:paraId="650579A8" w14:textId="77777777" w:rsidR="00000000" w:rsidRDefault="00322B34">
            <w:pPr>
              <w:pStyle w:val="a3"/>
              <w:spacing w:before="0" w:beforeAutospacing="0" w:after="0" w:afterAutospacing="0"/>
              <w:jc w:val="both"/>
              <w:rPr>
                <w:sz w:val="20"/>
                <w:szCs w:val="20"/>
              </w:rPr>
            </w:pPr>
            <w:r>
              <w:rPr>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sz w:val="20"/>
                <w:szCs w:val="20"/>
              </w:rPr>
              <w:t xml:space="preserve"> be increased by $0 and $228 for the three months ended June 30, 2020 and 2019, respectively, and $160 and $446 for the six months ended June 30, 2020 and 2019, respectively. The effect of other certain convertible units would have an anti-dilutive effect </w:t>
            </w:r>
            <w:r>
              <w:rPr>
                <w:sz w:val="20"/>
                <w:szCs w:val="20"/>
              </w:rPr>
              <w:t>upon the calculation of Net income available to the Company’s common shareholders per share. Accordingly, the impact of such conversion has not been included in the determination of diluted earnings per share calculations.</w:t>
            </w:r>
          </w:p>
        </w:tc>
      </w:tr>
    </w:tbl>
    <w:p w14:paraId="412438EE" w14:textId="77777777" w:rsidR="00000000" w:rsidRDefault="00322B34">
      <w:pPr>
        <w:pStyle w:val="a3"/>
        <w:spacing w:before="0" w:beforeAutospacing="0" w:after="0" w:afterAutospacing="0"/>
        <w:jc w:val="both"/>
        <w:rPr>
          <w:sz w:val="20"/>
          <w:szCs w:val="20"/>
        </w:rPr>
      </w:pPr>
      <w:r>
        <w:rPr>
          <w:sz w:val="20"/>
          <w:szCs w:val="20"/>
        </w:rPr>
        <w:t> </w:t>
      </w:r>
    </w:p>
    <w:p w14:paraId="25A8EC1D" w14:textId="77777777" w:rsidR="00000000" w:rsidRDefault="00322B34">
      <w:pPr>
        <w:jc w:val="center"/>
        <w:divId w:val="195124870"/>
        <w:rPr>
          <w:rFonts w:eastAsia="Times New Roman"/>
          <w:sz w:val="20"/>
          <w:szCs w:val="20"/>
        </w:rPr>
      </w:pPr>
      <w:r>
        <w:rPr>
          <w:rFonts w:eastAsia="Times New Roman"/>
          <w:sz w:val="20"/>
          <w:szCs w:val="20"/>
        </w:rPr>
        <w:t xml:space="preserve">31 </w:t>
      </w:r>
    </w:p>
    <w:p w14:paraId="5C76CC5B" w14:textId="77777777" w:rsidR="00000000" w:rsidRDefault="00322B34">
      <w:pPr>
        <w:divId w:val="2018998779"/>
        <w:rPr>
          <w:rFonts w:eastAsia="Times New Roman"/>
          <w:sz w:val="20"/>
          <w:szCs w:val="20"/>
        </w:rPr>
      </w:pPr>
      <w:r>
        <w:rPr>
          <w:rFonts w:eastAsia="Times New Roman"/>
          <w:sz w:val="20"/>
          <w:szCs w:val="20"/>
        </w:rPr>
        <w:pict w14:anchorId="28402890">
          <v:rect id="_x0000_i1059" style="width:0;height:1.5pt" o:hralign="center" o:hrstd="t" o:hr="t" fillcolor="#a0a0a0" stroked="f"/>
        </w:pict>
      </w:r>
    </w:p>
    <w:p w14:paraId="548AA543" w14:textId="77777777" w:rsidR="00000000" w:rsidRDefault="00322B34">
      <w:pPr>
        <w:divId w:val="18461634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5F2CBE3" w14:textId="77777777" w:rsidR="00000000" w:rsidRDefault="00322B34">
      <w:pPr>
        <w:pStyle w:val="a3"/>
        <w:spacing w:before="0" w:beforeAutospacing="0" w:after="0" w:afterAutospacing="0"/>
        <w:rPr>
          <w:sz w:val="20"/>
          <w:szCs w:val="20"/>
        </w:rPr>
      </w:pPr>
      <w:r>
        <w:rPr>
          <w:sz w:val="20"/>
          <w:szCs w:val="20"/>
        </w:rPr>
        <w:t> </w:t>
      </w:r>
    </w:p>
    <w:p w14:paraId="2E84A76C" w14:textId="77777777" w:rsidR="00000000" w:rsidRDefault="00322B34">
      <w:pPr>
        <w:pStyle w:val="a3"/>
        <w:spacing w:before="0" w:beforeAutospacing="0" w:after="0" w:afterAutospacing="0"/>
        <w:jc w:val="both"/>
        <w:rPr>
          <w:sz w:val="20"/>
          <w:szCs w:val="20"/>
        </w:rPr>
      </w:pPr>
      <w:r>
        <w:rPr>
          <w:sz w:val="20"/>
          <w:szCs w:val="20"/>
          <w:u w:val="single"/>
        </w:rPr>
        <w:t>Same Property Net Operating Income(“Same property NOI”)</w:t>
      </w:r>
    </w:p>
    <w:p w14:paraId="3217998D" w14:textId="77777777" w:rsidR="00000000" w:rsidRDefault="00322B34">
      <w:pPr>
        <w:pStyle w:val="a3"/>
        <w:spacing w:before="0" w:beforeAutospacing="0" w:after="0" w:afterAutospacing="0"/>
        <w:jc w:val="both"/>
        <w:rPr>
          <w:sz w:val="20"/>
          <w:szCs w:val="20"/>
        </w:rPr>
      </w:pPr>
      <w:r>
        <w:rPr>
          <w:sz w:val="20"/>
          <w:szCs w:val="20"/>
        </w:rPr>
        <w:t> </w:t>
      </w:r>
    </w:p>
    <w:p w14:paraId="4E6A7C5B" w14:textId="77777777" w:rsidR="00000000" w:rsidRDefault="00322B34">
      <w:pPr>
        <w:pStyle w:val="a3"/>
        <w:spacing w:before="0" w:beforeAutospacing="0" w:after="0" w:afterAutospacing="0"/>
        <w:ind w:firstLine="360"/>
        <w:jc w:val="both"/>
        <w:rPr>
          <w:sz w:val="20"/>
          <w:szCs w:val="20"/>
        </w:rPr>
      </w:pPr>
      <w:r>
        <w:rPr>
          <w:sz w:val="20"/>
          <w:szCs w:val="20"/>
        </w:rPr>
        <w:t>Same property NOI is a supplemental non-GAAP financial measure of real estate companies’ operating performance and should not be considered a</w:t>
      </w:r>
      <w:r>
        <w:rPr>
          <w:sz w:val="20"/>
          <w:szCs w:val="20"/>
        </w:rPr>
        <w:t>n alternative to net income in accordance with GAAP or cash flows from operations as a measure of liquidity. The Company considers Same property NOI as an important operating performance measure because it is frequently used by securities analysts and inve</w:t>
      </w:r>
      <w:r>
        <w:rPr>
          <w:sz w:val="20"/>
          <w:szCs w:val="20"/>
        </w:rPr>
        <w:t>stors to measure only the net operating income of properties that have been owned by the Company for the entire current and prior year reporting periods. It excludes properties under redevelopment, development and pending stabilization; properties are deem</w:t>
      </w:r>
      <w:r>
        <w:rPr>
          <w:sz w:val="20"/>
          <w:szCs w:val="20"/>
        </w:rPr>
        <w:t>ed stabilized at the earlier of (i) reaching 90% leased or (ii) one year following a project’s inclusion in operating real estate. Same property NOI assists in eliminating disparities in net income due to the development, acquisition or disposition of prop</w:t>
      </w:r>
      <w:r>
        <w:rPr>
          <w:sz w:val="20"/>
          <w:szCs w:val="20"/>
        </w:rPr>
        <w:t>erties during the particular period presented, and thus provides a more consistent performance measure for the comparison of the Company's properties.</w:t>
      </w:r>
    </w:p>
    <w:p w14:paraId="6631897F" w14:textId="77777777" w:rsidR="00000000" w:rsidRDefault="00322B34">
      <w:pPr>
        <w:pStyle w:val="a3"/>
        <w:spacing w:before="0" w:beforeAutospacing="0" w:after="0" w:afterAutospacing="0"/>
        <w:ind w:firstLine="360"/>
        <w:jc w:val="both"/>
        <w:rPr>
          <w:sz w:val="20"/>
          <w:szCs w:val="20"/>
        </w:rPr>
      </w:pPr>
      <w:r>
        <w:rPr>
          <w:sz w:val="20"/>
          <w:szCs w:val="20"/>
        </w:rPr>
        <w:t> </w:t>
      </w:r>
    </w:p>
    <w:p w14:paraId="1574B032" w14:textId="77777777" w:rsidR="00000000" w:rsidRDefault="00322B34">
      <w:pPr>
        <w:pStyle w:val="a3"/>
        <w:spacing w:before="0" w:beforeAutospacing="0" w:after="0" w:afterAutospacing="0"/>
        <w:ind w:firstLine="360"/>
        <w:jc w:val="both"/>
        <w:rPr>
          <w:sz w:val="20"/>
          <w:szCs w:val="20"/>
        </w:rPr>
      </w:pPr>
      <w:r>
        <w:rPr>
          <w:sz w:val="20"/>
          <w:szCs w:val="20"/>
        </w:rPr>
        <w:t>Same property NOI is calculated using revenues from rental properties (excluding straight-line rent adj</w:t>
      </w:r>
      <w:r>
        <w:rPr>
          <w:sz w:val="20"/>
          <w:szCs w:val="20"/>
        </w:rPr>
        <w:t>ustments, lease termination fees, TIFs and amortization of above/below market rents) less charges for bad debt, operating and maintenance expense, real estate taxes and rent expense plus the Company’s proportionate share of Same property NOI from unconsoli</w:t>
      </w:r>
      <w:r>
        <w:rPr>
          <w:sz w:val="20"/>
          <w:szCs w:val="20"/>
        </w:rPr>
        <w:t>dated real estate joint ventures, calculated on the same basis. The Company’s method of calculating Same property NOI available to the Company’s common shareholders may differ from methods used by other REITs and, accordingly, may not be comparable to such</w:t>
      </w:r>
      <w:r>
        <w:rPr>
          <w:sz w:val="20"/>
          <w:szCs w:val="20"/>
        </w:rPr>
        <w:t xml:space="preserve"> other REITs.</w:t>
      </w:r>
    </w:p>
    <w:p w14:paraId="38982696" w14:textId="77777777" w:rsidR="00000000" w:rsidRDefault="00322B34">
      <w:pPr>
        <w:pStyle w:val="a3"/>
        <w:spacing w:before="0" w:beforeAutospacing="0" w:after="0" w:afterAutospacing="0"/>
        <w:ind w:firstLine="720"/>
        <w:jc w:val="both"/>
        <w:rPr>
          <w:sz w:val="20"/>
          <w:szCs w:val="20"/>
        </w:rPr>
      </w:pPr>
      <w:r>
        <w:rPr>
          <w:sz w:val="20"/>
          <w:szCs w:val="20"/>
        </w:rPr>
        <w:t> </w:t>
      </w:r>
    </w:p>
    <w:p w14:paraId="400D19B7" w14:textId="77777777" w:rsidR="00000000" w:rsidRDefault="00322B34">
      <w:pPr>
        <w:pStyle w:val="a3"/>
        <w:spacing w:before="0" w:beforeAutospacing="0" w:after="0" w:afterAutospacing="0"/>
        <w:ind w:firstLine="360"/>
        <w:jc w:val="both"/>
        <w:rPr>
          <w:sz w:val="20"/>
          <w:szCs w:val="20"/>
        </w:rPr>
      </w:pPr>
      <w:r>
        <w:rPr>
          <w:sz w:val="20"/>
          <w:szCs w:val="20"/>
        </w:rPr>
        <w:t>The following is a reconciliation of Net income available to the Company’s common shareholders to Same property NOI (in thousands):</w:t>
      </w:r>
    </w:p>
    <w:p w14:paraId="51A0576C"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14:paraId="4B94B582" w14:textId="77777777">
        <w:trPr>
          <w:tblCellSpacing w:w="0" w:type="dxa"/>
        </w:trPr>
        <w:tc>
          <w:tcPr>
            <w:tcW w:w="0" w:type="auto"/>
            <w:vAlign w:val="bottom"/>
            <w:hideMark/>
          </w:tcPr>
          <w:p w14:paraId="0F46B130"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60847F2"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26BCC9A9" w14:textId="77777777" w:rsidR="00000000" w:rsidRDefault="00322B34">
            <w:pPr>
              <w:pStyle w:val="a3"/>
              <w:spacing w:before="0" w:beforeAutospacing="0" w:after="0" w:afterAutospacing="0"/>
              <w:jc w:val="center"/>
              <w:rPr>
                <w:sz w:val="20"/>
                <w:szCs w:val="20"/>
              </w:rPr>
            </w:pPr>
            <w:r>
              <w:rPr>
                <w:b/>
                <w:bCs/>
                <w:sz w:val="20"/>
                <w:szCs w:val="20"/>
              </w:rPr>
              <w:t>Three Months Ended June 30,</w:t>
            </w:r>
          </w:p>
        </w:tc>
        <w:tc>
          <w:tcPr>
            <w:tcW w:w="0" w:type="auto"/>
            <w:tcBorders>
              <w:bottom w:val="single" w:sz="6" w:space="0" w:color="000000"/>
            </w:tcBorders>
            <w:tcMar>
              <w:top w:w="0" w:type="dxa"/>
              <w:left w:w="0" w:type="dxa"/>
              <w:bottom w:w="15" w:type="dxa"/>
              <w:right w:w="0" w:type="dxa"/>
            </w:tcMar>
            <w:vAlign w:val="bottom"/>
            <w:hideMark/>
          </w:tcPr>
          <w:p w14:paraId="33911B75"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60D720C8" w14:textId="77777777" w:rsidR="00000000" w:rsidRDefault="00322B34">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8118B39" w14:textId="77777777" w:rsidR="00000000" w:rsidRDefault="00322B34">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1416D922" w14:textId="77777777" w:rsidR="00000000" w:rsidRDefault="00322B34">
            <w:pPr>
              <w:rPr>
                <w:rFonts w:eastAsia="Times New Roman"/>
                <w:sz w:val="20"/>
                <w:szCs w:val="20"/>
              </w:rPr>
            </w:pPr>
            <w:r>
              <w:rPr>
                <w:rFonts w:eastAsia="Times New Roman"/>
                <w:sz w:val="20"/>
                <w:szCs w:val="20"/>
              </w:rPr>
              <w:t> </w:t>
            </w:r>
          </w:p>
        </w:tc>
      </w:tr>
      <w:tr w:rsidR="00000000" w14:paraId="6D1E5144" w14:textId="77777777">
        <w:trPr>
          <w:tblCellSpacing w:w="0" w:type="dxa"/>
        </w:trPr>
        <w:tc>
          <w:tcPr>
            <w:tcW w:w="0" w:type="auto"/>
            <w:vAlign w:val="bottom"/>
            <w:hideMark/>
          </w:tcPr>
          <w:p w14:paraId="230412FF"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E598126"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ABC77B3"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2B49199F"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E68AB86"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0890774"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23EFA377"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3B5EDA28"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0E41247" w14:textId="77777777" w:rsidR="00000000" w:rsidRDefault="00322B34">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089DF295"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E6FE7DE"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61EE9CC" w14:textId="77777777" w:rsidR="00000000" w:rsidRDefault="00322B34">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AFBE8CA" w14:textId="77777777" w:rsidR="00000000" w:rsidRDefault="00322B34">
            <w:pPr>
              <w:rPr>
                <w:rFonts w:eastAsia="Times New Roman"/>
                <w:sz w:val="20"/>
                <w:szCs w:val="20"/>
              </w:rPr>
            </w:pPr>
            <w:r>
              <w:rPr>
                <w:rFonts w:eastAsia="Times New Roman"/>
                <w:sz w:val="20"/>
                <w:szCs w:val="20"/>
              </w:rPr>
              <w:t> </w:t>
            </w:r>
          </w:p>
        </w:tc>
      </w:tr>
      <w:tr w:rsidR="00000000" w14:paraId="40698C05" w14:textId="77777777">
        <w:trPr>
          <w:tblCellSpacing w:w="0" w:type="dxa"/>
        </w:trPr>
        <w:tc>
          <w:tcPr>
            <w:tcW w:w="2600" w:type="pct"/>
            <w:shd w:val="clear" w:color="auto" w:fill="CCEEFF"/>
            <w:vAlign w:val="bottom"/>
            <w:hideMark/>
          </w:tcPr>
          <w:p w14:paraId="3F208D46" w14:textId="77777777" w:rsidR="00000000" w:rsidRDefault="00322B34">
            <w:pPr>
              <w:pStyle w:val="a3"/>
              <w:spacing w:before="0" w:beforeAutospacing="0" w:after="0" w:afterAutospacing="0"/>
              <w:rPr>
                <w:sz w:val="20"/>
                <w:szCs w:val="20"/>
              </w:rPr>
            </w:pPr>
            <w:r>
              <w:rPr>
                <w:b/>
                <w:bCs/>
                <w:sz w:val="20"/>
                <w:szCs w:val="20"/>
              </w:rPr>
              <w:t>Net income available to the Company’s common shareholders</w:t>
            </w:r>
          </w:p>
        </w:tc>
        <w:tc>
          <w:tcPr>
            <w:tcW w:w="50" w:type="pct"/>
            <w:tcBorders>
              <w:bottom w:val="nil"/>
            </w:tcBorders>
            <w:shd w:val="clear" w:color="auto" w:fill="CCEEFF"/>
            <w:vAlign w:val="bottom"/>
            <w:hideMark/>
          </w:tcPr>
          <w:p w14:paraId="5ED87BBD"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20FDC2D" w14:textId="77777777" w:rsidR="00000000" w:rsidRDefault="00322B3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257E6E03" w14:textId="77777777" w:rsidR="00000000" w:rsidRDefault="00322B34">
            <w:pPr>
              <w:jc w:val="right"/>
              <w:rPr>
                <w:rFonts w:eastAsia="Times New Roman"/>
                <w:sz w:val="20"/>
                <w:szCs w:val="20"/>
              </w:rPr>
            </w:pPr>
            <w:r>
              <w:rPr>
                <w:rFonts w:eastAsia="Times New Roman"/>
                <w:b/>
                <w:bCs/>
                <w:sz w:val="20"/>
                <w:szCs w:val="20"/>
              </w:rPr>
              <w:t>741,539</w:t>
            </w:r>
          </w:p>
        </w:tc>
        <w:tc>
          <w:tcPr>
            <w:tcW w:w="50" w:type="pct"/>
            <w:tcBorders>
              <w:bottom w:val="nil"/>
            </w:tcBorders>
            <w:shd w:val="clear" w:color="auto" w:fill="CCEEFF"/>
            <w:vAlign w:val="bottom"/>
            <w:hideMark/>
          </w:tcPr>
          <w:p w14:paraId="7E4F1D63"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C2756ED"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C3E9498" w14:textId="77777777" w:rsidR="00000000" w:rsidRDefault="00322B3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17D76489" w14:textId="77777777" w:rsidR="00000000" w:rsidRDefault="00322B34">
            <w:pPr>
              <w:jc w:val="right"/>
              <w:rPr>
                <w:rFonts w:eastAsia="Times New Roman"/>
                <w:sz w:val="20"/>
                <w:szCs w:val="20"/>
              </w:rPr>
            </w:pPr>
            <w:r>
              <w:rPr>
                <w:rFonts w:eastAsia="Times New Roman"/>
                <w:b/>
                <w:bCs/>
                <w:sz w:val="20"/>
                <w:szCs w:val="20"/>
              </w:rPr>
              <w:t>86,493</w:t>
            </w:r>
          </w:p>
        </w:tc>
        <w:tc>
          <w:tcPr>
            <w:tcW w:w="50" w:type="pct"/>
            <w:tcBorders>
              <w:bottom w:val="nil"/>
            </w:tcBorders>
            <w:shd w:val="clear" w:color="auto" w:fill="CCEEFF"/>
            <w:vAlign w:val="bottom"/>
            <w:hideMark/>
          </w:tcPr>
          <w:p w14:paraId="3D38A307"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40D3136B"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C9CBB78" w14:textId="77777777" w:rsidR="00000000" w:rsidRDefault="00322B3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23D0F55D" w14:textId="77777777" w:rsidR="00000000" w:rsidRDefault="00322B34">
            <w:pPr>
              <w:jc w:val="right"/>
              <w:rPr>
                <w:rFonts w:eastAsia="Times New Roman"/>
                <w:sz w:val="20"/>
                <w:szCs w:val="20"/>
              </w:rPr>
            </w:pPr>
            <w:r>
              <w:rPr>
                <w:rFonts w:eastAsia="Times New Roman"/>
                <w:b/>
                <w:bCs/>
                <w:sz w:val="20"/>
                <w:szCs w:val="20"/>
              </w:rPr>
              <w:t>825,285</w:t>
            </w:r>
          </w:p>
        </w:tc>
        <w:tc>
          <w:tcPr>
            <w:tcW w:w="50" w:type="pct"/>
            <w:tcBorders>
              <w:bottom w:val="nil"/>
            </w:tcBorders>
            <w:shd w:val="clear" w:color="auto" w:fill="CCEEFF"/>
            <w:vAlign w:val="bottom"/>
            <w:hideMark/>
          </w:tcPr>
          <w:p w14:paraId="2261B38C"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931D5A2"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27DD5E2D" w14:textId="77777777" w:rsidR="00000000" w:rsidRDefault="00322B34">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14:paraId="7272B245" w14:textId="77777777" w:rsidR="00000000" w:rsidRDefault="00322B34">
            <w:pPr>
              <w:jc w:val="right"/>
              <w:rPr>
                <w:rFonts w:eastAsia="Times New Roman"/>
                <w:sz w:val="20"/>
                <w:szCs w:val="20"/>
              </w:rPr>
            </w:pPr>
            <w:r>
              <w:rPr>
                <w:rFonts w:eastAsia="Times New Roman"/>
                <w:b/>
                <w:bCs/>
                <w:sz w:val="20"/>
                <w:szCs w:val="20"/>
              </w:rPr>
              <w:t>188,128</w:t>
            </w:r>
          </w:p>
        </w:tc>
        <w:tc>
          <w:tcPr>
            <w:tcW w:w="50" w:type="pct"/>
            <w:tcBorders>
              <w:bottom w:val="nil"/>
            </w:tcBorders>
            <w:shd w:val="clear" w:color="auto" w:fill="CCEEFF"/>
            <w:vAlign w:val="bottom"/>
            <w:hideMark/>
          </w:tcPr>
          <w:p w14:paraId="352DFDAC" w14:textId="77777777" w:rsidR="00000000" w:rsidRDefault="00322B34">
            <w:pPr>
              <w:rPr>
                <w:rFonts w:eastAsia="Times New Roman"/>
                <w:sz w:val="20"/>
                <w:szCs w:val="20"/>
              </w:rPr>
            </w:pPr>
            <w:r>
              <w:rPr>
                <w:rFonts w:eastAsia="Times New Roman"/>
                <w:sz w:val="20"/>
                <w:szCs w:val="20"/>
              </w:rPr>
              <w:t> </w:t>
            </w:r>
          </w:p>
        </w:tc>
      </w:tr>
      <w:tr w:rsidR="00000000" w14:paraId="4F1605CA" w14:textId="77777777">
        <w:trPr>
          <w:tblCellSpacing w:w="0" w:type="dxa"/>
        </w:trPr>
        <w:tc>
          <w:tcPr>
            <w:tcW w:w="0" w:type="auto"/>
            <w:shd w:val="clear" w:color="auto" w:fill="FFFFFF"/>
            <w:vAlign w:val="bottom"/>
            <w:hideMark/>
          </w:tcPr>
          <w:p w14:paraId="2C2D822C" w14:textId="77777777" w:rsidR="00000000" w:rsidRDefault="00322B34">
            <w:pPr>
              <w:pStyle w:val="a3"/>
              <w:spacing w:before="0" w:beforeAutospacing="0" w:after="0" w:afterAutospacing="0"/>
              <w:rPr>
                <w:sz w:val="20"/>
                <w:szCs w:val="20"/>
              </w:rPr>
            </w:pPr>
            <w:r>
              <w:rPr>
                <w:sz w:val="20"/>
                <w:szCs w:val="20"/>
              </w:rPr>
              <w:t>Adjustments:</w:t>
            </w:r>
          </w:p>
        </w:tc>
        <w:tc>
          <w:tcPr>
            <w:tcW w:w="0" w:type="auto"/>
            <w:shd w:val="clear" w:color="auto" w:fill="FFFFFF"/>
            <w:vAlign w:val="bottom"/>
            <w:hideMark/>
          </w:tcPr>
          <w:p w14:paraId="68E78A1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AA0986"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3C19BF"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B4737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BEE6EA"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AD5F72"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337A5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E976C8"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7EB750"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4B5E0B"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6387A4"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576889"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520DF5"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EE6711"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F4C2C7" w14:textId="77777777" w:rsidR="00000000" w:rsidRDefault="00322B3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E130B2" w14:textId="77777777" w:rsidR="00000000" w:rsidRDefault="00322B34">
            <w:pPr>
              <w:rPr>
                <w:rFonts w:eastAsia="Times New Roman"/>
                <w:sz w:val="20"/>
                <w:szCs w:val="20"/>
              </w:rPr>
            </w:pPr>
            <w:r>
              <w:rPr>
                <w:rFonts w:eastAsia="Times New Roman"/>
                <w:sz w:val="20"/>
                <w:szCs w:val="20"/>
              </w:rPr>
              <w:t> </w:t>
            </w:r>
          </w:p>
        </w:tc>
      </w:tr>
      <w:tr w:rsidR="00000000" w14:paraId="6D3407DF" w14:textId="77777777">
        <w:trPr>
          <w:tblCellSpacing w:w="0" w:type="dxa"/>
        </w:trPr>
        <w:tc>
          <w:tcPr>
            <w:tcW w:w="0" w:type="auto"/>
            <w:shd w:val="clear" w:color="auto" w:fill="CCEEFF"/>
            <w:vAlign w:val="bottom"/>
            <w:hideMark/>
          </w:tcPr>
          <w:p w14:paraId="1AE8EA3B" w14:textId="77777777" w:rsidR="00000000" w:rsidRDefault="00322B34">
            <w:pPr>
              <w:pStyle w:val="a3"/>
              <w:spacing w:before="0" w:beforeAutospacing="0" w:after="0" w:afterAutospacing="0"/>
              <w:ind w:left="180"/>
              <w:rPr>
                <w:sz w:val="20"/>
                <w:szCs w:val="20"/>
              </w:rPr>
            </w:pPr>
            <w:r>
              <w:rPr>
                <w:sz w:val="20"/>
                <w:szCs w:val="20"/>
              </w:rPr>
              <w:t>Management and other fee income</w:t>
            </w:r>
          </w:p>
        </w:tc>
        <w:tc>
          <w:tcPr>
            <w:tcW w:w="50" w:type="pct"/>
            <w:shd w:val="clear" w:color="auto" w:fill="CCEEFF"/>
            <w:vAlign w:val="bottom"/>
            <w:hideMark/>
          </w:tcPr>
          <w:p w14:paraId="746E96B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992760"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B886490" w14:textId="77777777" w:rsidR="00000000" w:rsidRDefault="00322B34">
            <w:pPr>
              <w:jc w:val="right"/>
              <w:rPr>
                <w:rFonts w:eastAsia="Times New Roman"/>
                <w:sz w:val="20"/>
                <w:szCs w:val="20"/>
              </w:rPr>
            </w:pPr>
            <w:r>
              <w:rPr>
                <w:rFonts w:eastAsia="Times New Roman"/>
                <w:sz w:val="20"/>
                <w:szCs w:val="20"/>
              </w:rPr>
              <w:t>(2,955</w:t>
            </w:r>
          </w:p>
        </w:tc>
        <w:tc>
          <w:tcPr>
            <w:tcW w:w="50" w:type="pct"/>
            <w:shd w:val="clear" w:color="auto" w:fill="CCEEFF"/>
            <w:vAlign w:val="bottom"/>
            <w:hideMark/>
          </w:tcPr>
          <w:p w14:paraId="3A86EE96"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657BB72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2E11A8"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068469A" w14:textId="77777777" w:rsidR="00000000" w:rsidRDefault="00322B34">
            <w:pPr>
              <w:jc w:val="right"/>
              <w:rPr>
                <w:rFonts w:eastAsia="Times New Roman"/>
                <w:sz w:val="20"/>
                <w:szCs w:val="20"/>
              </w:rPr>
            </w:pPr>
            <w:r>
              <w:rPr>
                <w:rFonts w:eastAsia="Times New Roman"/>
                <w:sz w:val="20"/>
                <w:szCs w:val="20"/>
              </w:rPr>
              <w:t>(4,163</w:t>
            </w:r>
          </w:p>
        </w:tc>
        <w:tc>
          <w:tcPr>
            <w:tcW w:w="50" w:type="pct"/>
            <w:shd w:val="clear" w:color="auto" w:fill="CCEEFF"/>
            <w:vAlign w:val="bottom"/>
            <w:hideMark/>
          </w:tcPr>
          <w:p w14:paraId="7B696359"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151552A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0FC9B8"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EBA92E0" w14:textId="77777777" w:rsidR="00000000" w:rsidRDefault="00322B34">
            <w:pPr>
              <w:jc w:val="right"/>
              <w:rPr>
                <w:rFonts w:eastAsia="Times New Roman"/>
                <w:sz w:val="20"/>
                <w:szCs w:val="20"/>
              </w:rPr>
            </w:pPr>
            <w:r>
              <w:rPr>
                <w:rFonts w:eastAsia="Times New Roman"/>
                <w:sz w:val="20"/>
                <w:szCs w:val="20"/>
              </w:rPr>
              <w:t>(6,695</w:t>
            </w:r>
          </w:p>
        </w:tc>
        <w:tc>
          <w:tcPr>
            <w:tcW w:w="50" w:type="pct"/>
            <w:shd w:val="clear" w:color="auto" w:fill="CCEEFF"/>
            <w:vAlign w:val="bottom"/>
            <w:hideMark/>
          </w:tcPr>
          <w:p w14:paraId="06A17F1C"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7C95FFA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7DA97F"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CDC427A" w14:textId="77777777" w:rsidR="00000000" w:rsidRDefault="00322B34">
            <w:pPr>
              <w:jc w:val="right"/>
              <w:rPr>
                <w:rFonts w:eastAsia="Times New Roman"/>
                <w:sz w:val="20"/>
                <w:szCs w:val="20"/>
              </w:rPr>
            </w:pPr>
            <w:r>
              <w:rPr>
                <w:rFonts w:eastAsia="Times New Roman"/>
                <w:sz w:val="20"/>
                <w:szCs w:val="20"/>
              </w:rPr>
              <w:t>(8,539</w:t>
            </w:r>
          </w:p>
        </w:tc>
        <w:tc>
          <w:tcPr>
            <w:tcW w:w="50" w:type="pct"/>
            <w:shd w:val="clear" w:color="auto" w:fill="CCEEFF"/>
            <w:vAlign w:val="bottom"/>
            <w:hideMark/>
          </w:tcPr>
          <w:p w14:paraId="58EF3E40" w14:textId="77777777" w:rsidR="00000000" w:rsidRDefault="00322B34">
            <w:pPr>
              <w:rPr>
                <w:rFonts w:eastAsia="Times New Roman"/>
                <w:sz w:val="20"/>
                <w:szCs w:val="20"/>
              </w:rPr>
            </w:pPr>
            <w:r>
              <w:rPr>
                <w:rFonts w:eastAsia="Times New Roman"/>
                <w:sz w:val="20"/>
                <w:szCs w:val="20"/>
              </w:rPr>
              <w:t>)</w:t>
            </w:r>
          </w:p>
        </w:tc>
      </w:tr>
      <w:tr w:rsidR="00000000" w14:paraId="18745D81" w14:textId="77777777">
        <w:trPr>
          <w:tblCellSpacing w:w="0" w:type="dxa"/>
        </w:trPr>
        <w:tc>
          <w:tcPr>
            <w:tcW w:w="0" w:type="auto"/>
            <w:shd w:val="clear" w:color="auto" w:fill="FFFFFF"/>
            <w:vAlign w:val="bottom"/>
            <w:hideMark/>
          </w:tcPr>
          <w:p w14:paraId="001EE210" w14:textId="77777777" w:rsidR="00000000" w:rsidRDefault="00322B34">
            <w:pPr>
              <w:pStyle w:val="a3"/>
              <w:spacing w:before="0" w:beforeAutospacing="0" w:after="0" w:afterAutospacing="0"/>
              <w:ind w:left="180"/>
              <w:rPr>
                <w:sz w:val="20"/>
                <w:szCs w:val="20"/>
              </w:rPr>
            </w:pPr>
            <w:r>
              <w:rPr>
                <w:sz w:val="20"/>
                <w:szCs w:val="20"/>
              </w:rPr>
              <w:t>General and administrative</w:t>
            </w:r>
          </w:p>
        </w:tc>
        <w:tc>
          <w:tcPr>
            <w:tcW w:w="50" w:type="pct"/>
            <w:shd w:val="clear" w:color="auto" w:fill="FFFFFF"/>
            <w:vAlign w:val="bottom"/>
            <w:hideMark/>
          </w:tcPr>
          <w:p w14:paraId="3BD3309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FBF43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FD49E4C" w14:textId="77777777" w:rsidR="00000000" w:rsidRDefault="00322B34">
            <w:pPr>
              <w:jc w:val="right"/>
              <w:rPr>
                <w:rFonts w:eastAsia="Times New Roman"/>
                <w:sz w:val="20"/>
                <w:szCs w:val="20"/>
              </w:rPr>
            </w:pPr>
            <w:r>
              <w:rPr>
                <w:rFonts w:eastAsia="Times New Roman"/>
                <w:sz w:val="20"/>
                <w:szCs w:val="20"/>
              </w:rPr>
              <w:t>22,504</w:t>
            </w:r>
          </w:p>
        </w:tc>
        <w:tc>
          <w:tcPr>
            <w:tcW w:w="50" w:type="pct"/>
            <w:shd w:val="clear" w:color="auto" w:fill="FFFFFF"/>
            <w:vAlign w:val="bottom"/>
            <w:hideMark/>
          </w:tcPr>
          <w:p w14:paraId="4AC9ABE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D515D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B386D0"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447ABC2" w14:textId="77777777" w:rsidR="00000000" w:rsidRDefault="00322B34">
            <w:pPr>
              <w:jc w:val="right"/>
              <w:rPr>
                <w:rFonts w:eastAsia="Times New Roman"/>
                <w:sz w:val="20"/>
                <w:szCs w:val="20"/>
              </w:rPr>
            </w:pPr>
            <w:r>
              <w:rPr>
                <w:rFonts w:eastAsia="Times New Roman"/>
                <w:sz w:val="20"/>
                <w:szCs w:val="20"/>
              </w:rPr>
              <w:t>22,633</w:t>
            </w:r>
          </w:p>
        </w:tc>
        <w:tc>
          <w:tcPr>
            <w:tcW w:w="50" w:type="pct"/>
            <w:shd w:val="clear" w:color="auto" w:fill="FFFFFF"/>
            <w:vAlign w:val="bottom"/>
            <w:hideMark/>
          </w:tcPr>
          <w:p w14:paraId="2C95154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5E42E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393FEE"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C56674C" w14:textId="77777777" w:rsidR="00000000" w:rsidRDefault="00322B34">
            <w:pPr>
              <w:jc w:val="right"/>
              <w:rPr>
                <w:rFonts w:eastAsia="Times New Roman"/>
                <w:sz w:val="20"/>
                <w:szCs w:val="20"/>
              </w:rPr>
            </w:pPr>
            <w:r>
              <w:rPr>
                <w:rFonts w:eastAsia="Times New Roman"/>
                <w:sz w:val="20"/>
                <w:szCs w:val="20"/>
              </w:rPr>
              <w:t>43,521</w:t>
            </w:r>
          </w:p>
        </w:tc>
        <w:tc>
          <w:tcPr>
            <w:tcW w:w="50" w:type="pct"/>
            <w:shd w:val="clear" w:color="auto" w:fill="FFFFFF"/>
            <w:vAlign w:val="bottom"/>
            <w:hideMark/>
          </w:tcPr>
          <w:p w14:paraId="19C5C6A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62817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0E27D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B1B7359" w14:textId="77777777" w:rsidR="00000000" w:rsidRDefault="00322B34">
            <w:pPr>
              <w:jc w:val="right"/>
              <w:rPr>
                <w:rFonts w:eastAsia="Times New Roman"/>
                <w:sz w:val="20"/>
                <w:szCs w:val="20"/>
              </w:rPr>
            </w:pPr>
            <w:r>
              <w:rPr>
                <w:rFonts w:eastAsia="Times New Roman"/>
                <w:sz w:val="20"/>
                <w:szCs w:val="20"/>
              </w:rPr>
              <w:t>48,464</w:t>
            </w:r>
          </w:p>
        </w:tc>
        <w:tc>
          <w:tcPr>
            <w:tcW w:w="50" w:type="pct"/>
            <w:shd w:val="clear" w:color="auto" w:fill="FFFFFF"/>
            <w:vAlign w:val="bottom"/>
            <w:hideMark/>
          </w:tcPr>
          <w:p w14:paraId="3724C3B2" w14:textId="77777777" w:rsidR="00000000" w:rsidRDefault="00322B34">
            <w:pPr>
              <w:rPr>
                <w:rFonts w:eastAsia="Times New Roman"/>
                <w:sz w:val="20"/>
                <w:szCs w:val="20"/>
              </w:rPr>
            </w:pPr>
            <w:r>
              <w:rPr>
                <w:rFonts w:eastAsia="Times New Roman"/>
                <w:sz w:val="20"/>
                <w:szCs w:val="20"/>
              </w:rPr>
              <w:t> </w:t>
            </w:r>
          </w:p>
        </w:tc>
      </w:tr>
      <w:tr w:rsidR="00000000" w14:paraId="126E2EF3" w14:textId="77777777">
        <w:trPr>
          <w:tblCellSpacing w:w="0" w:type="dxa"/>
        </w:trPr>
        <w:tc>
          <w:tcPr>
            <w:tcW w:w="0" w:type="auto"/>
            <w:shd w:val="clear" w:color="auto" w:fill="CCEEFF"/>
            <w:vAlign w:val="bottom"/>
            <w:hideMark/>
          </w:tcPr>
          <w:p w14:paraId="4333EF89" w14:textId="77777777" w:rsidR="00000000" w:rsidRDefault="00322B34">
            <w:pPr>
              <w:pStyle w:val="a3"/>
              <w:spacing w:before="0" w:beforeAutospacing="0" w:after="0" w:afterAutospacing="0"/>
              <w:ind w:left="180"/>
              <w:rPr>
                <w:sz w:val="20"/>
                <w:szCs w:val="20"/>
              </w:rPr>
            </w:pPr>
            <w:r>
              <w:rPr>
                <w:sz w:val="20"/>
                <w:szCs w:val="20"/>
              </w:rPr>
              <w:t>Impairment charges</w:t>
            </w:r>
          </w:p>
        </w:tc>
        <w:tc>
          <w:tcPr>
            <w:tcW w:w="50" w:type="pct"/>
            <w:shd w:val="clear" w:color="auto" w:fill="CCEEFF"/>
            <w:vAlign w:val="bottom"/>
            <w:hideMark/>
          </w:tcPr>
          <w:p w14:paraId="3A79342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D2D71E"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1938C03" w14:textId="77777777" w:rsidR="00000000" w:rsidRDefault="00322B34">
            <w:pPr>
              <w:jc w:val="right"/>
              <w:rPr>
                <w:rFonts w:eastAsia="Times New Roman"/>
                <w:sz w:val="20"/>
                <w:szCs w:val="20"/>
              </w:rPr>
            </w:pPr>
            <w:r>
              <w:rPr>
                <w:rFonts w:eastAsia="Times New Roman"/>
                <w:sz w:val="20"/>
                <w:szCs w:val="20"/>
              </w:rPr>
              <w:t>138</w:t>
            </w:r>
          </w:p>
        </w:tc>
        <w:tc>
          <w:tcPr>
            <w:tcW w:w="50" w:type="pct"/>
            <w:shd w:val="clear" w:color="auto" w:fill="CCEEFF"/>
            <w:vAlign w:val="bottom"/>
            <w:hideMark/>
          </w:tcPr>
          <w:p w14:paraId="446F416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2DF9F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DC67BB"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B843E7B" w14:textId="77777777" w:rsidR="00000000" w:rsidRDefault="00322B34">
            <w:pPr>
              <w:jc w:val="right"/>
              <w:rPr>
                <w:rFonts w:eastAsia="Times New Roman"/>
                <w:sz w:val="20"/>
                <w:szCs w:val="20"/>
              </w:rPr>
            </w:pPr>
            <w:r>
              <w:rPr>
                <w:rFonts w:eastAsia="Times New Roman"/>
                <w:sz w:val="20"/>
                <w:szCs w:val="20"/>
              </w:rPr>
              <w:t>17,451</w:t>
            </w:r>
          </w:p>
        </w:tc>
        <w:tc>
          <w:tcPr>
            <w:tcW w:w="50" w:type="pct"/>
            <w:shd w:val="clear" w:color="auto" w:fill="CCEEFF"/>
            <w:vAlign w:val="bottom"/>
            <w:hideMark/>
          </w:tcPr>
          <w:p w14:paraId="1B5DF4D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859A6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81BFF4"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AADDFC4" w14:textId="77777777" w:rsidR="00000000" w:rsidRDefault="00322B34">
            <w:pPr>
              <w:jc w:val="right"/>
              <w:rPr>
                <w:rFonts w:eastAsia="Times New Roman"/>
                <w:sz w:val="20"/>
                <w:szCs w:val="20"/>
              </w:rPr>
            </w:pPr>
            <w:r>
              <w:rPr>
                <w:rFonts w:eastAsia="Times New Roman"/>
                <w:sz w:val="20"/>
                <w:szCs w:val="20"/>
              </w:rPr>
              <w:t>3,112</w:t>
            </w:r>
          </w:p>
        </w:tc>
        <w:tc>
          <w:tcPr>
            <w:tcW w:w="50" w:type="pct"/>
            <w:shd w:val="clear" w:color="auto" w:fill="CCEEFF"/>
            <w:vAlign w:val="bottom"/>
            <w:hideMark/>
          </w:tcPr>
          <w:p w14:paraId="1B6E19C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E09EC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37C87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C12D327" w14:textId="77777777" w:rsidR="00000000" w:rsidRDefault="00322B34">
            <w:pPr>
              <w:jc w:val="right"/>
              <w:rPr>
                <w:rFonts w:eastAsia="Times New Roman"/>
                <w:sz w:val="20"/>
                <w:szCs w:val="20"/>
              </w:rPr>
            </w:pPr>
            <w:r>
              <w:rPr>
                <w:rFonts w:eastAsia="Times New Roman"/>
                <w:sz w:val="20"/>
                <w:szCs w:val="20"/>
              </w:rPr>
              <w:t>21,626</w:t>
            </w:r>
          </w:p>
        </w:tc>
        <w:tc>
          <w:tcPr>
            <w:tcW w:w="50" w:type="pct"/>
            <w:shd w:val="clear" w:color="auto" w:fill="CCEEFF"/>
            <w:vAlign w:val="bottom"/>
            <w:hideMark/>
          </w:tcPr>
          <w:p w14:paraId="193B490D" w14:textId="77777777" w:rsidR="00000000" w:rsidRDefault="00322B34">
            <w:pPr>
              <w:rPr>
                <w:rFonts w:eastAsia="Times New Roman"/>
                <w:sz w:val="20"/>
                <w:szCs w:val="20"/>
              </w:rPr>
            </w:pPr>
            <w:r>
              <w:rPr>
                <w:rFonts w:eastAsia="Times New Roman"/>
                <w:sz w:val="20"/>
                <w:szCs w:val="20"/>
              </w:rPr>
              <w:t> </w:t>
            </w:r>
          </w:p>
        </w:tc>
      </w:tr>
      <w:tr w:rsidR="00000000" w14:paraId="13A70452" w14:textId="77777777">
        <w:trPr>
          <w:tblCellSpacing w:w="0" w:type="dxa"/>
        </w:trPr>
        <w:tc>
          <w:tcPr>
            <w:tcW w:w="0" w:type="auto"/>
            <w:shd w:val="clear" w:color="auto" w:fill="FFFFFF"/>
            <w:vAlign w:val="bottom"/>
            <w:hideMark/>
          </w:tcPr>
          <w:p w14:paraId="280BCEBC" w14:textId="77777777" w:rsidR="00000000" w:rsidRDefault="00322B34">
            <w:pPr>
              <w:pStyle w:val="a3"/>
              <w:spacing w:before="0" w:beforeAutospacing="0" w:after="0" w:afterAutospacing="0"/>
              <w:ind w:left="180"/>
              <w:rPr>
                <w:sz w:val="20"/>
                <w:szCs w:val="20"/>
              </w:rPr>
            </w:pPr>
            <w:r>
              <w:rPr>
                <w:sz w:val="20"/>
                <w:szCs w:val="20"/>
              </w:rPr>
              <w:t>Depreciation and amortization</w:t>
            </w:r>
          </w:p>
        </w:tc>
        <w:tc>
          <w:tcPr>
            <w:tcW w:w="50" w:type="pct"/>
            <w:shd w:val="clear" w:color="auto" w:fill="FFFFFF"/>
            <w:vAlign w:val="bottom"/>
            <w:hideMark/>
          </w:tcPr>
          <w:p w14:paraId="6806CD7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0495BC"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2F128CA" w14:textId="77777777" w:rsidR="00000000" w:rsidRDefault="00322B34">
            <w:pPr>
              <w:jc w:val="right"/>
              <w:rPr>
                <w:rFonts w:eastAsia="Times New Roman"/>
                <w:sz w:val="20"/>
                <w:szCs w:val="20"/>
              </w:rPr>
            </w:pPr>
            <w:r>
              <w:rPr>
                <w:rFonts w:eastAsia="Times New Roman"/>
                <w:sz w:val="20"/>
                <w:szCs w:val="20"/>
              </w:rPr>
              <w:t>73,559</w:t>
            </w:r>
          </w:p>
        </w:tc>
        <w:tc>
          <w:tcPr>
            <w:tcW w:w="50" w:type="pct"/>
            <w:shd w:val="clear" w:color="auto" w:fill="FFFFFF"/>
            <w:vAlign w:val="bottom"/>
            <w:hideMark/>
          </w:tcPr>
          <w:p w14:paraId="48B6788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3B37F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DE3BBF"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DA6D963" w14:textId="77777777" w:rsidR="00000000" w:rsidRDefault="00322B34">
            <w:pPr>
              <w:jc w:val="right"/>
              <w:rPr>
                <w:rFonts w:eastAsia="Times New Roman"/>
                <w:sz w:val="20"/>
                <w:szCs w:val="20"/>
              </w:rPr>
            </w:pPr>
            <w:r>
              <w:rPr>
                <w:rFonts w:eastAsia="Times New Roman"/>
                <w:sz w:val="20"/>
                <w:szCs w:val="20"/>
              </w:rPr>
              <w:t>69,005</w:t>
            </w:r>
          </w:p>
        </w:tc>
        <w:tc>
          <w:tcPr>
            <w:tcW w:w="50" w:type="pct"/>
            <w:shd w:val="clear" w:color="auto" w:fill="FFFFFF"/>
            <w:vAlign w:val="bottom"/>
            <w:hideMark/>
          </w:tcPr>
          <w:p w14:paraId="34EEA45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23CE1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A50C95"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0E0A8FD" w14:textId="77777777" w:rsidR="00000000" w:rsidRDefault="00322B34">
            <w:pPr>
              <w:jc w:val="right"/>
              <w:rPr>
                <w:rFonts w:eastAsia="Times New Roman"/>
                <w:sz w:val="20"/>
                <w:szCs w:val="20"/>
              </w:rPr>
            </w:pPr>
            <w:r>
              <w:rPr>
                <w:rFonts w:eastAsia="Times New Roman"/>
                <w:sz w:val="20"/>
                <w:szCs w:val="20"/>
              </w:rPr>
              <w:t>142,956</w:t>
            </w:r>
          </w:p>
        </w:tc>
        <w:tc>
          <w:tcPr>
            <w:tcW w:w="50" w:type="pct"/>
            <w:shd w:val="clear" w:color="auto" w:fill="FFFFFF"/>
            <w:vAlign w:val="bottom"/>
            <w:hideMark/>
          </w:tcPr>
          <w:p w14:paraId="05BFCB4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E7173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71CB48"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5905523" w14:textId="77777777" w:rsidR="00000000" w:rsidRDefault="00322B34">
            <w:pPr>
              <w:jc w:val="right"/>
              <w:rPr>
                <w:rFonts w:eastAsia="Times New Roman"/>
                <w:sz w:val="20"/>
                <w:szCs w:val="20"/>
              </w:rPr>
            </w:pPr>
            <w:r>
              <w:rPr>
                <w:rFonts w:eastAsia="Times New Roman"/>
                <w:sz w:val="20"/>
                <w:szCs w:val="20"/>
              </w:rPr>
              <w:t>140,566</w:t>
            </w:r>
          </w:p>
        </w:tc>
        <w:tc>
          <w:tcPr>
            <w:tcW w:w="50" w:type="pct"/>
            <w:shd w:val="clear" w:color="auto" w:fill="FFFFFF"/>
            <w:vAlign w:val="bottom"/>
            <w:hideMark/>
          </w:tcPr>
          <w:p w14:paraId="2D1EDA3C" w14:textId="77777777" w:rsidR="00000000" w:rsidRDefault="00322B34">
            <w:pPr>
              <w:rPr>
                <w:rFonts w:eastAsia="Times New Roman"/>
                <w:sz w:val="20"/>
                <w:szCs w:val="20"/>
              </w:rPr>
            </w:pPr>
            <w:r>
              <w:rPr>
                <w:rFonts w:eastAsia="Times New Roman"/>
                <w:sz w:val="20"/>
                <w:szCs w:val="20"/>
              </w:rPr>
              <w:t> </w:t>
            </w:r>
          </w:p>
        </w:tc>
      </w:tr>
      <w:tr w:rsidR="00000000" w14:paraId="19A746C7" w14:textId="77777777">
        <w:trPr>
          <w:tblCellSpacing w:w="0" w:type="dxa"/>
        </w:trPr>
        <w:tc>
          <w:tcPr>
            <w:tcW w:w="0" w:type="auto"/>
            <w:shd w:val="clear" w:color="auto" w:fill="CCEEFF"/>
            <w:vAlign w:val="bottom"/>
            <w:hideMark/>
          </w:tcPr>
          <w:p w14:paraId="095D6D13" w14:textId="77777777" w:rsidR="00000000" w:rsidRDefault="00322B34">
            <w:pPr>
              <w:pStyle w:val="a3"/>
              <w:spacing w:before="0" w:beforeAutospacing="0" w:after="0" w:afterAutospacing="0"/>
              <w:ind w:left="180"/>
              <w:rPr>
                <w:sz w:val="20"/>
                <w:szCs w:val="20"/>
              </w:rPr>
            </w:pPr>
            <w:r>
              <w:rPr>
                <w:sz w:val="20"/>
                <w:szCs w:val="20"/>
              </w:rPr>
              <w:t>Gain on sale of properties</w:t>
            </w:r>
          </w:p>
        </w:tc>
        <w:tc>
          <w:tcPr>
            <w:tcW w:w="50" w:type="pct"/>
            <w:shd w:val="clear" w:color="auto" w:fill="CCEEFF"/>
            <w:vAlign w:val="bottom"/>
            <w:hideMark/>
          </w:tcPr>
          <w:p w14:paraId="602E169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268563"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7D80692" w14:textId="77777777" w:rsidR="00000000" w:rsidRDefault="00322B34">
            <w:pPr>
              <w:jc w:val="right"/>
              <w:rPr>
                <w:rFonts w:eastAsia="Times New Roman"/>
                <w:sz w:val="20"/>
                <w:szCs w:val="20"/>
              </w:rPr>
            </w:pPr>
            <w:r>
              <w:rPr>
                <w:rFonts w:eastAsia="Times New Roman"/>
                <w:sz w:val="20"/>
                <w:szCs w:val="20"/>
              </w:rPr>
              <w:t>(1,850</w:t>
            </w:r>
          </w:p>
        </w:tc>
        <w:tc>
          <w:tcPr>
            <w:tcW w:w="50" w:type="pct"/>
            <w:shd w:val="clear" w:color="auto" w:fill="CCEEFF"/>
            <w:vAlign w:val="bottom"/>
            <w:hideMark/>
          </w:tcPr>
          <w:p w14:paraId="1581068D"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11E51E3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C44F3D"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F20A04B" w14:textId="77777777" w:rsidR="00000000" w:rsidRDefault="00322B34">
            <w:pPr>
              <w:jc w:val="right"/>
              <w:rPr>
                <w:rFonts w:eastAsia="Times New Roman"/>
                <w:sz w:val="20"/>
                <w:szCs w:val="20"/>
              </w:rPr>
            </w:pPr>
            <w:r>
              <w:rPr>
                <w:rFonts w:eastAsia="Times New Roman"/>
                <w:sz w:val="20"/>
                <w:szCs w:val="20"/>
              </w:rPr>
              <w:t>(14,762</w:t>
            </w:r>
          </w:p>
        </w:tc>
        <w:tc>
          <w:tcPr>
            <w:tcW w:w="50" w:type="pct"/>
            <w:shd w:val="clear" w:color="auto" w:fill="CCEEFF"/>
            <w:vAlign w:val="bottom"/>
            <w:hideMark/>
          </w:tcPr>
          <w:p w14:paraId="71B21B82"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58D6484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9ED38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B25F426" w14:textId="77777777" w:rsidR="00000000" w:rsidRDefault="00322B34">
            <w:pPr>
              <w:jc w:val="right"/>
              <w:rPr>
                <w:rFonts w:eastAsia="Times New Roman"/>
                <w:sz w:val="20"/>
                <w:szCs w:val="20"/>
              </w:rPr>
            </w:pPr>
            <w:r>
              <w:rPr>
                <w:rFonts w:eastAsia="Times New Roman"/>
                <w:sz w:val="20"/>
                <w:szCs w:val="20"/>
              </w:rPr>
              <w:t>(5,697</w:t>
            </w:r>
          </w:p>
        </w:tc>
        <w:tc>
          <w:tcPr>
            <w:tcW w:w="50" w:type="pct"/>
            <w:shd w:val="clear" w:color="auto" w:fill="CCEEFF"/>
            <w:vAlign w:val="bottom"/>
            <w:hideMark/>
          </w:tcPr>
          <w:p w14:paraId="7A145DA5"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7A598F4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DA9F3C"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61BB828" w14:textId="77777777" w:rsidR="00000000" w:rsidRDefault="00322B34">
            <w:pPr>
              <w:jc w:val="right"/>
              <w:rPr>
                <w:rFonts w:eastAsia="Times New Roman"/>
                <w:sz w:val="20"/>
                <w:szCs w:val="20"/>
              </w:rPr>
            </w:pPr>
            <w:r>
              <w:rPr>
                <w:rFonts w:eastAsia="Times New Roman"/>
                <w:sz w:val="20"/>
                <w:szCs w:val="20"/>
              </w:rPr>
              <w:t>(38,357</w:t>
            </w:r>
          </w:p>
        </w:tc>
        <w:tc>
          <w:tcPr>
            <w:tcW w:w="50" w:type="pct"/>
            <w:shd w:val="clear" w:color="auto" w:fill="CCEEFF"/>
            <w:vAlign w:val="bottom"/>
            <w:hideMark/>
          </w:tcPr>
          <w:p w14:paraId="0074BDF0" w14:textId="77777777" w:rsidR="00000000" w:rsidRDefault="00322B34">
            <w:pPr>
              <w:rPr>
                <w:rFonts w:eastAsia="Times New Roman"/>
                <w:sz w:val="20"/>
                <w:szCs w:val="20"/>
              </w:rPr>
            </w:pPr>
            <w:r>
              <w:rPr>
                <w:rFonts w:eastAsia="Times New Roman"/>
                <w:sz w:val="20"/>
                <w:szCs w:val="20"/>
              </w:rPr>
              <w:t>)</w:t>
            </w:r>
          </w:p>
        </w:tc>
      </w:tr>
      <w:tr w:rsidR="00000000" w14:paraId="090840F0" w14:textId="77777777">
        <w:trPr>
          <w:tblCellSpacing w:w="0" w:type="dxa"/>
        </w:trPr>
        <w:tc>
          <w:tcPr>
            <w:tcW w:w="0" w:type="auto"/>
            <w:shd w:val="clear" w:color="auto" w:fill="FFFFFF"/>
            <w:vAlign w:val="bottom"/>
            <w:hideMark/>
          </w:tcPr>
          <w:p w14:paraId="415308AD" w14:textId="77777777" w:rsidR="00000000" w:rsidRDefault="00322B34">
            <w:pPr>
              <w:pStyle w:val="a3"/>
              <w:spacing w:before="0" w:beforeAutospacing="0" w:after="0" w:afterAutospacing="0"/>
              <w:ind w:left="180"/>
              <w:rPr>
                <w:sz w:val="20"/>
                <w:szCs w:val="20"/>
              </w:rPr>
            </w:pPr>
            <w:r>
              <w:rPr>
                <w:sz w:val="20"/>
                <w:szCs w:val="20"/>
              </w:rPr>
              <w:t>Interest and other expense, net</w:t>
            </w:r>
          </w:p>
        </w:tc>
        <w:tc>
          <w:tcPr>
            <w:tcW w:w="50" w:type="pct"/>
            <w:shd w:val="clear" w:color="auto" w:fill="FFFFFF"/>
            <w:vAlign w:val="bottom"/>
            <w:hideMark/>
          </w:tcPr>
          <w:p w14:paraId="2980A5A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60073B"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A023D2C" w14:textId="77777777" w:rsidR="00000000" w:rsidRDefault="00322B34">
            <w:pPr>
              <w:jc w:val="right"/>
              <w:rPr>
                <w:rFonts w:eastAsia="Times New Roman"/>
                <w:sz w:val="20"/>
                <w:szCs w:val="20"/>
              </w:rPr>
            </w:pPr>
            <w:r>
              <w:rPr>
                <w:rFonts w:eastAsia="Times New Roman"/>
                <w:sz w:val="20"/>
                <w:szCs w:val="20"/>
              </w:rPr>
              <w:t>47,966</w:t>
            </w:r>
          </w:p>
        </w:tc>
        <w:tc>
          <w:tcPr>
            <w:tcW w:w="50" w:type="pct"/>
            <w:shd w:val="clear" w:color="auto" w:fill="FFFFFF"/>
            <w:vAlign w:val="bottom"/>
            <w:hideMark/>
          </w:tcPr>
          <w:p w14:paraId="52F1998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9C848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94DB6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DB1C645" w14:textId="77777777" w:rsidR="00000000" w:rsidRDefault="00322B34">
            <w:pPr>
              <w:jc w:val="right"/>
              <w:rPr>
                <w:rFonts w:eastAsia="Times New Roman"/>
                <w:sz w:val="20"/>
                <w:szCs w:val="20"/>
              </w:rPr>
            </w:pPr>
            <w:r>
              <w:rPr>
                <w:rFonts w:eastAsia="Times New Roman"/>
                <w:sz w:val="20"/>
                <w:szCs w:val="20"/>
              </w:rPr>
              <w:t>42,230</w:t>
            </w:r>
          </w:p>
        </w:tc>
        <w:tc>
          <w:tcPr>
            <w:tcW w:w="50" w:type="pct"/>
            <w:shd w:val="clear" w:color="auto" w:fill="FFFFFF"/>
            <w:vAlign w:val="bottom"/>
            <w:hideMark/>
          </w:tcPr>
          <w:p w14:paraId="28104CB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5ACD1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7A93F7"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B8B55CD" w14:textId="77777777" w:rsidR="00000000" w:rsidRDefault="00322B34">
            <w:pPr>
              <w:jc w:val="right"/>
              <w:rPr>
                <w:rFonts w:eastAsia="Times New Roman"/>
                <w:sz w:val="20"/>
                <w:szCs w:val="20"/>
              </w:rPr>
            </w:pPr>
            <w:r>
              <w:rPr>
                <w:rFonts w:eastAsia="Times New Roman"/>
                <w:sz w:val="20"/>
                <w:szCs w:val="20"/>
              </w:rPr>
              <w:t>92,782</w:t>
            </w:r>
          </w:p>
        </w:tc>
        <w:tc>
          <w:tcPr>
            <w:tcW w:w="50" w:type="pct"/>
            <w:shd w:val="clear" w:color="auto" w:fill="FFFFFF"/>
            <w:vAlign w:val="bottom"/>
            <w:hideMark/>
          </w:tcPr>
          <w:p w14:paraId="3B67890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01303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A41AF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8ABD6F7" w14:textId="77777777" w:rsidR="00000000" w:rsidRDefault="00322B34">
            <w:pPr>
              <w:jc w:val="right"/>
              <w:rPr>
                <w:rFonts w:eastAsia="Times New Roman"/>
                <w:sz w:val="20"/>
                <w:szCs w:val="20"/>
              </w:rPr>
            </w:pPr>
            <w:r>
              <w:rPr>
                <w:rFonts w:eastAsia="Times New Roman"/>
                <w:sz w:val="20"/>
                <w:szCs w:val="20"/>
              </w:rPr>
              <w:t>85,506</w:t>
            </w:r>
          </w:p>
        </w:tc>
        <w:tc>
          <w:tcPr>
            <w:tcW w:w="50" w:type="pct"/>
            <w:shd w:val="clear" w:color="auto" w:fill="FFFFFF"/>
            <w:vAlign w:val="bottom"/>
            <w:hideMark/>
          </w:tcPr>
          <w:p w14:paraId="53629C05" w14:textId="77777777" w:rsidR="00000000" w:rsidRDefault="00322B34">
            <w:pPr>
              <w:rPr>
                <w:rFonts w:eastAsia="Times New Roman"/>
                <w:sz w:val="20"/>
                <w:szCs w:val="20"/>
              </w:rPr>
            </w:pPr>
            <w:r>
              <w:rPr>
                <w:rFonts w:eastAsia="Times New Roman"/>
                <w:sz w:val="20"/>
                <w:szCs w:val="20"/>
              </w:rPr>
              <w:t> </w:t>
            </w:r>
          </w:p>
        </w:tc>
      </w:tr>
      <w:tr w:rsidR="00000000" w14:paraId="7B0423A3" w14:textId="77777777">
        <w:trPr>
          <w:tblCellSpacing w:w="0" w:type="dxa"/>
        </w:trPr>
        <w:tc>
          <w:tcPr>
            <w:tcW w:w="0" w:type="auto"/>
            <w:shd w:val="clear" w:color="auto" w:fill="CCEEFF"/>
            <w:vAlign w:val="bottom"/>
            <w:hideMark/>
          </w:tcPr>
          <w:p w14:paraId="1CAFF7DA" w14:textId="77777777" w:rsidR="00000000" w:rsidRDefault="00322B34">
            <w:pPr>
              <w:pStyle w:val="a3"/>
              <w:spacing w:before="0" w:beforeAutospacing="0" w:after="0" w:afterAutospacing="0"/>
              <w:ind w:left="180"/>
              <w:rPr>
                <w:sz w:val="20"/>
                <w:szCs w:val="20"/>
              </w:rPr>
            </w:pPr>
            <w:r>
              <w:rPr>
                <w:sz w:val="20"/>
                <w:szCs w:val="20"/>
              </w:rPr>
              <w:t>Gain on marketable securities, net</w:t>
            </w:r>
          </w:p>
        </w:tc>
        <w:tc>
          <w:tcPr>
            <w:tcW w:w="50" w:type="pct"/>
            <w:shd w:val="clear" w:color="auto" w:fill="CCEEFF"/>
            <w:vAlign w:val="bottom"/>
            <w:hideMark/>
          </w:tcPr>
          <w:p w14:paraId="25C436A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721B1B"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B86C49B" w14:textId="77777777" w:rsidR="00000000" w:rsidRDefault="00322B34">
            <w:pPr>
              <w:jc w:val="right"/>
              <w:rPr>
                <w:rFonts w:eastAsia="Times New Roman"/>
                <w:sz w:val="20"/>
                <w:szCs w:val="20"/>
              </w:rPr>
            </w:pPr>
            <w:r>
              <w:rPr>
                <w:rFonts w:eastAsia="Times New Roman"/>
                <w:sz w:val="20"/>
                <w:szCs w:val="20"/>
              </w:rPr>
              <w:t>(526,243</w:t>
            </w:r>
          </w:p>
        </w:tc>
        <w:tc>
          <w:tcPr>
            <w:tcW w:w="50" w:type="pct"/>
            <w:shd w:val="clear" w:color="auto" w:fill="CCEEFF"/>
            <w:vAlign w:val="bottom"/>
            <w:hideMark/>
          </w:tcPr>
          <w:p w14:paraId="7C315A6D"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0C670C0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440DF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5D90F95" w14:textId="77777777" w:rsidR="00000000" w:rsidRDefault="00322B34">
            <w:pPr>
              <w:jc w:val="right"/>
              <w:rPr>
                <w:rFonts w:eastAsia="Times New Roman"/>
                <w:sz w:val="20"/>
                <w:szCs w:val="20"/>
              </w:rPr>
            </w:pPr>
            <w:r>
              <w:rPr>
                <w:rFonts w:eastAsia="Times New Roman"/>
                <w:sz w:val="20"/>
                <w:szCs w:val="20"/>
              </w:rPr>
              <w:t>(71</w:t>
            </w:r>
          </w:p>
        </w:tc>
        <w:tc>
          <w:tcPr>
            <w:tcW w:w="50" w:type="pct"/>
            <w:shd w:val="clear" w:color="auto" w:fill="CCEEFF"/>
            <w:vAlign w:val="bottom"/>
            <w:hideMark/>
          </w:tcPr>
          <w:p w14:paraId="43377FDA"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433094E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CE33EC"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6AAA6D2" w14:textId="77777777" w:rsidR="00000000" w:rsidRDefault="00322B34">
            <w:pPr>
              <w:jc w:val="right"/>
              <w:rPr>
                <w:rFonts w:eastAsia="Times New Roman"/>
                <w:sz w:val="20"/>
                <w:szCs w:val="20"/>
              </w:rPr>
            </w:pPr>
            <w:r>
              <w:rPr>
                <w:rFonts w:eastAsia="Times New Roman"/>
                <w:sz w:val="20"/>
                <w:szCs w:val="20"/>
              </w:rPr>
              <w:t>(521,577</w:t>
            </w:r>
          </w:p>
        </w:tc>
        <w:tc>
          <w:tcPr>
            <w:tcW w:w="50" w:type="pct"/>
            <w:shd w:val="clear" w:color="auto" w:fill="CCEEFF"/>
            <w:vAlign w:val="bottom"/>
            <w:hideMark/>
          </w:tcPr>
          <w:p w14:paraId="4BCEA812"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521295F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0F7C32"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31C59BD" w14:textId="77777777" w:rsidR="00000000" w:rsidRDefault="00322B34">
            <w:pPr>
              <w:jc w:val="right"/>
              <w:rPr>
                <w:rFonts w:eastAsia="Times New Roman"/>
                <w:sz w:val="20"/>
                <w:szCs w:val="20"/>
              </w:rPr>
            </w:pPr>
            <w:r>
              <w:rPr>
                <w:rFonts w:eastAsia="Times New Roman"/>
                <w:sz w:val="20"/>
                <w:szCs w:val="20"/>
              </w:rPr>
              <w:t>(1,574</w:t>
            </w:r>
          </w:p>
        </w:tc>
        <w:tc>
          <w:tcPr>
            <w:tcW w:w="50" w:type="pct"/>
            <w:shd w:val="clear" w:color="auto" w:fill="CCEEFF"/>
            <w:vAlign w:val="bottom"/>
            <w:hideMark/>
          </w:tcPr>
          <w:p w14:paraId="11AB7DC2" w14:textId="77777777" w:rsidR="00000000" w:rsidRDefault="00322B34">
            <w:pPr>
              <w:rPr>
                <w:rFonts w:eastAsia="Times New Roman"/>
                <w:sz w:val="20"/>
                <w:szCs w:val="20"/>
              </w:rPr>
            </w:pPr>
            <w:r>
              <w:rPr>
                <w:rFonts w:eastAsia="Times New Roman"/>
                <w:sz w:val="20"/>
                <w:szCs w:val="20"/>
              </w:rPr>
              <w:t>)</w:t>
            </w:r>
          </w:p>
        </w:tc>
      </w:tr>
      <w:tr w:rsidR="00000000" w14:paraId="33FB51F7" w14:textId="77777777">
        <w:trPr>
          <w:tblCellSpacing w:w="0" w:type="dxa"/>
        </w:trPr>
        <w:tc>
          <w:tcPr>
            <w:tcW w:w="0" w:type="auto"/>
            <w:shd w:val="clear" w:color="auto" w:fill="FFFFFF"/>
            <w:vAlign w:val="bottom"/>
            <w:hideMark/>
          </w:tcPr>
          <w:p w14:paraId="68D80BD7" w14:textId="77777777" w:rsidR="00000000" w:rsidRDefault="00322B34">
            <w:pPr>
              <w:pStyle w:val="a3"/>
              <w:spacing w:before="0" w:beforeAutospacing="0" w:after="0" w:afterAutospacing="0"/>
              <w:ind w:left="180"/>
              <w:rPr>
                <w:sz w:val="20"/>
                <w:szCs w:val="20"/>
              </w:rPr>
            </w:pPr>
            <w:r>
              <w:rPr>
                <w:sz w:val="20"/>
                <w:szCs w:val="20"/>
              </w:rPr>
              <w:t>Gain on sale of cost method investment</w:t>
            </w:r>
          </w:p>
        </w:tc>
        <w:tc>
          <w:tcPr>
            <w:tcW w:w="50" w:type="pct"/>
            <w:shd w:val="clear" w:color="auto" w:fill="FFFFFF"/>
            <w:vAlign w:val="bottom"/>
            <w:hideMark/>
          </w:tcPr>
          <w:p w14:paraId="434B190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0C579F"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B8A3112" w14:textId="77777777" w:rsidR="00000000" w:rsidRDefault="00322B34">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14:paraId="7F897639"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57895E1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EC9704"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E6A406E"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D369CD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2BDEF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16658E"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742C3AB" w14:textId="77777777" w:rsidR="00000000" w:rsidRDefault="00322B34">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14:paraId="77592ABE"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32C9C0F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FDC7C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2E638FF"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5255358" w14:textId="77777777" w:rsidR="00000000" w:rsidRDefault="00322B34">
            <w:pPr>
              <w:rPr>
                <w:rFonts w:eastAsia="Times New Roman"/>
                <w:sz w:val="20"/>
                <w:szCs w:val="20"/>
              </w:rPr>
            </w:pPr>
            <w:r>
              <w:rPr>
                <w:rFonts w:eastAsia="Times New Roman"/>
                <w:sz w:val="20"/>
                <w:szCs w:val="20"/>
              </w:rPr>
              <w:t> </w:t>
            </w:r>
          </w:p>
        </w:tc>
      </w:tr>
      <w:tr w:rsidR="00000000" w14:paraId="46CE0919" w14:textId="77777777">
        <w:trPr>
          <w:tblCellSpacing w:w="0" w:type="dxa"/>
        </w:trPr>
        <w:tc>
          <w:tcPr>
            <w:tcW w:w="0" w:type="auto"/>
            <w:shd w:val="clear" w:color="auto" w:fill="CCEEFF"/>
            <w:vAlign w:val="bottom"/>
            <w:hideMark/>
          </w:tcPr>
          <w:p w14:paraId="4B843DAE" w14:textId="77777777" w:rsidR="00000000" w:rsidRDefault="00322B34">
            <w:pPr>
              <w:pStyle w:val="a3"/>
              <w:spacing w:before="0" w:beforeAutospacing="0" w:after="0" w:afterAutospacing="0"/>
              <w:ind w:left="180"/>
              <w:rPr>
                <w:sz w:val="20"/>
                <w:szCs w:val="20"/>
              </w:rPr>
            </w:pPr>
            <w:r>
              <w:rPr>
                <w:sz w:val="20"/>
                <w:szCs w:val="20"/>
              </w:rPr>
              <w:t>Provision/(benefit) for income taxes, net</w:t>
            </w:r>
          </w:p>
        </w:tc>
        <w:tc>
          <w:tcPr>
            <w:tcW w:w="50" w:type="pct"/>
            <w:shd w:val="clear" w:color="auto" w:fill="CCEEFF"/>
            <w:vAlign w:val="bottom"/>
            <w:hideMark/>
          </w:tcPr>
          <w:p w14:paraId="2B3F2AF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5FBE50"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114DD93" w14:textId="77777777" w:rsidR="00000000" w:rsidRDefault="00322B34">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14:paraId="58853A6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1F424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3DD5EF"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B452A9C" w14:textId="77777777" w:rsidR="00000000" w:rsidRDefault="00322B34">
            <w:pPr>
              <w:jc w:val="right"/>
              <w:rPr>
                <w:rFonts w:eastAsia="Times New Roman"/>
                <w:sz w:val="20"/>
                <w:szCs w:val="20"/>
              </w:rPr>
            </w:pPr>
            <w:r>
              <w:rPr>
                <w:rFonts w:eastAsia="Times New Roman"/>
                <w:sz w:val="20"/>
                <w:szCs w:val="20"/>
              </w:rPr>
              <w:t>(344</w:t>
            </w:r>
          </w:p>
        </w:tc>
        <w:tc>
          <w:tcPr>
            <w:tcW w:w="50" w:type="pct"/>
            <w:shd w:val="clear" w:color="auto" w:fill="CCEEFF"/>
            <w:vAlign w:val="bottom"/>
            <w:hideMark/>
          </w:tcPr>
          <w:p w14:paraId="47807505"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26160C3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DEA9A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71FADE3" w14:textId="77777777" w:rsidR="00000000" w:rsidRDefault="00322B34">
            <w:pPr>
              <w:jc w:val="right"/>
              <w:rPr>
                <w:rFonts w:eastAsia="Times New Roman"/>
                <w:sz w:val="20"/>
                <w:szCs w:val="20"/>
              </w:rPr>
            </w:pPr>
            <w:r>
              <w:rPr>
                <w:rFonts w:eastAsia="Times New Roman"/>
                <w:sz w:val="20"/>
                <w:szCs w:val="20"/>
              </w:rPr>
              <w:t>94</w:t>
            </w:r>
          </w:p>
        </w:tc>
        <w:tc>
          <w:tcPr>
            <w:tcW w:w="50" w:type="pct"/>
            <w:shd w:val="clear" w:color="auto" w:fill="CCEEFF"/>
            <w:vAlign w:val="bottom"/>
            <w:hideMark/>
          </w:tcPr>
          <w:p w14:paraId="355E89C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D74BA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7D9199"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84744D7" w14:textId="77777777" w:rsidR="00000000" w:rsidRDefault="00322B34">
            <w:pPr>
              <w:jc w:val="right"/>
              <w:rPr>
                <w:rFonts w:eastAsia="Times New Roman"/>
                <w:sz w:val="20"/>
                <w:szCs w:val="20"/>
              </w:rPr>
            </w:pPr>
            <w:r>
              <w:rPr>
                <w:rFonts w:eastAsia="Times New Roman"/>
                <w:sz w:val="20"/>
                <w:szCs w:val="20"/>
              </w:rPr>
              <w:t>286</w:t>
            </w:r>
          </w:p>
        </w:tc>
        <w:tc>
          <w:tcPr>
            <w:tcW w:w="50" w:type="pct"/>
            <w:shd w:val="clear" w:color="auto" w:fill="CCEEFF"/>
            <w:vAlign w:val="bottom"/>
            <w:hideMark/>
          </w:tcPr>
          <w:p w14:paraId="7128D707" w14:textId="77777777" w:rsidR="00000000" w:rsidRDefault="00322B34">
            <w:pPr>
              <w:rPr>
                <w:rFonts w:eastAsia="Times New Roman"/>
                <w:sz w:val="20"/>
                <w:szCs w:val="20"/>
              </w:rPr>
            </w:pPr>
            <w:r>
              <w:rPr>
                <w:rFonts w:eastAsia="Times New Roman"/>
                <w:sz w:val="20"/>
                <w:szCs w:val="20"/>
              </w:rPr>
              <w:t> </w:t>
            </w:r>
          </w:p>
        </w:tc>
      </w:tr>
      <w:tr w:rsidR="00000000" w14:paraId="5788FAA8" w14:textId="77777777">
        <w:trPr>
          <w:tblCellSpacing w:w="0" w:type="dxa"/>
        </w:trPr>
        <w:tc>
          <w:tcPr>
            <w:tcW w:w="0" w:type="auto"/>
            <w:shd w:val="clear" w:color="auto" w:fill="FFFFFF"/>
            <w:vAlign w:val="bottom"/>
            <w:hideMark/>
          </w:tcPr>
          <w:p w14:paraId="693FF11A" w14:textId="77777777" w:rsidR="00000000" w:rsidRDefault="00322B34">
            <w:pPr>
              <w:pStyle w:val="a3"/>
              <w:spacing w:before="0" w:beforeAutospacing="0" w:after="0" w:afterAutospacing="0"/>
              <w:ind w:left="180"/>
              <w:rPr>
                <w:sz w:val="20"/>
                <w:szCs w:val="20"/>
              </w:rPr>
            </w:pPr>
            <w:r>
              <w:rPr>
                <w:sz w:val="20"/>
                <w:szCs w:val="20"/>
              </w:rPr>
              <w:t>Equity in income of other real estate investments, net</w:t>
            </w:r>
          </w:p>
        </w:tc>
        <w:tc>
          <w:tcPr>
            <w:tcW w:w="50" w:type="pct"/>
            <w:shd w:val="clear" w:color="auto" w:fill="FFFFFF"/>
            <w:vAlign w:val="bottom"/>
            <w:hideMark/>
          </w:tcPr>
          <w:p w14:paraId="5511574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4EEB2F"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FA1251F" w14:textId="77777777" w:rsidR="00000000" w:rsidRDefault="00322B34">
            <w:pPr>
              <w:jc w:val="right"/>
              <w:rPr>
                <w:rFonts w:eastAsia="Times New Roman"/>
                <w:sz w:val="20"/>
                <w:szCs w:val="20"/>
              </w:rPr>
            </w:pPr>
            <w:r>
              <w:rPr>
                <w:rFonts w:eastAsia="Times New Roman"/>
                <w:sz w:val="20"/>
                <w:szCs w:val="20"/>
              </w:rPr>
              <w:t>(4,782</w:t>
            </w:r>
          </w:p>
        </w:tc>
        <w:tc>
          <w:tcPr>
            <w:tcW w:w="50" w:type="pct"/>
            <w:shd w:val="clear" w:color="auto" w:fill="FFFFFF"/>
            <w:vAlign w:val="bottom"/>
            <w:hideMark/>
          </w:tcPr>
          <w:p w14:paraId="3419CED5"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5D20A08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BB9BD5"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3562215" w14:textId="77777777" w:rsidR="00000000" w:rsidRDefault="00322B34">
            <w:pPr>
              <w:jc w:val="right"/>
              <w:rPr>
                <w:rFonts w:eastAsia="Times New Roman"/>
                <w:sz w:val="20"/>
                <w:szCs w:val="20"/>
              </w:rPr>
            </w:pPr>
            <w:r>
              <w:rPr>
                <w:rFonts w:eastAsia="Times New Roman"/>
                <w:sz w:val="20"/>
                <w:szCs w:val="20"/>
              </w:rPr>
              <w:t>(13,269</w:t>
            </w:r>
          </w:p>
        </w:tc>
        <w:tc>
          <w:tcPr>
            <w:tcW w:w="50" w:type="pct"/>
            <w:shd w:val="clear" w:color="auto" w:fill="FFFFFF"/>
            <w:vAlign w:val="bottom"/>
            <w:hideMark/>
          </w:tcPr>
          <w:p w14:paraId="1A664218"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60024A9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F55634"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8F8FBAF" w14:textId="77777777" w:rsidR="00000000" w:rsidRDefault="00322B34">
            <w:pPr>
              <w:jc w:val="right"/>
              <w:rPr>
                <w:rFonts w:eastAsia="Times New Roman"/>
                <w:sz w:val="20"/>
                <w:szCs w:val="20"/>
              </w:rPr>
            </w:pPr>
            <w:r>
              <w:rPr>
                <w:rFonts w:eastAsia="Times New Roman"/>
                <w:sz w:val="20"/>
                <w:szCs w:val="20"/>
              </w:rPr>
              <w:t>(15,740</w:t>
            </w:r>
          </w:p>
        </w:tc>
        <w:tc>
          <w:tcPr>
            <w:tcW w:w="50" w:type="pct"/>
            <w:shd w:val="clear" w:color="auto" w:fill="FFFFFF"/>
            <w:vAlign w:val="bottom"/>
            <w:hideMark/>
          </w:tcPr>
          <w:p w14:paraId="72DC268A" w14:textId="77777777" w:rsidR="00000000" w:rsidRDefault="00322B34">
            <w:pPr>
              <w:rPr>
                <w:rFonts w:eastAsia="Times New Roman"/>
                <w:sz w:val="20"/>
                <w:szCs w:val="20"/>
              </w:rPr>
            </w:pPr>
            <w:r>
              <w:rPr>
                <w:rFonts w:eastAsia="Times New Roman"/>
                <w:sz w:val="20"/>
                <w:szCs w:val="20"/>
              </w:rPr>
              <w:t>)</w:t>
            </w:r>
          </w:p>
        </w:tc>
        <w:tc>
          <w:tcPr>
            <w:tcW w:w="50" w:type="pct"/>
            <w:shd w:val="clear" w:color="auto" w:fill="FFFFFF"/>
            <w:vAlign w:val="bottom"/>
            <w:hideMark/>
          </w:tcPr>
          <w:p w14:paraId="02BF5E4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9114ED"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2DC8BFD" w14:textId="77777777" w:rsidR="00000000" w:rsidRDefault="00322B34">
            <w:pPr>
              <w:jc w:val="right"/>
              <w:rPr>
                <w:rFonts w:eastAsia="Times New Roman"/>
                <w:sz w:val="20"/>
                <w:szCs w:val="20"/>
              </w:rPr>
            </w:pPr>
            <w:r>
              <w:rPr>
                <w:rFonts w:eastAsia="Times New Roman"/>
                <w:sz w:val="20"/>
                <w:szCs w:val="20"/>
              </w:rPr>
              <w:t>(19,493</w:t>
            </w:r>
          </w:p>
        </w:tc>
        <w:tc>
          <w:tcPr>
            <w:tcW w:w="50" w:type="pct"/>
            <w:shd w:val="clear" w:color="auto" w:fill="FFFFFF"/>
            <w:vAlign w:val="bottom"/>
            <w:hideMark/>
          </w:tcPr>
          <w:p w14:paraId="31F322C0" w14:textId="77777777" w:rsidR="00000000" w:rsidRDefault="00322B34">
            <w:pPr>
              <w:rPr>
                <w:rFonts w:eastAsia="Times New Roman"/>
                <w:sz w:val="20"/>
                <w:szCs w:val="20"/>
              </w:rPr>
            </w:pPr>
            <w:r>
              <w:rPr>
                <w:rFonts w:eastAsia="Times New Roman"/>
                <w:sz w:val="20"/>
                <w:szCs w:val="20"/>
              </w:rPr>
              <w:t>)</w:t>
            </w:r>
          </w:p>
        </w:tc>
      </w:tr>
      <w:tr w:rsidR="00000000" w14:paraId="276ACD7D" w14:textId="77777777">
        <w:trPr>
          <w:tblCellSpacing w:w="0" w:type="dxa"/>
        </w:trPr>
        <w:tc>
          <w:tcPr>
            <w:tcW w:w="0" w:type="auto"/>
            <w:shd w:val="clear" w:color="auto" w:fill="CCEEFF"/>
            <w:vAlign w:val="bottom"/>
            <w:hideMark/>
          </w:tcPr>
          <w:p w14:paraId="3D04DDAB" w14:textId="77777777" w:rsidR="00000000" w:rsidRDefault="00322B34">
            <w:pPr>
              <w:pStyle w:val="a3"/>
              <w:spacing w:before="0" w:beforeAutospacing="0" w:after="0" w:afterAutospacing="0"/>
              <w:ind w:left="180"/>
              <w:rPr>
                <w:sz w:val="20"/>
                <w:szCs w:val="20"/>
              </w:rPr>
            </w:pPr>
            <w:r>
              <w:rPr>
                <w:sz w:val="20"/>
                <w:szCs w:val="20"/>
              </w:rPr>
              <w:t>Net income attributable to noncontrolling interests</w:t>
            </w:r>
          </w:p>
        </w:tc>
        <w:tc>
          <w:tcPr>
            <w:tcW w:w="50" w:type="pct"/>
            <w:shd w:val="clear" w:color="auto" w:fill="CCEEFF"/>
            <w:vAlign w:val="bottom"/>
            <w:hideMark/>
          </w:tcPr>
          <w:p w14:paraId="7EB8AC6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BAEFF8"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794BD02" w14:textId="77777777" w:rsidR="00000000" w:rsidRDefault="00322B34">
            <w:pPr>
              <w:jc w:val="right"/>
              <w:rPr>
                <w:rFonts w:eastAsia="Times New Roman"/>
                <w:sz w:val="20"/>
                <w:szCs w:val="20"/>
              </w:rPr>
            </w:pPr>
            <w:r>
              <w:rPr>
                <w:rFonts w:eastAsia="Times New Roman"/>
                <w:sz w:val="20"/>
                <w:szCs w:val="20"/>
              </w:rPr>
              <w:t>225</w:t>
            </w:r>
          </w:p>
        </w:tc>
        <w:tc>
          <w:tcPr>
            <w:tcW w:w="50" w:type="pct"/>
            <w:shd w:val="clear" w:color="auto" w:fill="CCEEFF"/>
            <w:vAlign w:val="bottom"/>
            <w:hideMark/>
          </w:tcPr>
          <w:p w14:paraId="0023CD3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85A35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D8C01D"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B4EE988" w14:textId="77777777" w:rsidR="00000000" w:rsidRDefault="00322B34">
            <w:pPr>
              <w:jc w:val="right"/>
              <w:rPr>
                <w:rFonts w:eastAsia="Times New Roman"/>
                <w:sz w:val="20"/>
                <w:szCs w:val="20"/>
              </w:rPr>
            </w:pPr>
            <w:r>
              <w:rPr>
                <w:rFonts w:eastAsia="Times New Roman"/>
                <w:sz w:val="20"/>
                <w:szCs w:val="20"/>
              </w:rPr>
              <w:t>360</w:t>
            </w:r>
          </w:p>
        </w:tc>
        <w:tc>
          <w:tcPr>
            <w:tcW w:w="50" w:type="pct"/>
            <w:shd w:val="clear" w:color="auto" w:fill="CCEEFF"/>
            <w:vAlign w:val="bottom"/>
            <w:hideMark/>
          </w:tcPr>
          <w:p w14:paraId="2D61EDC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ECEB2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05FF8D"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D298988" w14:textId="77777777" w:rsidR="00000000" w:rsidRDefault="00322B34">
            <w:pPr>
              <w:jc w:val="right"/>
              <w:rPr>
                <w:rFonts w:eastAsia="Times New Roman"/>
                <w:sz w:val="20"/>
                <w:szCs w:val="20"/>
              </w:rPr>
            </w:pPr>
            <w:r>
              <w:rPr>
                <w:rFonts w:eastAsia="Times New Roman"/>
                <w:sz w:val="20"/>
                <w:szCs w:val="20"/>
              </w:rPr>
              <w:t>514</w:t>
            </w:r>
          </w:p>
        </w:tc>
        <w:tc>
          <w:tcPr>
            <w:tcW w:w="50" w:type="pct"/>
            <w:shd w:val="clear" w:color="auto" w:fill="CCEEFF"/>
            <w:vAlign w:val="bottom"/>
            <w:hideMark/>
          </w:tcPr>
          <w:p w14:paraId="4D8E00E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C6216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FBFA5A"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FC046A9" w14:textId="77777777" w:rsidR="00000000" w:rsidRDefault="00322B34">
            <w:pPr>
              <w:jc w:val="right"/>
              <w:rPr>
                <w:rFonts w:eastAsia="Times New Roman"/>
                <w:sz w:val="20"/>
                <w:szCs w:val="20"/>
              </w:rPr>
            </w:pPr>
            <w:r>
              <w:rPr>
                <w:rFonts w:eastAsia="Times New Roman"/>
                <w:sz w:val="20"/>
                <w:szCs w:val="20"/>
              </w:rPr>
              <w:t>869</w:t>
            </w:r>
          </w:p>
        </w:tc>
        <w:tc>
          <w:tcPr>
            <w:tcW w:w="50" w:type="pct"/>
            <w:shd w:val="clear" w:color="auto" w:fill="CCEEFF"/>
            <w:vAlign w:val="bottom"/>
            <w:hideMark/>
          </w:tcPr>
          <w:p w14:paraId="5E636D73" w14:textId="77777777" w:rsidR="00000000" w:rsidRDefault="00322B34">
            <w:pPr>
              <w:rPr>
                <w:rFonts w:eastAsia="Times New Roman"/>
                <w:sz w:val="20"/>
                <w:szCs w:val="20"/>
              </w:rPr>
            </w:pPr>
            <w:r>
              <w:rPr>
                <w:rFonts w:eastAsia="Times New Roman"/>
                <w:sz w:val="20"/>
                <w:szCs w:val="20"/>
              </w:rPr>
              <w:t> </w:t>
            </w:r>
          </w:p>
        </w:tc>
      </w:tr>
      <w:tr w:rsidR="00000000" w14:paraId="17A00104" w14:textId="77777777">
        <w:trPr>
          <w:tblCellSpacing w:w="0" w:type="dxa"/>
        </w:trPr>
        <w:tc>
          <w:tcPr>
            <w:tcW w:w="0" w:type="auto"/>
            <w:shd w:val="clear" w:color="auto" w:fill="FFFFFF"/>
            <w:vAlign w:val="bottom"/>
            <w:hideMark/>
          </w:tcPr>
          <w:p w14:paraId="4759FFCA" w14:textId="77777777" w:rsidR="00000000" w:rsidRDefault="00322B34">
            <w:pPr>
              <w:pStyle w:val="a3"/>
              <w:spacing w:before="0" w:beforeAutospacing="0" w:after="0" w:afterAutospacing="0"/>
              <w:ind w:left="180"/>
              <w:rPr>
                <w:sz w:val="20"/>
                <w:szCs w:val="20"/>
              </w:rPr>
            </w:pPr>
            <w:r>
              <w:rPr>
                <w:sz w:val="20"/>
                <w:szCs w:val="20"/>
              </w:rPr>
              <w:t>Preferred dividends</w:t>
            </w:r>
          </w:p>
        </w:tc>
        <w:tc>
          <w:tcPr>
            <w:tcW w:w="50" w:type="pct"/>
            <w:shd w:val="clear" w:color="auto" w:fill="FFFFFF"/>
            <w:vAlign w:val="bottom"/>
            <w:hideMark/>
          </w:tcPr>
          <w:p w14:paraId="62B6B7E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B9283B"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8490BB7" w14:textId="77777777" w:rsidR="00000000" w:rsidRDefault="00322B34">
            <w:pPr>
              <w:jc w:val="right"/>
              <w:rPr>
                <w:rFonts w:eastAsia="Times New Roman"/>
                <w:sz w:val="20"/>
                <w:szCs w:val="20"/>
              </w:rPr>
            </w:pPr>
            <w:r>
              <w:rPr>
                <w:rFonts w:eastAsia="Times New Roman"/>
                <w:sz w:val="20"/>
                <w:szCs w:val="20"/>
              </w:rPr>
              <w:t>6,354</w:t>
            </w:r>
          </w:p>
        </w:tc>
        <w:tc>
          <w:tcPr>
            <w:tcW w:w="50" w:type="pct"/>
            <w:shd w:val="clear" w:color="auto" w:fill="FFFFFF"/>
            <w:vAlign w:val="bottom"/>
            <w:hideMark/>
          </w:tcPr>
          <w:p w14:paraId="055352B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99B54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CD8EAF"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7E7BA7F" w14:textId="77777777" w:rsidR="00000000" w:rsidRDefault="00322B34">
            <w:pPr>
              <w:jc w:val="right"/>
              <w:rPr>
                <w:rFonts w:eastAsia="Times New Roman"/>
                <w:sz w:val="20"/>
                <w:szCs w:val="20"/>
              </w:rPr>
            </w:pPr>
            <w:r>
              <w:rPr>
                <w:rFonts w:eastAsia="Times New Roman"/>
                <w:sz w:val="20"/>
                <w:szCs w:val="20"/>
              </w:rPr>
              <w:t>14,534</w:t>
            </w:r>
          </w:p>
        </w:tc>
        <w:tc>
          <w:tcPr>
            <w:tcW w:w="50" w:type="pct"/>
            <w:shd w:val="clear" w:color="auto" w:fill="FFFFFF"/>
            <w:vAlign w:val="bottom"/>
            <w:hideMark/>
          </w:tcPr>
          <w:p w14:paraId="1FEA7BC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9B020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AA32CB"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66B6492" w14:textId="77777777" w:rsidR="00000000" w:rsidRDefault="00322B34">
            <w:pPr>
              <w:jc w:val="right"/>
              <w:rPr>
                <w:rFonts w:eastAsia="Times New Roman"/>
                <w:sz w:val="20"/>
                <w:szCs w:val="20"/>
              </w:rPr>
            </w:pPr>
            <w:r>
              <w:rPr>
                <w:rFonts w:eastAsia="Times New Roman"/>
                <w:sz w:val="20"/>
                <w:szCs w:val="20"/>
              </w:rPr>
              <w:t>12,708</w:t>
            </w:r>
          </w:p>
        </w:tc>
        <w:tc>
          <w:tcPr>
            <w:tcW w:w="50" w:type="pct"/>
            <w:shd w:val="clear" w:color="auto" w:fill="FFFFFF"/>
            <w:vAlign w:val="bottom"/>
            <w:hideMark/>
          </w:tcPr>
          <w:p w14:paraId="20FE1DA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C555E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7D79E0"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8B962FC" w14:textId="77777777" w:rsidR="00000000" w:rsidRDefault="00322B34">
            <w:pPr>
              <w:jc w:val="right"/>
              <w:rPr>
                <w:rFonts w:eastAsia="Times New Roman"/>
                <w:sz w:val="20"/>
                <w:szCs w:val="20"/>
              </w:rPr>
            </w:pPr>
            <w:r>
              <w:rPr>
                <w:rFonts w:eastAsia="Times New Roman"/>
                <w:sz w:val="20"/>
                <w:szCs w:val="20"/>
              </w:rPr>
              <w:t>29,068</w:t>
            </w:r>
          </w:p>
        </w:tc>
        <w:tc>
          <w:tcPr>
            <w:tcW w:w="50" w:type="pct"/>
            <w:shd w:val="clear" w:color="auto" w:fill="FFFFFF"/>
            <w:vAlign w:val="bottom"/>
            <w:hideMark/>
          </w:tcPr>
          <w:p w14:paraId="0B174ADF" w14:textId="77777777" w:rsidR="00000000" w:rsidRDefault="00322B34">
            <w:pPr>
              <w:rPr>
                <w:rFonts w:eastAsia="Times New Roman"/>
                <w:sz w:val="20"/>
                <w:szCs w:val="20"/>
              </w:rPr>
            </w:pPr>
            <w:r>
              <w:rPr>
                <w:rFonts w:eastAsia="Times New Roman"/>
                <w:sz w:val="20"/>
                <w:szCs w:val="20"/>
              </w:rPr>
              <w:t> </w:t>
            </w:r>
          </w:p>
        </w:tc>
      </w:tr>
      <w:tr w:rsidR="00000000" w14:paraId="6034AA00" w14:textId="77777777">
        <w:trPr>
          <w:tblCellSpacing w:w="0" w:type="dxa"/>
        </w:trPr>
        <w:tc>
          <w:tcPr>
            <w:tcW w:w="0" w:type="auto"/>
            <w:shd w:val="clear" w:color="auto" w:fill="CCEEFF"/>
            <w:vAlign w:val="bottom"/>
            <w:hideMark/>
          </w:tcPr>
          <w:p w14:paraId="7053AC2D" w14:textId="77777777" w:rsidR="00000000" w:rsidRDefault="00322B34">
            <w:pPr>
              <w:pStyle w:val="a3"/>
              <w:spacing w:before="0" w:beforeAutospacing="0" w:after="0" w:afterAutospacing="0"/>
              <w:ind w:left="180"/>
              <w:rPr>
                <w:sz w:val="20"/>
                <w:szCs w:val="20"/>
              </w:rPr>
            </w:pPr>
            <w:r>
              <w:rPr>
                <w:sz w:val="20"/>
                <w:szCs w:val="20"/>
              </w:rPr>
              <w:t>Non same property net operating income</w:t>
            </w:r>
          </w:p>
        </w:tc>
        <w:tc>
          <w:tcPr>
            <w:tcW w:w="50" w:type="pct"/>
            <w:shd w:val="clear" w:color="auto" w:fill="CCEEFF"/>
            <w:vAlign w:val="bottom"/>
            <w:hideMark/>
          </w:tcPr>
          <w:p w14:paraId="55011D4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CC1776"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EACE354" w14:textId="77777777" w:rsidR="00000000" w:rsidRDefault="00322B34">
            <w:pPr>
              <w:jc w:val="right"/>
              <w:rPr>
                <w:rFonts w:eastAsia="Times New Roman"/>
                <w:sz w:val="20"/>
                <w:szCs w:val="20"/>
              </w:rPr>
            </w:pPr>
            <w:r>
              <w:rPr>
                <w:rFonts w:eastAsia="Times New Roman"/>
                <w:sz w:val="20"/>
                <w:szCs w:val="20"/>
              </w:rPr>
              <w:t>(161</w:t>
            </w:r>
          </w:p>
        </w:tc>
        <w:tc>
          <w:tcPr>
            <w:tcW w:w="50" w:type="pct"/>
            <w:shd w:val="clear" w:color="auto" w:fill="CCEEFF"/>
            <w:vAlign w:val="bottom"/>
            <w:hideMark/>
          </w:tcPr>
          <w:p w14:paraId="499A0912"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355AE59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2764FD"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15A3D84" w14:textId="77777777" w:rsidR="00000000" w:rsidRDefault="00322B34">
            <w:pPr>
              <w:jc w:val="right"/>
              <w:rPr>
                <w:rFonts w:eastAsia="Times New Roman"/>
                <w:sz w:val="20"/>
                <w:szCs w:val="20"/>
              </w:rPr>
            </w:pPr>
            <w:r>
              <w:rPr>
                <w:rFonts w:eastAsia="Times New Roman"/>
                <w:sz w:val="20"/>
                <w:szCs w:val="20"/>
              </w:rPr>
              <w:t>(19,169</w:t>
            </w:r>
          </w:p>
        </w:tc>
        <w:tc>
          <w:tcPr>
            <w:tcW w:w="50" w:type="pct"/>
            <w:shd w:val="clear" w:color="auto" w:fill="CCEEFF"/>
            <w:vAlign w:val="bottom"/>
            <w:hideMark/>
          </w:tcPr>
          <w:p w14:paraId="6DF6B150"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2BFD4B6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420296"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26A045E" w14:textId="77777777" w:rsidR="00000000" w:rsidRDefault="00322B34">
            <w:pPr>
              <w:jc w:val="right"/>
              <w:rPr>
                <w:rFonts w:eastAsia="Times New Roman"/>
                <w:sz w:val="20"/>
                <w:szCs w:val="20"/>
              </w:rPr>
            </w:pPr>
            <w:r>
              <w:rPr>
                <w:rFonts w:eastAsia="Times New Roman"/>
                <w:sz w:val="20"/>
                <w:szCs w:val="20"/>
              </w:rPr>
              <w:t>(18,643</w:t>
            </w:r>
          </w:p>
        </w:tc>
        <w:tc>
          <w:tcPr>
            <w:tcW w:w="50" w:type="pct"/>
            <w:shd w:val="clear" w:color="auto" w:fill="CCEEFF"/>
            <w:vAlign w:val="bottom"/>
            <w:hideMark/>
          </w:tcPr>
          <w:p w14:paraId="083655C1" w14:textId="77777777" w:rsidR="00000000" w:rsidRDefault="00322B34">
            <w:pPr>
              <w:rPr>
                <w:rFonts w:eastAsia="Times New Roman"/>
                <w:sz w:val="20"/>
                <w:szCs w:val="20"/>
              </w:rPr>
            </w:pPr>
            <w:r>
              <w:rPr>
                <w:rFonts w:eastAsia="Times New Roman"/>
                <w:sz w:val="20"/>
                <w:szCs w:val="20"/>
              </w:rPr>
              <w:t>)</w:t>
            </w:r>
          </w:p>
        </w:tc>
        <w:tc>
          <w:tcPr>
            <w:tcW w:w="50" w:type="pct"/>
            <w:shd w:val="clear" w:color="auto" w:fill="CCEEFF"/>
            <w:vAlign w:val="bottom"/>
            <w:hideMark/>
          </w:tcPr>
          <w:p w14:paraId="27848B2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DB404B" w14:textId="77777777" w:rsidR="00000000" w:rsidRDefault="00322B34">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03E5104" w14:textId="77777777" w:rsidR="00000000" w:rsidRDefault="00322B34">
            <w:pPr>
              <w:jc w:val="right"/>
              <w:rPr>
                <w:rFonts w:eastAsia="Times New Roman"/>
                <w:sz w:val="20"/>
                <w:szCs w:val="20"/>
              </w:rPr>
            </w:pPr>
            <w:r>
              <w:rPr>
                <w:rFonts w:eastAsia="Times New Roman"/>
                <w:sz w:val="20"/>
                <w:szCs w:val="20"/>
              </w:rPr>
              <w:t>(47,994</w:t>
            </w:r>
          </w:p>
        </w:tc>
        <w:tc>
          <w:tcPr>
            <w:tcW w:w="50" w:type="pct"/>
            <w:shd w:val="clear" w:color="auto" w:fill="CCEEFF"/>
            <w:vAlign w:val="bottom"/>
            <w:hideMark/>
          </w:tcPr>
          <w:p w14:paraId="01B6E325" w14:textId="77777777" w:rsidR="00000000" w:rsidRDefault="00322B34">
            <w:pPr>
              <w:rPr>
                <w:rFonts w:eastAsia="Times New Roman"/>
                <w:sz w:val="20"/>
                <w:szCs w:val="20"/>
              </w:rPr>
            </w:pPr>
            <w:r>
              <w:rPr>
                <w:rFonts w:eastAsia="Times New Roman"/>
                <w:sz w:val="20"/>
                <w:szCs w:val="20"/>
              </w:rPr>
              <w:t>)</w:t>
            </w:r>
          </w:p>
        </w:tc>
      </w:tr>
      <w:tr w:rsidR="00000000" w14:paraId="160E6951" w14:textId="77777777">
        <w:trPr>
          <w:tblCellSpacing w:w="0" w:type="dxa"/>
        </w:trPr>
        <w:tc>
          <w:tcPr>
            <w:tcW w:w="0" w:type="auto"/>
            <w:shd w:val="clear" w:color="auto" w:fill="FFFFFF"/>
            <w:vAlign w:val="bottom"/>
            <w:hideMark/>
          </w:tcPr>
          <w:p w14:paraId="5F6ABE9B" w14:textId="77777777" w:rsidR="00000000" w:rsidRDefault="00322B34">
            <w:pPr>
              <w:pStyle w:val="a3"/>
              <w:spacing w:before="0" w:beforeAutospacing="0" w:after="0" w:afterAutospacing="0"/>
              <w:ind w:left="180"/>
              <w:rPr>
                <w:sz w:val="20"/>
                <w:szCs w:val="20"/>
              </w:rPr>
            </w:pPr>
            <w:r>
              <w:rPr>
                <w:sz w:val="20"/>
                <w:szCs w:val="20"/>
              </w:rPr>
              <w:t>Non-operational expense from joint ventures, net</w:t>
            </w:r>
          </w:p>
        </w:tc>
        <w:tc>
          <w:tcPr>
            <w:tcW w:w="50" w:type="pct"/>
            <w:shd w:val="clear" w:color="auto" w:fill="FFFFFF"/>
            <w:vAlign w:val="bottom"/>
            <w:hideMark/>
          </w:tcPr>
          <w:p w14:paraId="1D1F33C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112093F"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BF99951" w14:textId="77777777" w:rsidR="00000000" w:rsidRDefault="00322B34">
            <w:pPr>
              <w:jc w:val="right"/>
              <w:rPr>
                <w:rFonts w:eastAsia="Times New Roman"/>
                <w:sz w:val="20"/>
                <w:szCs w:val="20"/>
              </w:rPr>
            </w:pPr>
            <w:r>
              <w:rPr>
                <w:rFonts w:eastAsia="Times New Roman"/>
                <w:sz w:val="20"/>
                <w:szCs w:val="20"/>
              </w:rPr>
              <w:t>16,764</w:t>
            </w:r>
          </w:p>
        </w:tc>
        <w:tc>
          <w:tcPr>
            <w:tcW w:w="50" w:type="pct"/>
            <w:shd w:val="clear" w:color="auto" w:fill="FFFFFF"/>
            <w:tcMar>
              <w:top w:w="0" w:type="dxa"/>
              <w:left w:w="0" w:type="dxa"/>
              <w:bottom w:w="15" w:type="dxa"/>
              <w:right w:w="0" w:type="dxa"/>
            </w:tcMar>
            <w:vAlign w:val="bottom"/>
            <w:hideMark/>
          </w:tcPr>
          <w:p w14:paraId="717B93B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DDA9EB"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ECC7443"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4950AA8" w14:textId="77777777" w:rsidR="00000000" w:rsidRDefault="00322B34">
            <w:pPr>
              <w:jc w:val="right"/>
              <w:rPr>
                <w:rFonts w:eastAsia="Times New Roman"/>
                <w:sz w:val="20"/>
                <w:szCs w:val="20"/>
              </w:rPr>
            </w:pPr>
            <w:r>
              <w:rPr>
                <w:rFonts w:eastAsia="Times New Roman"/>
                <w:sz w:val="20"/>
                <w:szCs w:val="20"/>
              </w:rPr>
              <w:t>10,125</w:t>
            </w:r>
          </w:p>
        </w:tc>
        <w:tc>
          <w:tcPr>
            <w:tcW w:w="50" w:type="pct"/>
            <w:shd w:val="clear" w:color="auto" w:fill="FFFFFF"/>
            <w:tcMar>
              <w:top w:w="0" w:type="dxa"/>
              <w:left w:w="0" w:type="dxa"/>
              <w:bottom w:w="15" w:type="dxa"/>
              <w:right w:w="0" w:type="dxa"/>
            </w:tcMar>
            <w:vAlign w:val="bottom"/>
            <w:hideMark/>
          </w:tcPr>
          <w:p w14:paraId="34C67A1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479562"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E3AAB30"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2BC6416E" w14:textId="77777777" w:rsidR="00000000" w:rsidRDefault="00322B34">
            <w:pPr>
              <w:jc w:val="right"/>
              <w:rPr>
                <w:rFonts w:eastAsia="Times New Roman"/>
                <w:sz w:val="20"/>
                <w:szCs w:val="20"/>
              </w:rPr>
            </w:pPr>
            <w:r>
              <w:rPr>
                <w:rFonts w:eastAsia="Times New Roman"/>
                <w:sz w:val="20"/>
                <w:szCs w:val="20"/>
              </w:rPr>
              <w:t>35,777</w:t>
            </w:r>
          </w:p>
        </w:tc>
        <w:tc>
          <w:tcPr>
            <w:tcW w:w="50" w:type="pct"/>
            <w:shd w:val="clear" w:color="auto" w:fill="FFFFFF"/>
            <w:tcMar>
              <w:top w:w="0" w:type="dxa"/>
              <w:left w:w="0" w:type="dxa"/>
              <w:bottom w:w="15" w:type="dxa"/>
              <w:right w:w="0" w:type="dxa"/>
            </w:tcMar>
            <w:vAlign w:val="bottom"/>
            <w:hideMark/>
          </w:tcPr>
          <w:p w14:paraId="6FC8EF8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98F9D7"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9B555CB" w14:textId="77777777" w:rsidR="00000000" w:rsidRDefault="00322B34">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2CA9186D" w14:textId="77777777" w:rsidR="00000000" w:rsidRDefault="00322B34">
            <w:pPr>
              <w:jc w:val="right"/>
              <w:rPr>
                <w:rFonts w:eastAsia="Times New Roman"/>
                <w:sz w:val="20"/>
                <w:szCs w:val="20"/>
              </w:rPr>
            </w:pPr>
            <w:r>
              <w:rPr>
                <w:rFonts w:eastAsia="Times New Roman"/>
                <w:sz w:val="20"/>
                <w:szCs w:val="20"/>
              </w:rPr>
              <w:t>24,918</w:t>
            </w:r>
          </w:p>
        </w:tc>
        <w:tc>
          <w:tcPr>
            <w:tcW w:w="50" w:type="pct"/>
            <w:shd w:val="clear" w:color="auto" w:fill="FFFFFF"/>
            <w:tcMar>
              <w:top w:w="0" w:type="dxa"/>
              <w:left w:w="0" w:type="dxa"/>
              <w:bottom w:w="15" w:type="dxa"/>
              <w:right w:w="0" w:type="dxa"/>
            </w:tcMar>
            <w:vAlign w:val="bottom"/>
            <w:hideMark/>
          </w:tcPr>
          <w:p w14:paraId="6E1AD29B" w14:textId="77777777" w:rsidR="00000000" w:rsidRDefault="00322B34">
            <w:pPr>
              <w:rPr>
                <w:rFonts w:eastAsia="Times New Roman"/>
                <w:sz w:val="20"/>
                <w:szCs w:val="20"/>
              </w:rPr>
            </w:pPr>
            <w:r>
              <w:rPr>
                <w:rFonts w:eastAsia="Times New Roman"/>
                <w:sz w:val="20"/>
                <w:szCs w:val="20"/>
              </w:rPr>
              <w:t> </w:t>
            </w:r>
          </w:p>
        </w:tc>
      </w:tr>
      <w:tr w:rsidR="00000000" w14:paraId="52C3BDE9" w14:textId="77777777">
        <w:trPr>
          <w:tblCellSpacing w:w="0" w:type="dxa"/>
        </w:trPr>
        <w:tc>
          <w:tcPr>
            <w:tcW w:w="0" w:type="auto"/>
            <w:shd w:val="clear" w:color="auto" w:fill="CCEEFF"/>
            <w:vAlign w:val="bottom"/>
            <w:hideMark/>
          </w:tcPr>
          <w:p w14:paraId="41EAF635" w14:textId="77777777" w:rsidR="00000000" w:rsidRDefault="00322B34">
            <w:pPr>
              <w:pStyle w:val="a3"/>
              <w:spacing w:before="0" w:beforeAutospacing="0" w:after="0" w:afterAutospacing="0"/>
              <w:rPr>
                <w:sz w:val="20"/>
                <w:szCs w:val="20"/>
              </w:rPr>
            </w:pPr>
            <w:r>
              <w:rPr>
                <w:b/>
                <w:bCs/>
                <w:sz w:val="20"/>
                <w:szCs w:val="20"/>
              </w:rPr>
              <w:t>Same property NOI</w:t>
            </w:r>
          </w:p>
        </w:tc>
        <w:tc>
          <w:tcPr>
            <w:tcW w:w="50" w:type="pct"/>
            <w:shd w:val="clear" w:color="auto" w:fill="CCEEFF"/>
            <w:vAlign w:val="bottom"/>
            <w:hideMark/>
          </w:tcPr>
          <w:p w14:paraId="6DF4286B"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ABF708E" w14:textId="77777777" w:rsidR="00000000" w:rsidRDefault="00322B3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2D4DCFC7" w14:textId="77777777" w:rsidR="00000000" w:rsidRDefault="00322B34">
            <w:pPr>
              <w:jc w:val="right"/>
              <w:rPr>
                <w:rFonts w:eastAsia="Times New Roman"/>
                <w:sz w:val="20"/>
                <w:szCs w:val="20"/>
              </w:rPr>
            </w:pPr>
            <w:r>
              <w:rPr>
                <w:rFonts w:eastAsia="Times New Roman"/>
                <w:b/>
                <w:bCs/>
                <w:sz w:val="20"/>
                <w:szCs w:val="20"/>
              </w:rPr>
              <w:t>182,277</w:t>
            </w:r>
          </w:p>
        </w:tc>
        <w:tc>
          <w:tcPr>
            <w:tcW w:w="50" w:type="pct"/>
            <w:shd w:val="clear" w:color="auto" w:fill="CCEEFF"/>
            <w:tcMar>
              <w:top w:w="0" w:type="dxa"/>
              <w:left w:w="0" w:type="dxa"/>
              <w:bottom w:w="45" w:type="dxa"/>
              <w:right w:w="0" w:type="dxa"/>
            </w:tcMar>
            <w:vAlign w:val="bottom"/>
            <w:hideMark/>
          </w:tcPr>
          <w:p w14:paraId="1D28D71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D15ADD"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4979644" w14:textId="77777777" w:rsidR="00000000" w:rsidRDefault="00322B3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766CA191" w14:textId="77777777" w:rsidR="00000000" w:rsidRDefault="00322B34">
            <w:pPr>
              <w:jc w:val="right"/>
              <w:rPr>
                <w:rFonts w:eastAsia="Times New Roman"/>
                <w:sz w:val="20"/>
                <w:szCs w:val="20"/>
              </w:rPr>
            </w:pPr>
            <w:r>
              <w:rPr>
                <w:rFonts w:eastAsia="Times New Roman"/>
                <w:b/>
                <w:bCs/>
                <w:sz w:val="20"/>
                <w:szCs w:val="20"/>
              </w:rPr>
              <w:t>211,053</w:t>
            </w:r>
          </w:p>
        </w:tc>
        <w:tc>
          <w:tcPr>
            <w:tcW w:w="50" w:type="pct"/>
            <w:shd w:val="clear" w:color="auto" w:fill="CCEEFF"/>
            <w:tcMar>
              <w:top w:w="0" w:type="dxa"/>
              <w:left w:w="0" w:type="dxa"/>
              <w:bottom w:w="45" w:type="dxa"/>
              <w:right w:w="0" w:type="dxa"/>
            </w:tcMar>
            <w:vAlign w:val="bottom"/>
            <w:hideMark/>
          </w:tcPr>
          <w:p w14:paraId="407F230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70686F"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B636BCD" w14:textId="77777777" w:rsidR="00000000" w:rsidRDefault="00322B3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702B6C83" w14:textId="77777777" w:rsidR="00000000" w:rsidRDefault="00322B34">
            <w:pPr>
              <w:jc w:val="right"/>
              <w:rPr>
                <w:rFonts w:eastAsia="Times New Roman"/>
                <w:sz w:val="20"/>
                <w:szCs w:val="20"/>
              </w:rPr>
            </w:pPr>
            <w:r>
              <w:rPr>
                <w:rFonts w:eastAsia="Times New Roman"/>
                <w:b/>
                <w:bCs/>
                <w:sz w:val="20"/>
                <w:szCs w:val="20"/>
              </w:rPr>
              <w:t>397,565</w:t>
            </w:r>
          </w:p>
        </w:tc>
        <w:tc>
          <w:tcPr>
            <w:tcW w:w="50" w:type="pct"/>
            <w:shd w:val="clear" w:color="auto" w:fill="CCEEFF"/>
            <w:tcMar>
              <w:top w:w="0" w:type="dxa"/>
              <w:left w:w="0" w:type="dxa"/>
              <w:bottom w:w="45" w:type="dxa"/>
              <w:right w:w="0" w:type="dxa"/>
            </w:tcMar>
            <w:vAlign w:val="bottom"/>
            <w:hideMark/>
          </w:tcPr>
          <w:p w14:paraId="4CEEE40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AE1BD6"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96EA4ED" w14:textId="77777777" w:rsidR="00000000" w:rsidRDefault="00322B34">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34B9FD2D" w14:textId="77777777" w:rsidR="00000000" w:rsidRDefault="00322B34">
            <w:pPr>
              <w:jc w:val="right"/>
              <w:rPr>
                <w:rFonts w:eastAsia="Times New Roman"/>
                <w:sz w:val="20"/>
                <w:szCs w:val="20"/>
              </w:rPr>
            </w:pPr>
            <w:r>
              <w:rPr>
                <w:rFonts w:eastAsia="Times New Roman"/>
                <w:b/>
                <w:bCs/>
                <w:sz w:val="20"/>
                <w:szCs w:val="20"/>
              </w:rPr>
              <w:t>423,474</w:t>
            </w:r>
          </w:p>
        </w:tc>
        <w:tc>
          <w:tcPr>
            <w:tcW w:w="50" w:type="pct"/>
            <w:shd w:val="clear" w:color="auto" w:fill="CCEEFF"/>
            <w:tcMar>
              <w:top w:w="0" w:type="dxa"/>
              <w:left w:w="0" w:type="dxa"/>
              <w:bottom w:w="45" w:type="dxa"/>
              <w:right w:w="0" w:type="dxa"/>
            </w:tcMar>
            <w:vAlign w:val="bottom"/>
            <w:hideMark/>
          </w:tcPr>
          <w:p w14:paraId="5E328275" w14:textId="77777777" w:rsidR="00000000" w:rsidRDefault="00322B34">
            <w:pPr>
              <w:rPr>
                <w:rFonts w:eastAsia="Times New Roman"/>
                <w:sz w:val="20"/>
                <w:szCs w:val="20"/>
              </w:rPr>
            </w:pPr>
            <w:r>
              <w:rPr>
                <w:rFonts w:eastAsia="Times New Roman"/>
                <w:sz w:val="20"/>
                <w:szCs w:val="20"/>
              </w:rPr>
              <w:t> </w:t>
            </w:r>
          </w:p>
        </w:tc>
      </w:tr>
    </w:tbl>
    <w:p w14:paraId="3A5973B4" w14:textId="77777777" w:rsidR="00000000" w:rsidRDefault="00322B34">
      <w:pPr>
        <w:pStyle w:val="a3"/>
        <w:spacing w:before="0" w:beforeAutospacing="0" w:after="0" w:afterAutospacing="0"/>
        <w:ind w:firstLine="360"/>
        <w:jc w:val="both"/>
        <w:rPr>
          <w:sz w:val="20"/>
          <w:szCs w:val="20"/>
        </w:rPr>
      </w:pPr>
      <w:r>
        <w:rPr>
          <w:sz w:val="20"/>
          <w:szCs w:val="20"/>
        </w:rPr>
        <w:t> </w:t>
      </w:r>
    </w:p>
    <w:p w14:paraId="14B894FD" w14:textId="77777777" w:rsidR="00000000" w:rsidRDefault="00322B34">
      <w:pPr>
        <w:pStyle w:val="a3"/>
        <w:spacing w:before="0" w:beforeAutospacing="0" w:after="0" w:afterAutospacing="0"/>
        <w:ind w:firstLine="360"/>
        <w:jc w:val="both"/>
        <w:rPr>
          <w:sz w:val="20"/>
          <w:szCs w:val="20"/>
        </w:rPr>
      </w:pPr>
      <w:r>
        <w:rPr>
          <w:sz w:val="20"/>
          <w:szCs w:val="20"/>
        </w:rPr>
        <w:t>Same property NOI decreased by $28.8 million or 13.6% for the three months ended June 30, 2020, as compared to the corresponding period in 2019. This change is primarily the result of (i) adjustments associated with potentially uncollectible revenues and d</w:t>
      </w:r>
      <w:r>
        <w:rPr>
          <w:sz w:val="20"/>
          <w:szCs w:val="20"/>
        </w:rPr>
        <w:t>isputed amounts of $35.9 million, partially offset by (ii) an increase in revenues from rental properties of $6.5 million primarily related to lease-up and rent commencements in the portfolio and (iii) a decrease in operating expenses of $0.6 million.</w:t>
      </w:r>
    </w:p>
    <w:p w14:paraId="08386429" w14:textId="77777777" w:rsidR="00000000" w:rsidRDefault="00322B34">
      <w:pPr>
        <w:pStyle w:val="a3"/>
        <w:spacing w:before="0" w:beforeAutospacing="0" w:after="0" w:afterAutospacing="0"/>
        <w:ind w:firstLine="360"/>
        <w:jc w:val="both"/>
        <w:rPr>
          <w:sz w:val="20"/>
          <w:szCs w:val="20"/>
        </w:rPr>
      </w:pPr>
      <w:r>
        <w:rPr>
          <w:sz w:val="20"/>
          <w:szCs w:val="20"/>
        </w:rPr>
        <w:t> </w:t>
      </w:r>
    </w:p>
    <w:p w14:paraId="76673FD9" w14:textId="77777777" w:rsidR="00000000" w:rsidRDefault="00322B34">
      <w:pPr>
        <w:pStyle w:val="a3"/>
        <w:spacing w:before="0" w:beforeAutospacing="0" w:after="0" w:afterAutospacing="0"/>
        <w:ind w:firstLine="360"/>
        <w:jc w:val="both"/>
        <w:rPr>
          <w:sz w:val="20"/>
          <w:szCs w:val="20"/>
        </w:rPr>
      </w:pPr>
      <w:r>
        <w:rPr>
          <w:sz w:val="20"/>
          <w:szCs w:val="20"/>
        </w:rPr>
        <w:t>Sa</w:t>
      </w:r>
      <w:r>
        <w:rPr>
          <w:sz w:val="20"/>
          <w:szCs w:val="20"/>
        </w:rPr>
        <w:t>me property NOI decreased by $25.9 million or 6.1% for the six months ended June 30, 2020, as compared to the corresponding period in 2019. This change is primarily the result of (i) adjustments associated with potentially uncollectible revenues and disput</w:t>
      </w:r>
      <w:r>
        <w:rPr>
          <w:sz w:val="20"/>
          <w:szCs w:val="20"/>
        </w:rPr>
        <w:t>ed amounts of $38.5 million, partially offset by (ii) an increase in revenues from rental properties of $12.6 million primarily related to lease-up and rent commencements in the portfolio.</w:t>
      </w:r>
    </w:p>
    <w:p w14:paraId="7209688E" w14:textId="77777777" w:rsidR="00000000" w:rsidRDefault="00322B34">
      <w:pPr>
        <w:pStyle w:val="a3"/>
        <w:spacing w:before="0" w:beforeAutospacing="0" w:after="0" w:afterAutospacing="0"/>
        <w:jc w:val="both"/>
        <w:rPr>
          <w:sz w:val="20"/>
          <w:szCs w:val="20"/>
        </w:rPr>
      </w:pPr>
      <w:r>
        <w:rPr>
          <w:sz w:val="20"/>
          <w:szCs w:val="20"/>
        </w:rPr>
        <w:t> </w:t>
      </w:r>
    </w:p>
    <w:p w14:paraId="6DFD122F" w14:textId="77777777" w:rsidR="00000000" w:rsidRDefault="00322B34">
      <w:pPr>
        <w:jc w:val="center"/>
        <w:divId w:val="1846508405"/>
        <w:rPr>
          <w:rFonts w:eastAsia="Times New Roman"/>
          <w:sz w:val="20"/>
          <w:szCs w:val="20"/>
        </w:rPr>
      </w:pPr>
      <w:r>
        <w:rPr>
          <w:rFonts w:eastAsia="Times New Roman"/>
          <w:sz w:val="20"/>
          <w:szCs w:val="20"/>
        </w:rPr>
        <w:t xml:space="preserve">32 </w:t>
      </w:r>
    </w:p>
    <w:p w14:paraId="20AF85FE" w14:textId="77777777" w:rsidR="00000000" w:rsidRDefault="00322B34">
      <w:pPr>
        <w:divId w:val="1130050927"/>
        <w:rPr>
          <w:rFonts w:eastAsia="Times New Roman"/>
          <w:sz w:val="20"/>
          <w:szCs w:val="20"/>
        </w:rPr>
      </w:pPr>
      <w:r>
        <w:rPr>
          <w:rFonts w:eastAsia="Times New Roman"/>
          <w:sz w:val="20"/>
          <w:szCs w:val="20"/>
        </w:rPr>
        <w:pict w14:anchorId="4060E42B">
          <v:rect id="_x0000_i1060" style="width:0;height:1.5pt" o:hralign="center" o:hrstd="t" o:hr="t" fillcolor="#a0a0a0" stroked="f"/>
        </w:pict>
      </w:r>
    </w:p>
    <w:p w14:paraId="08B430ED" w14:textId="77777777" w:rsidR="00000000" w:rsidRDefault="00322B34">
      <w:pPr>
        <w:divId w:val="171777563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3C5AACD" w14:textId="77777777" w:rsidR="00000000" w:rsidRDefault="00322B34">
      <w:pPr>
        <w:pStyle w:val="a3"/>
        <w:spacing w:before="0" w:beforeAutospacing="0" w:after="0" w:afterAutospacing="0"/>
        <w:rPr>
          <w:sz w:val="20"/>
          <w:szCs w:val="20"/>
        </w:rPr>
      </w:pPr>
      <w:r>
        <w:rPr>
          <w:sz w:val="20"/>
          <w:szCs w:val="20"/>
        </w:rPr>
        <w:t> </w:t>
      </w:r>
    </w:p>
    <w:p w14:paraId="51361E83" w14:textId="77777777" w:rsidR="00000000" w:rsidRDefault="00322B34">
      <w:pPr>
        <w:pStyle w:val="a3"/>
        <w:spacing w:before="0" w:beforeAutospacing="0" w:after="0" w:afterAutospacing="0"/>
        <w:jc w:val="both"/>
        <w:rPr>
          <w:sz w:val="20"/>
          <w:szCs w:val="20"/>
        </w:rPr>
      </w:pPr>
      <w:r>
        <w:rPr>
          <w:sz w:val="20"/>
          <w:szCs w:val="20"/>
          <w:u w:val="single"/>
        </w:rPr>
        <w:t>Leasing Activity</w:t>
      </w:r>
    </w:p>
    <w:p w14:paraId="243D6F98" w14:textId="77777777" w:rsidR="00000000" w:rsidRDefault="00322B34">
      <w:pPr>
        <w:pStyle w:val="a3"/>
        <w:spacing w:before="0" w:beforeAutospacing="0" w:after="0" w:afterAutospacing="0"/>
        <w:jc w:val="both"/>
        <w:rPr>
          <w:sz w:val="20"/>
          <w:szCs w:val="20"/>
        </w:rPr>
      </w:pPr>
      <w:r>
        <w:rPr>
          <w:sz w:val="20"/>
          <w:szCs w:val="20"/>
        </w:rPr>
        <w:t> </w:t>
      </w:r>
    </w:p>
    <w:p w14:paraId="63EED230" w14:textId="77777777" w:rsidR="00000000" w:rsidRDefault="00322B34">
      <w:pPr>
        <w:pStyle w:val="a3"/>
        <w:spacing w:before="0" w:beforeAutospacing="0" w:after="0" w:afterAutospacing="0"/>
        <w:ind w:firstLine="360"/>
        <w:jc w:val="both"/>
        <w:rPr>
          <w:sz w:val="20"/>
          <w:szCs w:val="20"/>
        </w:rPr>
      </w:pPr>
      <w:r>
        <w:rPr>
          <w:sz w:val="20"/>
          <w:szCs w:val="20"/>
        </w:rPr>
        <w:t>During the six months ended June 30, 2020, the Company executed 392 leases totaling over 3.0 million square feet in the Company’s consolidated operating portfolio comprised of 84 new leases and 308 renewals and op</w:t>
      </w:r>
      <w:r>
        <w:rPr>
          <w:sz w:val="20"/>
          <w:szCs w:val="20"/>
        </w:rPr>
        <w:t>tions. The leasing costs associated with these new leases are estimated to aggregate $25.2 million or $46.75 per square foot. These costs include $21.1 million of tenant improvements and $4.1 million of external leasing commissions. The average rent per sq</w:t>
      </w:r>
      <w:r>
        <w:rPr>
          <w:sz w:val="20"/>
          <w:szCs w:val="20"/>
        </w:rPr>
        <w:t>uare foot on new leases was $20.94 and on renewals and options was $17.38.</w:t>
      </w:r>
    </w:p>
    <w:p w14:paraId="5C026F93" w14:textId="77777777" w:rsidR="00000000" w:rsidRDefault="00322B34">
      <w:pPr>
        <w:pStyle w:val="a3"/>
        <w:spacing w:before="0" w:beforeAutospacing="0" w:after="0" w:afterAutospacing="0"/>
        <w:jc w:val="both"/>
        <w:rPr>
          <w:sz w:val="20"/>
          <w:szCs w:val="20"/>
        </w:rPr>
      </w:pPr>
      <w:r>
        <w:rPr>
          <w:sz w:val="20"/>
          <w:szCs w:val="20"/>
        </w:rPr>
        <w:t> </w:t>
      </w:r>
    </w:p>
    <w:p w14:paraId="647F4912" w14:textId="77777777" w:rsidR="00000000" w:rsidRDefault="00322B34">
      <w:pPr>
        <w:pStyle w:val="a3"/>
        <w:spacing w:before="0" w:beforeAutospacing="0" w:after="0" w:afterAutospacing="0"/>
        <w:jc w:val="both"/>
        <w:rPr>
          <w:sz w:val="20"/>
          <w:szCs w:val="20"/>
        </w:rPr>
      </w:pPr>
      <w:r>
        <w:rPr>
          <w:sz w:val="20"/>
          <w:szCs w:val="20"/>
          <w:u w:val="single"/>
        </w:rPr>
        <w:t>Tenant Lease Expirations</w:t>
      </w:r>
    </w:p>
    <w:p w14:paraId="02231C3F" w14:textId="77777777" w:rsidR="00000000" w:rsidRDefault="00322B34">
      <w:pPr>
        <w:pStyle w:val="a3"/>
        <w:spacing w:before="0" w:beforeAutospacing="0" w:after="0" w:afterAutospacing="0"/>
        <w:jc w:val="both"/>
        <w:rPr>
          <w:sz w:val="20"/>
          <w:szCs w:val="20"/>
        </w:rPr>
      </w:pPr>
      <w:r>
        <w:rPr>
          <w:sz w:val="20"/>
          <w:szCs w:val="20"/>
        </w:rPr>
        <w:t> </w:t>
      </w:r>
    </w:p>
    <w:p w14:paraId="17FF5529" w14:textId="77777777" w:rsidR="00000000" w:rsidRDefault="00322B34">
      <w:pPr>
        <w:pStyle w:val="a3"/>
        <w:spacing w:before="0" w:beforeAutospacing="0" w:after="0" w:afterAutospacing="0"/>
        <w:ind w:firstLine="360"/>
        <w:jc w:val="both"/>
        <w:rPr>
          <w:sz w:val="20"/>
          <w:szCs w:val="20"/>
        </w:rPr>
      </w:pPr>
      <w:r>
        <w:rPr>
          <w:sz w:val="20"/>
          <w:szCs w:val="20"/>
        </w:rPr>
        <w:t>At June 30, 2020, the Company has a total of 5,372 leases in the U.S. consolidated operating portfolio. The following table sets forth the aggregate lea</w:t>
      </w:r>
      <w:r>
        <w:rPr>
          <w:sz w:val="20"/>
          <w:szCs w:val="20"/>
        </w:rPr>
        <w:t>se expirations for each of the next ten years, assuming no renewal options are exercised. For purposes of the table, the Total Annual Base Rent Expiring represents annualized rental revenue, excluding the impact of straight-line rent, for each lease that e</w:t>
      </w:r>
      <w:r>
        <w:rPr>
          <w:sz w:val="20"/>
          <w:szCs w:val="20"/>
        </w:rPr>
        <w:t>xpires during the respective year. Amounts in thousands, except for number of lease data:</w:t>
      </w:r>
    </w:p>
    <w:p w14:paraId="3972C92F" w14:textId="77777777" w:rsidR="00000000" w:rsidRDefault="00322B34">
      <w:pPr>
        <w:pStyle w:val="a3"/>
        <w:spacing w:before="0" w:beforeAutospacing="0" w:after="0" w:afterAutospacing="0"/>
        <w:ind w:firstLine="720"/>
        <w:jc w:val="both"/>
        <w:rPr>
          <w:sz w:val="20"/>
          <w:szCs w:val="20"/>
        </w:rPr>
      </w:pPr>
      <w:r>
        <w:rPr>
          <w:sz w:val="20"/>
          <w:szCs w:val="20"/>
        </w:rPr>
        <w:t> </w:t>
      </w:r>
    </w:p>
    <w:tbl>
      <w:tblPr>
        <w:tblW w:w="4250" w:type="pct"/>
        <w:tblCellSpacing w:w="0" w:type="dxa"/>
        <w:tblInd w:w="1080" w:type="dxa"/>
        <w:tblCellMar>
          <w:left w:w="0" w:type="dxa"/>
          <w:right w:w="0" w:type="dxa"/>
        </w:tblCellMar>
        <w:tblLook w:val="04A0" w:firstRow="1" w:lastRow="0" w:firstColumn="1" w:lastColumn="0" w:noHBand="0" w:noVBand="1"/>
      </w:tblPr>
      <w:tblGrid>
        <w:gridCol w:w="1192"/>
        <w:gridCol w:w="82"/>
        <w:gridCol w:w="82"/>
        <w:gridCol w:w="1192"/>
        <w:gridCol w:w="82"/>
        <w:gridCol w:w="82"/>
        <w:gridCol w:w="1192"/>
        <w:gridCol w:w="82"/>
        <w:gridCol w:w="82"/>
        <w:gridCol w:w="277"/>
        <w:gridCol w:w="1192"/>
        <w:gridCol w:w="82"/>
        <w:gridCol w:w="82"/>
        <w:gridCol w:w="1192"/>
        <w:gridCol w:w="167"/>
      </w:tblGrid>
      <w:tr w:rsidR="00000000" w14:paraId="0CCF6883" w14:textId="77777777">
        <w:trPr>
          <w:tblCellSpacing w:w="0" w:type="dxa"/>
        </w:trPr>
        <w:tc>
          <w:tcPr>
            <w:tcW w:w="0" w:type="auto"/>
            <w:tcBorders>
              <w:bottom w:val="single" w:sz="6" w:space="0" w:color="000000"/>
            </w:tcBorders>
            <w:vAlign w:val="bottom"/>
            <w:hideMark/>
          </w:tcPr>
          <w:p w14:paraId="039CDEE7" w14:textId="77777777" w:rsidR="00000000" w:rsidRDefault="00322B34">
            <w:pPr>
              <w:pStyle w:val="a3"/>
              <w:spacing w:before="0" w:beforeAutospacing="0" w:after="0" w:afterAutospacing="0"/>
              <w:jc w:val="center"/>
              <w:rPr>
                <w:sz w:val="20"/>
                <w:szCs w:val="20"/>
              </w:rPr>
            </w:pPr>
            <w:r>
              <w:rPr>
                <w:b/>
                <w:bCs/>
                <w:sz w:val="20"/>
                <w:szCs w:val="20"/>
              </w:rPr>
              <w:t>Year Ending</w:t>
            </w:r>
          </w:p>
          <w:p w14:paraId="341FFAB1" w14:textId="77777777" w:rsidR="00000000" w:rsidRDefault="00322B34">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14:paraId="49E129AC"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5E088F5D"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0970C180" w14:textId="77777777" w:rsidR="00000000" w:rsidRDefault="00322B34">
            <w:pPr>
              <w:pStyle w:val="a3"/>
              <w:spacing w:before="0" w:beforeAutospacing="0" w:after="0" w:afterAutospacing="0"/>
              <w:jc w:val="center"/>
              <w:rPr>
                <w:sz w:val="20"/>
                <w:szCs w:val="20"/>
              </w:rPr>
            </w:pPr>
            <w:r>
              <w:rPr>
                <w:b/>
                <w:bCs/>
                <w:sz w:val="20"/>
                <w:szCs w:val="20"/>
              </w:rPr>
              <w:t>Number of Leases</w:t>
            </w:r>
          </w:p>
          <w:p w14:paraId="45BBEF64" w14:textId="77777777" w:rsidR="00000000" w:rsidRDefault="00322B34">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14:paraId="55DBA964"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6FE47E7"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44195C4F" w14:textId="77777777" w:rsidR="00000000" w:rsidRDefault="00322B34">
            <w:pPr>
              <w:pStyle w:val="a3"/>
              <w:spacing w:before="0" w:beforeAutospacing="0" w:after="0" w:afterAutospacing="0"/>
              <w:jc w:val="center"/>
              <w:rPr>
                <w:sz w:val="20"/>
                <w:szCs w:val="20"/>
              </w:rPr>
            </w:pPr>
            <w:r>
              <w:rPr>
                <w:b/>
                <w:bCs/>
                <w:sz w:val="20"/>
                <w:szCs w:val="20"/>
              </w:rPr>
              <w:t xml:space="preserve">Square Feet </w:t>
            </w:r>
          </w:p>
          <w:p w14:paraId="1BF7120D" w14:textId="77777777" w:rsidR="00000000" w:rsidRDefault="00322B34">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14:paraId="707C3DE8"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695FEE88" w14:textId="77777777" w:rsidR="00000000" w:rsidRDefault="00322B34">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04EBDFC" w14:textId="77777777" w:rsidR="00000000" w:rsidRDefault="00322B34">
            <w:pPr>
              <w:pStyle w:val="a3"/>
              <w:spacing w:before="0" w:beforeAutospacing="0" w:after="0" w:afterAutospacing="0"/>
              <w:jc w:val="center"/>
              <w:rPr>
                <w:sz w:val="20"/>
                <w:szCs w:val="20"/>
              </w:rPr>
            </w:pPr>
            <w:r>
              <w:rPr>
                <w:b/>
                <w:bCs/>
                <w:sz w:val="20"/>
                <w:szCs w:val="20"/>
              </w:rPr>
              <w:t xml:space="preserve">Total Annual Base </w:t>
            </w:r>
          </w:p>
          <w:p w14:paraId="07DB3994" w14:textId="77777777" w:rsidR="00000000" w:rsidRDefault="00322B34">
            <w:pPr>
              <w:pStyle w:val="a3"/>
              <w:spacing w:before="0" w:beforeAutospacing="0" w:after="0" w:afterAutospacing="0"/>
              <w:jc w:val="center"/>
              <w:rPr>
                <w:sz w:val="20"/>
                <w:szCs w:val="20"/>
              </w:rPr>
            </w:pPr>
            <w:r>
              <w:rPr>
                <w:b/>
                <w:bCs/>
                <w:sz w:val="20"/>
                <w:szCs w:val="20"/>
              </w:rPr>
              <w:t>Rent Expiring</w:t>
            </w:r>
          </w:p>
        </w:tc>
        <w:tc>
          <w:tcPr>
            <w:tcW w:w="0" w:type="auto"/>
            <w:tcMar>
              <w:top w:w="0" w:type="dxa"/>
              <w:left w:w="0" w:type="dxa"/>
              <w:bottom w:w="15" w:type="dxa"/>
              <w:right w:w="0" w:type="dxa"/>
            </w:tcMar>
            <w:vAlign w:val="bottom"/>
            <w:hideMark/>
          </w:tcPr>
          <w:p w14:paraId="003C8BC1" w14:textId="77777777" w:rsidR="00000000" w:rsidRDefault="00322B34">
            <w:pPr>
              <w:rPr>
                <w:rFonts w:eastAsia="Times New Roman"/>
                <w:sz w:val="20"/>
                <w:szCs w:val="20"/>
              </w:rPr>
            </w:pPr>
            <w:r>
              <w:rPr>
                <w:rFonts w:eastAsia="Times New Roman"/>
                <w:sz w:val="20"/>
                <w:szCs w:val="20"/>
              </w:rPr>
              <w:t> </w:t>
            </w:r>
          </w:p>
        </w:tc>
        <w:tc>
          <w:tcPr>
            <w:tcW w:w="0" w:type="auto"/>
            <w:vAlign w:val="bottom"/>
            <w:hideMark/>
          </w:tcPr>
          <w:p w14:paraId="2DCA2C4D" w14:textId="77777777" w:rsidR="00000000" w:rsidRDefault="00322B34">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401260DD" w14:textId="77777777" w:rsidR="00000000" w:rsidRDefault="00322B34">
            <w:pPr>
              <w:pStyle w:val="a3"/>
              <w:spacing w:before="0" w:beforeAutospacing="0" w:after="0" w:afterAutospacing="0"/>
              <w:jc w:val="center"/>
              <w:rPr>
                <w:sz w:val="20"/>
                <w:szCs w:val="20"/>
              </w:rPr>
            </w:pPr>
            <w:r>
              <w:rPr>
                <w:b/>
                <w:bCs/>
                <w:sz w:val="20"/>
                <w:szCs w:val="20"/>
              </w:rPr>
              <w:t xml:space="preserve">% of Gross </w:t>
            </w:r>
          </w:p>
          <w:p w14:paraId="1C1ACCD0" w14:textId="77777777" w:rsidR="00000000" w:rsidRDefault="00322B34">
            <w:pPr>
              <w:pStyle w:val="a3"/>
              <w:spacing w:before="0" w:beforeAutospacing="0" w:after="0" w:afterAutospacing="0"/>
              <w:jc w:val="center"/>
              <w:rPr>
                <w:sz w:val="20"/>
                <w:szCs w:val="20"/>
              </w:rPr>
            </w:pPr>
            <w:r>
              <w:rPr>
                <w:b/>
                <w:bCs/>
                <w:sz w:val="20"/>
                <w:szCs w:val="20"/>
              </w:rPr>
              <w:t>Annual Rent</w:t>
            </w:r>
          </w:p>
        </w:tc>
        <w:tc>
          <w:tcPr>
            <w:tcW w:w="0" w:type="auto"/>
            <w:tcMar>
              <w:top w:w="0" w:type="dxa"/>
              <w:left w:w="0" w:type="dxa"/>
              <w:bottom w:w="15" w:type="dxa"/>
              <w:right w:w="0" w:type="dxa"/>
            </w:tcMar>
            <w:vAlign w:val="bottom"/>
            <w:hideMark/>
          </w:tcPr>
          <w:p w14:paraId="4B3008D3" w14:textId="77777777" w:rsidR="00000000" w:rsidRDefault="00322B34">
            <w:pPr>
              <w:rPr>
                <w:rFonts w:eastAsia="Times New Roman"/>
                <w:sz w:val="20"/>
                <w:szCs w:val="20"/>
              </w:rPr>
            </w:pPr>
            <w:r>
              <w:rPr>
                <w:rFonts w:eastAsia="Times New Roman"/>
                <w:sz w:val="20"/>
                <w:szCs w:val="20"/>
              </w:rPr>
              <w:t> </w:t>
            </w:r>
          </w:p>
        </w:tc>
      </w:tr>
      <w:tr w:rsidR="00000000" w14:paraId="6287EF08" w14:textId="77777777">
        <w:trPr>
          <w:tblCellSpacing w:w="0" w:type="dxa"/>
        </w:trPr>
        <w:tc>
          <w:tcPr>
            <w:tcW w:w="600" w:type="pct"/>
            <w:shd w:val="clear" w:color="auto" w:fill="CCEEFF"/>
            <w:vAlign w:val="bottom"/>
            <w:hideMark/>
          </w:tcPr>
          <w:p w14:paraId="0BE9259C" w14:textId="77777777" w:rsidR="00000000" w:rsidRDefault="00322B34">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14:paraId="0A54981C"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A5C13C1" w14:textId="77777777" w:rsidR="00000000" w:rsidRDefault="00322B34">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696ECC0C" w14:textId="77777777" w:rsidR="00000000" w:rsidRDefault="00322B34">
            <w:pPr>
              <w:ind w:left="176"/>
              <w:jc w:val="center"/>
              <w:rPr>
                <w:rFonts w:eastAsia="Times New Roman"/>
                <w:sz w:val="20"/>
                <w:szCs w:val="20"/>
              </w:rPr>
            </w:pPr>
            <w:r>
              <w:rPr>
                <w:rFonts w:eastAsia="Times New Roman"/>
                <w:sz w:val="20"/>
                <w:szCs w:val="20"/>
              </w:rPr>
              <w:t>177</w:t>
            </w:r>
          </w:p>
        </w:tc>
        <w:tc>
          <w:tcPr>
            <w:tcW w:w="50" w:type="pct"/>
            <w:tcBorders>
              <w:bottom w:val="nil"/>
            </w:tcBorders>
            <w:shd w:val="clear" w:color="auto" w:fill="CCEEFF"/>
            <w:vAlign w:val="bottom"/>
            <w:hideMark/>
          </w:tcPr>
          <w:p w14:paraId="5A96C8A4"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659C2513" w14:textId="77777777" w:rsidR="00000000" w:rsidRDefault="00322B34">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32474084" w14:textId="77777777" w:rsidR="00000000" w:rsidRDefault="00322B34">
            <w:pPr>
              <w:ind w:left="176"/>
              <w:jc w:val="center"/>
              <w:rPr>
                <w:rFonts w:eastAsia="Times New Roman"/>
                <w:sz w:val="20"/>
                <w:szCs w:val="20"/>
              </w:rPr>
            </w:pPr>
            <w:r>
              <w:rPr>
                <w:rFonts w:eastAsia="Times New Roman"/>
                <w:sz w:val="20"/>
                <w:szCs w:val="20"/>
              </w:rPr>
              <w:t>567</w:t>
            </w:r>
          </w:p>
        </w:tc>
        <w:tc>
          <w:tcPr>
            <w:tcW w:w="50" w:type="pct"/>
            <w:tcBorders>
              <w:bottom w:val="nil"/>
            </w:tcBorders>
            <w:shd w:val="clear" w:color="auto" w:fill="CCEEFF"/>
            <w:vAlign w:val="bottom"/>
            <w:hideMark/>
          </w:tcPr>
          <w:p w14:paraId="7282D008"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1F73B912"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358FAC40" w14:textId="77777777" w:rsidR="00000000" w:rsidRDefault="00322B34">
            <w:pPr>
              <w:ind w:left="176"/>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14:paraId="63CFDC61" w14:textId="77777777" w:rsidR="00000000" w:rsidRDefault="00322B34">
            <w:pPr>
              <w:ind w:left="176"/>
              <w:jc w:val="right"/>
              <w:rPr>
                <w:rFonts w:eastAsia="Times New Roman"/>
                <w:sz w:val="20"/>
                <w:szCs w:val="20"/>
              </w:rPr>
            </w:pPr>
            <w:r>
              <w:rPr>
                <w:rFonts w:eastAsia="Times New Roman"/>
                <w:sz w:val="20"/>
                <w:szCs w:val="20"/>
              </w:rPr>
              <w:t>12,679</w:t>
            </w:r>
          </w:p>
        </w:tc>
        <w:tc>
          <w:tcPr>
            <w:tcW w:w="50" w:type="pct"/>
            <w:tcBorders>
              <w:bottom w:val="nil"/>
            </w:tcBorders>
            <w:shd w:val="clear" w:color="auto" w:fill="CCEEFF"/>
            <w:vAlign w:val="bottom"/>
            <w:hideMark/>
          </w:tcPr>
          <w:p w14:paraId="384659DE" w14:textId="77777777" w:rsidR="00000000" w:rsidRDefault="00322B34">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14:paraId="7DF27150" w14:textId="77777777" w:rsidR="00000000" w:rsidRDefault="00322B34">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14:paraId="58F1F7D5" w14:textId="77777777" w:rsidR="00000000" w:rsidRDefault="00322B34">
            <w:pPr>
              <w:ind w:left="176"/>
              <w:jc w:val="right"/>
              <w:rPr>
                <w:rFonts w:eastAsia="Times New Roman"/>
                <w:sz w:val="20"/>
                <w:szCs w:val="20"/>
              </w:rPr>
            </w:pPr>
            <w:r>
              <w:rPr>
                <w:rFonts w:eastAsia="Times New Roman"/>
                <w:sz w:val="20"/>
                <w:szCs w:val="20"/>
              </w:rPr>
              <w:t>1.6</w:t>
            </w:r>
          </w:p>
        </w:tc>
        <w:tc>
          <w:tcPr>
            <w:tcW w:w="50" w:type="pct"/>
            <w:tcBorders>
              <w:bottom w:val="nil"/>
            </w:tcBorders>
            <w:shd w:val="clear" w:color="auto" w:fill="CCEEFF"/>
            <w:vAlign w:val="bottom"/>
            <w:hideMark/>
          </w:tcPr>
          <w:p w14:paraId="55BD8443" w14:textId="77777777" w:rsidR="00000000" w:rsidRDefault="00322B34">
            <w:pPr>
              <w:pStyle w:val="a3"/>
              <w:spacing w:before="0" w:beforeAutospacing="0" w:after="0" w:afterAutospacing="0"/>
              <w:rPr>
                <w:sz w:val="20"/>
                <w:szCs w:val="20"/>
              </w:rPr>
            </w:pPr>
            <w:r>
              <w:rPr>
                <w:sz w:val="20"/>
                <w:szCs w:val="20"/>
              </w:rPr>
              <w:t>%</w:t>
            </w:r>
          </w:p>
        </w:tc>
      </w:tr>
      <w:tr w:rsidR="00000000" w14:paraId="74E02248" w14:textId="77777777">
        <w:trPr>
          <w:tblCellSpacing w:w="0" w:type="dxa"/>
        </w:trPr>
        <w:tc>
          <w:tcPr>
            <w:tcW w:w="0" w:type="auto"/>
            <w:shd w:val="clear" w:color="auto" w:fill="FFFFFF"/>
            <w:vAlign w:val="bottom"/>
            <w:hideMark/>
          </w:tcPr>
          <w:p w14:paraId="13E9E6F1" w14:textId="77777777" w:rsidR="00000000" w:rsidRDefault="00322B34">
            <w:pPr>
              <w:pStyle w:val="a3"/>
              <w:spacing w:before="0" w:beforeAutospacing="0" w:after="0" w:afterAutospacing="0"/>
              <w:ind w:left="352" w:hanging="176"/>
              <w:jc w:val="center"/>
              <w:rPr>
                <w:sz w:val="20"/>
                <w:szCs w:val="20"/>
              </w:rPr>
            </w:pPr>
            <w:r>
              <w:rPr>
                <w:sz w:val="20"/>
                <w:szCs w:val="20"/>
              </w:rPr>
              <w:t>2020</w:t>
            </w:r>
          </w:p>
        </w:tc>
        <w:tc>
          <w:tcPr>
            <w:tcW w:w="0" w:type="auto"/>
            <w:shd w:val="clear" w:color="auto" w:fill="FFFFFF"/>
            <w:vAlign w:val="bottom"/>
            <w:hideMark/>
          </w:tcPr>
          <w:p w14:paraId="0F4D67A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8DF258"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B96E5CD" w14:textId="77777777" w:rsidR="00000000" w:rsidRDefault="00322B34">
            <w:pPr>
              <w:ind w:left="176"/>
              <w:jc w:val="center"/>
              <w:rPr>
                <w:rFonts w:eastAsia="Times New Roman"/>
                <w:sz w:val="20"/>
                <w:szCs w:val="20"/>
              </w:rPr>
            </w:pPr>
            <w:r>
              <w:rPr>
                <w:rFonts w:eastAsia="Times New Roman"/>
                <w:sz w:val="20"/>
                <w:szCs w:val="20"/>
              </w:rPr>
              <w:t>225</w:t>
            </w:r>
          </w:p>
        </w:tc>
        <w:tc>
          <w:tcPr>
            <w:tcW w:w="50" w:type="pct"/>
            <w:shd w:val="clear" w:color="auto" w:fill="FFFFFF"/>
            <w:vAlign w:val="bottom"/>
            <w:hideMark/>
          </w:tcPr>
          <w:p w14:paraId="36FA960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5B73D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D7820BA" w14:textId="77777777" w:rsidR="00000000" w:rsidRDefault="00322B34">
            <w:pPr>
              <w:ind w:left="176"/>
              <w:jc w:val="center"/>
              <w:rPr>
                <w:rFonts w:eastAsia="Times New Roman"/>
                <w:sz w:val="20"/>
                <w:szCs w:val="20"/>
              </w:rPr>
            </w:pPr>
            <w:r>
              <w:rPr>
                <w:rFonts w:eastAsia="Times New Roman"/>
                <w:sz w:val="20"/>
                <w:szCs w:val="20"/>
              </w:rPr>
              <w:t>1,031</w:t>
            </w:r>
          </w:p>
        </w:tc>
        <w:tc>
          <w:tcPr>
            <w:tcW w:w="50" w:type="pct"/>
            <w:shd w:val="clear" w:color="auto" w:fill="FFFFFF"/>
            <w:vAlign w:val="bottom"/>
            <w:hideMark/>
          </w:tcPr>
          <w:p w14:paraId="448C51B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26D02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0BAA94" w14:textId="77777777" w:rsidR="00000000" w:rsidRDefault="00322B34">
            <w:pPr>
              <w:ind w:left="176"/>
              <w:rPr>
                <w:rFonts w:eastAsia="Times New Roman"/>
                <w:sz w:val="20"/>
                <w:szCs w:val="20"/>
              </w:rPr>
            </w:pPr>
            <w:r>
              <w:rPr>
                <w:rFonts w:eastAsia="Times New Roman"/>
                <w:sz w:val="20"/>
                <w:szCs w:val="20"/>
              </w:rPr>
              <w:t>$</w:t>
            </w:r>
          </w:p>
        </w:tc>
        <w:tc>
          <w:tcPr>
            <w:tcW w:w="600" w:type="pct"/>
            <w:shd w:val="clear" w:color="auto" w:fill="FFFFFF"/>
            <w:vAlign w:val="bottom"/>
            <w:hideMark/>
          </w:tcPr>
          <w:p w14:paraId="1C9BBDC5" w14:textId="77777777" w:rsidR="00000000" w:rsidRDefault="00322B34">
            <w:pPr>
              <w:ind w:left="176"/>
              <w:jc w:val="right"/>
              <w:rPr>
                <w:rFonts w:eastAsia="Times New Roman"/>
                <w:sz w:val="20"/>
                <w:szCs w:val="20"/>
              </w:rPr>
            </w:pPr>
            <w:r>
              <w:rPr>
                <w:rFonts w:eastAsia="Times New Roman"/>
                <w:sz w:val="20"/>
                <w:szCs w:val="20"/>
              </w:rPr>
              <w:t>18,706</w:t>
            </w:r>
          </w:p>
        </w:tc>
        <w:tc>
          <w:tcPr>
            <w:tcW w:w="50" w:type="pct"/>
            <w:shd w:val="clear" w:color="auto" w:fill="FFFFFF"/>
            <w:vAlign w:val="bottom"/>
            <w:hideMark/>
          </w:tcPr>
          <w:p w14:paraId="1DCBE56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2CEBD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060C398" w14:textId="77777777" w:rsidR="00000000" w:rsidRDefault="00322B34">
            <w:pPr>
              <w:ind w:left="176"/>
              <w:jc w:val="right"/>
              <w:rPr>
                <w:rFonts w:eastAsia="Times New Roman"/>
                <w:sz w:val="20"/>
                <w:szCs w:val="20"/>
              </w:rPr>
            </w:pPr>
            <w:r>
              <w:rPr>
                <w:rFonts w:eastAsia="Times New Roman"/>
                <w:sz w:val="20"/>
                <w:szCs w:val="20"/>
              </w:rPr>
              <w:t>2.3</w:t>
            </w:r>
          </w:p>
        </w:tc>
        <w:tc>
          <w:tcPr>
            <w:tcW w:w="50" w:type="pct"/>
            <w:shd w:val="clear" w:color="auto" w:fill="FFFFFF"/>
            <w:vAlign w:val="bottom"/>
            <w:hideMark/>
          </w:tcPr>
          <w:p w14:paraId="1B3C56F1" w14:textId="77777777" w:rsidR="00000000" w:rsidRDefault="00322B34">
            <w:pPr>
              <w:pStyle w:val="a3"/>
              <w:spacing w:before="0" w:beforeAutospacing="0" w:after="0" w:afterAutospacing="0"/>
              <w:rPr>
                <w:sz w:val="20"/>
                <w:szCs w:val="20"/>
              </w:rPr>
            </w:pPr>
            <w:r>
              <w:rPr>
                <w:sz w:val="20"/>
                <w:szCs w:val="20"/>
              </w:rPr>
              <w:t>%</w:t>
            </w:r>
          </w:p>
        </w:tc>
      </w:tr>
      <w:tr w:rsidR="00000000" w14:paraId="689FB6C9" w14:textId="77777777">
        <w:trPr>
          <w:tblCellSpacing w:w="0" w:type="dxa"/>
        </w:trPr>
        <w:tc>
          <w:tcPr>
            <w:tcW w:w="0" w:type="auto"/>
            <w:shd w:val="clear" w:color="auto" w:fill="CCEEFF"/>
            <w:vAlign w:val="bottom"/>
            <w:hideMark/>
          </w:tcPr>
          <w:p w14:paraId="55901E5D" w14:textId="77777777" w:rsidR="00000000" w:rsidRDefault="00322B34">
            <w:pPr>
              <w:pStyle w:val="a3"/>
              <w:spacing w:before="0" w:beforeAutospacing="0" w:after="0" w:afterAutospacing="0"/>
              <w:ind w:left="352" w:hanging="176"/>
              <w:jc w:val="center"/>
              <w:rPr>
                <w:sz w:val="20"/>
                <w:szCs w:val="20"/>
              </w:rPr>
            </w:pPr>
            <w:r>
              <w:rPr>
                <w:sz w:val="20"/>
                <w:szCs w:val="20"/>
              </w:rPr>
              <w:t>2021</w:t>
            </w:r>
          </w:p>
        </w:tc>
        <w:tc>
          <w:tcPr>
            <w:tcW w:w="0" w:type="auto"/>
            <w:shd w:val="clear" w:color="auto" w:fill="CCEEFF"/>
            <w:vAlign w:val="bottom"/>
            <w:hideMark/>
          </w:tcPr>
          <w:p w14:paraId="14E9B98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7ECDB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CA72B11" w14:textId="77777777" w:rsidR="00000000" w:rsidRDefault="00322B34">
            <w:pPr>
              <w:ind w:left="176"/>
              <w:jc w:val="center"/>
              <w:rPr>
                <w:rFonts w:eastAsia="Times New Roman"/>
                <w:sz w:val="20"/>
                <w:szCs w:val="20"/>
              </w:rPr>
            </w:pPr>
            <w:r>
              <w:rPr>
                <w:rFonts w:eastAsia="Times New Roman"/>
                <w:sz w:val="20"/>
                <w:szCs w:val="20"/>
              </w:rPr>
              <w:t>745</w:t>
            </w:r>
          </w:p>
        </w:tc>
        <w:tc>
          <w:tcPr>
            <w:tcW w:w="50" w:type="pct"/>
            <w:shd w:val="clear" w:color="auto" w:fill="CCEEFF"/>
            <w:vAlign w:val="bottom"/>
            <w:hideMark/>
          </w:tcPr>
          <w:p w14:paraId="442C047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B51D07"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A278BC8" w14:textId="77777777" w:rsidR="00000000" w:rsidRDefault="00322B34">
            <w:pPr>
              <w:ind w:left="176"/>
              <w:jc w:val="center"/>
              <w:rPr>
                <w:rFonts w:eastAsia="Times New Roman"/>
                <w:sz w:val="20"/>
                <w:szCs w:val="20"/>
              </w:rPr>
            </w:pPr>
            <w:r>
              <w:rPr>
                <w:rFonts w:eastAsia="Times New Roman"/>
                <w:sz w:val="20"/>
                <w:szCs w:val="20"/>
              </w:rPr>
              <w:t>5,252</w:t>
            </w:r>
          </w:p>
        </w:tc>
        <w:tc>
          <w:tcPr>
            <w:tcW w:w="50" w:type="pct"/>
            <w:shd w:val="clear" w:color="auto" w:fill="CCEEFF"/>
            <w:vAlign w:val="bottom"/>
            <w:hideMark/>
          </w:tcPr>
          <w:p w14:paraId="4A2A434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631F6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B7B55D" w14:textId="77777777" w:rsidR="00000000" w:rsidRDefault="00322B34">
            <w:pPr>
              <w:ind w:left="176"/>
              <w:rPr>
                <w:rFonts w:eastAsia="Times New Roman"/>
                <w:sz w:val="20"/>
                <w:szCs w:val="20"/>
              </w:rPr>
            </w:pPr>
            <w:r>
              <w:rPr>
                <w:rFonts w:eastAsia="Times New Roman"/>
                <w:sz w:val="20"/>
                <w:szCs w:val="20"/>
              </w:rPr>
              <w:t>$</w:t>
            </w:r>
          </w:p>
        </w:tc>
        <w:tc>
          <w:tcPr>
            <w:tcW w:w="600" w:type="pct"/>
            <w:shd w:val="clear" w:color="auto" w:fill="CCEEFF"/>
            <w:vAlign w:val="bottom"/>
            <w:hideMark/>
          </w:tcPr>
          <w:p w14:paraId="05B5848F" w14:textId="77777777" w:rsidR="00000000" w:rsidRDefault="00322B34">
            <w:pPr>
              <w:ind w:left="176"/>
              <w:jc w:val="right"/>
              <w:rPr>
                <w:rFonts w:eastAsia="Times New Roman"/>
                <w:sz w:val="20"/>
                <w:szCs w:val="20"/>
              </w:rPr>
            </w:pPr>
            <w:r>
              <w:rPr>
                <w:rFonts w:eastAsia="Times New Roman"/>
                <w:sz w:val="20"/>
                <w:szCs w:val="20"/>
              </w:rPr>
              <w:t>85,085</w:t>
            </w:r>
          </w:p>
        </w:tc>
        <w:tc>
          <w:tcPr>
            <w:tcW w:w="50" w:type="pct"/>
            <w:shd w:val="clear" w:color="auto" w:fill="CCEEFF"/>
            <w:vAlign w:val="bottom"/>
            <w:hideMark/>
          </w:tcPr>
          <w:p w14:paraId="1FAB184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CF035C"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DC0904C" w14:textId="77777777" w:rsidR="00000000" w:rsidRDefault="00322B34">
            <w:pPr>
              <w:ind w:left="176"/>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14:paraId="5F6CB66F" w14:textId="77777777" w:rsidR="00000000" w:rsidRDefault="00322B34">
            <w:pPr>
              <w:pStyle w:val="a3"/>
              <w:spacing w:before="0" w:beforeAutospacing="0" w:after="0" w:afterAutospacing="0"/>
              <w:rPr>
                <w:sz w:val="20"/>
                <w:szCs w:val="20"/>
              </w:rPr>
            </w:pPr>
            <w:r>
              <w:rPr>
                <w:sz w:val="20"/>
                <w:szCs w:val="20"/>
              </w:rPr>
              <w:t>%</w:t>
            </w:r>
          </w:p>
        </w:tc>
      </w:tr>
      <w:tr w:rsidR="00000000" w14:paraId="7AD50546" w14:textId="77777777">
        <w:trPr>
          <w:tblCellSpacing w:w="0" w:type="dxa"/>
        </w:trPr>
        <w:tc>
          <w:tcPr>
            <w:tcW w:w="0" w:type="auto"/>
            <w:shd w:val="clear" w:color="auto" w:fill="FFFFFF"/>
            <w:vAlign w:val="bottom"/>
            <w:hideMark/>
          </w:tcPr>
          <w:p w14:paraId="52341D87" w14:textId="77777777" w:rsidR="00000000" w:rsidRDefault="00322B34">
            <w:pPr>
              <w:pStyle w:val="a3"/>
              <w:spacing w:before="0" w:beforeAutospacing="0" w:after="0" w:afterAutospacing="0"/>
              <w:ind w:left="352" w:hanging="176"/>
              <w:jc w:val="center"/>
              <w:rPr>
                <w:sz w:val="20"/>
                <w:szCs w:val="20"/>
              </w:rPr>
            </w:pPr>
            <w:r>
              <w:rPr>
                <w:sz w:val="20"/>
                <w:szCs w:val="20"/>
              </w:rPr>
              <w:t>2022</w:t>
            </w:r>
          </w:p>
        </w:tc>
        <w:tc>
          <w:tcPr>
            <w:tcW w:w="0" w:type="auto"/>
            <w:shd w:val="clear" w:color="auto" w:fill="FFFFFF"/>
            <w:vAlign w:val="bottom"/>
            <w:hideMark/>
          </w:tcPr>
          <w:p w14:paraId="345D9C1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39BBE2"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FE96FF1" w14:textId="77777777" w:rsidR="00000000" w:rsidRDefault="00322B34">
            <w:pPr>
              <w:ind w:left="176"/>
              <w:jc w:val="center"/>
              <w:rPr>
                <w:rFonts w:eastAsia="Times New Roman"/>
                <w:sz w:val="20"/>
                <w:szCs w:val="20"/>
              </w:rPr>
            </w:pPr>
            <w:r>
              <w:rPr>
                <w:rFonts w:eastAsia="Times New Roman"/>
                <w:sz w:val="20"/>
                <w:szCs w:val="20"/>
              </w:rPr>
              <w:t>825</w:t>
            </w:r>
          </w:p>
        </w:tc>
        <w:tc>
          <w:tcPr>
            <w:tcW w:w="50" w:type="pct"/>
            <w:shd w:val="clear" w:color="auto" w:fill="FFFFFF"/>
            <w:vAlign w:val="bottom"/>
            <w:hideMark/>
          </w:tcPr>
          <w:p w14:paraId="69785C2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73F15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FFED179" w14:textId="77777777" w:rsidR="00000000" w:rsidRDefault="00322B34">
            <w:pPr>
              <w:ind w:left="176"/>
              <w:jc w:val="center"/>
              <w:rPr>
                <w:rFonts w:eastAsia="Times New Roman"/>
                <w:sz w:val="20"/>
                <w:szCs w:val="20"/>
              </w:rPr>
            </w:pPr>
            <w:r>
              <w:rPr>
                <w:rFonts w:eastAsia="Times New Roman"/>
                <w:sz w:val="20"/>
                <w:szCs w:val="20"/>
              </w:rPr>
              <w:t>5,902</w:t>
            </w:r>
          </w:p>
        </w:tc>
        <w:tc>
          <w:tcPr>
            <w:tcW w:w="50" w:type="pct"/>
            <w:shd w:val="clear" w:color="auto" w:fill="FFFFFF"/>
            <w:vAlign w:val="bottom"/>
            <w:hideMark/>
          </w:tcPr>
          <w:p w14:paraId="6DB70F9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DEA8D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01145B" w14:textId="77777777" w:rsidR="00000000" w:rsidRDefault="00322B34">
            <w:pPr>
              <w:ind w:left="176"/>
              <w:rPr>
                <w:rFonts w:eastAsia="Times New Roman"/>
                <w:sz w:val="20"/>
                <w:szCs w:val="20"/>
              </w:rPr>
            </w:pPr>
            <w:r>
              <w:rPr>
                <w:rFonts w:eastAsia="Times New Roman"/>
                <w:sz w:val="20"/>
                <w:szCs w:val="20"/>
              </w:rPr>
              <w:t>$</w:t>
            </w:r>
          </w:p>
        </w:tc>
        <w:tc>
          <w:tcPr>
            <w:tcW w:w="600" w:type="pct"/>
            <w:shd w:val="clear" w:color="auto" w:fill="FFFFFF"/>
            <w:vAlign w:val="bottom"/>
            <w:hideMark/>
          </w:tcPr>
          <w:p w14:paraId="6B76BA60" w14:textId="77777777" w:rsidR="00000000" w:rsidRDefault="00322B34">
            <w:pPr>
              <w:ind w:left="176"/>
              <w:jc w:val="right"/>
              <w:rPr>
                <w:rFonts w:eastAsia="Times New Roman"/>
                <w:sz w:val="20"/>
                <w:szCs w:val="20"/>
              </w:rPr>
            </w:pPr>
            <w:r>
              <w:rPr>
                <w:rFonts w:eastAsia="Times New Roman"/>
                <w:sz w:val="20"/>
                <w:szCs w:val="20"/>
              </w:rPr>
              <w:t>103,345</w:t>
            </w:r>
          </w:p>
        </w:tc>
        <w:tc>
          <w:tcPr>
            <w:tcW w:w="50" w:type="pct"/>
            <w:shd w:val="clear" w:color="auto" w:fill="FFFFFF"/>
            <w:vAlign w:val="bottom"/>
            <w:hideMark/>
          </w:tcPr>
          <w:p w14:paraId="44D8F47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27D30C"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CD84E52" w14:textId="77777777" w:rsidR="00000000" w:rsidRDefault="00322B34">
            <w:pPr>
              <w:ind w:left="176"/>
              <w:jc w:val="right"/>
              <w:rPr>
                <w:rFonts w:eastAsia="Times New Roman"/>
                <w:sz w:val="20"/>
                <w:szCs w:val="20"/>
              </w:rPr>
            </w:pPr>
            <w:r>
              <w:rPr>
                <w:rFonts w:eastAsia="Times New Roman"/>
                <w:sz w:val="20"/>
                <w:szCs w:val="20"/>
              </w:rPr>
              <w:t>12.6</w:t>
            </w:r>
          </w:p>
        </w:tc>
        <w:tc>
          <w:tcPr>
            <w:tcW w:w="50" w:type="pct"/>
            <w:shd w:val="clear" w:color="auto" w:fill="FFFFFF"/>
            <w:vAlign w:val="bottom"/>
            <w:hideMark/>
          </w:tcPr>
          <w:p w14:paraId="71418D42" w14:textId="77777777" w:rsidR="00000000" w:rsidRDefault="00322B34">
            <w:pPr>
              <w:pStyle w:val="a3"/>
              <w:spacing w:before="0" w:beforeAutospacing="0" w:after="0" w:afterAutospacing="0"/>
              <w:rPr>
                <w:sz w:val="20"/>
                <w:szCs w:val="20"/>
              </w:rPr>
            </w:pPr>
            <w:r>
              <w:rPr>
                <w:sz w:val="20"/>
                <w:szCs w:val="20"/>
              </w:rPr>
              <w:t>%</w:t>
            </w:r>
          </w:p>
        </w:tc>
      </w:tr>
      <w:tr w:rsidR="00000000" w14:paraId="6B29C6F0" w14:textId="77777777">
        <w:trPr>
          <w:tblCellSpacing w:w="0" w:type="dxa"/>
        </w:trPr>
        <w:tc>
          <w:tcPr>
            <w:tcW w:w="0" w:type="auto"/>
            <w:shd w:val="clear" w:color="auto" w:fill="CCEEFF"/>
            <w:vAlign w:val="bottom"/>
            <w:hideMark/>
          </w:tcPr>
          <w:p w14:paraId="593848A3" w14:textId="77777777" w:rsidR="00000000" w:rsidRDefault="00322B34">
            <w:pPr>
              <w:pStyle w:val="a3"/>
              <w:spacing w:before="0" w:beforeAutospacing="0" w:after="0" w:afterAutospacing="0"/>
              <w:ind w:left="352" w:hanging="176"/>
              <w:jc w:val="center"/>
              <w:rPr>
                <w:sz w:val="20"/>
                <w:szCs w:val="20"/>
              </w:rPr>
            </w:pPr>
            <w:r>
              <w:rPr>
                <w:sz w:val="20"/>
                <w:szCs w:val="20"/>
              </w:rPr>
              <w:t>2023</w:t>
            </w:r>
          </w:p>
        </w:tc>
        <w:tc>
          <w:tcPr>
            <w:tcW w:w="0" w:type="auto"/>
            <w:shd w:val="clear" w:color="auto" w:fill="CCEEFF"/>
            <w:vAlign w:val="bottom"/>
            <w:hideMark/>
          </w:tcPr>
          <w:p w14:paraId="5F4778F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F7ACB0"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FA8AE6F" w14:textId="77777777" w:rsidR="00000000" w:rsidRDefault="00322B34">
            <w:pPr>
              <w:ind w:left="176"/>
              <w:jc w:val="center"/>
              <w:rPr>
                <w:rFonts w:eastAsia="Times New Roman"/>
                <w:sz w:val="20"/>
                <w:szCs w:val="20"/>
              </w:rPr>
            </w:pPr>
            <w:r>
              <w:rPr>
                <w:rFonts w:eastAsia="Times New Roman"/>
                <w:sz w:val="20"/>
                <w:szCs w:val="20"/>
              </w:rPr>
              <w:t>725</w:t>
            </w:r>
          </w:p>
        </w:tc>
        <w:tc>
          <w:tcPr>
            <w:tcW w:w="50" w:type="pct"/>
            <w:shd w:val="clear" w:color="auto" w:fill="CCEEFF"/>
            <w:vAlign w:val="bottom"/>
            <w:hideMark/>
          </w:tcPr>
          <w:p w14:paraId="6538B1A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03A7D6"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64A8C9D" w14:textId="77777777" w:rsidR="00000000" w:rsidRDefault="00322B34">
            <w:pPr>
              <w:ind w:left="176"/>
              <w:jc w:val="center"/>
              <w:rPr>
                <w:rFonts w:eastAsia="Times New Roman"/>
                <w:sz w:val="20"/>
                <w:szCs w:val="20"/>
              </w:rPr>
            </w:pPr>
            <w:r>
              <w:rPr>
                <w:rFonts w:eastAsia="Times New Roman"/>
                <w:sz w:val="20"/>
                <w:szCs w:val="20"/>
              </w:rPr>
              <w:t>5,739</w:t>
            </w:r>
          </w:p>
        </w:tc>
        <w:tc>
          <w:tcPr>
            <w:tcW w:w="50" w:type="pct"/>
            <w:shd w:val="clear" w:color="auto" w:fill="CCEEFF"/>
            <w:vAlign w:val="bottom"/>
            <w:hideMark/>
          </w:tcPr>
          <w:p w14:paraId="5501550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26C56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6FE98A" w14:textId="77777777" w:rsidR="00000000" w:rsidRDefault="00322B34">
            <w:pPr>
              <w:ind w:left="176"/>
              <w:rPr>
                <w:rFonts w:eastAsia="Times New Roman"/>
                <w:sz w:val="20"/>
                <w:szCs w:val="20"/>
              </w:rPr>
            </w:pPr>
            <w:r>
              <w:rPr>
                <w:rFonts w:eastAsia="Times New Roman"/>
                <w:sz w:val="20"/>
                <w:szCs w:val="20"/>
              </w:rPr>
              <w:t>$</w:t>
            </w:r>
          </w:p>
        </w:tc>
        <w:tc>
          <w:tcPr>
            <w:tcW w:w="600" w:type="pct"/>
            <w:shd w:val="clear" w:color="auto" w:fill="CCEEFF"/>
            <w:vAlign w:val="bottom"/>
            <w:hideMark/>
          </w:tcPr>
          <w:p w14:paraId="495F4D44" w14:textId="77777777" w:rsidR="00000000" w:rsidRDefault="00322B34">
            <w:pPr>
              <w:ind w:left="176"/>
              <w:jc w:val="right"/>
              <w:rPr>
                <w:rFonts w:eastAsia="Times New Roman"/>
                <w:sz w:val="20"/>
                <w:szCs w:val="20"/>
              </w:rPr>
            </w:pPr>
            <w:r>
              <w:rPr>
                <w:rFonts w:eastAsia="Times New Roman"/>
                <w:sz w:val="20"/>
                <w:szCs w:val="20"/>
              </w:rPr>
              <w:t>97,276</w:t>
            </w:r>
          </w:p>
        </w:tc>
        <w:tc>
          <w:tcPr>
            <w:tcW w:w="50" w:type="pct"/>
            <w:shd w:val="clear" w:color="auto" w:fill="CCEEFF"/>
            <w:vAlign w:val="bottom"/>
            <w:hideMark/>
          </w:tcPr>
          <w:p w14:paraId="6824068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1BB7FF"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76E7FA3" w14:textId="77777777" w:rsidR="00000000" w:rsidRDefault="00322B34">
            <w:pPr>
              <w:ind w:left="176"/>
              <w:jc w:val="right"/>
              <w:rPr>
                <w:rFonts w:eastAsia="Times New Roman"/>
                <w:sz w:val="20"/>
                <w:szCs w:val="20"/>
              </w:rPr>
            </w:pPr>
            <w:r>
              <w:rPr>
                <w:rFonts w:eastAsia="Times New Roman"/>
                <w:sz w:val="20"/>
                <w:szCs w:val="20"/>
              </w:rPr>
              <w:t>11.9</w:t>
            </w:r>
          </w:p>
        </w:tc>
        <w:tc>
          <w:tcPr>
            <w:tcW w:w="50" w:type="pct"/>
            <w:shd w:val="clear" w:color="auto" w:fill="CCEEFF"/>
            <w:vAlign w:val="bottom"/>
            <w:hideMark/>
          </w:tcPr>
          <w:p w14:paraId="75236D6C" w14:textId="77777777" w:rsidR="00000000" w:rsidRDefault="00322B34">
            <w:pPr>
              <w:pStyle w:val="a3"/>
              <w:spacing w:before="0" w:beforeAutospacing="0" w:after="0" w:afterAutospacing="0"/>
              <w:rPr>
                <w:sz w:val="20"/>
                <w:szCs w:val="20"/>
              </w:rPr>
            </w:pPr>
            <w:r>
              <w:rPr>
                <w:sz w:val="20"/>
                <w:szCs w:val="20"/>
              </w:rPr>
              <w:t>%</w:t>
            </w:r>
          </w:p>
        </w:tc>
      </w:tr>
      <w:tr w:rsidR="00000000" w14:paraId="2CA6798A" w14:textId="77777777">
        <w:trPr>
          <w:tblCellSpacing w:w="0" w:type="dxa"/>
        </w:trPr>
        <w:tc>
          <w:tcPr>
            <w:tcW w:w="0" w:type="auto"/>
            <w:shd w:val="clear" w:color="auto" w:fill="FFFFFF"/>
            <w:vAlign w:val="bottom"/>
            <w:hideMark/>
          </w:tcPr>
          <w:p w14:paraId="3CC1C505" w14:textId="77777777" w:rsidR="00000000" w:rsidRDefault="00322B34">
            <w:pPr>
              <w:pStyle w:val="a3"/>
              <w:spacing w:before="0" w:beforeAutospacing="0" w:after="0" w:afterAutospacing="0"/>
              <w:ind w:left="352" w:hanging="176"/>
              <w:jc w:val="center"/>
              <w:rPr>
                <w:sz w:val="20"/>
                <w:szCs w:val="20"/>
              </w:rPr>
            </w:pPr>
            <w:r>
              <w:rPr>
                <w:sz w:val="20"/>
                <w:szCs w:val="20"/>
              </w:rPr>
              <w:t>2024</w:t>
            </w:r>
          </w:p>
        </w:tc>
        <w:tc>
          <w:tcPr>
            <w:tcW w:w="0" w:type="auto"/>
            <w:shd w:val="clear" w:color="auto" w:fill="FFFFFF"/>
            <w:vAlign w:val="bottom"/>
            <w:hideMark/>
          </w:tcPr>
          <w:p w14:paraId="70B036F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38AB7F"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017E900" w14:textId="77777777" w:rsidR="00000000" w:rsidRDefault="00322B34">
            <w:pPr>
              <w:ind w:left="176"/>
              <w:jc w:val="center"/>
              <w:rPr>
                <w:rFonts w:eastAsia="Times New Roman"/>
                <w:sz w:val="20"/>
                <w:szCs w:val="20"/>
              </w:rPr>
            </w:pPr>
            <w:r>
              <w:rPr>
                <w:rFonts w:eastAsia="Times New Roman"/>
                <w:sz w:val="20"/>
                <w:szCs w:val="20"/>
              </w:rPr>
              <w:t>668</w:t>
            </w:r>
          </w:p>
        </w:tc>
        <w:tc>
          <w:tcPr>
            <w:tcW w:w="50" w:type="pct"/>
            <w:shd w:val="clear" w:color="auto" w:fill="FFFFFF"/>
            <w:vAlign w:val="bottom"/>
            <w:hideMark/>
          </w:tcPr>
          <w:p w14:paraId="505271E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E78628"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E124F9A" w14:textId="77777777" w:rsidR="00000000" w:rsidRDefault="00322B34">
            <w:pPr>
              <w:ind w:left="176"/>
              <w:jc w:val="center"/>
              <w:rPr>
                <w:rFonts w:eastAsia="Times New Roman"/>
                <w:sz w:val="20"/>
                <w:szCs w:val="20"/>
              </w:rPr>
            </w:pPr>
            <w:r>
              <w:rPr>
                <w:rFonts w:eastAsia="Times New Roman"/>
                <w:sz w:val="20"/>
                <w:szCs w:val="20"/>
              </w:rPr>
              <w:t>5,200</w:t>
            </w:r>
          </w:p>
        </w:tc>
        <w:tc>
          <w:tcPr>
            <w:tcW w:w="50" w:type="pct"/>
            <w:shd w:val="clear" w:color="auto" w:fill="FFFFFF"/>
            <w:vAlign w:val="bottom"/>
            <w:hideMark/>
          </w:tcPr>
          <w:p w14:paraId="3F847AB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64D26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E80F3C" w14:textId="77777777" w:rsidR="00000000" w:rsidRDefault="00322B34">
            <w:pPr>
              <w:ind w:left="176"/>
              <w:rPr>
                <w:rFonts w:eastAsia="Times New Roman"/>
                <w:sz w:val="20"/>
                <w:szCs w:val="20"/>
              </w:rPr>
            </w:pPr>
            <w:r>
              <w:rPr>
                <w:rFonts w:eastAsia="Times New Roman"/>
                <w:sz w:val="20"/>
                <w:szCs w:val="20"/>
              </w:rPr>
              <w:t>$</w:t>
            </w:r>
          </w:p>
        </w:tc>
        <w:tc>
          <w:tcPr>
            <w:tcW w:w="600" w:type="pct"/>
            <w:shd w:val="clear" w:color="auto" w:fill="FFFFFF"/>
            <w:vAlign w:val="bottom"/>
            <w:hideMark/>
          </w:tcPr>
          <w:p w14:paraId="179D4086" w14:textId="77777777" w:rsidR="00000000" w:rsidRDefault="00322B34">
            <w:pPr>
              <w:ind w:left="176"/>
              <w:jc w:val="right"/>
              <w:rPr>
                <w:rFonts w:eastAsia="Times New Roman"/>
                <w:sz w:val="20"/>
                <w:szCs w:val="20"/>
              </w:rPr>
            </w:pPr>
            <w:r>
              <w:rPr>
                <w:rFonts w:eastAsia="Times New Roman"/>
                <w:sz w:val="20"/>
                <w:szCs w:val="20"/>
              </w:rPr>
              <w:t>94,893</w:t>
            </w:r>
          </w:p>
        </w:tc>
        <w:tc>
          <w:tcPr>
            <w:tcW w:w="50" w:type="pct"/>
            <w:shd w:val="clear" w:color="auto" w:fill="FFFFFF"/>
            <w:vAlign w:val="bottom"/>
            <w:hideMark/>
          </w:tcPr>
          <w:p w14:paraId="06C1125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E9A69E"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9A9BD6A" w14:textId="77777777" w:rsidR="00000000" w:rsidRDefault="00322B34">
            <w:pPr>
              <w:ind w:left="176"/>
              <w:jc w:val="right"/>
              <w:rPr>
                <w:rFonts w:eastAsia="Times New Roman"/>
                <w:sz w:val="20"/>
                <w:szCs w:val="20"/>
              </w:rPr>
            </w:pPr>
            <w:r>
              <w:rPr>
                <w:rFonts w:eastAsia="Times New Roman"/>
                <w:sz w:val="20"/>
                <w:szCs w:val="20"/>
              </w:rPr>
              <w:t>11.6</w:t>
            </w:r>
          </w:p>
        </w:tc>
        <w:tc>
          <w:tcPr>
            <w:tcW w:w="50" w:type="pct"/>
            <w:shd w:val="clear" w:color="auto" w:fill="FFFFFF"/>
            <w:vAlign w:val="bottom"/>
            <w:hideMark/>
          </w:tcPr>
          <w:p w14:paraId="1FD43FF6" w14:textId="77777777" w:rsidR="00000000" w:rsidRDefault="00322B34">
            <w:pPr>
              <w:pStyle w:val="a3"/>
              <w:spacing w:before="0" w:beforeAutospacing="0" w:after="0" w:afterAutospacing="0"/>
              <w:rPr>
                <w:sz w:val="20"/>
                <w:szCs w:val="20"/>
              </w:rPr>
            </w:pPr>
            <w:r>
              <w:rPr>
                <w:sz w:val="20"/>
                <w:szCs w:val="20"/>
              </w:rPr>
              <w:t>%</w:t>
            </w:r>
          </w:p>
        </w:tc>
      </w:tr>
      <w:tr w:rsidR="00000000" w14:paraId="0B32C6FD" w14:textId="77777777">
        <w:trPr>
          <w:tblCellSpacing w:w="0" w:type="dxa"/>
        </w:trPr>
        <w:tc>
          <w:tcPr>
            <w:tcW w:w="0" w:type="auto"/>
            <w:shd w:val="clear" w:color="auto" w:fill="CCEEFF"/>
            <w:vAlign w:val="bottom"/>
            <w:hideMark/>
          </w:tcPr>
          <w:p w14:paraId="09916D51" w14:textId="77777777" w:rsidR="00000000" w:rsidRDefault="00322B34">
            <w:pPr>
              <w:pStyle w:val="a3"/>
              <w:spacing w:before="0" w:beforeAutospacing="0" w:after="0" w:afterAutospacing="0"/>
              <w:ind w:left="352" w:hanging="176"/>
              <w:jc w:val="center"/>
              <w:rPr>
                <w:sz w:val="20"/>
                <w:szCs w:val="20"/>
              </w:rPr>
            </w:pPr>
            <w:r>
              <w:rPr>
                <w:sz w:val="20"/>
                <w:szCs w:val="20"/>
              </w:rPr>
              <w:t>2025</w:t>
            </w:r>
          </w:p>
        </w:tc>
        <w:tc>
          <w:tcPr>
            <w:tcW w:w="0" w:type="auto"/>
            <w:shd w:val="clear" w:color="auto" w:fill="CCEEFF"/>
            <w:vAlign w:val="bottom"/>
            <w:hideMark/>
          </w:tcPr>
          <w:p w14:paraId="2B1B692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9E0E3A"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B94BA16" w14:textId="77777777" w:rsidR="00000000" w:rsidRDefault="00322B34">
            <w:pPr>
              <w:ind w:left="176"/>
              <w:jc w:val="center"/>
              <w:rPr>
                <w:rFonts w:eastAsia="Times New Roman"/>
                <w:sz w:val="20"/>
                <w:szCs w:val="20"/>
              </w:rPr>
            </w:pPr>
            <w:r>
              <w:rPr>
                <w:rFonts w:eastAsia="Times New Roman"/>
                <w:sz w:val="20"/>
                <w:szCs w:val="20"/>
              </w:rPr>
              <w:t>541</w:t>
            </w:r>
          </w:p>
        </w:tc>
        <w:tc>
          <w:tcPr>
            <w:tcW w:w="50" w:type="pct"/>
            <w:shd w:val="clear" w:color="auto" w:fill="CCEEFF"/>
            <w:vAlign w:val="bottom"/>
            <w:hideMark/>
          </w:tcPr>
          <w:p w14:paraId="03B3B0D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94E415"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DFEAC48" w14:textId="77777777" w:rsidR="00000000" w:rsidRDefault="00322B34">
            <w:pPr>
              <w:ind w:left="176"/>
              <w:jc w:val="center"/>
              <w:rPr>
                <w:rFonts w:eastAsia="Times New Roman"/>
                <w:sz w:val="20"/>
                <w:szCs w:val="20"/>
              </w:rPr>
            </w:pPr>
            <w:r>
              <w:rPr>
                <w:rFonts w:eastAsia="Times New Roman"/>
                <w:sz w:val="20"/>
                <w:szCs w:val="20"/>
              </w:rPr>
              <w:t>4,837</w:t>
            </w:r>
          </w:p>
        </w:tc>
        <w:tc>
          <w:tcPr>
            <w:tcW w:w="50" w:type="pct"/>
            <w:shd w:val="clear" w:color="auto" w:fill="CCEEFF"/>
            <w:vAlign w:val="bottom"/>
            <w:hideMark/>
          </w:tcPr>
          <w:p w14:paraId="1E2417E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B5D94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5D42E7" w14:textId="77777777" w:rsidR="00000000" w:rsidRDefault="00322B34">
            <w:pPr>
              <w:ind w:left="176"/>
              <w:rPr>
                <w:rFonts w:eastAsia="Times New Roman"/>
                <w:sz w:val="20"/>
                <w:szCs w:val="20"/>
              </w:rPr>
            </w:pPr>
            <w:r>
              <w:rPr>
                <w:rFonts w:eastAsia="Times New Roman"/>
                <w:sz w:val="20"/>
                <w:szCs w:val="20"/>
              </w:rPr>
              <w:t>$</w:t>
            </w:r>
          </w:p>
        </w:tc>
        <w:tc>
          <w:tcPr>
            <w:tcW w:w="600" w:type="pct"/>
            <w:shd w:val="clear" w:color="auto" w:fill="CCEEFF"/>
            <w:vAlign w:val="bottom"/>
            <w:hideMark/>
          </w:tcPr>
          <w:p w14:paraId="14DC3DAF" w14:textId="77777777" w:rsidR="00000000" w:rsidRDefault="00322B34">
            <w:pPr>
              <w:ind w:left="176"/>
              <w:jc w:val="right"/>
              <w:rPr>
                <w:rFonts w:eastAsia="Times New Roman"/>
                <w:sz w:val="20"/>
                <w:szCs w:val="20"/>
              </w:rPr>
            </w:pPr>
            <w:r>
              <w:rPr>
                <w:rFonts w:eastAsia="Times New Roman"/>
                <w:sz w:val="20"/>
                <w:szCs w:val="20"/>
              </w:rPr>
              <w:t>83,879</w:t>
            </w:r>
          </w:p>
        </w:tc>
        <w:tc>
          <w:tcPr>
            <w:tcW w:w="50" w:type="pct"/>
            <w:shd w:val="clear" w:color="auto" w:fill="CCEEFF"/>
            <w:vAlign w:val="bottom"/>
            <w:hideMark/>
          </w:tcPr>
          <w:p w14:paraId="60372B0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7AAC8D"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03A76AF" w14:textId="77777777" w:rsidR="00000000" w:rsidRDefault="00322B34">
            <w:pPr>
              <w:ind w:left="176"/>
              <w:jc w:val="right"/>
              <w:rPr>
                <w:rFonts w:eastAsia="Times New Roman"/>
                <w:sz w:val="20"/>
                <w:szCs w:val="20"/>
              </w:rPr>
            </w:pPr>
            <w:r>
              <w:rPr>
                <w:rFonts w:eastAsia="Times New Roman"/>
                <w:sz w:val="20"/>
                <w:szCs w:val="20"/>
              </w:rPr>
              <w:t>10.3</w:t>
            </w:r>
          </w:p>
        </w:tc>
        <w:tc>
          <w:tcPr>
            <w:tcW w:w="50" w:type="pct"/>
            <w:shd w:val="clear" w:color="auto" w:fill="CCEEFF"/>
            <w:vAlign w:val="bottom"/>
            <w:hideMark/>
          </w:tcPr>
          <w:p w14:paraId="3DE81322" w14:textId="77777777" w:rsidR="00000000" w:rsidRDefault="00322B34">
            <w:pPr>
              <w:pStyle w:val="a3"/>
              <w:spacing w:before="0" w:beforeAutospacing="0" w:after="0" w:afterAutospacing="0"/>
              <w:rPr>
                <w:sz w:val="20"/>
                <w:szCs w:val="20"/>
              </w:rPr>
            </w:pPr>
            <w:r>
              <w:rPr>
                <w:sz w:val="20"/>
                <w:szCs w:val="20"/>
              </w:rPr>
              <w:t>%</w:t>
            </w:r>
          </w:p>
        </w:tc>
      </w:tr>
      <w:tr w:rsidR="00000000" w14:paraId="1DD7C5FE" w14:textId="77777777">
        <w:trPr>
          <w:tblCellSpacing w:w="0" w:type="dxa"/>
        </w:trPr>
        <w:tc>
          <w:tcPr>
            <w:tcW w:w="0" w:type="auto"/>
            <w:shd w:val="clear" w:color="auto" w:fill="FFFFFF"/>
            <w:vAlign w:val="bottom"/>
            <w:hideMark/>
          </w:tcPr>
          <w:p w14:paraId="36087DE6" w14:textId="77777777" w:rsidR="00000000" w:rsidRDefault="00322B34">
            <w:pPr>
              <w:pStyle w:val="a3"/>
              <w:spacing w:before="0" w:beforeAutospacing="0" w:after="0" w:afterAutospacing="0"/>
              <w:ind w:left="352" w:hanging="176"/>
              <w:jc w:val="center"/>
              <w:rPr>
                <w:sz w:val="20"/>
                <w:szCs w:val="20"/>
              </w:rPr>
            </w:pPr>
            <w:r>
              <w:rPr>
                <w:sz w:val="20"/>
                <w:szCs w:val="20"/>
              </w:rPr>
              <w:t>2026</w:t>
            </w:r>
          </w:p>
        </w:tc>
        <w:tc>
          <w:tcPr>
            <w:tcW w:w="0" w:type="auto"/>
            <w:shd w:val="clear" w:color="auto" w:fill="FFFFFF"/>
            <w:vAlign w:val="bottom"/>
            <w:hideMark/>
          </w:tcPr>
          <w:p w14:paraId="7ED2BDE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CCA048"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62DE81C" w14:textId="77777777" w:rsidR="00000000" w:rsidRDefault="00322B34">
            <w:pPr>
              <w:ind w:left="176"/>
              <w:jc w:val="center"/>
              <w:rPr>
                <w:rFonts w:eastAsia="Times New Roman"/>
                <w:sz w:val="20"/>
                <w:szCs w:val="20"/>
              </w:rPr>
            </w:pPr>
            <w:r>
              <w:rPr>
                <w:rFonts w:eastAsia="Times New Roman"/>
                <w:sz w:val="20"/>
                <w:szCs w:val="20"/>
              </w:rPr>
              <w:t>287</w:t>
            </w:r>
          </w:p>
        </w:tc>
        <w:tc>
          <w:tcPr>
            <w:tcW w:w="50" w:type="pct"/>
            <w:shd w:val="clear" w:color="auto" w:fill="FFFFFF"/>
            <w:vAlign w:val="bottom"/>
            <w:hideMark/>
          </w:tcPr>
          <w:p w14:paraId="6A2E610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4DF243"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953B335" w14:textId="77777777" w:rsidR="00000000" w:rsidRDefault="00322B34">
            <w:pPr>
              <w:ind w:left="176"/>
              <w:jc w:val="center"/>
              <w:rPr>
                <w:rFonts w:eastAsia="Times New Roman"/>
                <w:sz w:val="20"/>
                <w:szCs w:val="20"/>
              </w:rPr>
            </w:pPr>
            <w:r>
              <w:rPr>
                <w:rFonts w:eastAsia="Times New Roman"/>
                <w:sz w:val="20"/>
                <w:szCs w:val="20"/>
              </w:rPr>
              <w:t>4,316</w:t>
            </w:r>
          </w:p>
        </w:tc>
        <w:tc>
          <w:tcPr>
            <w:tcW w:w="50" w:type="pct"/>
            <w:shd w:val="clear" w:color="auto" w:fill="FFFFFF"/>
            <w:vAlign w:val="bottom"/>
            <w:hideMark/>
          </w:tcPr>
          <w:p w14:paraId="3B0EBAF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267C5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7D6981" w14:textId="77777777" w:rsidR="00000000" w:rsidRDefault="00322B34">
            <w:pPr>
              <w:ind w:left="176"/>
              <w:rPr>
                <w:rFonts w:eastAsia="Times New Roman"/>
                <w:sz w:val="20"/>
                <w:szCs w:val="20"/>
              </w:rPr>
            </w:pPr>
            <w:r>
              <w:rPr>
                <w:rFonts w:eastAsia="Times New Roman"/>
                <w:sz w:val="20"/>
                <w:szCs w:val="20"/>
              </w:rPr>
              <w:t>$</w:t>
            </w:r>
          </w:p>
        </w:tc>
        <w:tc>
          <w:tcPr>
            <w:tcW w:w="600" w:type="pct"/>
            <w:shd w:val="clear" w:color="auto" w:fill="FFFFFF"/>
            <w:vAlign w:val="bottom"/>
            <w:hideMark/>
          </w:tcPr>
          <w:p w14:paraId="6045476A" w14:textId="77777777" w:rsidR="00000000" w:rsidRDefault="00322B34">
            <w:pPr>
              <w:ind w:left="176"/>
              <w:jc w:val="right"/>
              <w:rPr>
                <w:rFonts w:eastAsia="Times New Roman"/>
                <w:sz w:val="20"/>
                <w:szCs w:val="20"/>
              </w:rPr>
            </w:pPr>
            <w:r>
              <w:rPr>
                <w:rFonts w:eastAsia="Times New Roman"/>
                <w:sz w:val="20"/>
                <w:szCs w:val="20"/>
              </w:rPr>
              <w:t>60,969</w:t>
            </w:r>
          </w:p>
        </w:tc>
        <w:tc>
          <w:tcPr>
            <w:tcW w:w="50" w:type="pct"/>
            <w:shd w:val="clear" w:color="auto" w:fill="FFFFFF"/>
            <w:vAlign w:val="bottom"/>
            <w:hideMark/>
          </w:tcPr>
          <w:p w14:paraId="5CD1874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3F5321"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1651CDD" w14:textId="77777777" w:rsidR="00000000" w:rsidRDefault="00322B34">
            <w:pPr>
              <w:ind w:left="176"/>
              <w:jc w:val="right"/>
              <w:rPr>
                <w:rFonts w:eastAsia="Times New Roman"/>
                <w:sz w:val="20"/>
                <w:szCs w:val="20"/>
              </w:rPr>
            </w:pPr>
            <w:r>
              <w:rPr>
                <w:rFonts w:eastAsia="Times New Roman"/>
                <w:sz w:val="20"/>
                <w:szCs w:val="20"/>
              </w:rPr>
              <w:t>7.5</w:t>
            </w:r>
          </w:p>
        </w:tc>
        <w:tc>
          <w:tcPr>
            <w:tcW w:w="50" w:type="pct"/>
            <w:shd w:val="clear" w:color="auto" w:fill="FFFFFF"/>
            <w:vAlign w:val="bottom"/>
            <w:hideMark/>
          </w:tcPr>
          <w:p w14:paraId="0F111824" w14:textId="77777777" w:rsidR="00000000" w:rsidRDefault="00322B34">
            <w:pPr>
              <w:pStyle w:val="a3"/>
              <w:spacing w:before="0" w:beforeAutospacing="0" w:after="0" w:afterAutospacing="0"/>
              <w:rPr>
                <w:sz w:val="20"/>
                <w:szCs w:val="20"/>
              </w:rPr>
            </w:pPr>
            <w:r>
              <w:rPr>
                <w:sz w:val="20"/>
                <w:szCs w:val="20"/>
              </w:rPr>
              <w:t>%</w:t>
            </w:r>
          </w:p>
        </w:tc>
      </w:tr>
      <w:tr w:rsidR="00000000" w14:paraId="52F20951" w14:textId="77777777">
        <w:trPr>
          <w:tblCellSpacing w:w="0" w:type="dxa"/>
        </w:trPr>
        <w:tc>
          <w:tcPr>
            <w:tcW w:w="0" w:type="auto"/>
            <w:shd w:val="clear" w:color="auto" w:fill="CCEEFF"/>
            <w:vAlign w:val="bottom"/>
            <w:hideMark/>
          </w:tcPr>
          <w:p w14:paraId="79D35B7D" w14:textId="77777777" w:rsidR="00000000" w:rsidRDefault="00322B34">
            <w:pPr>
              <w:pStyle w:val="a3"/>
              <w:spacing w:before="0" w:beforeAutospacing="0" w:after="0" w:afterAutospacing="0"/>
              <w:ind w:left="352" w:hanging="176"/>
              <w:jc w:val="center"/>
              <w:rPr>
                <w:sz w:val="20"/>
                <w:szCs w:val="20"/>
              </w:rPr>
            </w:pPr>
            <w:r>
              <w:rPr>
                <w:sz w:val="20"/>
                <w:szCs w:val="20"/>
              </w:rPr>
              <w:t>2027</w:t>
            </w:r>
          </w:p>
        </w:tc>
        <w:tc>
          <w:tcPr>
            <w:tcW w:w="0" w:type="auto"/>
            <w:shd w:val="clear" w:color="auto" w:fill="CCEEFF"/>
            <w:vAlign w:val="bottom"/>
            <w:hideMark/>
          </w:tcPr>
          <w:p w14:paraId="3C69CFC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5511C9"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4981599" w14:textId="77777777" w:rsidR="00000000" w:rsidRDefault="00322B34">
            <w:pPr>
              <w:ind w:left="176"/>
              <w:jc w:val="center"/>
              <w:rPr>
                <w:rFonts w:eastAsia="Times New Roman"/>
                <w:sz w:val="20"/>
                <w:szCs w:val="20"/>
              </w:rPr>
            </w:pPr>
            <w:r>
              <w:rPr>
                <w:rFonts w:eastAsia="Times New Roman"/>
                <w:sz w:val="20"/>
                <w:szCs w:val="20"/>
              </w:rPr>
              <w:t>248</w:t>
            </w:r>
          </w:p>
        </w:tc>
        <w:tc>
          <w:tcPr>
            <w:tcW w:w="50" w:type="pct"/>
            <w:shd w:val="clear" w:color="auto" w:fill="CCEEFF"/>
            <w:vAlign w:val="bottom"/>
            <w:hideMark/>
          </w:tcPr>
          <w:p w14:paraId="698176A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B1F056"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35DDCE6" w14:textId="77777777" w:rsidR="00000000" w:rsidRDefault="00322B34">
            <w:pPr>
              <w:ind w:left="176"/>
              <w:jc w:val="center"/>
              <w:rPr>
                <w:rFonts w:eastAsia="Times New Roman"/>
                <w:sz w:val="20"/>
                <w:szCs w:val="20"/>
              </w:rPr>
            </w:pPr>
            <w:r>
              <w:rPr>
                <w:rFonts w:eastAsia="Times New Roman"/>
                <w:sz w:val="20"/>
                <w:szCs w:val="20"/>
              </w:rPr>
              <w:t>3,224</w:t>
            </w:r>
          </w:p>
        </w:tc>
        <w:tc>
          <w:tcPr>
            <w:tcW w:w="50" w:type="pct"/>
            <w:shd w:val="clear" w:color="auto" w:fill="CCEEFF"/>
            <w:vAlign w:val="bottom"/>
            <w:hideMark/>
          </w:tcPr>
          <w:p w14:paraId="12F02C3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DDDAF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269937" w14:textId="77777777" w:rsidR="00000000" w:rsidRDefault="00322B34">
            <w:pPr>
              <w:ind w:left="176"/>
              <w:rPr>
                <w:rFonts w:eastAsia="Times New Roman"/>
                <w:sz w:val="20"/>
                <w:szCs w:val="20"/>
              </w:rPr>
            </w:pPr>
            <w:r>
              <w:rPr>
                <w:rFonts w:eastAsia="Times New Roman"/>
                <w:sz w:val="20"/>
                <w:szCs w:val="20"/>
              </w:rPr>
              <w:t>$</w:t>
            </w:r>
          </w:p>
        </w:tc>
        <w:tc>
          <w:tcPr>
            <w:tcW w:w="600" w:type="pct"/>
            <w:shd w:val="clear" w:color="auto" w:fill="CCEEFF"/>
            <w:vAlign w:val="bottom"/>
            <w:hideMark/>
          </w:tcPr>
          <w:p w14:paraId="47D09824" w14:textId="77777777" w:rsidR="00000000" w:rsidRDefault="00322B34">
            <w:pPr>
              <w:ind w:left="176"/>
              <w:jc w:val="right"/>
              <w:rPr>
                <w:rFonts w:eastAsia="Times New Roman"/>
                <w:sz w:val="20"/>
                <w:szCs w:val="20"/>
              </w:rPr>
            </w:pPr>
            <w:r>
              <w:rPr>
                <w:rFonts w:eastAsia="Times New Roman"/>
                <w:sz w:val="20"/>
                <w:szCs w:val="20"/>
              </w:rPr>
              <w:t>49,706</w:t>
            </w:r>
          </w:p>
        </w:tc>
        <w:tc>
          <w:tcPr>
            <w:tcW w:w="50" w:type="pct"/>
            <w:shd w:val="clear" w:color="auto" w:fill="CCEEFF"/>
            <w:vAlign w:val="bottom"/>
            <w:hideMark/>
          </w:tcPr>
          <w:p w14:paraId="286969A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071DEE"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F1433BC" w14:textId="77777777" w:rsidR="00000000" w:rsidRDefault="00322B34">
            <w:pPr>
              <w:ind w:left="176"/>
              <w:jc w:val="right"/>
              <w:rPr>
                <w:rFonts w:eastAsia="Times New Roman"/>
                <w:sz w:val="20"/>
                <w:szCs w:val="20"/>
              </w:rPr>
            </w:pPr>
            <w:r>
              <w:rPr>
                <w:rFonts w:eastAsia="Times New Roman"/>
                <w:sz w:val="20"/>
                <w:szCs w:val="20"/>
              </w:rPr>
              <w:t>6.1</w:t>
            </w:r>
          </w:p>
        </w:tc>
        <w:tc>
          <w:tcPr>
            <w:tcW w:w="50" w:type="pct"/>
            <w:shd w:val="clear" w:color="auto" w:fill="CCEEFF"/>
            <w:vAlign w:val="bottom"/>
            <w:hideMark/>
          </w:tcPr>
          <w:p w14:paraId="4511B24D" w14:textId="77777777" w:rsidR="00000000" w:rsidRDefault="00322B34">
            <w:pPr>
              <w:pStyle w:val="a3"/>
              <w:spacing w:before="0" w:beforeAutospacing="0" w:after="0" w:afterAutospacing="0"/>
              <w:rPr>
                <w:sz w:val="20"/>
                <w:szCs w:val="20"/>
              </w:rPr>
            </w:pPr>
            <w:r>
              <w:rPr>
                <w:sz w:val="20"/>
                <w:szCs w:val="20"/>
              </w:rPr>
              <w:t>%</w:t>
            </w:r>
          </w:p>
        </w:tc>
      </w:tr>
      <w:tr w:rsidR="00000000" w14:paraId="4FF487AD" w14:textId="77777777">
        <w:trPr>
          <w:tblCellSpacing w:w="0" w:type="dxa"/>
        </w:trPr>
        <w:tc>
          <w:tcPr>
            <w:tcW w:w="0" w:type="auto"/>
            <w:shd w:val="clear" w:color="auto" w:fill="FFFFFF"/>
            <w:vAlign w:val="bottom"/>
            <w:hideMark/>
          </w:tcPr>
          <w:p w14:paraId="2A5C3DFF" w14:textId="77777777" w:rsidR="00000000" w:rsidRDefault="00322B34">
            <w:pPr>
              <w:pStyle w:val="a3"/>
              <w:spacing w:before="0" w:beforeAutospacing="0" w:after="0" w:afterAutospacing="0"/>
              <w:ind w:left="352" w:hanging="176"/>
              <w:jc w:val="center"/>
              <w:rPr>
                <w:sz w:val="20"/>
                <w:szCs w:val="20"/>
              </w:rPr>
            </w:pPr>
            <w:r>
              <w:rPr>
                <w:sz w:val="20"/>
                <w:szCs w:val="20"/>
              </w:rPr>
              <w:t>2028</w:t>
            </w:r>
          </w:p>
        </w:tc>
        <w:tc>
          <w:tcPr>
            <w:tcW w:w="0" w:type="auto"/>
            <w:shd w:val="clear" w:color="auto" w:fill="FFFFFF"/>
            <w:vAlign w:val="bottom"/>
            <w:hideMark/>
          </w:tcPr>
          <w:p w14:paraId="2FC323B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3F347F"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FCDCB5F" w14:textId="77777777" w:rsidR="00000000" w:rsidRDefault="00322B34">
            <w:pPr>
              <w:ind w:left="176"/>
              <w:jc w:val="center"/>
              <w:rPr>
                <w:rFonts w:eastAsia="Times New Roman"/>
                <w:sz w:val="20"/>
                <w:szCs w:val="20"/>
              </w:rPr>
            </w:pPr>
            <w:r>
              <w:rPr>
                <w:rFonts w:eastAsia="Times New Roman"/>
                <w:sz w:val="20"/>
                <w:szCs w:val="20"/>
              </w:rPr>
              <w:t>309</w:t>
            </w:r>
          </w:p>
        </w:tc>
        <w:tc>
          <w:tcPr>
            <w:tcW w:w="50" w:type="pct"/>
            <w:shd w:val="clear" w:color="auto" w:fill="FFFFFF"/>
            <w:vAlign w:val="bottom"/>
            <w:hideMark/>
          </w:tcPr>
          <w:p w14:paraId="24FFD04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E5382A"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8A861F8" w14:textId="77777777" w:rsidR="00000000" w:rsidRDefault="00322B34">
            <w:pPr>
              <w:ind w:left="176"/>
              <w:jc w:val="center"/>
              <w:rPr>
                <w:rFonts w:eastAsia="Times New Roman"/>
                <w:sz w:val="20"/>
                <w:szCs w:val="20"/>
              </w:rPr>
            </w:pPr>
            <w:r>
              <w:rPr>
                <w:rFonts w:eastAsia="Times New Roman"/>
                <w:sz w:val="20"/>
                <w:szCs w:val="20"/>
              </w:rPr>
              <w:t>3,187</w:t>
            </w:r>
          </w:p>
        </w:tc>
        <w:tc>
          <w:tcPr>
            <w:tcW w:w="50" w:type="pct"/>
            <w:shd w:val="clear" w:color="auto" w:fill="FFFFFF"/>
            <w:vAlign w:val="bottom"/>
            <w:hideMark/>
          </w:tcPr>
          <w:p w14:paraId="1EC3689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8F7E1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E4CBB0" w14:textId="77777777" w:rsidR="00000000" w:rsidRDefault="00322B34">
            <w:pPr>
              <w:ind w:left="176"/>
              <w:rPr>
                <w:rFonts w:eastAsia="Times New Roman"/>
                <w:sz w:val="20"/>
                <w:szCs w:val="20"/>
              </w:rPr>
            </w:pPr>
            <w:r>
              <w:rPr>
                <w:rFonts w:eastAsia="Times New Roman"/>
                <w:sz w:val="20"/>
                <w:szCs w:val="20"/>
              </w:rPr>
              <w:t>$</w:t>
            </w:r>
          </w:p>
        </w:tc>
        <w:tc>
          <w:tcPr>
            <w:tcW w:w="600" w:type="pct"/>
            <w:shd w:val="clear" w:color="auto" w:fill="FFFFFF"/>
            <w:vAlign w:val="bottom"/>
            <w:hideMark/>
          </w:tcPr>
          <w:p w14:paraId="0466F389" w14:textId="77777777" w:rsidR="00000000" w:rsidRDefault="00322B34">
            <w:pPr>
              <w:ind w:left="176"/>
              <w:jc w:val="right"/>
              <w:rPr>
                <w:rFonts w:eastAsia="Times New Roman"/>
                <w:sz w:val="20"/>
                <w:szCs w:val="20"/>
              </w:rPr>
            </w:pPr>
            <w:r>
              <w:rPr>
                <w:rFonts w:eastAsia="Times New Roman"/>
                <w:sz w:val="20"/>
                <w:szCs w:val="20"/>
              </w:rPr>
              <w:t>60,299</w:t>
            </w:r>
          </w:p>
        </w:tc>
        <w:tc>
          <w:tcPr>
            <w:tcW w:w="50" w:type="pct"/>
            <w:shd w:val="clear" w:color="auto" w:fill="FFFFFF"/>
            <w:vAlign w:val="bottom"/>
            <w:hideMark/>
          </w:tcPr>
          <w:p w14:paraId="7C99850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90D7C6"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7B2A15E" w14:textId="77777777" w:rsidR="00000000" w:rsidRDefault="00322B34">
            <w:pPr>
              <w:ind w:left="176"/>
              <w:jc w:val="right"/>
              <w:rPr>
                <w:rFonts w:eastAsia="Times New Roman"/>
                <w:sz w:val="20"/>
                <w:szCs w:val="20"/>
              </w:rPr>
            </w:pPr>
            <w:r>
              <w:rPr>
                <w:rFonts w:eastAsia="Times New Roman"/>
                <w:sz w:val="20"/>
                <w:szCs w:val="20"/>
              </w:rPr>
              <w:t>7.4</w:t>
            </w:r>
          </w:p>
        </w:tc>
        <w:tc>
          <w:tcPr>
            <w:tcW w:w="50" w:type="pct"/>
            <w:shd w:val="clear" w:color="auto" w:fill="FFFFFF"/>
            <w:vAlign w:val="bottom"/>
            <w:hideMark/>
          </w:tcPr>
          <w:p w14:paraId="7AE57633" w14:textId="77777777" w:rsidR="00000000" w:rsidRDefault="00322B34">
            <w:pPr>
              <w:pStyle w:val="a3"/>
              <w:spacing w:before="0" w:beforeAutospacing="0" w:after="0" w:afterAutospacing="0"/>
              <w:rPr>
                <w:sz w:val="20"/>
                <w:szCs w:val="20"/>
              </w:rPr>
            </w:pPr>
            <w:r>
              <w:rPr>
                <w:sz w:val="20"/>
                <w:szCs w:val="20"/>
              </w:rPr>
              <w:t>%</w:t>
            </w:r>
          </w:p>
        </w:tc>
      </w:tr>
      <w:tr w:rsidR="00000000" w14:paraId="22724E45" w14:textId="77777777">
        <w:trPr>
          <w:tblCellSpacing w:w="0" w:type="dxa"/>
        </w:trPr>
        <w:tc>
          <w:tcPr>
            <w:tcW w:w="0" w:type="auto"/>
            <w:shd w:val="clear" w:color="auto" w:fill="CCEEFF"/>
            <w:vAlign w:val="bottom"/>
            <w:hideMark/>
          </w:tcPr>
          <w:p w14:paraId="7305C924" w14:textId="77777777" w:rsidR="00000000" w:rsidRDefault="00322B34">
            <w:pPr>
              <w:pStyle w:val="a3"/>
              <w:spacing w:before="0" w:beforeAutospacing="0" w:after="0" w:afterAutospacing="0"/>
              <w:ind w:left="352" w:hanging="176"/>
              <w:jc w:val="center"/>
              <w:rPr>
                <w:sz w:val="20"/>
                <w:szCs w:val="20"/>
              </w:rPr>
            </w:pPr>
            <w:r>
              <w:rPr>
                <w:sz w:val="20"/>
                <w:szCs w:val="20"/>
              </w:rPr>
              <w:t>2029</w:t>
            </w:r>
          </w:p>
        </w:tc>
        <w:tc>
          <w:tcPr>
            <w:tcW w:w="0" w:type="auto"/>
            <w:shd w:val="clear" w:color="auto" w:fill="CCEEFF"/>
            <w:vAlign w:val="bottom"/>
            <w:hideMark/>
          </w:tcPr>
          <w:p w14:paraId="40026D5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29F887"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D301CEC" w14:textId="77777777" w:rsidR="00000000" w:rsidRDefault="00322B34">
            <w:pPr>
              <w:ind w:left="176"/>
              <w:jc w:val="center"/>
              <w:rPr>
                <w:rFonts w:eastAsia="Times New Roman"/>
                <w:sz w:val="20"/>
                <w:szCs w:val="20"/>
              </w:rPr>
            </w:pPr>
            <w:r>
              <w:rPr>
                <w:rFonts w:eastAsia="Times New Roman"/>
                <w:sz w:val="20"/>
                <w:szCs w:val="20"/>
              </w:rPr>
              <w:t>251</w:t>
            </w:r>
          </w:p>
        </w:tc>
        <w:tc>
          <w:tcPr>
            <w:tcW w:w="50" w:type="pct"/>
            <w:shd w:val="clear" w:color="auto" w:fill="CCEEFF"/>
            <w:vAlign w:val="bottom"/>
            <w:hideMark/>
          </w:tcPr>
          <w:p w14:paraId="79D2675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D2899C"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2F5F0D4" w14:textId="77777777" w:rsidR="00000000" w:rsidRDefault="00322B34">
            <w:pPr>
              <w:ind w:left="176"/>
              <w:jc w:val="center"/>
              <w:rPr>
                <w:rFonts w:eastAsia="Times New Roman"/>
                <w:sz w:val="20"/>
                <w:szCs w:val="20"/>
              </w:rPr>
            </w:pPr>
            <w:r>
              <w:rPr>
                <w:rFonts w:eastAsia="Times New Roman"/>
                <w:sz w:val="20"/>
                <w:szCs w:val="20"/>
              </w:rPr>
              <w:t>2,603</w:t>
            </w:r>
          </w:p>
        </w:tc>
        <w:tc>
          <w:tcPr>
            <w:tcW w:w="50" w:type="pct"/>
            <w:shd w:val="clear" w:color="auto" w:fill="CCEEFF"/>
            <w:vAlign w:val="bottom"/>
            <w:hideMark/>
          </w:tcPr>
          <w:p w14:paraId="3024AF9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71CF2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25406B" w14:textId="77777777" w:rsidR="00000000" w:rsidRDefault="00322B34">
            <w:pPr>
              <w:ind w:left="176"/>
              <w:rPr>
                <w:rFonts w:eastAsia="Times New Roman"/>
                <w:sz w:val="20"/>
                <w:szCs w:val="20"/>
              </w:rPr>
            </w:pPr>
            <w:r>
              <w:rPr>
                <w:rFonts w:eastAsia="Times New Roman"/>
                <w:sz w:val="20"/>
                <w:szCs w:val="20"/>
              </w:rPr>
              <w:t>$</w:t>
            </w:r>
          </w:p>
        </w:tc>
        <w:tc>
          <w:tcPr>
            <w:tcW w:w="600" w:type="pct"/>
            <w:shd w:val="clear" w:color="auto" w:fill="CCEEFF"/>
            <w:vAlign w:val="bottom"/>
            <w:hideMark/>
          </w:tcPr>
          <w:p w14:paraId="6F25319E" w14:textId="77777777" w:rsidR="00000000" w:rsidRDefault="00322B34">
            <w:pPr>
              <w:ind w:left="176"/>
              <w:jc w:val="right"/>
              <w:rPr>
                <w:rFonts w:eastAsia="Times New Roman"/>
                <w:sz w:val="20"/>
                <w:szCs w:val="20"/>
              </w:rPr>
            </w:pPr>
            <w:r>
              <w:rPr>
                <w:rFonts w:eastAsia="Times New Roman"/>
                <w:sz w:val="20"/>
                <w:szCs w:val="20"/>
              </w:rPr>
              <w:t>45,553</w:t>
            </w:r>
          </w:p>
        </w:tc>
        <w:tc>
          <w:tcPr>
            <w:tcW w:w="50" w:type="pct"/>
            <w:shd w:val="clear" w:color="auto" w:fill="CCEEFF"/>
            <w:vAlign w:val="bottom"/>
            <w:hideMark/>
          </w:tcPr>
          <w:p w14:paraId="00ED780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237C17"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95C5161" w14:textId="77777777" w:rsidR="00000000" w:rsidRDefault="00322B34">
            <w:pPr>
              <w:ind w:left="176"/>
              <w:jc w:val="right"/>
              <w:rPr>
                <w:rFonts w:eastAsia="Times New Roman"/>
                <w:sz w:val="20"/>
                <w:szCs w:val="20"/>
              </w:rPr>
            </w:pPr>
            <w:r>
              <w:rPr>
                <w:rFonts w:eastAsia="Times New Roman"/>
                <w:sz w:val="20"/>
                <w:szCs w:val="20"/>
              </w:rPr>
              <w:t>5.6</w:t>
            </w:r>
          </w:p>
        </w:tc>
        <w:tc>
          <w:tcPr>
            <w:tcW w:w="50" w:type="pct"/>
            <w:shd w:val="clear" w:color="auto" w:fill="CCEEFF"/>
            <w:vAlign w:val="bottom"/>
            <w:hideMark/>
          </w:tcPr>
          <w:p w14:paraId="25AABF1C" w14:textId="77777777" w:rsidR="00000000" w:rsidRDefault="00322B34">
            <w:pPr>
              <w:pStyle w:val="a3"/>
              <w:spacing w:before="0" w:beforeAutospacing="0" w:after="0" w:afterAutospacing="0"/>
              <w:rPr>
                <w:sz w:val="20"/>
                <w:szCs w:val="20"/>
              </w:rPr>
            </w:pPr>
            <w:r>
              <w:rPr>
                <w:sz w:val="20"/>
                <w:szCs w:val="20"/>
              </w:rPr>
              <w:t>%</w:t>
            </w:r>
          </w:p>
        </w:tc>
      </w:tr>
      <w:tr w:rsidR="00000000" w14:paraId="51C20EF2" w14:textId="77777777">
        <w:trPr>
          <w:tblCellSpacing w:w="0" w:type="dxa"/>
        </w:trPr>
        <w:tc>
          <w:tcPr>
            <w:tcW w:w="0" w:type="auto"/>
            <w:shd w:val="clear" w:color="auto" w:fill="FFFFFF"/>
            <w:vAlign w:val="bottom"/>
            <w:hideMark/>
          </w:tcPr>
          <w:p w14:paraId="16317048" w14:textId="77777777" w:rsidR="00000000" w:rsidRDefault="00322B34">
            <w:pPr>
              <w:pStyle w:val="a3"/>
              <w:spacing w:before="0" w:beforeAutospacing="0" w:after="0" w:afterAutospacing="0"/>
              <w:ind w:left="352" w:hanging="176"/>
              <w:jc w:val="center"/>
              <w:rPr>
                <w:sz w:val="20"/>
                <w:szCs w:val="20"/>
              </w:rPr>
            </w:pPr>
            <w:r>
              <w:rPr>
                <w:sz w:val="20"/>
                <w:szCs w:val="20"/>
              </w:rPr>
              <w:t>2030</w:t>
            </w:r>
          </w:p>
        </w:tc>
        <w:tc>
          <w:tcPr>
            <w:tcW w:w="0" w:type="auto"/>
            <w:shd w:val="clear" w:color="auto" w:fill="FFFFFF"/>
            <w:vAlign w:val="bottom"/>
            <w:hideMark/>
          </w:tcPr>
          <w:p w14:paraId="01AD2B0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57D60C"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3BB80E6" w14:textId="77777777" w:rsidR="00000000" w:rsidRDefault="00322B34">
            <w:pPr>
              <w:ind w:left="176"/>
              <w:jc w:val="center"/>
              <w:rPr>
                <w:rFonts w:eastAsia="Times New Roman"/>
                <w:sz w:val="20"/>
                <w:szCs w:val="20"/>
              </w:rPr>
            </w:pPr>
            <w:r>
              <w:rPr>
                <w:rFonts w:eastAsia="Times New Roman"/>
                <w:sz w:val="20"/>
                <w:szCs w:val="20"/>
              </w:rPr>
              <w:t>190</w:t>
            </w:r>
          </w:p>
        </w:tc>
        <w:tc>
          <w:tcPr>
            <w:tcW w:w="50" w:type="pct"/>
            <w:shd w:val="clear" w:color="auto" w:fill="FFFFFF"/>
            <w:vAlign w:val="bottom"/>
            <w:hideMark/>
          </w:tcPr>
          <w:p w14:paraId="6B4CCFB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CAA434"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50A6C95" w14:textId="77777777" w:rsidR="00000000" w:rsidRDefault="00322B34">
            <w:pPr>
              <w:ind w:left="176"/>
              <w:jc w:val="center"/>
              <w:rPr>
                <w:rFonts w:eastAsia="Times New Roman"/>
                <w:sz w:val="20"/>
                <w:szCs w:val="20"/>
              </w:rPr>
            </w:pPr>
            <w:r>
              <w:rPr>
                <w:rFonts w:eastAsia="Times New Roman"/>
                <w:sz w:val="20"/>
                <w:szCs w:val="20"/>
              </w:rPr>
              <w:t>1,678</w:t>
            </w:r>
          </w:p>
        </w:tc>
        <w:tc>
          <w:tcPr>
            <w:tcW w:w="50" w:type="pct"/>
            <w:shd w:val="clear" w:color="auto" w:fill="FFFFFF"/>
            <w:vAlign w:val="bottom"/>
            <w:hideMark/>
          </w:tcPr>
          <w:p w14:paraId="7BF4562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9B42E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62A59B" w14:textId="77777777" w:rsidR="00000000" w:rsidRDefault="00322B34">
            <w:pPr>
              <w:ind w:left="176"/>
              <w:rPr>
                <w:rFonts w:eastAsia="Times New Roman"/>
                <w:sz w:val="20"/>
                <w:szCs w:val="20"/>
              </w:rPr>
            </w:pPr>
            <w:r>
              <w:rPr>
                <w:rFonts w:eastAsia="Times New Roman"/>
                <w:sz w:val="20"/>
                <w:szCs w:val="20"/>
              </w:rPr>
              <w:t>$</w:t>
            </w:r>
          </w:p>
        </w:tc>
        <w:tc>
          <w:tcPr>
            <w:tcW w:w="600" w:type="pct"/>
            <w:shd w:val="clear" w:color="auto" w:fill="FFFFFF"/>
            <w:vAlign w:val="bottom"/>
            <w:hideMark/>
          </w:tcPr>
          <w:p w14:paraId="457817A8" w14:textId="77777777" w:rsidR="00000000" w:rsidRDefault="00322B34">
            <w:pPr>
              <w:ind w:left="176"/>
              <w:jc w:val="right"/>
              <w:rPr>
                <w:rFonts w:eastAsia="Times New Roman"/>
                <w:sz w:val="20"/>
                <w:szCs w:val="20"/>
              </w:rPr>
            </w:pPr>
            <w:r>
              <w:rPr>
                <w:rFonts w:eastAsia="Times New Roman"/>
                <w:sz w:val="20"/>
                <w:szCs w:val="20"/>
              </w:rPr>
              <w:t>31,274</w:t>
            </w:r>
          </w:p>
        </w:tc>
        <w:tc>
          <w:tcPr>
            <w:tcW w:w="50" w:type="pct"/>
            <w:shd w:val="clear" w:color="auto" w:fill="FFFFFF"/>
            <w:vAlign w:val="bottom"/>
            <w:hideMark/>
          </w:tcPr>
          <w:p w14:paraId="2B30548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27D0B3" w14:textId="77777777" w:rsidR="00000000" w:rsidRDefault="00322B34">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A7E676D" w14:textId="77777777" w:rsidR="00000000" w:rsidRDefault="00322B34">
            <w:pPr>
              <w:ind w:left="176"/>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14:paraId="4E5298F0" w14:textId="77777777" w:rsidR="00000000" w:rsidRDefault="00322B34">
            <w:pPr>
              <w:pStyle w:val="a3"/>
              <w:spacing w:before="0" w:beforeAutospacing="0" w:after="0" w:afterAutospacing="0"/>
              <w:rPr>
                <w:sz w:val="20"/>
                <w:szCs w:val="20"/>
              </w:rPr>
            </w:pPr>
            <w:r>
              <w:rPr>
                <w:sz w:val="20"/>
                <w:szCs w:val="20"/>
              </w:rPr>
              <w:t>%</w:t>
            </w:r>
          </w:p>
        </w:tc>
      </w:tr>
    </w:tbl>
    <w:p w14:paraId="1CC43900" w14:textId="77777777" w:rsidR="00000000" w:rsidRDefault="00322B34">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DF01A18" w14:textId="77777777">
        <w:trPr>
          <w:tblCellSpacing w:w="0" w:type="dxa"/>
        </w:trPr>
        <w:tc>
          <w:tcPr>
            <w:tcW w:w="720" w:type="dxa"/>
            <w:vAlign w:val="center"/>
            <w:hideMark/>
          </w:tcPr>
          <w:p w14:paraId="2ECB7BBC" w14:textId="77777777" w:rsidR="00000000" w:rsidRDefault="00322B34">
            <w:pPr>
              <w:rPr>
                <w:rFonts w:eastAsia="Times New Roman"/>
                <w:sz w:val="20"/>
                <w:szCs w:val="20"/>
              </w:rPr>
            </w:pPr>
            <w:r>
              <w:rPr>
                <w:rFonts w:eastAsia="Times New Roman"/>
                <w:sz w:val="20"/>
                <w:szCs w:val="20"/>
              </w:rPr>
              <w:t> </w:t>
            </w:r>
          </w:p>
        </w:tc>
        <w:tc>
          <w:tcPr>
            <w:tcW w:w="360" w:type="dxa"/>
            <w:hideMark/>
          </w:tcPr>
          <w:p w14:paraId="4F56A0C1" w14:textId="77777777" w:rsidR="00000000" w:rsidRDefault="00322B34">
            <w:pPr>
              <w:pStyle w:val="a3"/>
              <w:spacing w:before="0" w:beforeAutospacing="0" w:after="0" w:afterAutospacing="0"/>
              <w:jc w:val="both"/>
              <w:rPr>
                <w:sz w:val="20"/>
                <w:szCs w:val="20"/>
              </w:rPr>
            </w:pPr>
            <w:r>
              <w:rPr>
                <w:sz w:val="20"/>
                <w:szCs w:val="20"/>
              </w:rPr>
              <w:t>(1)</w:t>
            </w:r>
          </w:p>
        </w:tc>
        <w:tc>
          <w:tcPr>
            <w:tcW w:w="0" w:type="auto"/>
            <w:hideMark/>
          </w:tcPr>
          <w:p w14:paraId="4961F490" w14:textId="77777777" w:rsidR="00000000" w:rsidRDefault="00322B34">
            <w:pPr>
              <w:pStyle w:val="a3"/>
              <w:spacing w:before="0" w:beforeAutospacing="0" w:after="0" w:afterAutospacing="0"/>
              <w:jc w:val="both"/>
              <w:rPr>
                <w:sz w:val="20"/>
                <w:szCs w:val="20"/>
              </w:rPr>
            </w:pPr>
            <w:r>
              <w:rPr>
                <w:sz w:val="20"/>
                <w:szCs w:val="20"/>
              </w:rPr>
              <w:t>Leases currently under month-to-month lease or in process of renewal.</w:t>
            </w:r>
          </w:p>
        </w:tc>
      </w:tr>
    </w:tbl>
    <w:p w14:paraId="0F25E622" w14:textId="77777777" w:rsidR="00000000" w:rsidRDefault="00322B34">
      <w:pPr>
        <w:pStyle w:val="a3"/>
        <w:spacing w:before="0" w:beforeAutospacing="0" w:after="0" w:afterAutospacing="0"/>
        <w:rPr>
          <w:sz w:val="20"/>
          <w:szCs w:val="20"/>
        </w:rPr>
      </w:pPr>
      <w:r>
        <w:rPr>
          <w:sz w:val="20"/>
          <w:szCs w:val="20"/>
        </w:rPr>
        <w:t> </w:t>
      </w:r>
    </w:p>
    <w:p w14:paraId="3BFA70E8" w14:textId="77777777" w:rsidR="00000000" w:rsidRDefault="00322B34">
      <w:pPr>
        <w:pStyle w:val="a3"/>
        <w:spacing w:before="0" w:beforeAutospacing="0" w:after="0" w:afterAutospacing="0"/>
        <w:rPr>
          <w:sz w:val="20"/>
          <w:szCs w:val="20"/>
        </w:rPr>
      </w:pPr>
      <w:r>
        <w:rPr>
          <w:b/>
          <w:bCs/>
          <w:sz w:val="20"/>
          <w:szCs w:val="20"/>
        </w:rPr>
        <w:t>Item 3. Quantitative and Qualitative Disclosures About Market Risk.</w:t>
      </w:r>
    </w:p>
    <w:p w14:paraId="11CA43DC" w14:textId="77777777" w:rsidR="00000000" w:rsidRDefault="00322B34">
      <w:pPr>
        <w:pStyle w:val="a3"/>
        <w:spacing w:before="0" w:beforeAutospacing="0" w:after="0" w:afterAutospacing="0"/>
        <w:jc w:val="both"/>
        <w:rPr>
          <w:sz w:val="20"/>
          <w:szCs w:val="20"/>
        </w:rPr>
      </w:pPr>
      <w:r>
        <w:rPr>
          <w:sz w:val="20"/>
          <w:szCs w:val="20"/>
        </w:rPr>
        <w:t> </w:t>
      </w:r>
    </w:p>
    <w:p w14:paraId="1799FEA7" w14:textId="77777777" w:rsidR="00000000" w:rsidRDefault="00322B34">
      <w:pPr>
        <w:pStyle w:val="a3"/>
        <w:spacing w:before="0" w:beforeAutospacing="0" w:after="0" w:afterAutospacing="0"/>
        <w:ind w:firstLine="360"/>
        <w:jc w:val="both"/>
        <w:rPr>
          <w:sz w:val="20"/>
          <w:szCs w:val="20"/>
        </w:rPr>
      </w:pPr>
      <w:r>
        <w:rPr>
          <w:sz w:val="20"/>
          <w:szCs w:val="20"/>
        </w:rPr>
        <w:t>The Company’s primary market risk exposure is interest rate risk. The Company periodically evaluates its exposure to short-term interest rates and will, from time-to-time, enter into int</w:t>
      </w:r>
      <w:r>
        <w:rPr>
          <w:sz w:val="20"/>
          <w:szCs w:val="20"/>
        </w:rPr>
        <w:t>erest rate protection agreements which mitigate, but do not eliminate, the effect of changes in interest rates on its floating-rate debt. The Company has not entered, and does not plan to enter, into any derivative financial instruments for trading or spec</w:t>
      </w:r>
      <w:r>
        <w:rPr>
          <w:sz w:val="20"/>
          <w:szCs w:val="20"/>
        </w:rPr>
        <w:t>ulative purposes. The following table presents the Company’s aggregate fixed rate and variable rate debt obligations outstanding, including fair market value adjustments and unamortized deferred financing costs, as of June 30, 2020, with corresponding weig</w:t>
      </w:r>
      <w:r>
        <w:rPr>
          <w:sz w:val="20"/>
          <w:szCs w:val="20"/>
        </w:rPr>
        <w:t>hted average interest rates sorted by maturity date. The table does not include extension options where available (amounts in millions).</w:t>
      </w:r>
    </w:p>
    <w:p w14:paraId="09CB1B32"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72"/>
        <w:gridCol w:w="50"/>
        <w:gridCol w:w="100"/>
        <w:gridCol w:w="458"/>
        <w:gridCol w:w="167"/>
        <w:gridCol w:w="50"/>
        <w:gridCol w:w="100"/>
        <w:gridCol w:w="458"/>
        <w:gridCol w:w="167"/>
        <w:gridCol w:w="50"/>
        <w:gridCol w:w="100"/>
        <w:gridCol w:w="458"/>
        <w:gridCol w:w="167"/>
        <w:gridCol w:w="50"/>
        <w:gridCol w:w="100"/>
        <w:gridCol w:w="459"/>
        <w:gridCol w:w="167"/>
        <w:gridCol w:w="50"/>
        <w:gridCol w:w="100"/>
        <w:gridCol w:w="460"/>
        <w:gridCol w:w="167"/>
        <w:gridCol w:w="50"/>
        <w:gridCol w:w="116"/>
        <w:gridCol w:w="806"/>
        <w:gridCol w:w="167"/>
        <w:gridCol w:w="50"/>
        <w:gridCol w:w="100"/>
        <w:gridCol w:w="600"/>
        <w:gridCol w:w="167"/>
        <w:gridCol w:w="50"/>
        <w:gridCol w:w="100"/>
        <w:gridCol w:w="600"/>
        <w:gridCol w:w="50"/>
      </w:tblGrid>
      <w:tr w:rsidR="00000000" w14:paraId="0088BA3C" w14:textId="77777777">
        <w:trPr>
          <w:tblCellSpacing w:w="0" w:type="dxa"/>
        </w:trPr>
        <w:tc>
          <w:tcPr>
            <w:tcW w:w="1000" w:type="pct"/>
            <w:vAlign w:val="bottom"/>
            <w:hideMark/>
          </w:tcPr>
          <w:p w14:paraId="4FDF0E6D"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3B394D74"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05D3D86" w14:textId="77777777" w:rsidR="00000000" w:rsidRDefault="00322B34">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14:paraId="340E041D"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18C09C7D"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040139E" w14:textId="77777777" w:rsidR="00000000" w:rsidRDefault="00322B34">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14:paraId="253D74AF"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41B220B6"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99DB65D" w14:textId="77777777" w:rsidR="00000000" w:rsidRDefault="00322B34">
            <w:pPr>
              <w:pStyle w:val="a3"/>
              <w:spacing w:before="0" w:beforeAutospacing="0" w:after="0" w:afterAutospacing="0"/>
              <w:jc w:val="center"/>
              <w:rPr>
                <w:sz w:val="20"/>
                <w:szCs w:val="20"/>
              </w:rPr>
            </w:pPr>
            <w:r>
              <w:rPr>
                <w:b/>
                <w:bCs/>
                <w:sz w:val="20"/>
                <w:szCs w:val="20"/>
              </w:rPr>
              <w:t>2022</w:t>
            </w:r>
          </w:p>
        </w:tc>
        <w:tc>
          <w:tcPr>
            <w:tcW w:w="50" w:type="pct"/>
            <w:tcMar>
              <w:top w:w="0" w:type="dxa"/>
              <w:left w:w="0" w:type="dxa"/>
              <w:bottom w:w="15" w:type="dxa"/>
              <w:right w:w="0" w:type="dxa"/>
            </w:tcMar>
            <w:vAlign w:val="bottom"/>
            <w:hideMark/>
          </w:tcPr>
          <w:p w14:paraId="6269FC3A"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16FE333C"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100496F" w14:textId="77777777" w:rsidR="00000000" w:rsidRDefault="00322B34">
            <w:pPr>
              <w:pStyle w:val="a3"/>
              <w:spacing w:before="0" w:beforeAutospacing="0" w:after="0" w:afterAutospacing="0"/>
              <w:jc w:val="center"/>
              <w:rPr>
                <w:sz w:val="20"/>
                <w:szCs w:val="20"/>
              </w:rPr>
            </w:pPr>
            <w:r>
              <w:rPr>
                <w:b/>
                <w:bCs/>
                <w:sz w:val="20"/>
                <w:szCs w:val="20"/>
              </w:rPr>
              <w:t>2023</w:t>
            </w:r>
          </w:p>
        </w:tc>
        <w:tc>
          <w:tcPr>
            <w:tcW w:w="50" w:type="pct"/>
            <w:tcMar>
              <w:top w:w="0" w:type="dxa"/>
              <w:left w:w="0" w:type="dxa"/>
              <w:bottom w:w="15" w:type="dxa"/>
              <w:right w:w="0" w:type="dxa"/>
            </w:tcMar>
            <w:vAlign w:val="bottom"/>
            <w:hideMark/>
          </w:tcPr>
          <w:p w14:paraId="730DE97C"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77C322CB"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41AC38E" w14:textId="77777777" w:rsidR="00000000" w:rsidRDefault="00322B34">
            <w:pPr>
              <w:pStyle w:val="a3"/>
              <w:spacing w:before="0" w:beforeAutospacing="0" w:after="0" w:afterAutospacing="0"/>
              <w:jc w:val="center"/>
              <w:rPr>
                <w:sz w:val="20"/>
                <w:szCs w:val="20"/>
              </w:rPr>
            </w:pPr>
            <w:r>
              <w:rPr>
                <w:b/>
                <w:bCs/>
                <w:sz w:val="20"/>
                <w:szCs w:val="20"/>
              </w:rPr>
              <w:t>2024</w:t>
            </w:r>
          </w:p>
        </w:tc>
        <w:tc>
          <w:tcPr>
            <w:tcW w:w="50" w:type="pct"/>
            <w:tcMar>
              <w:top w:w="0" w:type="dxa"/>
              <w:left w:w="0" w:type="dxa"/>
              <w:bottom w:w="15" w:type="dxa"/>
              <w:right w:w="0" w:type="dxa"/>
            </w:tcMar>
            <w:vAlign w:val="bottom"/>
            <w:hideMark/>
          </w:tcPr>
          <w:p w14:paraId="61CCD129"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0981030A"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55E54C0" w14:textId="77777777" w:rsidR="00000000" w:rsidRDefault="00322B34">
            <w:pPr>
              <w:pStyle w:val="a3"/>
              <w:spacing w:before="0" w:beforeAutospacing="0" w:after="0" w:afterAutospacing="0"/>
              <w:jc w:val="center"/>
              <w:rPr>
                <w:sz w:val="20"/>
                <w:szCs w:val="20"/>
              </w:rPr>
            </w:pPr>
            <w:r>
              <w:rPr>
                <w:b/>
                <w:bCs/>
                <w:sz w:val="20"/>
                <w:szCs w:val="20"/>
              </w:rPr>
              <w:t>Thereafter</w:t>
            </w:r>
          </w:p>
        </w:tc>
        <w:tc>
          <w:tcPr>
            <w:tcW w:w="50" w:type="pct"/>
            <w:tcMar>
              <w:top w:w="0" w:type="dxa"/>
              <w:left w:w="0" w:type="dxa"/>
              <w:bottom w:w="15" w:type="dxa"/>
              <w:right w:w="0" w:type="dxa"/>
            </w:tcMar>
            <w:vAlign w:val="bottom"/>
            <w:hideMark/>
          </w:tcPr>
          <w:p w14:paraId="7EE6137A"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5B862555"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4530B04" w14:textId="77777777" w:rsidR="00000000" w:rsidRDefault="00322B34">
            <w:pPr>
              <w:pStyle w:val="a3"/>
              <w:spacing w:before="0" w:beforeAutospacing="0" w:after="0" w:afterAutospacing="0"/>
              <w:jc w:val="center"/>
              <w:rPr>
                <w:sz w:val="20"/>
                <w:szCs w:val="20"/>
              </w:rPr>
            </w:pPr>
            <w:r>
              <w:rPr>
                <w:b/>
                <w:bCs/>
                <w:sz w:val="20"/>
                <w:szCs w:val="20"/>
              </w:rPr>
              <w:t>Total</w:t>
            </w:r>
          </w:p>
        </w:tc>
        <w:tc>
          <w:tcPr>
            <w:tcW w:w="50" w:type="pct"/>
            <w:tcMar>
              <w:top w:w="0" w:type="dxa"/>
              <w:left w:w="0" w:type="dxa"/>
              <w:bottom w:w="15" w:type="dxa"/>
              <w:right w:w="0" w:type="dxa"/>
            </w:tcMar>
            <w:vAlign w:val="bottom"/>
            <w:hideMark/>
          </w:tcPr>
          <w:p w14:paraId="40DA69D3"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161AA789"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799EB1E" w14:textId="77777777" w:rsidR="00000000" w:rsidRDefault="00322B34">
            <w:pPr>
              <w:pStyle w:val="a3"/>
              <w:spacing w:before="0" w:beforeAutospacing="0" w:after="0" w:afterAutospacing="0"/>
              <w:jc w:val="center"/>
              <w:rPr>
                <w:sz w:val="20"/>
                <w:szCs w:val="20"/>
              </w:rPr>
            </w:pPr>
            <w:r>
              <w:rPr>
                <w:b/>
                <w:bCs/>
                <w:sz w:val="20"/>
                <w:szCs w:val="20"/>
              </w:rPr>
              <w:t>Fair Value</w:t>
            </w:r>
          </w:p>
        </w:tc>
        <w:tc>
          <w:tcPr>
            <w:tcW w:w="50" w:type="pct"/>
            <w:tcMar>
              <w:top w:w="0" w:type="dxa"/>
              <w:left w:w="0" w:type="dxa"/>
              <w:bottom w:w="15" w:type="dxa"/>
              <w:right w:w="0" w:type="dxa"/>
            </w:tcMar>
            <w:vAlign w:val="bottom"/>
            <w:hideMark/>
          </w:tcPr>
          <w:p w14:paraId="06DDA828" w14:textId="77777777" w:rsidR="00000000" w:rsidRDefault="00322B34">
            <w:pPr>
              <w:rPr>
                <w:rFonts w:eastAsia="Times New Roman"/>
                <w:sz w:val="20"/>
                <w:szCs w:val="20"/>
              </w:rPr>
            </w:pPr>
            <w:r>
              <w:rPr>
                <w:rFonts w:eastAsia="Times New Roman"/>
                <w:sz w:val="20"/>
                <w:szCs w:val="20"/>
              </w:rPr>
              <w:t> </w:t>
            </w:r>
          </w:p>
        </w:tc>
      </w:tr>
      <w:tr w:rsidR="00322B34" w14:paraId="1BA2BEA2" w14:textId="77777777">
        <w:trPr>
          <w:tblCellSpacing w:w="0" w:type="dxa"/>
        </w:trPr>
        <w:tc>
          <w:tcPr>
            <w:tcW w:w="1000" w:type="pct"/>
            <w:shd w:val="clear" w:color="auto" w:fill="CCEEFF"/>
            <w:vAlign w:val="bottom"/>
            <w:hideMark/>
          </w:tcPr>
          <w:p w14:paraId="185D5003" w14:textId="77777777" w:rsidR="00000000" w:rsidRDefault="00322B34">
            <w:pPr>
              <w:pStyle w:val="a3"/>
              <w:spacing w:before="0" w:beforeAutospacing="0" w:after="0" w:afterAutospacing="0"/>
              <w:rPr>
                <w:sz w:val="20"/>
                <w:szCs w:val="20"/>
              </w:rPr>
            </w:pPr>
            <w:r>
              <w:rPr>
                <w:b/>
                <w:bCs/>
                <w:sz w:val="20"/>
                <w:szCs w:val="20"/>
                <w:u w:val="single"/>
              </w:rPr>
              <w:t>Secured Debt</w:t>
            </w:r>
          </w:p>
        </w:tc>
        <w:tc>
          <w:tcPr>
            <w:tcW w:w="50" w:type="pct"/>
            <w:shd w:val="clear" w:color="auto" w:fill="CCEEFF"/>
            <w:vAlign w:val="bottom"/>
            <w:hideMark/>
          </w:tcPr>
          <w:p w14:paraId="4ED3501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B569C0"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19A6BAA0"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2C5257BB"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6DFC5EF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D45F96"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3F63AAF9"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6DA2F61C"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FC8805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F0604C"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45AB2384"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17E6BF9"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A01144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750746"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22A4C38D"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25EEB7C4"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20C8EE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D21BD0"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0581DEBF"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624AF33E"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06271A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AF1599"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56DC40DC"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AB10D30"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553DF6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AE3AA7"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700CD00A"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3695F264"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3180A96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EF2A9C"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05426EE1"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60A456CC" w14:textId="77777777" w:rsidR="00000000" w:rsidRDefault="00322B34">
            <w:pPr>
              <w:rPr>
                <w:rFonts w:eastAsia="Times New Roman"/>
                <w:sz w:val="20"/>
                <w:szCs w:val="20"/>
              </w:rPr>
            </w:pPr>
            <w:r>
              <w:rPr>
                <w:rFonts w:eastAsia="Times New Roman"/>
                <w:b/>
                <w:bCs/>
                <w:sz w:val="20"/>
                <w:szCs w:val="20"/>
              </w:rPr>
              <w:t> </w:t>
            </w:r>
          </w:p>
        </w:tc>
      </w:tr>
      <w:tr w:rsidR="00322B34" w14:paraId="353DA54B" w14:textId="77777777">
        <w:trPr>
          <w:tblCellSpacing w:w="0" w:type="dxa"/>
        </w:trPr>
        <w:tc>
          <w:tcPr>
            <w:tcW w:w="1000" w:type="pct"/>
            <w:shd w:val="clear" w:color="auto" w:fill="FFFFFF"/>
            <w:vAlign w:val="bottom"/>
            <w:hideMark/>
          </w:tcPr>
          <w:p w14:paraId="4D77FD41" w14:textId="77777777" w:rsidR="00000000" w:rsidRDefault="00322B34">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14:paraId="0F3B8D7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AFDD4E"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47CA04ED" w14:textId="77777777" w:rsidR="00000000" w:rsidRDefault="00322B34">
            <w:pPr>
              <w:jc w:val="right"/>
              <w:rPr>
                <w:rFonts w:eastAsia="Times New Roman"/>
                <w:sz w:val="20"/>
                <w:szCs w:val="20"/>
              </w:rPr>
            </w:pPr>
            <w:r>
              <w:rPr>
                <w:rFonts w:eastAsia="Times New Roman"/>
                <w:sz w:val="20"/>
                <w:szCs w:val="20"/>
              </w:rPr>
              <w:t>70.5</w:t>
            </w:r>
          </w:p>
        </w:tc>
        <w:tc>
          <w:tcPr>
            <w:tcW w:w="50" w:type="pct"/>
            <w:shd w:val="clear" w:color="auto" w:fill="FFFFFF"/>
            <w:vAlign w:val="bottom"/>
            <w:hideMark/>
          </w:tcPr>
          <w:p w14:paraId="2C2BE13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6C1B7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66F403"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58ABBEA7" w14:textId="77777777" w:rsidR="00000000" w:rsidRDefault="00322B34">
            <w:pPr>
              <w:jc w:val="right"/>
              <w:rPr>
                <w:rFonts w:eastAsia="Times New Roman"/>
                <w:sz w:val="20"/>
                <w:szCs w:val="20"/>
              </w:rPr>
            </w:pPr>
            <w:r>
              <w:rPr>
                <w:rFonts w:eastAsia="Times New Roman"/>
                <w:sz w:val="20"/>
                <w:szCs w:val="20"/>
              </w:rPr>
              <w:t>142.3</w:t>
            </w:r>
          </w:p>
        </w:tc>
        <w:tc>
          <w:tcPr>
            <w:tcW w:w="50" w:type="pct"/>
            <w:shd w:val="clear" w:color="auto" w:fill="FFFFFF"/>
            <w:vAlign w:val="bottom"/>
            <w:hideMark/>
          </w:tcPr>
          <w:p w14:paraId="4FBDE2E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B6E11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E6A830"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37CF4268" w14:textId="77777777" w:rsidR="00000000" w:rsidRDefault="00322B34">
            <w:pPr>
              <w:jc w:val="right"/>
              <w:rPr>
                <w:rFonts w:eastAsia="Times New Roman"/>
                <w:sz w:val="20"/>
                <w:szCs w:val="20"/>
              </w:rPr>
            </w:pPr>
            <w:r>
              <w:rPr>
                <w:rFonts w:eastAsia="Times New Roman"/>
                <w:sz w:val="20"/>
                <w:szCs w:val="20"/>
              </w:rPr>
              <w:t>149.6</w:t>
            </w:r>
          </w:p>
        </w:tc>
        <w:tc>
          <w:tcPr>
            <w:tcW w:w="50" w:type="pct"/>
            <w:shd w:val="clear" w:color="auto" w:fill="FFFFFF"/>
            <w:vAlign w:val="bottom"/>
            <w:hideMark/>
          </w:tcPr>
          <w:p w14:paraId="25336B1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A147D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4E2388"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7EB5C7C2" w14:textId="77777777" w:rsidR="00000000" w:rsidRDefault="00322B34">
            <w:pPr>
              <w:jc w:val="right"/>
              <w:rPr>
                <w:rFonts w:eastAsia="Times New Roman"/>
                <w:sz w:val="20"/>
                <w:szCs w:val="20"/>
              </w:rPr>
            </w:pPr>
            <w:r>
              <w:rPr>
                <w:rFonts w:eastAsia="Times New Roman"/>
                <w:sz w:val="20"/>
                <w:szCs w:val="20"/>
              </w:rPr>
              <w:t>12.0</w:t>
            </w:r>
          </w:p>
        </w:tc>
        <w:tc>
          <w:tcPr>
            <w:tcW w:w="50" w:type="pct"/>
            <w:shd w:val="clear" w:color="auto" w:fill="FFFFFF"/>
            <w:vAlign w:val="bottom"/>
            <w:hideMark/>
          </w:tcPr>
          <w:p w14:paraId="1EBD55E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94BB6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E66BBC"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56BFD4CD" w14:textId="77777777" w:rsidR="00000000" w:rsidRDefault="00322B34">
            <w:pPr>
              <w:jc w:val="right"/>
              <w:rPr>
                <w:rFonts w:eastAsia="Times New Roman"/>
                <w:sz w:val="20"/>
                <w:szCs w:val="20"/>
              </w:rPr>
            </w:pPr>
            <w:r>
              <w:rPr>
                <w:rFonts w:eastAsia="Times New Roman"/>
                <w:sz w:val="20"/>
                <w:szCs w:val="20"/>
              </w:rPr>
              <w:t>9.4</w:t>
            </w:r>
          </w:p>
        </w:tc>
        <w:tc>
          <w:tcPr>
            <w:tcW w:w="50" w:type="pct"/>
            <w:shd w:val="clear" w:color="auto" w:fill="FFFFFF"/>
            <w:vAlign w:val="bottom"/>
            <w:hideMark/>
          </w:tcPr>
          <w:p w14:paraId="18539D9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D1203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CCC115"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01180ED6" w14:textId="77777777" w:rsidR="00000000" w:rsidRDefault="00322B34">
            <w:pPr>
              <w:jc w:val="right"/>
              <w:rPr>
                <w:rFonts w:eastAsia="Times New Roman"/>
                <w:sz w:val="20"/>
                <w:szCs w:val="20"/>
              </w:rPr>
            </w:pPr>
            <w:r>
              <w:rPr>
                <w:rFonts w:eastAsia="Times New Roman"/>
                <w:sz w:val="20"/>
                <w:szCs w:val="20"/>
              </w:rPr>
              <w:t>4.6</w:t>
            </w:r>
          </w:p>
        </w:tc>
        <w:tc>
          <w:tcPr>
            <w:tcW w:w="50" w:type="pct"/>
            <w:shd w:val="clear" w:color="auto" w:fill="FFFFFF"/>
            <w:vAlign w:val="bottom"/>
            <w:hideMark/>
          </w:tcPr>
          <w:p w14:paraId="12FDD0C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4036F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8A908A"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0ED7F3A9" w14:textId="77777777" w:rsidR="00000000" w:rsidRDefault="00322B34">
            <w:pPr>
              <w:jc w:val="right"/>
              <w:rPr>
                <w:rFonts w:eastAsia="Times New Roman"/>
                <w:sz w:val="20"/>
                <w:szCs w:val="20"/>
              </w:rPr>
            </w:pPr>
            <w:r>
              <w:rPr>
                <w:rFonts w:eastAsia="Times New Roman"/>
                <w:sz w:val="20"/>
                <w:szCs w:val="20"/>
              </w:rPr>
              <w:t>388.4</w:t>
            </w:r>
          </w:p>
        </w:tc>
        <w:tc>
          <w:tcPr>
            <w:tcW w:w="50" w:type="pct"/>
            <w:shd w:val="clear" w:color="auto" w:fill="FFFFFF"/>
            <w:vAlign w:val="bottom"/>
            <w:hideMark/>
          </w:tcPr>
          <w:p w14:paraId="0DAB5D7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2D1AC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695D39"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402A2322" w14:textId="77777777" w:rsidR="00000000" w:rsidRDefault="00322B34">
            <w:pPr>
              <w:jc w:val="right"/>
              <w:rPr>
                <w:rFonts w:eastAsia="Times New Roman"/>
                <w:sz w:val="20"/>
                <w:szCs w:val="20"/>
              </w:rPr>
            </w:pPr>
            <w:r>
              <w:rPr>
                <w:rFonts w:eastAsia="Times New Roman"/>
                <w:sz w:val="20"/>
                <w:szCs w:val="20"/>
              </w:rPr>
              <w:t>387.4</w:t>
            </w:r>
          </w:p>
        </w:tc>
        <w:tc>
          <w:tcPr>
            <w:tcW w:w="50" w:type="pct"/>
            <w:shd w:val="clear" w:color="auto" w:fill="FFFFFF"/>
            <w:vAlign w:val="bottom"/>
            <w:hideMark/>
          </w:tcPr>
          <w:p w14:paraId="2B92AE83" w14:textId="77777777" w:rsidR="00000000" w:rsidRDefault="00322B34">
            <w:pPr>
              <w:rPr>
                <w:rFonts w:eastAsia="Times New Roman"/>
                <w:sz w:val="20"/>
                <w:szCs w:val="20"/>
              </w:rPr>
            </w:pPr>
            <w:r>
              <w:rPr>
                <w:rFonts w:eastAsia="Times New Roman"/>
                <w:sz w:val="20"/>
                <w:szCs w:val="20"/>
              </w:rPr>
              <w:t> </w:t>
            </w:r>
          </w:p>
        </w:tc>
      </w:tr>
      <w:tr w:rsidR="00322B34" w14:paraId="5C483B79" w14:textId="77777777">
        <w:trPr>
          <w:tblCellSpacing w:w="0" w:type="dxa"/>
        </w:trPr>
        <w:tc>
          <w:tcPr>
            <w:tcW w:w="1000" w:type="pct"/>
            <w:shd w:val="clear" w:color="auto" w:fill="CCEEFF"/>
            <w:vAlign w:val="bottom"/>
            <w:hideMark/>
          </w:tcPr>
          <w:p w14:paraId="18FAEF96" w14:textId="77777777" w:rsidR="00000000" w:rsidRDefault="00322B34">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14:paraId="6DC60FF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5EE1E6"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D0D21DF" w14:textId="77777777" w:rsidR="00000000" w:rsidRDefault="00322B34">
            <w:pPr>
              <w:jc w:val="right"/>
              <w:rPr>
                <w:rFonts w:eastAsia="Times New Roman"/>
                <w:sz w:val="20"/>
                <w:szCs w:val="20"/>
              </w:rPr>
            </w:pPr>
            <w:r>
              <w:rPr>
                <w:rFonts w:eastAsia="Times New Roman"/>
                <w:sz w:val="20"/>
                <w:szCs w:val="20"/>
              </w:rPr>
              <w:t>5.20</w:t>
            </w:r>
          </w:p>
        </w:tc>
        <w:tc>
          <w:tcPr>
            <w:tcW w:w="50" w:type="pct"/>
            <w:shd w:val="clear" w:color="auto" w:fill="CCEEFF"/>
            <w:vAlign w:val="bottom"/>
            <w:hideMark/>
          </w:tcPr>
          <w:p w14:paraId="2BD968BD" w14:textId="77777777" w:rsidR="00000000" w:rsidRDefault="00322B34">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4E93F6E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73A00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7CF41DF" w14:textId="77777777" w:rsidR="00000000" w:rsidRDefault="00322B34">
            <w:pPr>
              <w:jc w:val="right"/>
              <w:rPr>
                <w:rFonts w:eastAsia="Times New Roman"/>
                <w:sz w:val="20"/>
                <w:szCs w:val="20"/>
              </w:rPr>
            </w:pPr>
            <w:r>
              <w:rPr>
                <w:rFonts w:eastAsia="Times New Roman"/>
                <w:sz w:val="20"/>
                <w:szCs w:val="20"/>
              </w:rPr>
              <w:t>5.39</w:t>
            </w:r>
          </w:p>
        </w:tc>
        <w:tc>
          <w:tcPr>
            <w:tcW w:w="50" w:type="pct"/>
            <w:shd w:val="clear" w:color="auto" w:fill="CCEEFF"/>
            <w:vAlign w:val="bottom"/>
            <w:hideMark/>
          </w:tcPr>
          <w:p w14:paraId="651F0896"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7299570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ABAC82"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805EDD6" w14:textId="77777777" w:rsidR="00000000" w:rsidRDefault="00322B34">
            <w:pPr>
              <w:jc w:val="right"/>
              <w:rPr>
                <w:rFonts w:eastAsia="Times New Roman"/>
                <w:sz w:val="20"/>
                <w:szCs w:val="20"/>
              </w:rPr>
            </w:pPr>
            <w:r>
              <w:rPr>
                <w:rFonts w:eastAsia="Times New Roman"/>
                <w:sz w:val="20"/>
                <w:szCs w:val="20"/>
              </w:rPr>
              <w:t>4.06</w:t>
            </w:r>
          </w:p>
        </w:tc>
        <w:tc>
          <w:tcPr>
            <w:tcW w:w="50" w:type="pct"/>
            <w:shd w:val="clear" w:color="auto" w:fill="CCEEFF"/>
            <w:vAlign w:val="bottom"/>
            <w:hideMark/>
          </w:tcPr>
          <w:p w14:paraId="16821944"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180FF62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64308F"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9A79C5E" w14:textId="77777777" w:rsidR="00000000" w:rsidRDefault="00322B34">
            <w:pPr>
              <w:jc w:val="right"/>
              <w:rPr>
                <w:rFonts w:eastAsia="Times New Roman"/>
                <w:sz w:val="20"/>
                <w:szCs w:val="20"/>
              </w:rPr>
            </w:pPr>
            <w:r>
              <w:rPr>
                <w:rFonts w:eastAsia="Times New Roman"/>
                <w:sz w:val="20"/>
                <w:szCs w:val="20"/>
              </w:rPr>
              <w:t>3.23</w:t>
            </w:r>
          </w:p>
        </w:tc>
        <w:tc>
          <w:tcPr>
            <w:tcW w:w="50" w:type="pct"/>
            <w:shd w:val="clear" w:color="auto" w:fill="CCEEFF"/>
            <w:vAlign w:val="bottom"/>
            <w:hideMark/>
          </w:tcPr>
          <w:p w14:paraId="4E268163"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363E987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6CF856"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17FB78F" w14:textId="77777777" w:rsidR="00000000" w:rsidRDefault="00322B34">
            <w:pPr>
              <w:jc w:val="right"/>
              <w:rPr>
                <w:rFonts w:eastAsia="Times New Roman"/>
                <w:sz w:val="20"/>
                <w:szCs w:val="20"/>
              </w:rPr>
            </w:pPr>
            <w:r>
              <w:rPr>
                <w:rFonts w:eastAsia="Times New Roman"/>
                <w:sz w:val="20"/>
                <w:szCs w:val="20"/>
              </w:rPr>
              <w:t>6.73</w:t>
            </w:r>
          </w:p>
        </w:tc>
        <w:tc>
          <w:tcPr>
            <w:tcW w:w="50" w:type="pct"/>
            <w:shd w:val="clear" w:color="auto" w:fill="CCEEFF"/>
            <w:vAlign w:val="bottom"/>
            <w:hideMark/>
          </w:tcPr>
          <w:p w14:paraId="7BB1CB40" w14:textId="77777777" w:rsidR="00000000" w:rsidRDefault="00322B34">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6ECF627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005D32"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A042068" w14:textId="77777777" w:rsidR="00000000" w:rsidRDefault="00322B34">
            <w:pPr>
              <w:jc w:val="right"/>
              <w:rPr>
                <w:rFonts w:eastAsia="Times New Roman"/>
                <w:sz w:val="20"/>
                <w:szCs w:val="20"/>
              </w:rPr>
            </w:pPr>
            <w:r>
              <w:rPr>
                <w:rFonts w:eastAsia="Times New Roman"/>
                <w:sz w:val="20"/>
                <w:szCs w:val="20"/>
              </w:rPr>
              <w:t>7.08</w:t>
            </w:r>
          </w:p>
        </w:tc>
        <w:tc>
          <w:tcPr>
            <w:tcW w:w="50" w:type="pct"/>
            <w:shd w:val="clear" w:color="auto" w:fill="CCEEFF"/>
            <w:vAlign w:val="bottom"/>
            <w:hideMark/>
          </w:tcPr>
          <w:p w14:paraId="2B5BF612" w14:textId="77777777" w:rsidR="00000000" w:rsidRDefault="00322B34">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01FBE48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7B270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0A93EC91" w14:textId="77777777" w:rsidR="00000000" w:rsidRDefault="00322B34">
            <w:pPr>
              <w:jc w:val="right"/>
              <w:rPr>
                <w:rFonts w:eastAsia="Times New Roman"/>
                <w:sz w:val="20"/>
                <w:szCs w:val="20"/>
              </w:rPr>
            </w:pPr>
            <w:r>
              <w:rPr>
                <w:rFonts w:eastAsia="Times New Roman"/>
                <w:sz w:val="20"/>
                <w:szCs w:val="20"/>
              </w:rPr>
              <w:t>4.83</w:t>
            </w:r>
          </w:p>
        </w:tc>
        <w:tc>
          <w:tcPr>
            <w:tcW w:w="50" w:type="pct"/>
            <w:shd w:val="clear" w:color="auto" w:fill="CCEEFF"/>
            <w:vAlign w:val="bottom"/>
            <w:hideMark/>
          </w:tcPr>
          <w:p w14:paraId="67E73EAE"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2D5C886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E9C68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0725DEC" w14:textId="77777777" w:rsidR="00000000" w:rsidRDefault="00322B34">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14:paraId="0E89ECA5" w14:textId="77777777" w:rsidR="00000000" w:rsidRDefault="00322B34">
            <w:pPr>
              <w:rPr>
                <w:rFonts w:eastAsia="Times New Roman"/>
                <w:sz w:val="20"/>
                <w:szCs w:val="20"/>
              </w:rPr>
            </w:pPr>
            <w:r>
              <w:rPr>
                <w:rFonts w:eastAsia="Times New Roman"/>
                <w:sz w:val="20"/>
                <w:szCs w:val="20"/>
              </w:rPr>
              <w:t> </w:t>
            </w:r>
          </w:p>
        </w:tc>
      </w:tr>
      <w:tr w:rsidR="00322B34" w14:paraId="3A0D4D3E" w14:textId="77777777">
        <w:trPr>
          <w:tblCellSpacing w:w="0" w:type="dxa"/>
        </w:trPr>
        <w:tc>
          <w:tcPr>
            <w:tcW w:w="1000" w:type="pct"/>
            <w:shd w:val="clear" w:color="auto" w:fill="FFFFFF"/>
            <w:vAlign w:val="bottom"/>
            <w:hideMark/>
          </w:tcPr>
          <w:p w14:paraId="5A1E806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2FC08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FA238F"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2832EBF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93DD8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A5E8E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E562A7"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25066E1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B9745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B20D1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AD2E7C"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ADD109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D1ED2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8501C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A344F5"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18992DE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834BB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FC7FE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C475C5"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3AE6FC2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6357A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2771F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4B328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33DEF25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03A00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1F6E7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DD5BA4"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41173F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9A152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2A7E3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39DAC8"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398ADE5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812FA3" w14:textId="77777777" w:rsidR="00000000" w:rsidRDefault="00322B34">
            <w:pPr>
              <w:rPr>
                <w:rFonts w:eastAsia="Times New Roman"/>
                <w:sz w:val="20"/>
                <w:szCs w:val="20"/>
              </w:rPr>
            </w:pPr>
            <w:r>
              <w:rPr>
                <w:rFonts w:eastAsia="Times New Roman"/>
                <w:sz w:val="20"/>
                <w:szCs w:val="20"/>
              </w:rPr>
              <w:t> </w:t>
            </w:r>
          </w:p>
        </w:tc>
      </w:tr>
      <w:tr w:rsidR="00322B34" w14:paraId="14CDDA17" w14:textId="77777777">
        <w:trPr>
          <w:tblCellSpacing w:w="0" w:type="dxa"/>
        </w:trPr>
        <w:tc>
          <w:tcPr>
            <w:tcW w:w="1000" w:type="pct"/>
            <w:shd w:val="clear" w:color="auto" w:fill="CCEEFF"/>
            <w:vAlign w:val="bottom"/>
            <w:hideMark/>
          </w:tcPr>
          <w:p w14:paraId="2B5912E0" w14:textId="77777777" w:rsidR="00000000" w:rsidRDefault="00322B34">
            <w:pPr>
              <w:pStyle w:val="a3"/>
              <w:spacing w:before="0" w:beforeAutospacing="0" w:after="0" w:afterAutospacing="0"/>
              <w:rPr>
                <w:sz w:val="20"/>
                <w:szCs w:val="20"/>
              </w:rPr>
            </w:pPr>
            <w:r>
              <w:rPr>
                <w:b/>
                <w:bCs/>
                <w:sz w:val="20"/>
                <w:szCs w:val="20"/>
                <w:u w:val="single"/>
              </w:rPr>
              <w:t>Unsecured Debt</w:t>
            </w:r>
          </w:p>
        </w:tc>
        <w:tc>
          <w:tcPr>
            <w:tcW w:w="50" w:type="pct"/>
            <w:shd w:val="clear" w:color="auto" w:fill="CCEEFF"/>
            <w:vAlign w:val="bottom"/>
            <w:hideMark/>
          </w:tcPr>
          <w:p w14:paraId="1335DC9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5B5B34"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0FC69A08"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10FEAF7"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6AB5D93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5A60B4"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6F3CB7CC"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07640838"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239C109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35CFFE"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6C791A43"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7CF1781E"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69A19C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DC8D89"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582EA639"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0ABB074"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259CFA2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3583DC"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2A1052A9"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4F3FD8AA"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5F67BF3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203398"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30681D0B"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252F0C22"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8F145B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0CAE15"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307F60B4"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21ADA3A6"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D6BCB0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57CBF1" w14:textId="77777777" w:rsidR="00000000" w:rsidRDefault="00322B34">
            <w:pPr>
              <w:rPr>
                <w:rFonts w:eastAsia="Times New Roman"/>
                <w:sz w:val="20"/>
                <w:szCs w:val="20"/>
              </w:rPr>
            </w:pPr>
            <w:r>
              <w:rPr>
                <w:rFonts w:eastAsia="Times New Roman"/>
                <w:b/>
                <w:bCs/>
                <w:sz w:val="20"/>
                <w:szCs w:val="20"/>
              </w:rPr>
              <w:t> </w:t>
            </w:r>
          </w:p>
        </w:tc>
        <w:tc>
          <w:tcPr>
            <w:tcW w:w="350" w:type="pct"/>
            <w:shd w:val="clear" w:color="auto" w:fill="CCEEFF"/>
            <w:vAlign w:val="bottom"/>
            <w:hideMark/>
          </w:tcPr>
          <w:p w14:paraId="0237A995" w14:textId="77777777" w:rsidR="00000000" w:rsidRDefault="00322B34">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2C71621E" w14:textId="77777777" w:rsidR="00000000" w:rsidRDefault="00322B34">
            <w:pPr>
              <w:rPr>
                <w:rFonts w:eastAsia="Times New Roman"/>
                <w:sz w:val="20"/>
                <w:szCs w:val="20"/>
              </w:rPr>
            </w:pPr>
            <w:r>
              <w:rPr>
                <w:rFonts w:eastAsia="Times New Roman"/>
                <w:b/>
                <w:bCs/>
                <w:sz w:val="20"/>
                <w:szCs w:val="20"/>
              </w:rPr>
              <w:t> </w:t>
            </w:r>
          </w:p>
        </w:tc>
      </w:tr>
      <w:tr w:rsidR="00322B34" w14:paraId="1A86BA11" w14:textId="77777777">
        <w:trPr>
          <w:tblCellSpacing w:w="0" w:type="dxa"/>
        </w:trPr>
        <w:tc>
          <w:tcPr>
            <w:tcW w:w="1000" w:type="pct"/>
            <w:shd w:val="clear" w:color="auto" w:fill="FFFFFF"/>
            <w:vAlign w:val="bottom"/>
            <w:hideMark/>
          </w:tcPr>
          <w:p w14:paraId="38346FE2" w14:textId="77777777" w:rsidR="00000000" w:rsidRDefault="00322B34">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14:paraId="4EB50E8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FB8B05"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5710EBD9"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F34C40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51962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FA9DA0"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437DF132" w14:textId="77777777" w:rsidR="00000000" w:rsidRDefault="00322B34">
            <w:pPr>
              <w:jc w:val="right"/>
              <w:rPr>
                <w:rFonts w:eastAsia="Times New Roman"/>
                <w:sz w:val="20"/>
                <w:szCs w:val="20"/>
              </w:rPr>
            </w:pPr>
            <w:r>
              <w:rPr>
                <w:rFonts w:eastAsia="Times New Roman"/>
                <w:sz w:val="20"/>
                <w:szCs w:val="20"/>
              </w:rPr>
              <w:t>484.3</w:t>
            </w:r>
          </w:p>
        </w:tc>
        <w:tc>
          <w:tcPr>
            <w:tcW w:w="50" w:type="pct"/>
            <w:shd w:val="clear" w:color="auto" w:fill="FFFFFF"/>
            <w:vAlign w:val="bottom"/>
            <w:hideMark/>
          </w:tcPr>
          <w:p w14:paraId="519ADE7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56144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551B2C"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1E003AFB" w14:textId="77777777" w:rsidR="00000000" w:rsidRDefault="00322B34">
            <w:pPr>
              <w:jc w:val="right"/>
              <w:rPr>
                <w:rFonts w:eastAsia="Times New Roman"/>
                <w:sz w:val="20"/>
                <w:szCs w:val="20"/>
              </w:rPr>
            </w:pPr>
            <w:r>
              <w:rPr>
                <w:rFonts w:eastAsia="Times New Roman"/>
                <w:sz w:val="20"/>
                <w:szCs w:val="20"/>
              </w:rPr>
              <w:t>497.5</w:t>
            </w:r>
          </w:p>
        </w:tc>
        <w:tc>
          <w:tcPr>
            <w:tcW w:w="50" w:type="pct"/>
            <w:shd w:val="clear" w:color="auto" w:fill="FFFFFF"/>
            <w:vAlign w:val="bottom"/>
            <w:hideMark/>
          </w:tcPr>
          <w:p w14:paraId="09E37A6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DBF61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7BE7E7"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7F7C8153" w14:textId="77777777" w:rsidR="00000000" w:rsidRDefault="00322B34">
            <w:pPr>
              <w:jc w:val="right"/>
              <w:rPr>
                <w:rFonts w:eastAsia="Times New Roman"/>
                <w:sz w:val="20"/>
                <w:szCs w:val="20"/>
              </w:rPr>
            </w:pPr>
            <w:r>
              <w:rPr>
                <w:rFonts w:eastAsia="Times New Roman"/>
                <w:sz w:val="20"/>
                <w:szCs w:val="20"/>
              </w:rPr>
              <w:t>348.5</w:t>
            </w:r>
          </w:p>
        </w:tc>
        <w:tc>
          <w:tcPr>
            <w:tcW w:w="50" w:type="pct"/>
            <w:shd w:val="clear" w:color="auto" w:fill="FFFFFF"/>
            <w:vAlign w:val="bottom"/>
            <w:hideMark/>
          </w:tcPr>
          <w:p w14:paraId="667A497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60F48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91D5E1"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2BC6F5E0" w14:textId="77777777" w:rsidR="00000000" w:rsidRDefault="00322B34">
            <w:pPr>
              <w:jc w:val="right"/>
              <w:rPr>
                <w:rFonts w:eastAsia="Times New Roman"/>
                <w:sz w:val="20"/>
                <w:szCs w:val="20"/>
              </w:rPr>
            </w:pPr>
            <w:r>
              <w:rPr>
                <w:rFonts w:eastAsia="Times New Roman"/>
                <w:sz w:val="20"/>
                <w:szCs w:val="20"/>
              </w:rPr>
              <w:t>397.5</w:t>
            </w:r>
          </w:p>
        </w:tc>
        <w:tc>
          <w:tcPr>
            <w:tcW w:w="50" w:type="pct"/>
            <w:shd w:val="clear" w:color="auto" w:fill="FFFFFF"/>
            <w:vAlign w:val="bottom"/>
            <w:hideMark/>
          </w:tcPr>
          <w:p w14:paraId="0AD363C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A67A4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AD616A"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097EE9C4" w14:textId="77777777" w:rsidR="00000000" w:rsidRDefault="00322B34">
            <w:pPr>
              <w:jc w:val="right"/>
              <w:rPr>
                <w:rFonts w:eastAsia="Times New Roman"/>
                <w:sz w:val="20"/>
                <w:szCs w:val="20"/>
              </w:rPr>
            </w:pPr>
            <w:r>
              <w:rPr>
                <w:rFonts w:eastAsia="Times New Roman"/>
                <w:sz w:val="20"/>
                <w:szCs w:val="20"/>
              </w:rPr>
              <w:t>2,909.2</w:t>
            </w:r>
          </w:p>
        </w:tc>
        <w:tc>
          <w:tcPr>
            <w:tcW w:w="50" w:type="pct"/>
            <w:shd w:val="clear" w:color="auto" w:fill="FFFFFF"/>
            <w:vAlign w:val="bottom"/>
            <w:hideMark/>
          </w:tcPr>
          <w:p w14:paraId="64DAB7E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CDFF7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CF782A"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4441B29B" w14:textId="77777777" w:rsidR="00000000" w:rsidRDefault="00322B34">
            <w:pPr>
              <w:jc w:val="right"/>
              <w:rPr>
                <w:rFonts w:eastAsia="Times New Roman"/>
                <w:sz w:val="20"/>
                <w:szCs w:val="20"/>
              </w:rPr>
            </w:pPr>
            <w:r>
              <w:rPr>
                <w:rFonts w:eastAsia="Times New Roman"/>
                <w:sz w:val="20"/>
                <w:szCs w:val="20"/>
              </w:rPr>
              <w:t>4,637.0</w:t>
            </w:r>
          </w:p>
        </w:tc>
        <w:tc>
          <w:tcPr>
            <w:tcW w:w="50" w:type="pct"/>
            <w:shd w:val="clear" w:color="auto" w:fill="FFFFFF"/>
            <w:vAlign w:val="bottom"/>
            <w:hideMark/>
          </w:tcPr>
          <w:p w14:paraId="276DCBD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3291D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1098B4" w14:textId="77777777" w:rsidR="00000000" w:rsidRDefault="00322B34">
            <w:pPr>
              <w:rPr>
                <w:rFonts w:eastAsia="Times New Roman"/>
                <w:sz w:val="20"/>
                <w:szCs w:val="20"/>
              </w:rPr>
            </w:pPr>
            <w:r>
              <w:rPr>
                <w:rFonts w:eastAsia="Times New Roman"/>
                <w:sz w:val="20"/>
                <w:szCs w:val="20"/>
              </w:rPr>
              <w:t>$</w:t>
            </w:r>
          </w:p>
        </w:tc>
        <w:tc>
          <w:tcPr>
            <w:tcW w:w="350" w:type="pct"/>
            <w:shd w:val="clear" w:color="auto" w:fill="FFFFFF"/>
            <w:vAlign w:val="bottom"/>
            <w:hideMark/>
          </w:tcPr>
          <w:p w14:paraId="34BEF773" w14:textId="77777777" w:rsidR="00000000" w:rsidRDefault="00322B34">
            <w:pPr>
              <w:jc w:val="right"/>
              <w:rPr>
                <w:rFonts w:eastAsia="Times New Roman"/>
                <w:sz w:val="20"/>
                <w:szCs w:val="20"/>
              </w:rPr>
            </w:pPr>
            <w:r>
              <w:rPr>
                <w:rFonts w:eastAsia="Times New Roman"/>
                <w:sz w:val="20"/>
                <w:szCs w:val="20"/>
              </w:rPr>
              <w:t>4,719.3</w:t>
            </w:r>
          </w:p>
        </w:tc>
        <w:tc>
          <w:tcPr>
            <w:tcW w:w="50" w:type="pct"/>
            <w:shd w:val="clear" w:color="auto" w:fill="FFFFFF"/>
            <w:vAlign w:val="bottom"/>
            <w:hideMark/>
          </w:tcPr>
          <w:p w14:paraId="1D27CA40" w14:textId="77777777" w:rsidR="00000000" w:rsidRDefault="00322B34">
            <w:pPr>
              <w:rPr>
                <w:rFonts w:eastAsia="Times New Roman"/>
                <w:sz w:val="20"/>
                <w:szCs w:val="20"/>
              </w:rPr>
            </w:pPr>
            <w:r>
              <w:rPr>
                <w:rFonts w:eastAsia="Times New Roman"/>
                <w:sz w:val="20"/>
                <w:szCs w:val="20"/>
              </w:rPr>
              <w:t> </w:t>
            </w:r>
          </w:p>
        </w:tc>
      </w:tr>
      <w:tr w:rsidR="00322B34" w14:paraId="1A25D8D4" w14:textId="77777777">
        <w:trPr>
          <w:tblCellSpacing w:w="0" w:type="dxa"/>
        </w:trPr>
        <w:tc>
          <w:tcPr>
            <w:tcW w:w="1000" w:type="pct"/>
            <w:shd w:val="clear" w:color="auto" w:fill="CCEEFF"/>
            <w:vAlign w:val="bottom"/>
            <w:hideMark/>
          </w:tcPr>
          <w:p w14:paraId="3D9CD639" w14:textId="77777777" w:rsidR="00000000" w:rsidRDefault="00322B34">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14:paraId="44D31D7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1DAF53"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7DBE83A"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A68FA9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6381D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7944BC"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34ED782" w14:textId="77777777" w:rsidR="00000000" w:rsidRDefault="00322B34">
            <w:pPr>
              <w:jc w:val="right"/>
              <w:rPr>
                <w:rFonts w:eastAsia="Times New Roman"/>
                <w:sz w:val="20"/>
                <w:szCs w:val="20"/>
              </w:rPr>
            </w:pPr>
            <w:r>
              <w:rPr>
                <w:rFonts w:eastAsia="Times New Roman"/>
                <w:sz w:val="20"/>
                <w:szCs w:val="20"/>
              </w:rPr>
              <w:t>3.20</w:t>
            </w:r>
          </w:p>
        </w:tc>
        <w:tc>
          <w:tcPr>
            <w:tcW w:w="50" w:type="pct"/>
            <w:shd w:val="clear" w:color="auto" w:fill="CCEEFF"/>
            <w:vAlign w:val="bottom"/>
            <w:hideMark/>
          </w:tcPr>
          <w:p w14:paraId="72AE6FB0"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28FFAE7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D605D7"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74AB02C9" w14:textId="77777777" w:rsidR="00000000" w:rsidRDefault="00322B34">
            <w:pPr>
              <w:jc w:val="right"/>
              <w:rPr>
                <w:rFonts w:eastAsia="Times New Roman"/>
                <w:sz w:val="20"/>
                <w:szCs w:val="20"/>
              </w:rPr>
            </w:pPr>
            <w:r>
              <w:rPr>
                <w:rFonts w:eastAsia="Times New Roman"/>
                <w:sz w:val="20"/>
                <w:szCs w:val="20"/>
              </w:rPr>
              <w:t>3.40</w:t>
            </w:r>
          </w:p>
        </w:tc>
        <w:tc>
          <w:tcPr>
            <w:tcW w:w="50" w:type="pct"/>
            <w:shd w:val="clear" w:color="auto" w:fill="CCEEFF"/>
            <w:vAlign w:val="bottom"/>
            <w:hideMark/>
          </w:tcPr>
          <w:p w14:paraId="5F96D89F"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3901327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FAC05F"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17B2E9FC" w14:textId="77777777" w:rsidR="00000000" w:rsidRDefault="00322B34">
            <w:pPr>
              <w:jc w:val="right"/>
              <w:rPr>
                <w:rFonts w:eastAsia="Times New Roman"/>
                <w:sz w:val="20"/>
                <w:szCs w:val="20"/>
              </w:rPr>
            </w:pPr>
            <w:r>
              <w:rPr>
                <w:rFonts w:eastAsia="Times New Roman"/>
                <w:sz w:val="20"/>
                <w:szCs w:val="20"/>
              </w:rPr>
              <w:t>3.13</w:t>
            </w:r>
          </w:p>
        </w:tc>
        <w:tc>
          <w:tcPr>
            <w:tcW w:w="50" w:type="pct"/>
            <w:shd w:val="clear" w:color="auto" w:fill="CCEEFF"/>
            <w:vAlign w:val="bottom"/>
            <w:hideMark/>
          </w:tcPr>
          <w:p w14:paraId="45C72A8F"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04B88AC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B03A6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1BC3F0E" w14:textId="77777777" w:rsidR="00000000" w:rsidRDefault="00322B34">
            <w:pPr>
              <w:jc w:val="right"/>
              <w:rPr>
                <w:rFonts w:eastAsia="Times New Roman"/>
                <w:sz w:val="20"/>
                <w:szCs w:val="20"/>
              </w:rPr>
            </w:pPr>
            <w:r>
              <w:rPr>
                <w:rFonts w:eastAsia="Times New Roman"/>
                <w:sz w:val="20"/>
                <w:szCs w:val="20"/>
              </w:rPr>
              <w:t>2.70</w:t>
            </w:r>
          </w:p>
        </w:tc>
        <w:tc>
          <w:tcPr>
            <w:tcW w:w="50" w:type="pct"/>
            <w:shd w:val="clear" w:color="auto" w:fill="CCEEFF"/>
            <w:vAlign w:val="bottom"/>
            <w:hideMark/>
          </w:tcPr>
          <w:p w14:paraId="4DCBCF2E"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1ED8026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E142CB"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FCC5EFA" w14:textId="77777777" w:rsidR="00000000" w:rsidRDefault="00322B34">
            <w:pPr>
              <w:jc w:val="right"/>
              <w:rPr>
                <w:rFonts w:eastAsia="Times New Roman"/>
                <w:sz w:val="20"/>
                <w:szCs w:val="20"/>
              </w:rPr>
            </w:pPr>
            <w:r>
              <w:rPr>
                <w:rFonts w:eastAsia="Times New Roman"/>
                <w:sz w:val="20"/>
                <w:szCs w:val="20"/>
              </w:rPr>
              <w:t>3.73</w:t>
            </w:r>
          </w:p>
        </w:tc>
        <w:tc>
          <w:tcPr>
            <w:tcW w:w="50" w:type="pct"/>
            <w:shd w:val="clear" w:color="auto" w:fill="CCEEFF"/>
            <w:vAlign w:val="bottom"/>
            <w:hideMark/>
          </w:tcPr>
          <w:p w14:paraId="3E6498FA" w14:textId="77777777" w:rsidR="00000000" w:rsidRDefault="00322B34">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344D87D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60EE7E"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AAA11C5" w14:textId="77777777" w:rsidR="00000000" w:rsidRDefault="00322B34">
            <w:pPr>
              <w:jc w:val="right"/>
              <w:rPr>
                <w:rFonts w:eastAsia="Times New Roman"/>
                <w:sz w:val="20"/>
                <w:szCs w:val="20"/>
              </w:rPr>
            </w:pPr>
            <w:r>
              <w:rPr>
                <w:rFonts w:eastAsia="Times New Roman"/>
                <w:sz w:val="20"/>
                <w:szCs w:val="20"/>
              </w:rPr>
              <w:t>3.50</w:t>
            </w:r>
          </w:p>
        </w:tc>
        <w:tc>
          <w:tcPr>
            <w:tcW w:w="50" w:type="pct"/>
            <w:shd w:val="clear" w:color="auto" w:fill="CCEEFF"/>
            <w:vAlign w:val="bottom"/>
            <w:hideMark/>
          </w:tcPr>
          <w:p w14:paraId="59787CAB"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7E539E9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F8B57D"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8576F21" w14:textId="77777777" w:rsidR="00000000" w:rsidRDefault="00322B34">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14:paraId="3D4EFBFC" w14:textId="77777777" w:rsidR="00000000" w:rsidRDefault="00322B34">
            <w:pPr>
              <w:rPr>
                <w:rFonts w:eastAsia="Times New Roman"/>
                <w:sz w:val="20"/>
                <w:szCs w:val="20"/>
              </w:rPr>
            </w:pPr>
            <w:r>
              <w:rPr>
                <w:rFonts w:eastAsia="Times New Roman"/>
                <w:sz w:val="20"/>
                <w:szCs w:val="20"/>
              </w:rPr>
              <w:t> </w:t>
            </w:r>
          </w:p>
        </w:tc>
      </w:tr>
      <w:tr w:rsidR="00322B34" w14:paraId="134A8C7D" w14:textId="77777777">
        <w:trPr>
          <w:tblCellSpacing w:w="0" w:type="dxa"/>
        </w:trPr>
        <w:tc>
          <w:tcPr>
            <w:tcW w:w="1000" w:type="pct"/>
            <w:shd w:val="clear" w:color="auto" w:fill="FFFFFF"/>
            <w:vAlign w:val="bottom"/>
            <w:hideMark/>
          </w:tcPr>
          <w:p w14:paraId="38FBEE2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ECC77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AC9332"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097A7C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0C432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78078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C6AB39"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1DA3A55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0AC93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D5BE7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F978C7"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219B737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AA4C5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40705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228A4E"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2E209DD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5504B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A2F41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7AE9C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0664AF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567B8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CE0B2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8E2BF0"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2338511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8B63A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79EF8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E6F84A"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4FD01E9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32CD3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F6A31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DAD475"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B15947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EEC00C" w14:textId="77777777" w:rsidR="00000000" w:rsidRDefault="00322B34">
            <w:pPr>
              <w:rPr>
                <w:rFonts w:eastAsia="Times New Roman"/>
                <w:sz w:val="20"/>
                <w:szCs w:val="20"/>
              </w:rPr>
            </w:pPr>
            <w:r>
              <w:rPr>
                <w:rFonts w:eastAsia="Times New Roman"/>
                <w:sz w:val="20"/>
                <w:szCs w:val="20"/>
              </w:rPr>
              <w:t> </w:t>
            </w:r>
          </w:p>
        </w:tc>
      </w:tr>
      <w:tr w:rsidR="00322B34" w14:paraId="13253501" w14:textId="77777777">
        <w:trPr>
          <w:tblCellSpacing w:w="0" w:type="dxa"/>
        </w:trPr>
        <w:tc>
          <w:tcPr>
            <w:tcW w:w="1000" w:type="pct"/>
            <w:shd w:val="clear" w:color="auto" w:fill="CCEEFF"/>
            <w:vAlign w:val="bottom"/>
            <w:hideMark/>
          </w:tcPr>
          <w:p w14:paraId="2DFC621D" w14:textId="77777777" w:rsidR="00000000" w:rsidRDefault="00322B34">
            <w:pPr>
              <w:pStyle w:val="a3"/>
              <w:spacing w:before="0" w:beforeAutospacing="0" w:after="0" w:afterAutospacing="0"/>
              <w:rPr>
                <w:sz w:val="20"/>
                <w:szCs w:val="20"/>
              </w:rPr>
            </w:pPr>
            <w:r>
              <w:rPr>
                <w:sz w:val="20"/>
                <w:szCs w:val="20"/>
              </w:rPr>
              <w:t>Floating Rate</w:t>
            </w:r>
          </w:p>
        </w:tc>
        <w:tc>
          <w:tcPr>
            <w:tcW w:w="50" w:type="pct"/>
            <w:shd w:val="clear" w:color="auto" w:fill="CCEEFF"/>
            <w:vAlign w:val="bottom"/>
            <w:hideMark/>
          </w:tcPr>
          <w:p w14:paraId="464CD00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D62A37" w14:textId="77777777" w:rsidR="00000000" w:rsidRDefault="00322B34">
            <w:pPr>
              <w:rPr>
                <w:rFonts w:eastAsia="Times New Roman"/>
                <w:sz w:val="20"/>
                <w:szCs w:val="20"/>
              </w:rPr>
            </w:pPr>
            <w:r>
              <w:rPr>
                <w:rFonts w:eastAsia="Times New Roman"/>
                <w:sz w:val="20"/>
                <w:szCs w:val="20"/>
              </w:rPr>
              <w:t>$</w:t>
            </w:r>
          </w:p>
        </w:tc>
        <w:tc>
          <w:tcPr>
            <w:tcW w:w="350" w:type="pct"/>
            <w:shd w:val="clear" w:color="auto" w:fill="CCEEFF"/>
            <w:vAlign w:val="bottom"/>
            <w:hideMark/>
          </w:tcPr>
          <w:p w14:paraId="321E28E4"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A13936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0B022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5E784B" w14:textId="77777777" w:rsidR="00000000" w:rsidRDefault="00322B34">
            <w:pPr>
              <w:rPr>
                <w:rFonts w:eastAsia="Times New Roman"/>
                <w:sz w:val="20"/>
                <w:szCs w:val="20"/>
              </w:rPr>
            </w:pPr>
            <w:r>
              <w:rPr>
                <w:rFonts w:eastAsia="Times New Roman"/>
                <w:sz w:val="20"/>
                <w:szCs w:val="20"/>
              </w:rPr>
              <w:t>$</w:t>
            </w:r>
          </w:p>
        </w:tc>
        <w:tc>
          <w:tcPr>
            <w:tcW w:w="350" w:type="pct"/>
            <w:shd w:val="clear" w:color="auto" w:fill="CCEEFF"/>
            <w:vAlign w:val="bottom"/>
            <w:hideMark/>
          </w:tcPr>
          <w:p w14:paraId="2C39C544" w14:textId="77777777" w:rsidR="00000000" w:rsidRDefault="00322B34">
            <w:pPr>
              <w:jc w:val="right"/>
              <w:rPr>
                <w:rFonts w:eastAsia="Times New Roman"/>
                <w:sz w:val="20"/>
                <w:szCs w:val="20"/>
              </w:rPr>
            </w:pPr>
            <w:r>
              <w:rPr>
                <w:rFonts w:eastAsia="Times New Roman"/>
                <w:sz w:val="20"/>
                <w:szCs w:val="20"/>
              </w:rPr>
              <w:t>325.0</w:t>
            </w:r>
          </w:p>
        </w:tc>
        <w:tc>
          <w:tcPr>
            <w:tcW w:w="50" w:type="pct"/>
            <w:shd w:val="clear" w:color="auto" w:fill="CCEEFF"/>
            <w:vAlign w:val="bottom"/>
            <w:hideMark/>
          </w:tcPr>
          <w:p w14:paraId="3F518A7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3992A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BBFCF0" w14:textId="77777777" w:rsidR="00000000" w:rsidRDefault="00322B34">
            <w:pPr>
              <w:rPr>
                <w:rFonts w:eastAsia="Times New Roman"/>
                <w:sz w:val="20"/>
                <w:szCs w:val="20"/>
              </w:rPr>
            </w:pPr>
            <w:r>
              <w:rPr>
                <w:rFonts w:eastAsia="Times New Roman"/>
                <w:sz w:val="20"/>
                <w:szCs w:val="20"/>
              </w:rPr>
              <w:t>$</w:t>
            </w:r>
          </w:p>
        </w:tc>
        <w:tc>
          <w:tcPr>
            <w:tcW w:w="350" w:type="pct"/>
            <w:shd w:val="clear" w:color="auto" w:fill="CCEEFF"/>
            <w:vAlign w:val="bottom"/>
            <w:hideMark/>
          </w:tcPr>
          <w:p w14:paraId="1BE36F16"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F29680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89720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E805C1" w14:textId="77777777" w:rsidR="00000000" w:rsidRDefault="00322B34">
            <w:pPr>
              <w:rPr>
                <w:rFonts w:eastAsia="Times New Roman"/>
                <w:sz w:val="20"/>
                <w:szCs w:val="20"/>
              </w:rPr>
            </w:pPr>
            <w:r>
              <w:rPr>
                <w:rFonts w:eastAsia="Times New Roman"/>
                <w:sz w:val="20"/>
                <w:szCs w:val="20"/>
              </w:rPr>
              <w:t>$</w:t>
            </w:r>
          </w:p>
        </w:tc>
        <w:tc>
          <w:tcPr>
            <w:tcW w:w="350" w:type="pct"/>
            <w:shd w:val="clear" w:color="auto" w:fill="CCEEFF"/>
            <w:vAlign w:val="bottom"/>
            <w:hideMark/>
          </w:tcPr>
          <w:p w14:paraId="69319228"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DC0E89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A7BD7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1BC164" w14:textId="77777777" w:rsidR="00000000" w:rsidRDefault="00322B34">
            <w:pPr>
              <w:rPr>
                <w:rFonts w:eastAsia="Times New Roman"/>
                <w:sz w:val="20"/>
                <w:szCs w:val="20"/>
              </w:rPr>
            </w:pPr>
            <w:r>
              <w:rPr>
                <w:rFonts w:eastAsia="Times New Roman"/>
                <w:sz w:val="20"/>
                <w:szCs w:val="20"/>
              </w:rPr>
              <w:t>$</w:t>
            </w:r>
          </w:p>
        </w:tc>
        <w:tc>
          <w:tcPr>
            <w:tcW w:w="350" w:type="pct"/>
            <w:shd w:val="clear" w:color="auto" w:fill="CCEEFF"/>
            <w:vAlign w:val="bottom"/>
            <w:hideMark/>
          </w:tcPr>
          <w:p w14:paraId="05D6E04A"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F672AE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E4FC3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ABA059" w14:textId="77777777" w:rsidR="00000000" w:rsidRDefault="00322B34">
            <w:pPr>
              <w:rPr>
                <w:rFonts w:eastAsia="Times New Roman"/>
                <w:sz w:val="20"/>
                <w:szCs w:val="20"/>
              </w:rPr>
            </w:pPr>
            <w:r>
              <w:rPr>
                <w:rFonts w:eastAsia="Times New Roman"/>
                <w:sz w:val="20"/>
                <w:szCs w:val="20"/>
              </w:rPr>
              <w:t>$</w:t>
            </w:r>
          </w:p>
        </w:tc>
        <w:tc>
          <w:tcPr>
            <w:tcW w:w="350" w:type="pct"/>
            <w:shd w:val="clear" w:color="auto" w:fill="CCEEFF"/>
            <w:vAlign w:val="bottom"/>
            <w:hideMark/>
          </w:tcPr>
          <w:p w14:paraId="5D3320D1"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D7ECB6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4D908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AE2C50" w14:textId="77777777" w:rsidR="00000000" w:rsidRDefault="00322B34">
            <w:pPr>
              <w:rPr>
                <w:rFonts w:eastAsia="Times New Roman"/>
                <w:sz w:val="20"/>
                <w:szCs w:val="20"/>
              </w:rPr>
            </w:pPr>
            <w:r>
              <w:rPr>
                <w:rFonts w:eastAsia="Times New Roman"/>
                <w:sz w:val="20"/>
                <w:szCs w:val="20"/>
              </w:rPr>
              <w:t>$</w:t>
            </w:r>
          </w:p>
        </w:tc>
        <w:tc>
          <w:tcPr>
            <w:tcW w:w="350" w:type="pct"/>
            <w:shd w:val="clear" w:color="auto" w:fill="CCEEFF"/>
            <w:vAlign w:val="bottom"/>
            <w:hideMark/>
          </w:tcPr>
          <w:p w14:paraId="3AE6C56A" w14:textId="77777777" w:rsidR="00000000" w:rsidRDefault="00322B34">
            <w:pPr>
              <w:jc w:val="right"/>
              <w:rPr>
                <w:rFonts w:eastAsia="Times New Roman"/>
                <w:sz w:val="20"/>
                <w:szCs w:val="20"/>
              </w:rPr>
            </w:pPr>
            <w:r>
              <w:rPr>
                <w:rFonts w:eastAsia="Times New Roman"/>
                <w:sz w:val="20"/>
                <w:szCs w:val="20"/>
              </w:rPr>
              <w:t>325.0</w:t>
            </w:r>
          </w:p>
        </w:tc>
        <w:tc>
          <w:tcPr>
            <w:tcW w:w="50" w:type="pct"/>
            <w:shd w:val="clear" w:color="auto" w:fill="CCEEFF"/>
            <w:vAlign w:val="bottom"/>
            <w:hideMark/>
          </w:tcPr>
          <w:p w14:paraId="423050DE"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9B3AE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306D9E" w14:textId="77777777" w:rsidR="00000000" w:rsidRDefault="00322B34">
            <w:pPr>
              <w:rPr>
                <w:rFonts w:eastAsia="Times New Roman"/>
                <w:sz w:val="20"/>
                <w:szCs w:val="20"/>
              </w:rPr>
            </w:pPr>
            <w:r>
              <w:rPr>
                <w:rFonts w:eastAsia="Times New Roman"/>
                <w:sz w:val="20"/>
                <w:szCs w:val="20"/>
              </w:rPr>
              <w:t>$</w:t>
            </w:r>
          </w:p>
        </w:tc>
        <w:tc>
          <w:tcPr>
            <w:tcW w:w="350" w:type="pct"/>
            <w:shd w:val="clear" w:color="auto" w:fill="CCEEFF"/>
            <w:vAlign w:val="bottom"/>
            <w:hideMark/>
          </w:tcPr>
          <w:p w14:paraId="64E9FFDE" w14:textId="77777777" w:rsidR="00000000" w:rsidRDefault="00322B34">
            <w:pPr>
              <w:jc w:val="right"/>
              <w:rPr>
                <w:rFonts w:eastAsia="Times New Roman"/>
                <w:sz w:val="20"/>
                <w:szCs w:val="20"/>
              </w:rPr>
            </w:pPr>
            <w:r>
              <w:rPr>
                <w:rFonts w:eastAsia="Times New Roman"/>
                <w:sz w:val="20"/>
                <w:szCs w:val="20"/>
              </w:rPr>
              <w:t>325.0</w:t>
            </w:r>
          </w:p>
        </w:tc>
        <w:tc>
          <w:tcPr>
            <w:tcW w:w="50" w:type="pct"/>
            <w:shd w:val="clear" w:color="auto" w:fill="CCEEFF"/>
            <w:vAlign w:val="bottom"/>
            <w:hideMark/>
          </w:tcPr>
          <w:p w14:paraId="0009CDB4" w14:textId="77777777" w:rsidR="00000000" w:rsidRDefault="00322B34">
            <w:pPr>
              <w:rPr>
                <w:rFonts w:eastAsia="Times New Roman"/>
                <w:sz w:val="20"/>
                <w:szCs w:val="20"/>
              </w:rPr>
            </w:pPr>
            <w:r>
              <w:rPr>
                <w:rFonts w:eastAsia="Times New Roman"/>
                <w:sz w:val="20"/>
                <w:szCs w:val="20"/>
              </w:rPr>
              <w:t> </w:t>
            </w:r>
          </w:p>
        </w:tc>
      </w:tr>
      <w:tr w:rsidR="00322B34" w14:paraId="27F26919" w14:textId="77777777">
        <w:trPr>
          <w:tblCellSpacing w:w="0" w:type="dxa"/>
        </w:trPr>
        <w:tc>
          <w:tcPr>
            <w:tcW w:w="1000" w:type="pct"/>
            <w:shd w:val="clear" w:color="auto" w:fill="FFFFFF"/>
            <w:vAlign w:val="bottom"/>
            <w:hideMark/>
          </w:tcPr>
          <w:p w14:paraId="156F2D33" w14:textId="77777777" w:rsidR="00000000" w:rsidRDefault="00322B34">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14:paraId="6525C9BF"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B99253"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B2F5E08"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33737B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60529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4D947F"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546889A" w14:textId="77777777" w:rsidR="00000000" w:rsidRDefault="00322B34">
            <w:pPr>
              <w:jc w:val="right"/>
              <w:rPr>
                <w:rFonts w:eastAsia="Times New Roman"/>
                <w:sz w:val="20"/>
                <w:szCs w:val="20"/>
              </w:rPr>
            </w:pPr>
            <w:r>
              <w:rPr>
                <w:rFonts w:eastAsia="Times New Roman"/>
                <w:sz w:val="20"/>
                <w:szCs w:val="20"/>
              </w:rPr>
              <w:t>1.65</w:t>
            </w:r>
          </w:p>
        </w:tc>
        <w:tc>
          <w:tcPr>
            <w:tcW w:w="50" w:type="pct"/>
            <w:shd w:val="clear" w:color="auto" w:fill="FFFFFF"/>
            <w:vAlign w:val="bottom"/>
            <w:hideMark/>
          </w:tcPr>
          <w:p w14:paraId="5DF36C30"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5E8A4B0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6CF9FF"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41BF9D27"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EFCC23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B300F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399118"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6A8045EB"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607407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418F0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19631A"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5FBA8A7"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281B7B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72491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6ACE1F"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8726223"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72BC1B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B2692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782247"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AC7F154" w14:textId="77777777" w:rsidR="00000000" w:rsidRDefault="00322B34">
            <w:pPr>
              <w:jc w:val="right"/>
              <w:rPr>
                <w:rFonts w:eastAsia="Times New Roman"/>
                <w:sz w:val="20"/>
                <w:szCs w:val="20"/>
              </w:rPr>
            </w:pPr>
            <w:r>
              <w:rPr>
                <w:rFonts w:eastAsia="Times New Roman"/>
                <w:sz w:val="20"/>
                <w:szCs w:val="20"/>
              </w:rPr>
              <w:t>1.65</w:t>
            </w:r>
          </w:p>
        </w:tc>
        <w:tc>
          <w:tcPr>
            <w:tcW w:w="50" w:type="pct"/>
            <w:shd w:val="clear" w:color="auto" w:fill="FFFFFF"/>
            <w:vAlign w:val="bottom"/>
            <w:hideMark/>
          </w:tcPr>
          <w:p w14:paraId="63822750" w14:textId="77777777" w:rsidR="00000000" w:rsidRDefault="00322B34">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132B156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E02AF6" w14:textId="77777777" w:rsidR="00000000" w:rsidRDefault="00322B34">
            <w:pPr>
              <w:rPr>
                <w:rFonts w:eastAsia="Times New Roman"/>
                <w:sz w:val="20"/>
                <w:szCs w:val="20"/>
              </w:rPr>
            </w:pPr>
            <w:r>
              <w:rPr>
                <w:rFonts w:eastAsia="Times New Roman"/>
                <w:sz w:val="20"/>
                <w:szCs w:val="20"/>
              </w:rPr>
              <w:t> </w:t>
            </w:r>
          </w:p>
        </w:tc>
        <w:tc>
          <w:tcPr>
            <w:tcW w:w="350" w:type="pct"/>
            <w:shd w:val="clear" w:color="auto" w:fill="FFFFFF"/>
            <w:vAlign w:val="bottom"/>
            <w:hideMark/>
          </w:tcPr>
          <w:p w14:paraId="10DD21D2" w14:textId="77777777" w:rsidR="00000000" w:rsidRDefault="00322B34">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0E6731E9" w14:textId="77777777" w:rsidR="00000000" w:rsidRDefault="00322B34">
            <w:pPr>
              <w:rPr>
                <w:rFonts w:eastAsia="Times New Roman"/>
                <w:sz w:val="20"/>
                <w:szCs w:val="20"/>
              </w:rPr>
            </w:pPr>
            <w:r>
              <w:rPr>
                <w:rFonts w:eastAsia="Times New Roman"/>
                <w:sz w:val="20"/>
                <w:szCs w:val="20"/>
              </w:rPr>
              <w:t> </w:t>
            </w:r>
          </w:p>
        </w:tc>
      </w:tr>
    </w:tbl>
    <w:p w14:paraId="19B6B96E" w14:textId="77777777" w:rsidR="00000000" w:rsidRDefault="00322B34">
      <w:pPr>
        <w:pStyle w:val="a3"/>
        <w:spacing w:before="0" w:beforeAutospacing="0" w:after="0" w:afterAutospacing="0"/>
        <w:ind w:firstLine="360"/>
        <w:jc w:val="both"/>
        <w:rPr>
          <w:sz w:val="20"/>
          <w:szCs w:val="20"/>
        </w:rPr>
      </w:pPr>
      <w:r>
        <w:rPr>
          <w:sz w:val="20"/>
          <w:szCs w:val="20"/>
        </w:rPr>
        <w:t> </w:t>
      </w:r>
    </w:p>
    <w:p w14:paraId="11F4602B" w14:textId="77777777" w:rsidR="00000000" w:rsidRDefault="00322B34">
      <w:pPr>
        <w:pStyle w:val="a3"/>
        <w:spacing w:before="0" w:beforeAutospacing="0" w:after="0" w:afterAutospacing="0"/>
        <w:ind w:firstLine="360"/>
        <w:jc w:val="both"/>
        <w:rPr>
          <w:sz w:val="20"/>
          <w:szCs w:val="20"/>
        </w:rPr>
      </w:pPr>
      <w:r>
        <w:rPr>
          <w:sz w:val="20"/>
          <w:szCs w:val="20"/>
        </w:rPr>
        <w:t>Based on the Company’</w:t>
      </w:r>
      <w:r>
        <w:rPr>
          <w:sz w:val="20"/>
          <w:szCs w:val="20"/>
        </w:rPr>
        <w:t>s variable-rate debt balances, interest expense would have increased by $1.6 million for the six months ended June 30, 2020, if short-term interest rates were 1.0% higher.</w:t>
      </w:r>
    </w:p>
    <w:p w14:paraId="671A15BB" w14:textId="77777777" w:rsidR="00000000" w:rsidRDefault="00322B34">
      <w:pPr>
        <w:pStyle w:val="a3"/>
        <w:spacing w:before="0" w:beforeAutospacing="0" w:after="0" w:afterAutospacing="0"/>
        <w:rPr>
          <w:sz w:val="20"/>
          <w:szCs w:val="20"/>
        </w:rPr>
      </w:pPr>
      <w:r>
        <w:rPr>
          <w:sz w:val="20"/>
          <w:szCs w:val="20"/>
        </w:rPr>
        <w:t> </w:t>
      </w:r>
    </w:p>
    <w:p w14:paraId="6EC0850A" w14:textId="77777777" w:rsidR="00000000" w:rsidRDefault="00322B34">
      <w:pPr>
        <w:pStyle w:val="a3"/>
        <w:spacing w:before="0" w:beforeAutospacing="0" w:after="0" w:afterAutospacing="0"/>
        <w:rPr>
          <w:sz w:val="20"/>
          <w:szCs w:val="20"/>
        </w:rPr>
      </w:pPr>
      <w:r>
        <w:rPr>
          <w:b/>
          <w:bCs/>
          <w:sz w:val="20"/>
          <w:szCs w:val="20"/>
        </w:rPr>
        <w:t>Item 4.  Controls and Procedures.</w:t>
      </w:r>
    </w:p>
    <w:p w14:paraId="6ABCD63A" w14:textId="77777777" w:rsidR="00000000" w:rsidRDefault="00322B34">
      <w:pPr>
        <w:pStyle w:val="a3"/>
        <w:spacing w:before="0" w:beforeAutospacing="0" w:after="0" w:afterAutospacing="0"/>
        <w:jc w:val="both"/>
        <w:rPr>
          <w:sz w:val="20"/>
          <w:szCs w:val="20"/>
        </w:rPr>
      </w:pPr>
      <w:r>
        <w:rPr>
          <w:sz w:val="20"/>
          <w:szCs w:val="20"/>
        </w:rPr>
        <w:t> </w:t>
      </w:r>
    </w:p>
    <w:p w14:paraId="69736A2D" w14:textId="77777777" w:rsidR="00000000" w:rsidRDefault="00322B34">
      <w:pPr>
        <w:pStyle w:val="a3"/>
        <w:spacing w:before="0" w:beforeAutospacing="0" w:after="0" w:afterAutospacing="0"/>
        <w:ind w:firstLine="360"/>
        <w:jc w:val="both"/>
        <w:rPr>
          <w:sz w:val="20"/>
          <w:szCs w:val="20"/>
        </w:rPr>
      </w:pPr>
      <w:r>
        <w:rPr>
          <w:sz w:val="20"/>
          <w:szCs w:val="20"/>
        </w:rPr>
        <w:t>The Company’s manageme</w:t>
      </w:r>
      <w:r>
        <w:rPr>
          <w:sz w:val="20"/>
          <w:szCs w:val="20"/>
        </w:rPr>
        <w:t>nt, with the participation of the Company’s Chief Executive Officer and Chief Financial Officer, has evaluated the effectiveness of the Company’s disclosure controls and procedures (as such term is defined in Rules 13a-15(e) and 15d-15(e) under the Securit</w:t>
      </w:r>
      <w:r>
        <w:rPr>
          <w:sz w:val="20"/>
          <w:szCs w:val="20"/>
        </w:rPr>
        <w:t>ies Exchange Act of 1934, as amended (the “Exchange Act”)) as of the end of the period covered by this report. Based on such evaluation, the Company’s Chief Executive Officer and Chief Financial Officer have concluded that, as of the end of such period, th</w:t>
      </w:r>
      <w:r>
        <w:rPr>
          <w:sz w:val="20"/>
          <w:szCs w:val="20"/>
        </w:rPr>
        <w:t>e Company’s disclosure controls and procedures are effective.</w:t>
      </w:r>
    </w:p>
    <w:p w14:paraId="0BBD2AE6" w14:textId="77777777" w:rsidR="00000000" w:rsidRDefault="00322B34">
      <w:pPr>
        <w:pStyle w:val="a3"/>
        <w:spacing w:before="0" w:beforeAutospacing="0" w:after="0" w:afterAutospacing="0"/>
        <w:ind w:firstLine="360"/>
        <w:jc w:val="both"/>
        <w:rPr>
          <w:sz w:val="20"/>
          <w:szCs w:val="20"/>
        </w:rPr>
      </w:pPr>
      <w:r>
        <w:rPr>
          <w:sz w:val="20"/>
          <w:szCs w:val="20"/>
        </w:rPr>
        <w:t> </w:t>
      </w:r>
    </w:p>
    <w:p w14:paraId="73237844" w14:textId="77777777" w:rsidR="00000000" w:rsidRDefault="00322B34">
      <w:pPr>
        <w:pStyle w:val="a3"/>
        <w:spacing w:before="0" w:beforeAutospacing="0" w:after="0" w:afterAutospacing="0"/>
        <w:ind w:firstLine="360"/>
        <w:jc w:val="both"/>
        <w:rPr>
          <w:sz w:val="20"/>
          <w:szCs w:val="20"/>
        </w:rPr>
      </w:pPr>
      <w:r>
        <w:rPr>
          <w:sz w:val="20"/>
          <w:szCs w:val="20"/>
        </w:rPr>
        <w:t>There have not been any changes in the Company’s internal control over financial reporting during the fiscal quarter to which this report relates that have materially affected, or are reasonab</w:t>
      </w:r>
      <w:r>
        <w:rPr>
          <w:sz w:val="20"/>
          <w:szCs w:val="20"/>
        </w:rPr>
        <w:t>ly likely to materially affect, the Company’s internal control over financial reporting.</w:t>
      </w:r>
    </w:p>
    <w:p w14:paraId="32C9CA2E" w14:textId="77777777" w:rsidR="00000000" w:rsidRDefault="00322B34">
      <w:pPr>
        <w:pStyle w:val="a3"/>
        <w:spacing w:before="0" w:beforeAutospacing="0" w:after="0" w:afterAutospacing="0"/>
        <w:ind w:firstLine="360"/>
        <w:jc w:val="both"/>
        <w:rPr>
          <w:sz w:val="20"/>
          <w:szCs w:val="20"/>
        </w:rPr>
      </w:pPr>
      <w:r>
        <w:rPr>
          <w:sz w:val="20"/>
          <w:szCs w:val="20"/>
        </w:rPr>
        <w:t> </w:t>
      </w:r>
    </w:p>
    <w:p w14:paraId="025E1BC2" w14:textId="77777777" w:rsidR="00000000" w:rsidRDefault="00322B34">
      <w:pPr>
        <w:jc w:val="center"/>
        <w:divId w:val="259679547"/>
        <w:rPr>
          <w:rFonts w:eastAsia="Times New Roman"/>
          <w:sz w:val="20"/>
          <w:szCs w:val="20"/>
        </w:rPr>
      </w:pPr>
      <w:r>
        <w:rPr>
          <w:rFonts w:eastAsia="Times New Roman"/>
          <w:sz w:val="20"/>
          <w:szCs w:val="20"/>
        </w:rPr>
        <w:t xml:space="preserve">33 </w:t>
      </w:r>
    </w:p>
    <w:p w14:paraId="6F5B9B2B" w14:textId="77777777" w:rsidR="00000000" w:rsidRDefault="00322B34">
      <w:pPr>
        <w:divId w:val="1792364224"/>
        <w:rPr>
          <w:rFonts w:eastAsia="Times New Roman"/>
          <w:sz w:val="20"/>
          <w:szCs w:val="20"/>
        </w:rPr>
      </w:pPr>
      <w:r>
        <w:rPr>
          <w:rFonts w:eastAsia="Times New Roman"/>
          <w:sz w:val="20"/>
          <w:szCs w:val="20"/>
        </w:rPr>
        <w:pict w14:anchorId="601E26E0">
          <v:rect id="_x0000_i1061" style="width:0;height:1.5pt" o:hralign="center" o:hrstd="t" o:hr="t" fillcolor="#a0a0a0" stroked="f"/>
        </w:pict>
      </w:r>
    </w:p>
    <w:p w14:paraId="285CBB95" w14:textId="77777777" w:rsidR="00000000" w:rsidRDefault="00322B34">
      <w:pPr>
        <w:divId w:val="90854064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8951062" w14:textId="77777777" w:rsidR="00000000" w:rsidRDefault="00322B34">
      <w:pPr>
        <w:pStyle w:val="a3"/>
        <w:spacing w:before="0" w:beforeAutospacing="0" w:after="0" w:afterAutospacing="0"/>
        <w:rPr>
          <w:sz w:val="20"/>
          <w:szCs w:val="20"/>
        </w:rPr>
      </w:pPr>
      <w:r>
        <w:rPr>
          <w:sz w:val="20"/>
          <w:szCs w:val="20"/>
        </w:rPr>
        <w:t> </w:t>
      </w:r>
    </w:p>
    <w:p w14:paraId="59A23D7E" w14:textId="77777777" w:rsidR="00000000" w:rsidRDefault="00322B34">
      <w:pPr>
        <w:pStyle w:val="a3"/>
        <w:spacing w:before="0" w:beforeAutospacing="0" w:after="0" w:afterAutospacing="0"/>
        <w:jc w:val="center"/>
        <w:rPr>
          <w:sz w:val="20"/>
          <w:szCs w:val="20"/>
        </w:rPr>
      </w:pPr>
      <w:r>
        <w:rPr>
          <w:b/>
          <w:bCs/>
          <w:sz w:val="20"/>
          <w:szCs w:val="20"/>
        </w:rPr>
        <w:t>PART II</w:t>
      </w:r>
    </w:p>
    <w:p w14:paraId="401DE5F6" w14:textId="77777777" w:rsidR="00000000" w:rsidRDefault="00322B34">
      <w:pPr>
        <w:pStyle w:val="a3"/>
        <w:spacing w:before="0" w:beforeAutospacing="0" w:after="0" w:afterAutospacing="0"/>
        <w:jc w:val="center"/>
        <w:rPr>
          <w:sz w:val="20"/>
          <w:szCs w:val="20"/>
        </w:rPr>
      </w:pPr>
      <w:r>
        <w:rPr>
          <w:b/>
          <w:bCs/>
          <w:sz w:val="20"/>
          <w:szCs w:val="20"/>
        </w:rPr>
        <w:t>OTHER INFORMATION</w:t>
      </w:r>
    </w:p>
    <w:p w14:paraId="560BEA61" w14:textId="77777777" w:rsidR="00000000" w:rsidRDefault="00322B34">
      <w:pPr>
        <w:pStyle w:val="a3"/>
        <w:spacing w:before="0" w:beforeAutospacing="0" w:after="0" w:afterAutospacing="0"/>
        <w:rPr>
          <w:sz w:val="20"/>
          <w:szCs w:val="20"/>
        </w:rPr>
      </w:pPr>
      <w:r>
        <w:rPr>
          <w:sz w:val="20"/>
          <w:szCs w:val="20"/>
        </w:rPr>
        <w:t> </w:t>
      </w:r>
    </w:p>
    <w:p w14:paraId="222B672D" w14:textId="77777777" w:rsidR="00000000" w:rsidRDefault="00322B34">
      <w:pPr>
        <w:pStyle w:val="a3"/>
        <w:spacing w:before="0" w:beforeAutospacing="0" w:after="0" w:afterAutospacing="0"/>
        <w:rPr>
          <w:sz w:val="20"/>
          <w:szCs w:val="20"/>
        </w:rPr>
      </w:pPr>
      <w:r>
        <w:rPr>
          <w:b/>
          <w:bCs/>
          <w:sz w:val="20"/>
          <w:szCs w:val="20"/>
        </w:rPr>
        <w:t>Item 1.  Legal Proceedings.</w:t>
      </w:r>
    </w:p>
    <w:p w14:paraId="7621FE50" w14:textId="77777777" w:rsidR="00000000" w:rsidRDefault="00322B34">
      <w:pPr>
        <w:pStyle w:val="a3"/>
        <w:spacing w:before="0" w:beforeAutospacing="0" w:after="0" w:afterAutospacing="0"/>
        <w:jc w:val="both"/>
        <w:rPr>
          <w:sz w:val="20"/>
          <w:szCs w:val="20"/>
        </w:rPr>
      </w:pPr>
      <w:r>
        <w:rPr>
          <w:sz w:val="20"/>
          <w:szCs w:val="20"/>
        </w:rPr>
        <w:t> </w:t>
      </w:r>
    </w:p>
    <w:p w14:paraId="11264285" w14:textId="77777777" w:rsidR="00000000" w:rsidRDefault="00322B34">
      <w:pPr>
        <w:pStyle w:val="a3"/>
        <w:spacing w:before="0" w:beforeAutospacing="0" w:after="0" w:afterAutospacing="0"/>
        <w:ind w:firstLine="360"/>
        <w:jc w:val="both"/>
        <w:rPr>
          <w:sz w:val="20"/>
          <w:szCs w:val="20"/>
        </w:rPr>
      </w:pPr>
      <w:r>
        <w:rPr>
          <w:sz w:val="20"/>
          <w:szCs w:val="20"/>
        </w:rPr>
        <w:t>The following information supplements and amends our discussion set forth under Part I, Item 3 "Legal Proceedings" in our Annual Report on Form 10-K for the fiscal year ended December 31, 2019.</w:t>
      </w:r>
    </w:p>
    <w:p w14:paraId="03D29ABF" w14:textId="77777777" w:rsidR="00000000" w:rsidRDefault="00322B34">
      <w:pPr>
        <w:pStyle w:val="a3"/>
        <w:spacing w:before="0" w:beforeAutospacing="0" w:after="0" w:afterAutospacing="0"/>
        <w:ind w:firstLine="360"/>
        <w:jc w:val="both"/>
        <w:rPr>
          <w:sz w:val="20"/>
          <w:szCs w:val="20"/>
        </w:rPr>
      </w:pPr>
      <w:r>
        <w:rPr>
          <w:sz w:val="20"/>
          <w:szCs w:val="20"/>
        </w:rPr>
        <w:t> </w:t>
      </w:r>
    </w:p>
    <w:p w14:paraId="41874E3B" w14:textId="77777777" w:rsidR="00000000" w:rsidRDefault="00322B34">
      <w:pPr>
        <w:pStyle w:val="a3"/>
        <w:spacing w:before="0" w:beforeAutospacing="0" w:after="0" w:afterAutospacing="0"/>
        <w:ind w:firstLine="360"/>
        <w:jc w:val="both"/>
        <w:rPr>
          <w:sz w:val="20"/>
          <w:szCs w:val="20"/>
        </w:rPr>
      </w:pPr>
      <w:r>
        <w:rPr>
          <w:sz w:val="20"/>
          <w:szCs w:val="20"/>
        </w:rPr>
        <w:t>The Company is not prese</w:t>
      </w:r>
      <w:r>
        <w:rPr>
          <w:sz w:val="20"/>
          <w:szCs w:val="20"/>
        </w:rPr>
        <w:t>ntly involved in any litigation nor, to its knowledge, is any litigation threatened against the Company or its subsidiaries that, in management's opinion, would result in any material adverse effect on the Company's ownership, management or operation of it</w:t>
      </w:r>
      <w:r>
        <w:rPr>
          <w:sz w:val="20"/>
          <w:szCs w:val="20"/>
        </w:rPr>
        <w:t>s properties taken as a whole, or which is not covered by the Company's liability insurance.</w:t>
      </w:r>
    </w:p>
    <w:p w14:paraId="7ED0F3CA" w14:textId="77777777" w:rsidR="00000000" w:rsidRDefault="00322B34">
      <w:pPr>
        <w:pStyle w:val="a3"/>
        <w:spacing w:before="0" w:beforeAutospacing="0" w:after="0" w:afterAutospacing="0"/>
        <w:rPr>
          <w:sz w:val="20"/>
          <w:szCs w:val="20"/>
        </w:rPr>
      </w:pPr>
      <w:r>
        <w:rPr>
          <w:sz w:val="20"/>
          <w:szCs w:val="20"/>
        </w:rPr>
        <w:t> </w:t>
      </w:r>
    </w:p>
    <w:p w14:paraId="31257BBA" w14:textId="77777777" w:rsidR="00000000" w:rsidRDefault="00322B34">
      <w:pPr>
        <w:pStyle w:val="a3"/>
        <w:spacing w:before="0" w:beforeAutospacing="0" w:after="0" w:afterAutospacing="0"/>
        <w:rPr>
          <w:sz w:val="20"/>
          <w:szCs w:val="20"/>
        </w:rPr>
      </w:pPr>
      <w:r>
        <w:rPr>
          <w:b/>
          <w:bCs/>
          <w:sz w:val="20"/>
          <w:szCs w:val="20"/>
        </w:rPr>
        <w:t>Item 1A.  Risk Factors.</w:t>
      </w:r>
    </w:p>
    <w:p w14:paraId="0608656B" w14:textId="77777777" w:rsidR="00000000" w:rsidRDefault="00322B34">
      <w:pPr>
        <w:pStyle w:val="a3"/>
        <w:spacing w:before="0" w:beforeAutospacing="0" w:after="0" w:afterAutospacing="0"/>
        <w:jc w:val="both"/>
        <w:rPr>
          <w:sz w:val="20"/>
          <w:szCs w:val="20"/>
        </w:rPr>
      </w:pPr>
      <w:r>
        <w:rPr>
          <w:sz w:val="20"/>
          <w:szCs w:val="20"/>
        </w:rPr>
        <w:t> </w:t>
      </w:r>
    </w:p>
    <w:p w14:paraId="0B275AFE" w14:textId="77777777" w:rsidR="00000000" w:rsidRDefault="00322B34">
      <w:pPr>
        <w:pStyle w:val="a3"/>
        <w:spacing w:before="0" w:beforeAutospacing="0" w:after="0" w:afterAutospacing="0"/>
        <w:ind w:firstLine="360"/>
        <w:jc w:val="both"/>
        <w:rPr>
          <w:sz w:val="20"/>
          <w:szCs w:val="20"/>
        </w:rPr>
      </w:pPr>
      <w:r>
        <w:rPr>
          <w:sz w:val="20"/>
          <w:szCs w:val="20"/>
        </w:rPr>
        <w:t>Except as set forth below, as of the date of this report, there are no material changes to our risk factors as previously disclosed in Part I, Item 1A of our Annual Report on Form 10-K for the year ended December 31, 2019. </w:t>
      </w:r>
    </w:p>
    <w:p w14:paraId="7FDA80AF" w14:textId="77777777" w:rsidR="00000000" w:rsidRDefault="00322B34">
      <w:pPr>
        <w:pStyle w:val="a3"/>
        <w:spacing w:before="0" w:beforeAutospacing="0" w:after="0" w:afterAutospacing="0"/>
        <w:ind w:firstLine="360"/>
        <w:jc w:val="both"/>
        <w:rPr>
          <w:sz w:val="20"/>
          <w:szCs w:val="20"/>
        </w:rPr>
      </w:pPr>
      <w:r>
        <w:rPr>
          <w:b/>
          <w:bCs/>
          <w:sz w:val="20"/>
          <w:szCs w:val="20"/>
        </w:rPr>
        <w:t> </w:t>
      </w:r>
    </w:p>
    <w:p w14:paraId="7C87C589" w14:textId="77777777" w:rsidR="00000000" w:rsidRDefault="00322B34">
      <w:pPr>
        <w:pStyle w:val="a3"/>
        <w:spacing w:before="0" w:beforeAutospacing="0" w:after="0" w:afterAutospacing="0"/>
        <w:ind w:firstLine="360"/>
        <w:jc w:val="both"/>
        <w:rPr>
          <w:sz w:val="20"/>
          <w:szCs w:val="20"/>
        </w:rPr>
      </w:pPr>
      <w:r>
        <w:rPr>
          <w:b/>
          <w:bCs/>
          <w:sz w:val="20"/>
          <w:szCs w:val="20"/>
        </w:rPr>
        <w:t>The Company’s business, financ</w:t>
      </w:r>
      <w:r>
        <w:rPr>
          <w:b/>
          <w:bCs/>
          <w:sz w:val="20"/>
          <w:szCs w:val="20"/>
        </w:rPr>
        <w:t>ial condition, results of operations or stock price has and may continue to be adversely impacted by the COVID-19 pandemic and such impact could be material.</w:t>
      </w:r>
    </w:p>
    <w:p w14:paraId="7FB224A8" w14:textId="77777777" w:rsidR="00000000" w:rsidRDefault="00322B34">
      <w:pPr>
        <w:pStyle w:val="a3"/>
        <w:spacing w:before="0" w:beforeAutospacing="0" w:after="0" w:afterAutospacing="0"/>
        <w:ind w:firstLine="360"/>
        <w:jc w:val="both"/>
        <w:rPr>
          <w:sz w:val="20"/>
          <w:szCs w:val="20"/>
        </w:rPr>
      </w:pPr>
      <w:r>
        <w:rPr>
          <w:sz w:val="20"/>
          <w:szCs w:val="20"/>
        </w:rPr>
        <w:t> </w:t>
      </w:r>
    </w:p>
    <w:p w14:paraId="70354607" w14:textId="77777777" w:rsidR="00000000" w:rsidRDefault="00322B34">
      <w:pPr>
        <w:pStyle w:val="a3"/>
        <w:spacing w:before="0" w:beforeAutospacing="0" w:after="0" w:afterAutospacing="0"/>
        <w:ind w:left="144" w:right="144" w:firstLine="360"/>
        <w:jc w:val="both"/>
        <w:rPr>
          <w:sz w:val="20"/>
          <w:szCs w:val="20"/>
        </w:rPr>
      </w:pPr>
      <w:r>
        <w:rPr>
          <w:sz w:val="20"/>
          <w:szCs w:val="20"/>
        </w:rPr>
        <w:t>In March 2020, the outbreak of COVID-19 was recognized as a pandemic by the World Health Organiz</w:t>
      </w:r>
      <w:r>
        <w:rPr>
          <w:sz w:val="20"/>
          <w:szCs w:val="20"/>
        </w:rPr>
        <w:t>ation.  The COVID-19 pandemic has resulted in a widespread health crisis that has had a significant adverse affect on businesses, economies and financial markets worldwide, and has caused significant volatility in U.S. and international debt and equity mar</w:t>
      </w:r>
      <w:r>
        <w:rPr>
          <w:sz w:val="20"/>
          <w:szCs w:val="20"/>
        </w:rPr>
        <w:t>kets. There is significant uncertainty around the extent and duration of business disruptions related to COVID-19, as well as its long-term impact on the U.S. economy. </w:t>
      </w:r>
    </w:p>
    <w:p w14:paraId="46CC6444" w14:textId="77777777" w:rsidR="00000000" w:rsidRDefault="00322B34">
      <w:pPr>
        <w:pStyle w:val="a3"/>
        <w:spacing w:before="0" w:beforeAutospacing="0" w:after="0" w:afterAutospacing="0"/>
        <w:ind w:firstLine="360"/>
        <w:jc w:val="both"/>
        <w:rPr>
          <w:sz w:val="20"/>
          <w:szCs w:val="20"/>
        </w:rPr>
      </w:pPr>
      <w:r>
        <w:rPr>
          <w:sz w:val="20"/>
          <w:szCs w:val="20"/>
        </w:rPr>
        <w:t> </w:t>
      </w:r>
    </w:p>
    <w:p w14:paraId="2A2F69EF" w14:textId="77777777" w:rsidR="00000000" w:rsidRDefault="00322B34">
      <w:pPr>
        <w:pStyle w:val="a3"/>
        <w:spacing w:before="0" w:beforeAutospacing="0" w:after="0" w:afterAutospacing="0"/>
        <w:ind w:firstLine="360"/>
        <w:jc w:val="both"/>
        <w:rPr>
          <w:sz w:val="20"/>
          <w:szCs w:val="20"/>
        </w:rPr>
      </w:pPr>
      <w:r>
        <w:rPr>
          <w:sz w:val="20"/>
          <w:szCs w:val="20"/>
        </w:rPr>
        <w:t>Our business and the businesses of our tenants have been adversely affected by the CO</w:t>
      </w:r>
      <w:r>
        <w:rPr>
          <w:sz w:val="20"/>
          <w:szCs w:val="20"/>
        </w:rPr>
        <w:t>VID-19 pandemic and actions taken to contain or prevent its spread. A substantial number of tenants have temporarily closed their businesses, have shortened their operating hours or offered reduced services. As a result, the Company has observed a substant</w:t>
      </w:r>
      <w:r>
        <w:rPr>
          <w:sz w:val="20"/>
          <w:szCs w:val="20"/>
        </w:rPr>
        <w:t>ial increase in the number of tenants that have made late or partial rent payments, requested a deferral of rent payments, or defaulted on rent payments, and it is likely that more of our tenants will be similarly impacted in the future. Impacts of COVID-1</w:t>
      </w:r>
      <w:r>
        <w:rPr>
          <w:sz w:val="20"/>
          <w:szCs w:val="20"/>
        </w:rPr>
        <w:t>9 could also result in the complete or partial closure of one or more of our tenants’ manufacturing facilities or distribution centers, temporary or long-term disruption in our tenants’ supply chains from local and international suppliers, and/or delays in</w:t>
      </w:r>
      <w:r>
        <w:rPr>
          <w:sz w:val="20"/>
          <w:szCs w:val="20"/>
        </w:rPr>
        <w:t xml:space="preserve"> the delivery of our tenants’ inventory.</w:t>
      </w:r>
    </w:p>
    <w:p w14:paraId="77FFB882" w14:textId="77777777" w:rsidR="00000000" w:rsidRDefault="00322B34">
      <w:pPr>
        <w:pStyle w:val="a3"/>
        <w:spacing w:before="0" w:beforeAutospacing="0" w:after="0" w:afterAutospacing="0"/>
        <w:ind w:firstLine="360"/>
        <w:jc w:val="both"/>
        <w:rPr>
          <w:sz w:val="20"/>
          <w:szCs w:val="20"/>
        </w:rPr>
      </w:pPr>
      <w:r>
        <w:rPr>
          <w:sz w:val="20"/>
          <w:szCs w:val="20"/>
        </w:rPr>
        <w:t> </w:t>
      </w:r>
    </w:p>
    <w:p w14:paraId="28564665" w14:textId="77777777" w:rsidR="00000000" w:rsidRDefault="00322B34">
      <w:pPr>
        <w:pStyle w:val="a3"/>
        <w:spacing w:before="0" w:beforeAutospacing="0" w:after="0" w:afterAutospacing="0"/>
        <w:ind w:firstLine="360"/>
        <w:jc w:val="both"/>
        <w:rPr>
          <w:sz w:val="20"/>
          <w:szCs w:val="20"/>
        </w:rPr>
      </w:pPr>
      <w:r>
        <w:rPr>
          <w:sz w:val="20"/>
          <w:szCs w:val="20"/>
        </w:rPr>
        <w:t>Even after governmental restrictions are lifted, our tenants may continue to be impacted by economic conditions resulting from COVID-19 or public perception of the risk of COVID-19, which could adversely affect fo</w:t>
      </w:r>
      <w:r>
        <w:rPr>
          <w:sz w:val="20"/>
          <w:szCs w:val="20"/>
        </w:rPr>
        <w:t>ot traffic to our tenants’ businesses and our tenants’ ability to adequately staff their businesses. Such events could severely disrupt their operations and have a material adverse effect on our business, financial condition and results of operations. A do</w:t>
      </w:r>
      <w:r>
        <w:rPr>
          <w:sz w:val="20"/>
          <w:szCs w:val="20"/>
        </w:rPr>
        <w:t>wnturn in our tenants’ businesses that significantly weakens their financial condition could cause them to delay lease commencements or decline to extend or renew leases upon expiration and could lead to additional failures to make rental payments when due</w:t>
      </w:r>
      <w:r>
        <w:rPr>
          <w:sz w:val="20"/>
          <w:szCs w:val="20"/>
        </w:rPr>
        <w:t xml:space="preserve">, store closures or bankruptcies, and we may be unable to collect past due balances under relevant leases. We have received requests for rent relief from some of our tenants. We are assessing these requests on a case-by-case basis and have agreed, and may </w:t>
      </w:r>
      <w:r>
        <w:rPr>
          <w:sz w:val="20"/>
          <w:szCs w:val="20"/>
        </w:rPr>
        <w:t>continue to agree to certain relief. It is likely there will be additional requests for relief in the future.</w:t>
      </w:r>
    </w:p>
    <w:p w14:paraId="10D74B37" w14:textId="77777777" w:rsidR="00000000" w:rsidRDefault="00322B34">
      <w:pPr>
        <w:pStyle w:val="a3"/>
        <w:spacing w:before="0" w:beforeAutospacing="0" w:after="0" w:afterAutospacing="0"/>
        <w:ind w:firstLine="360"/>
        <w:jc w:val="both"/>
        <w:rPr>
          <w:sz w:val="20"/>
          <w:szCs w:val="20"/>
        </w:rPr>
      </w:pPr>
      <w:r>
        <w:rPr>
          <w:sz w:val="20"/>
          <w:szCs w:val="20"/>
        </w:rPr>
        <w:t> </w:t>
      </w:r>
    </w:p>
    <w:p w14:paraId="2E6D2B23" w14:textId="77777777" w:rsidR="00000000" w:rsidRDefault="00322B34">
      <w:pPr>
        <w:pStyle w:val="a3"/>
        <w:spacing w:before="0" w:beforeAutospacing="0" w:after="0" w:afterAutospacing="0"/>
        <w:ind w:firstLine="360"/>
        <w:jc w:val="both"/>
        <w:rPr>
          <w:sz w:val="20"/>
          <w:szCs w:val="20"/>
        </w:rPr>
      </w:pPr>
      <w:r>
        <w:rPr>
          <w:sz w:val="20"/>
          <w:szCs w:val="20"/>
        </w:rPr>
        <w:t>In addition, like many other companies, due to government mandates, we have instructed our employees to work from home, which, especially if thi</w:t>
      </w:r>
      <w:r>
        <w:rPr>
          <w:sz w:val="20"/>
          <w:szCs w:val="20"/>
        </w:rPr>
        <w:t xml:space="preserve">s persists for a prolonged period of time, may have an adverse impact on our employees, operations and systems. Extended periods of remote work arrangements, could strain our business continuity plans, introduce operational risk, including but not limited </w:t>
      </w:r>
      <w:r>
        <w:rPr>
          <w:sz w:val="20"/>
          <w:szCs w:val="20"/>
        </w:rPr>
        <w:t xml:space="preserve">to cybersecurity risks, and impair our ability to manage our business. While most of our operations can be performed remotely, there is no guarantee that we will be as effective while working remotely because our team is dispersed, many employees may have </w:t>
      </w:r>
      <w:r>
        <w:rPr>
          <w:sz w:val="20"/>
          <w:szCs w:val="20"/>
        </w:rPr>
        <w:t>additional personal needs to attend to and employees may become sick themselves and be unable to work. Decreased effectiveness of our team could adversely affect our results due to our inability to meet in person with potential tenants, longer time periods</w:t>
      </w:r>
      <w:r>
        <w:rPr>
          <w:sz w:val="20"/>
          <w:szCs w:val="20"/>
        </w:rPr>
        <w:t xml:space="preserve"> to review and approve leases, longer time to respond to tenant and property issues, or other decreases in productivity that could seriously harm our business.</w:t>
      </w:r>
    </w:p>
    <w:p w14:paraId="2D1CB35C" w14:textId="77777777" w:rsidR="00000000" w:rsidRDefault="00322B34">
      <w:pPr>
        <w:pStyle w:val="a3"/>
        <w:spacing w:before="0" w:beforeAutospacing="0" w:after="0" w:afterAutospacing="0"/>
        <w:ind w:firstLine="360"/>
        <w:jc w:val="both"/>
        <w:rPr>
          <w:sz w:val="20"/>
          <w:szCs w:val="20"/>
        </w:rPr>
      </w:pPr>
      <w:r>
        <w:rPr>
          <w:sz w:val="20"/>
          <w:szCs w:val="20"/>
        </w:rPr>
        <w:t> </w:t>
      </w:r>
    </w:p>
    <w:p w14:paraId="41199B80" w14:textId="77777777" w:rsidR="00000000" w:rsidRDefault="00322B34">
      <w:pPr>
        <w:pStyle w:val="a3"/>
        <w:spacing w:before="0" w:beforeAutospacing="0" w:after="0" w:afterAutospacing="0"/>
        <w:ind w:firstLine="360"/>
        <w:jc w:val="both"/>
        <w:rPr>
          <w:sz w:val="20"/>
          <w:szCs w:val="20"/>
        </w:rPr>
      </w:pPr>
      <w:r>
        <w:rPr>
          <w:sz w:val="20"/>
          <w:szCs w:val="20"/>
        </w:rPr>
        <w:t>The COVID-19 pandemic, or a future pandemic, could also have material and adverse effects on o</w:t>
      </w:r>
      <w:r>
        <w:rPr>
          <w:sz w:val="20"/>
          <w:szCs w:val="20"/>
        </w:rPr>
        <w:t>ur ability to successfully operate and on our financial condition, results of operations and cash flows due to, among other factors:</w:t>
      </w:r>
    </w:p>
    <w:p w14:paraId="0E6F577E" w14:textId="77777777" w:rsidR="00000000" w:rsidRDefault="00322B34">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80"/>
        <w:gridCol w:w="265"/>
        <w:gridCol w:w="7261"/>
      </w:tblGrid>
      <w:tr w:rsidR="00000000" w14:paraId="01004C78" w14:textId="77777777">
        <w:trPr>
          <w:tblCellSpacing w:w="0" w:type="dxa"/>
        </w:trPr>
        <w:tc>
          <w:tcPr>
            <w:tcW w:w="780" w:type="dxa"/>
            <w:vAlign w:val="center"/>
            <w:hideMark/>
          </w:tcPr>
          <w:p w14:paraId="607C3604" w14:textId="77777777" w:rsidR="00000000" w:rsidRDefault="00322B34">
            <w:pPr>
              <w:rPr>
                <w:rFonts w:eastAsia="Times New Roman"/>
                <w:sz w:val="20"/>
                <w:szCs w:val="20"/>
              </w:rPr>
            </w:pPr>
            <w:r>
              <w:rPr>
                <w:rFonts w:eastAsia="Times New Roman"/>
                <w:sz w:val="20"/>
                <w:szCs w:val="20"/>
              </w:rPr>
              <w:t> </w:t>
            </w:r>
          </w:p>
        </w:tc>
        <w:tc>
          <w:tcPr>
            <w:tcW w:w="200" w:type="dxa"/>
            <w:hideMark/>
          </w:tcPr>
          <w:p w14:paraId="18312EF7" w14:textId="77777777" w:rsidR="00000000" w:rsidRDefault="00322B34">
            <w:pPr>
              <w:pStyle w:val="a3"/>
              <w:spacing w:before="0" w:beforeAutospacing="0" w:after="0" w:afterAutospacing="0"/>
              <w:ind w:right="144"/>
              <w:jc w:val="both"/>
              <w:rPr>
                <w:sz w:val="20"/>
                <w:szCs w:val="20"/>
              </w:rPr>
            </w:pPr>
            <w:r>
              <w:rPr>
                <w:sz w:val="20"/>
                <w:szCs w:val="20"/>
              </w:rPr>
              <w:t>●</w:t>
            </w:r>
          </w:p>
        </w:tc>
        <w:tc>
          <w:tcPr>
            <w:tcW w:w="0" w:type="auto"/>
            <w:hideMark/>
          </w:tcPr>
          <w:p w14:paraId="31E388B5" w14:textId="77777777" w:rsidR="00000000" w:rsidRDefault="00322B34">
            <w:pPr>
              <w:pStyle w:val="a3"/>
              <w:spacing w:before="0" w:beforeAutospacing="0" w:after="0" w:afterAutospacing="0"/>
              <w:ind w:right="144"/>
              <w:jc w:val="both"/>
              <w:rPr>
                <w:sz w:val="20"/>
                <w:szCs w:val="20"/>
              </w:rPr>
            </w:pPr>
            <w:r>
              <w:rPr>
                <w:sz w:val="20"/>
                <w:szCs w:val="20"/>
              </w:rPr>
              <w:t>a complete or partial closure of, or other operational issues at, one or more of our properties resulting from govern</w:t>
            </w:r>
            <w:r>
              <w:rPr>
                <w:sz w:val="20"/>
                <w:szCs w:val="20"/>
              </w:rPr>
              <w:t>ment or tenant action;</w:t>
            </w:r>
          </w:p>
        </w:tc>
      </w:tr>
    </w:tbl>
    <w:p w14:paraId="03823A5D"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80"/>
        <w:gridCol w:w="265"/>
        <w:gridCol w:w="7261"/>
      </w:tblGrid>
      <w:tr w:rsidR="00000000" w14:paraId="576138AA" w14:textId="77777777">
        <w:trPr>
          <w:tblCellSpacing w:w="0" w:type="dxa"/>
        </w:trPr>
        <w:tc>
          <w:tcPr>
            <w:tcW w:w="780" w:type="dxa"/>
            <w:vAlign w:val="center"/>
            <w:hideMark/>
          </w:tcPr>
          <w:p w14:paraId="3605C00D" w14:textId="77777777" w:rsidR="00000000" w:rsidRDefault="00322B34">
            <w:pPr>
              <w:rPr>
                <w:rFonts w:eastAsia="Times New Roman"/>
                <w:sz w:val="20"/>
                <w:szCs w:val="20"/>
              </w:rPr>
            </w:pPr>
            <w:r>
              <w:rPr>
                <w:rFonts w:eastAsia="Times New Roman"/>
                <w:sz w:val="20"/>
                <w:szCs w:val="20"/>
              </w:rPr>
              <w:t> </w:t>
            </w:r>
          </w:p>
        </w:tc>
        <w:tc>
          <w:tcPr>
            <w:tcW w:w="200" w:type="dxa"/>
            <w:hideMark/>
          </w:tcPr>
          <w:p w14:paraId="15A595E3" w14:textId="77777777" w:rsidR="00000000" w:rsidRDefault="00322B34">
            <w:pPr>
              <w:pStyle w:val="a3"/>
              <w:spacing w:before="0" w:beforeAutospacing="0" w:after="0" w:afterAutospacing="0"/>
              <w:ind w:right="144"/>
              <w:jc w:val="both"/>
              <w:rPr>
                <w:sz w:val="20"/>
                <w:szCs w:val="20"/>
              </w:rPr>
            </w:pPr>
            <w:r>
              <w:rPr>
                <w:sz w:val="20"/>
                <w:szCs w:val="20"/>
              </w:rPr>
              <w:t>●</w:t>
            </w:r>
          </w:p>
        </w:tc>
        <w:tc>
          <w:tcPr>
            <w:tcW w:w="0" w:type="auto"/>
            <w:hideMark/>
          </w:tcPr>
          <w:p w14:paraId="0C73F3EB" w14:textId="77777777" w:rsidR="00000000" w:rsidRDefault="00322B34">
            <w:pPr>
              <w:pStyle w:val="a3"/>
              <w:spacing w:before="0" w:beforeAutospacing="0" w:after="0" w:afterAutospacing="0"/>
              <w:ind w:right="144"/>
              <w:jc w:val="both"/>
              <w:rPr>
                <w:sz w:val="20"/>
                <w:szCs w:val="20"/>
              </w:rPr>
            </w:pPr>
            <w:r>
              <w:rPr>
                <w:sz w:val="20"/>
                <w:szCs w:val="20"/>
              </w:rPr>
              <w:t>the reduced economic activity severely impacts our tenants' businesses, financial condition and liquidity and may cause one or more of our tenants to be unable to meet their obligations to us in full, or at all, or to otherwise seek modifications of such o</w:t>
            </w:r>
            <w:r>
              <w:rPr>
                <w:sz w:val="20"/>
                <w:szCs w:val="20"/>
              </w:rPr>
              <w:t>bligations;</w:t>
            </w:r>
          </w:p>
        </w:tc>
      </w:tr>
    </w:tbl>
    <w:p w14:paraId="47C7B7BC"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80"/>
        <w:gridCol w:w="265"/>
        <w:gridCol w:w="7261"/>
      </w:tblGrid>
      <w:tr w:rsidR="00000000" w14:paraId="59CA3F62" w14:textId="77777777">
        <w:trPr>
          <w:tblCellSpacing w:w="0" w:type="dxa"/>
        </w:trPr>
        <w:tc>
          <w:tcPr>
            <w:tcW w:w="780" w:type="dxa"/>
            <w:vAlign w:val="center"/>
            <w:hideMark/>
          </w:tcPr>
          <w:p w14:paraId="53E0894D" w14:textId="77777777" w:rsidR="00000000" w:rsidRDefault="00322B34">
            <w:pPr>
              <w:rPr>
                <w:rFonts w:eastAsia="Times New Roman"/>
                <w:sz w:val="20"/>
                <w:szCs w:val="20"/>
              </w:rPr>
            </w:pPr>
            <w:r>
              <w:rPr>
                <w:rFonts w:eastAsia="Times New Roman"/>
                <w:sz w:val="20"/>
                <w:szCs w:val="20"/>
              </w:rPr>
              <w:t> </w:t>
            </w:r>
          </w:p>
        </w:tc>
        <w:tc>
          <w:tcPr>
            <w:tcW w:w="200" w:type="dxa"/>
            <w:hideMark/>
          </w:tcPr>
          <w:p w14:paraId="68003F4A" w14:textId="77777777" w:rsidR="00000000" w:rsidRDefault="00322B34">
            <w:pPr>
              <w:pStyle w:val="a3"/>
              <w:spacing w:before="0" w:beforeAutospacing="0" w:after="0" w:afterAutospacing="0"/>
              <w:ind w:right="144"/>
              <w:jc w:val="both"/>
              <w:rPr>
                <w:sz w:val="20"/>
                <w:szCs w:val="20"/>
              </w:rPr>
            </w:pPr>
            <w:r>
              <w:rPr>
                <w:sz w:val="20"/>
                <w:szCs w:val="20"/>
              </w:rPr>
              <w:t>●</w:t>
            </w:r>
          </w:p>
        </w:tc>
        <w:tc>
          <w:tcPr>
            <w:tcW w:w="0" w:type="auto"/>
            <w:hideMark/>
          </w:tcPr>
          <w:p w14:paraId="6C88DE6F" w14:textId="77777777" w:rsidR="00000000" w:rsidRDefault="00322B34">
            <w:pPr>
              <w:pStyle w:val="a3"/>
              <w:spacing w:before="0" w:beforeAutospacing="0" w:after="0" w:afterAutospacing="0"/>
              <w:ind w:right="144"/>
              <w:jc w:val="both"/>
              <w:rPr>
                <w:sz w:val="20"/>
                <w:szCs w:val="20"/>
              </w:rPr>
            </w:pPr>
            <w:r>
              <w:rPr>
                <w:sz w:val="20"/>
                <w:szCs w:val="20"/>
              </w:rPr>
              <w:t>the reduced economic activity could result in a prolonged recession, which could negatively impact consumer discretionary spending;</w:t>
            </w:r>
          </w:p>
        </w:tc>
      </w:tr>
    </w:tbl>
    <w:p w14:paraId="3EEE8491"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80"/>
        <w:gridCol w:w="265"/>
        <w:gridCol w:w="7261"/>
      </w:tblGrid>
      <w:tr w:rsidR="00000000" w14:paraId="238B32C5" w14:textId="77777777">
        <w:trPr>
          <w:tblCellSpacing w:w="0" w:type="dxa"/>
        </w:trPr>
        <w:tc>
          <w:tcPr>
            <w:tcW w:w="780" w:type="dxa"/>
            <w:vAlign w:val="center"/>
            <w:hideMark/>
          </w:tcPr>
          <w:p w14:paraId="5F609314" w14:textId="77777777" w:rsidR="00000000" w:rsidRDefault="00322B34">
            <w:pPr>
              <w:rPr>
                <w:rFonts w:eastAsia="Times New Roman"/>
                <w:sz w:val="20"/>
                <w:szCs w:val="20"/>
              </w:rPr>
            </w:pPr>
            <w:r>
              <w:rPr>
                <w:rFonts w:eastAsia="Times New Roman"/>
                <w:sz w:val="20"/>
                <w:szCs w:val="20"/>
              </w:rPr>
              <w:t> </w:t>
            </w:r>
          </w:p>
        </w:tc>
        <w:tc>
          <w:tcPr>
            <w:tcW w:w="200" w:type="dxa"/>
            <w:hideMark/>
          </w:tcPr>
          <w:p w14:paraId="16F74F65" w14:textId="77777777" w:rsidR="00000000" w:rsidRDefault="00322B34">
            <w:pPr>
              <w:pStyle w:val="a3"/>
              <w:spacing w:before="0" w:beforeAutospacing="0" w:after="0" w:afterAutospacing="0"/>
              <w:ind w:right="144"/>
              <w:jc w:val="both"/>
              <w:rPr>
                <w:sz w:val="20"/>
                <w:szCs w:val="20"/>
              </w:rPr>
            </w:pPr>
            <w:r>
              <w:rPr>
                <w:sz w:val="20"/>
                <w:szCs w:val="20"/>
              </w:rPr>
              <w:t>●</w:t>
            </w:r>
          </w:p>
        </w:tc>
        <w:tc>
          <w:tcPr>
            <w:tcW w:w="0" w:type="auto"/>
            <w:hideMark/>
          </w:tcPr>
          <w:p w14:paraId="28AD831A" w14:textId="77777777" w:rsidR="00000000" w:rsidRDefault="00322B34">
            <w:pPr>
              <w:pStyle w:val="a3"/>
              <w:spacing w:before="0" w:beforeAutospacing="0" w:after="0" w:afterAutospacing="0"/>
              <w:ind w:right="144"/>
              <w:jc w:val="both"/>
              <w:rPr>
                <w:sz w:val="20"/>
                <w:szCs w:val="20"/>
              </w:rPr>
            </w:pPr>
            <w:r>
              <w:rPr>
                <w:sz w:val="20"/>
                <w:szCs w:val="20"/>
              </w:rPr>
              <w:t>difficulty accessing debt and equity capital on attractive terms, or at all, impacts to our credit r</w:t>
            </w:r>
            <w:r>
              <w:rPr>
                <w:sz w:val="20"/>
                <w:szCs w:val="20"/>
              </w:rPr>
              <w:t>atings, and a prolonged severe disruption and instability in the global financial markets or deteriorations in credit and financing conditions may affect our access to capital necessary to fund business operations or address maturing liabilities on a timel</w:t>
            </w:r>
            <w:r>
              <w:rPr>
                <w:sz w:val="20"/>
                <w:szCs w:val="20"/>
              </w:rPr>
              <w:t>y basis and our tenants' ability to fund their business operations and meet their obligations to us;</w:t>
            </w:r>
          </w:p>
        </w:tc>
      </w:tr>
    </w:tbl>
    <w:p w14:paraId="2E277D7E"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80"/>
        <w:gridCol w:w="265"/>
        <w:gridCol w:w="7261"/>
      </w:tblGrid>
      <w:tr w:rsidR="00000000" w14:paraId="39FE90EF" w14:textId="77777777">
        <w:trPr>
          <w:tblCellSpacing w:w="0" w:type="dxa"/>
        </w:trPr>
        <w:tc>
          <w:tcPr>
            <w:tcW w:w="780" w:type="dxa"/>
            <w:vAlign w:val="center"/>
            <w:hideMark/>
          </w:tcPr>
          <w:p w14:paraId="3C062104" w14:textId="77777777" w:rsidR="00000000" w:rsidRDefault="00322B34">
            <w:pPr>
              <w:rPr>
                <w:rFonts w:eastAsia="Times New Roman"/>
                <w:sz w:val="20"/>
                <w:szCs w:val="20"/>
              </w:rPr>
            </w:pPr>
            <w:r>
              <w:rPr>
                <w:rFonts w:eastAsia="Times New Roman"/>
                <w:sz w:val="20"/>
                <w:szCs w:val="20"/>
              </w:rPr>
              <w:t> </w:t>
            </w:r>
          </w:p>
        </w:tc>
        <w:tc>
          <w:tcPr>
            <w:tcW w:w="200" w:type="dxa"/>
            <w:hideMark/>
          </w:tcPr>
          <w:p w14:paraId="522D72EA" w14:textId="77777777" w:rsidR="00000000" w:rsidRDefault="00322B34">
            <w:pPr>
              <w:pStyle w:val="a3"/>
              <w:spacing w:before="0" w:beforeAutospacing="0" w:after="0" w:afterAutospacing="0"/>
              <w:ind w:right="144"/>
              <w:jc w:val="both"/>
              <w:rPr>
                <w:sz w:val="20"/>
                <w:szCs w:val="20"/>
              </w:rPr>
            </w:pPr>
            <w:r>
              <w:rPr>
                <w:sz w:val="20"/>
                <w:szCs w:val="20"/>
              </w:rPr>
              <w:t>●</w:t>
            </w:r>
          </w:p>
        </w:tc>
        <w:tc>
          <w:tcPr>
            <w:tcW w:w="0" w:type="auto"/>
            <w:hideMark/>
          </w:tcPr>
          <w:p w14:paraId="349E5A64" w14:textId="77777777" w:rsidR="00000000" w:rsidRDefault="00322B34">
            <w:pPr>
              <w:pStyle w:val="a3"/>
              <w:spacing w:before="0" w:beforeAutospacing="0" w:after="0" w:afterAutospacing="0"/>
              <w:ind w:right="144"/>
              <w:jc w:val="both"/>
              <w:rPr>
                <w:sz w:val="20"/>
                <w:szCs w:val="20"/>
              </w:rPr>
            </w:pPr>
            <w:r>
              <w:rPr>
                <w:sz w:val="20"/>
                <w:szCs w:val="20"/>
              </w:rPr>
              <w:t>the financial impact of the COVID-19 pandemic could negatively impact our future compliance with financial covenants of our Credit Facility and other</w:t>
            </w:r>
            <w:r>
              <w:rPr>
                <w:sz w:val="20"/>
                <w:szCs w:val="20"/>
              </w:rPr>
              <w:t xml:space="preserve"> debt agreements and result in a default and potentially an acceleration of indebtedness, which non-compliance could negatively impact our ability to make additional borrowings under our Credit Facility and pay dividends;</w:t>
            </w:r>
          </w:p>
        </w:tc>
      </w:tr>
    </w:tbl>
    <w:p w14:paraId="760AFC29"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80"/>
        <w:gridCol w:w="265"/>
        <w:gridCol w:w="7261"/>
      </w:tblGrid>
      <w:tr w:rsidR="00000000" w14:paraId="658300A5" w14:textId="77777777">
        <w:trPr>
          <w:tblCellSpacing w:w="0" w:type="dxa"/>
        </w:trPr>
        <w:tc>
          <w:tcPr>
            <w:tcW w:w="780" w:type="dxa"/>
            <w:vAlign w:val="center"/>
            <w:hideMark/>
          </w:tcPr>
          <w:p w14:paraId="1E789AD8" w14:textId="77777777" w:rsidR="00000000" w:rsidRDefault="00322B34">
            <w:pPr>
              <w:rPr>
                <w:rFonts w:eastAsia="Times New Roman"/>
                <w:sz w:val="20"/>
                <w:szCs w:val="20"/>
              </w:rPr>
            </w:pPr>
            <w:r>
              <w:rPr>
                <w:rFonts w:eastAsia="Times New Roman"/>
                <w:sz w:val="20"/>
                <w:szCs w:val="20"/>
              </w:rPr>
              <w:t> </w:t>
            </w:r>
          </w:p>
        </w:tc>
        <w:tc>
          <w:tcPr>
            <w:tcW w:w="200" w:type="dxa"/>
            <w:hideMark/>
          </w:tcPr>
          <w:p w14:paraId="13D92451" w14:textId="77777777" w:rsidR="00000000" w:rsidRDefault="00322B34">
            <w:pPr>
              <w:pStyle w:val="a3"/>
              <w:spacing w:before="0" w:beforeAutospacing="0" w:after="0" w:afterAutospacing="0"/>
              <w:ind w:right="144"/>
              <w:jc w:val="both"/>
              <w:rPr>
                <w:sz w:val="20"/>
                <w:szCs w:val="20"/>
              </w:rPr>
            </w:pPr>
            <w:r>
              <w:rPr>
                <w:sz w:val="20"/>
                <w:szCs w:val="20"/>
              </w:rPr>
              <w:t>●</w:t>
            </w:r>
          </w:p>
        </w:tc>
        <w:tc>
          <w:tcPr>
            <w:tcW w:w="0" w:type="auto"/>
            <w:hideMark/>
          </w:tcPr>
          <w:p w14:paraId="0C52F4B8" w14:textId="77777777" w:rsidR="00000000" w:rsidRDefault="00322B34">
            <w:pPr>
              <w:pStyle w:val="a3"/>
              <w:spacing w:before="0" w:beforeAutospacing="0" w:after="0" w:afterAutospacing="0"/>
              <w:ind w:right="144"/>
              <w:jc w:val="both"/>
              <w:rPr>
                <w:sz w:val="20"/>
                <w:szCs w:val="20"/>
              </w:rPr>
            </w:pPr>
            <w:r>
              <w:rPr>
                <w:sz w:val="20"/>
                <w:szCs w:val="20"/>
              </w:rPr>
              <w:t>any impairment in value of our real estate assets which could be recorded as a result of a weaker economic conditions;  </w:t>
            </w:r>
          </w:p>
        </w:tc>
      </w:tr>
    </w:tbl>
    <w:p w14:paraId="6DBCB6EB"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80"/>
        <w:gridCol w:w="265"/>
        <w:gridCol w:w="7261"/>
      </w:tblGrid>
      <w:tr w:rsidR="00000000" w14:paraId="46B246CD" w14:textId="77777777">
        <w:trPr>
          <w:tblCellSpacing w:w="0" w:type="dxa"/>
        </w:trPr>
        <w:tc>
          <w:tcPr>
            <w:tcW w:w="780" w:type="dxa"/>
            <w:vAlign w:val="center"/>
            <w:hideMark/>
          </w:tcPr>
          <w:p w14:paraId="7BC254AC" w14:textId="77777777" w:rsidR="00000000" w:rsidRDefault="00322B34">
            <w:pPr>
              <w:rPr>
                <w:rFonts w:eastAsia="Times New Roman"/>
                <w:sz w:val="20"/>
                <w:szCs w:val="20"/>
              </w:rPr>
            </w:pPr>
            <w:r>
              <w:rPr>
                <w:rFonts w:eastAsia="Times New Roman"/>
                <w:sz w:val="20"/>
                <w:szCs w:val="20"/>
              </w:rPr>
              <w:t> </w:t>
            </w:r>
          </w:p>
        </w:tc>
        <w:tc>
          <w:tcPr>
            <w:tcW w:w="200" w:type="dxa"/>
            <w:hideMark/>
          </w:tcPr>
          <w:p w14:paraId="69373BB3" w14:textId="77777777" w:rsidR="00000000" w:rsidRDefault="00322B34">
            <w:pPr>
              <w:pStyle w:val="a3"/>
              <w:spacing w:before="0" w:beforeAutospacing="0" w:after="0" w:afterAutospacing="0"/>
              <w:ind w:right="144"/>
              <w:jc w:val="both"/>
              <w:rPr>
                <w:sz w:val="20"/>
                <w:szCs w:val="20"/>
              </w:rPr>
            </w:pPr>
            <w:r>
              <w:rPr>
                <w:sz w:val="20"/>
                <w:szCs w:val="20"/>
              </w:rPr>
              <w:t>●</w:t>
            </w:r>
          </w:p>
        </w:tc>
        <w:tc>
          <w:tcPr>
            <w:tcW w:w="0" w:type="auto"/>
            <w:hideMark/>
          </w:tcPr>
          <w:p w14:paraId="06FA2D8E" w14:textId="77777777" w:rsidR="00000000" w:rsidRDefault="00322B34">
            <w:pPr>
              <w:pStyle w:val="a3"/>
              <w:spacing w:before="0" w:beforeAutospacing="0" w:after="0" w:afterAutospacing="0"/>
              <w:ind w:right="144"/>
              <w:jc w:val="both"/>
              <w:rPr>
                <w:sz w:val="20"/>
                <w:szCs w:val="20"/>
              </w:rPr>
            </w:pPr>
            <w:r>
              <w:rPr>
                <w:sz w:val="20"/>
                <w:szCs w:val="20"/>
              </w:rPr>
              <w:t>a continued decline in business activity and demand for real estate transactions could adversely affect our ability or desire to grow our portfolio of properties; and</w:t>
            </w:r>
          </w:p>
        </w:tc>
      </w:tr>
    </w:tbl>
    <w:p w14:paraId="4052F260" w14:textId="77777777" w:rsidR="00000000" w:rsidRDefault="00322B34">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80"/>
        <w:gridCol w:w="265"/>
        <w:gridCol w:w="7261"/>
      </w:tblGrid>
      <w:tr w:rsidR="00000000" w14:paraId="6A5B4560" w14:textId="77777777">
        <w:trPr>
          <w:tblCellSpacing w:w="0" w:type="dxa"/>
        </w:trPr>
        <w:tc>
          <w:tcPr>
            <w:tcW w:w="780" w:type="dxa"/>
            <w:vAlign w:val="center"/>
            <w:hideMark/>
          </w:tcPr>
          <w:p w14:paraId="492926CA" w14:textId="77777777" w:rsidR="00000000" w:rsidRDefault="00322B34">
            <w:pPr>
              <w:rPr>
                <w:rFonts w:eastAsia="Times New Roman"/>
                <w:sz w:val="20"/>
                <w:szCs w:val="20"/>
              </w:rPr>
            </w:pPr>
            <w:r>
              <w:rPr>
                <w:rFonts w:eastAsia="Times New Roman"/>
                <w:sz w:val="20"/>
                <w:szCs w:val="20"/>
              </w:rPr>
              <w:t> </w:t>
            </w:r>
          </w:p>
        </w:tc>
        <w:tc>
          <w:tcPr>
            <w:tcW w:w="200" w:type="dxa"/>
            <w:hideMark/>
          </w:tcPr>
          <w:p w14:paraId="4AC1EC06" w14:textId="77777777" w:rsidR="00000000" w:rsidRDefault="00322B34">
            <w:pPr>
              <w:pStyle w:val="a3"/>
              <w:spacing w:before="0" w:beforeAutospacing="0" w:after="0" w:afterAutospacing="0"/>
              <w:ind w:right="144"/>
              <w:jc w:val="both"/>
              <w:rPr>
                <w:sz w:val="20"/>
                <w:szCs w:val="20"/>
              </w:rPr>
            </w:pPr>
            <w:r>
              <w:rPr>
                <w:sz w:val="20"/>
                <w:szCs w:val="20"/>
              </w:rPr>
              <w:t>●</w:t>
            </w:r>
          </w:p>
        </w:tc>
        <w:tc>
          <w:tcPr>
            <w:tcW w:w="0" w:type="auto"/>
            <w:hideMark/>
          </w:tcPr>
          <w:p w14:paraId="0C887774" w14:textId="77777777" w:rsidR="00000000" w:rsidRDefault="00322B34">
            <w:pPr>
              <w:pStyle w:val="a3"/>
              <w:spacing w:before="0" w:beforeAutospacing="0" w:after="0" w:afterAutospacing="0"/>
              <w:ind w:right="144"/>
              <w:jc w:val="both"/>
              <w:rPr>
                <w:sz w:val="20"/>
                <w:szCs w:val="20"/>
              </w:rPr>
            </w:pPr>
            <w:r>
              <w:rPr>
                <w:sz w:val="20"/>
                <w:szCs w:val="20"/>
              </w:rPr>
              <w:t>a deterioration in our or our tenants' ability to operate in affected areas or dela</w:t>
            </w:r>
            <w:r>
              <w:rPr>
                <w:sz w:val="20"/>
                <w:szCs w:val="20"/>
              </w:rPr>
              <w:t>ys in the supply of products or services to us or our tenants from vendors that are needed for our or our tenants' efficient operations could adversely affect our operations and those of our tenants.</w:t>
            </w:r>
          </w:p>
        </w:tc>
      </w:tr>
    </w:tbl>
    <w:p w14:paraId="4A816278" w14:textId="77777777" w:rsidR="00000000" w:rsidRDefault="00322B34">
      <w:pPr>
        <w:pStyle w:val="a3"/>
        <w:spacing w:before="0" w:beforeAutospacing="0" w:after="0" w:afterAutospacing="0"/>
        <w:ind w:firstLine="360"/>
        <w:jc w:val="both"/>
        <w:rPr>
          <w:sz w:val="20"/>
          <w:szCs w:val="20"/>
        </w:rPr>
      </w:pPr>
      <w:r>
        <w:rPr>
          <w:sz w:val="20"/>
          <w:szCs w:val="20"/>
        </w:rPr>
        <w:t> </w:t>
      </w:r>
    </w:p>
    <w:p w14:paraId="60AB7354" w14:textId="77777777" w:rsidR="00000000" w:rsidRDefault="00322B34">
      <w:pPr>
        <w:pStyle w:val="a3"/>
        <w:spacing w:before="0" w:beforeAutospacing="0" w:after="0" w:afterAutospacing="0"/>
        <w:ind w:firstLine="360"/>
        <w:jc w:val="both"/>
        <w:rPr>
          <w:sz w:val="20"/>
          <w:szCs w:val="20"/>
        </w:rPr>
      </w:pPr>
      <w:r>
        <w:rPr>
          <w:sz w:val="20"/>
          <w:szCs w:val="20"/>
        </w:rPr>
        <w:t>The extent to which the COVID-19 pandemic continues t</w:t>
      </w:r>
      <w:r>
        <w:rPr>
          <w:sz w:val="20"/>
          <w:szCs w:val="20"/>
        </w:rPr>
        <w:t>o impact our business, results of operations, financial condition and stock price will depend on numerous evolving factors that are highly uncertain and which we may not be able to predict, including the duration and scope of the pandemic, governmental, bu</w:t>
      </w:r>
      <w:r>
        <w:rPr>
          <w:sz w:val="20"/>
          <w:szCs w:val="20"/>
        </w:rPr>
        <w:t>siness and individual actions that have been and continue to be taken in response to the pandemic, the impact on economic activity from the pandemic and actions taken in response, the impact on our employees any other operational disruptions or difficultie</w:t>
      </w:r>
      <w:r>
        <w:rPr>
          <w:sz w:val="20"/>
          <w:szCs w:val="20"/>
        </w:rPr>
        <w:t xml:space="preserve">s we may face, the effect on our tenants and their businesses, the ability of tenants to pay their contracted rents and any additional closures of our tenants’ businesses. These effects, individually or in the aggregate, will adversely impact our tenant’s </w:t>
      </w:r>
      <w:r>
        <w:rPr>
          <w:sz w:val="20"/>
          <w:szCs w:val="20"/>
        </w:rPr>
        <w:t>ability to pay their contracted rent. Any of these events could materially adversely impact our business, financial condition, results of operations or stock price.</w:t>
      </w:r>
    </w:p>
    <w:p w14:paraId="2C744046" w14:textId="77777777" w:rsidR="00000000" w:rsidRDefault="00322B34">
      <w:pPr>
        <w:pStyle w:val="a3"/>
        <w:spacing w:before="0" w:beforeAutospacing="0" w:after="0" w:afterAutospacing="0"/>
        <w:ind w:firstLine="360"/>
        <w:jc w:val="both"/>
        <w:rPr>
          <w:sz w:val="20"/>
          <w:szCs w:val="20"/>
        </w:rPr>
      </w:pPr>
      <w:r>
        <w:rPr>
          <w:sz w:val="20"/>
          <w:szCs w:val="20"/>
        </w:rPr>
        <w:t> </w:t>
      </w:r>
    </w:p>
    <w:p w14:paraId="02D28058" w14:textId="77777777" w:rsidR="00000000" w:rsidRDefault="00322B34">
      <w:pPr>
        <w:jc w:val="center"/>
        <w:divId w:val="1171411907"/>
        <w:rPr>
          <w:rFonts w:eastAsia="Times New Roman"/>
          <w:sz w:val="20"/>
          <w:szCs w:val="20"/>
        </w:rPr>
      </w:pPr>
      <w:r>
        <w:rPr>
          <w:rFonts w:eastAsia="Times New Roman"/>
          <w:sz w:val="20"/>
          <w:szCs w:val="20"/>
        </w:rPr>
        <w:t xml:space="preserve">34 </w:t>
      </w:r>
    </w:p>
    <w:p w14:paraId="60926B4F" w14:textId="77777777" w:rsidR="00000000" w:rsidRDefault="00322B34">
      <w:pPr>
        <w:divId w:val="1080518059"/>
        <w:rPr>
          <w:rFonts w:eastAsia="Times New Roman"/>
          <w:sz w:val="20"/>
          <w:szCs w:val="20"/>
        </w:rPr>
      </w:pPr>
      <w:r>
        <w:rPr>
          <w:rFonts w:eastAsia="Times New Roman"/>
          <w:sz w:val="20"/>
          <w:szCs w:val="20"/>
        </w:rPr>
        <w:pict w14:anchorId="7FC656BB">
          <v:rect id="_x0000_i1062" style="width:0;height:1.5pt" o:hralign="center" o:hrstd="t" o:hr="t" fillcolor="#a0a0a0" stroked="f"/>
        </w:pict>
      </w:r>
    </w:p>
    <w:p w14:paraId="6C2BB082" w14:textId="77777777" w:rsidR="00000000" w:rsidRDefault="00322B34">
      <w:pPr>
        <w:divId w:val="33013606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31F50E7" w14:textId="77777777" w:rsidR="00000000" w:rsidRDefault="00322B34">
      <w:pPr>
        <w:pStyle w:val="a3"/>
        <w:spacing w:before="0" w:beforeAutospacing="0" w:after="0" w:afterAutospacing="0"/>
        <w:rPr>
          <w:sz w:val="20"/>
          <w:szCs w:val="20"/>
        </w:rPr>
      </w:pPr>
      <w:r>
        <w:rPr>
          <w:sz w:val="20"/>
          <w:szCs w:val="20"/>
        </w:rPr>
        <w:t> </w:t>
      </w:r>
    </w:p>
    <w:p w14:paraId="436F9A7D" w14:textId="77777777" w:rsidR="00000000" w:rsidRDefault="00322B34">
      <w:pPr>
        <w:pStyle w:val="a3"/>
        <w:spacing w:before="0" w:beforeAutospacing="0" w:after="0" w:afterAutospacing="0"/>
        <w:ind w:firstLine="360"/>
        <w:jc w:val="both"/>
        <w:rPr>
          <w:sz w:val="20"/>
          <w:szCs w:val="20"/>
        </w:rPr>
      </w:pPr>
      <w:r>
        <w:rPr>
          <w:b/>
          <w:bCs/>
          <w:sz w:val="20"/>
          <w:szCs w:val="20"/>
        </w:rPr>
        <w:t>Financial disruption or a prolonged economic downturn could materially and adversely affect the Company’s business.</w:t>
      </w:r>
    </w:p>
    <w:p w14:paraId="2B868ED2" w14:textId="77777777" w:rsidR="00000000" w:rsidRDefault="00322B34">
      <w:pPr>
        <w:pStyle w:val="a3"/>
        <w:spacing w:before="0" w:beforeAutospacing="0" w:after="0" w:afterAutospacing="0"/>
        <w:ind w:firstLine="360"/>
        <w:jc w:val="both"/>
        <w:rPr>
          <w:sz w:val="20"/>
          <w:szCs w:val="20"/>
        </w:rPr>
      </w:pPr>
      <w:r>
        <w:rPr>
          <w:sz w:val="20"/>
          <w:szCs w:val="20"/>
        </w:rPr>
        <w:t> </w:t>
      </w:r>
    </w:p>
    <w:p w14:paraId="6421C6DC" w14:textId="77777777" w:rsidR="00000000" w:rsidRDefault="00322B34">
      <w:pPr>
        <w:pStyle w:val="a3"/>
        <w:spacing w:before="0" w:beforeAutospacing="0" w:after="0" w:afterAutospacing="0"/>
        <w:ind w:firstLine="360"/>
        <w:jc w:val="both"/>
        <w:rPr>
          <w:sz w:val="20"/>
          <w:szCs w:val="20"/>
        </w:rPr>
      </w:pPr>
      <w:r>
        <w:rPr>
          <w:sz w:val="20"/>
          <w:szCs w:val="20"/>
        </w:rPr>
        <w:t>Worldwide financial markets have recently experienced periods of extraordinary disruption and volatility, which has been exacerbated by th</w:t>
      </w:r>
      <w:r>
        <w:rPr>
          <w:sz w:val="20"/>
          <w:szCs w:val="20"/>
        </w:rPr>
        <w:t>e COVID-19 pandemic, resulting in heightened credit risk, reduced valuation of investments and decreased economic activity. Moreover, many companies have experienced reduced liquidity and uncertainty as to their ability to raise capital during such periods</w:t>
      </w:r>
      <w:r>
        <w:rPr>
          <w:sz w:val="20"/>
          <w:szCs w:val="20"/>
        </w:rPr>
        <w:t xml:space="preserve"> of market disruption and volatility. In the event that these conditions recur or result in a prolonged economic downturn, our results of operations, financial position or liquidity could be materially and adversely affected. These market conditions may af</w:t>
      </w:r>
      <w:r>
        <w:rPr>
          <w:sz w:val="20"/>
          <w:szCs w:val="20"/>
        </w:rPr>
        <w:t>fect the Company's ability to access debt and equity capital markets. In addition, as a result of recent financial events, we may face increased regulation. Many of the other risk factors discussed in Part I, Item 1A of our Annual Report on Form 10-K for t</w:t>
      </w:r>
      <w:r>
        <w:rPr>
          <w:sz w:val="20"/>
          <w:szCs w:val="20"/>
        </w:rPr>
        <w:t>he year ended December 31, 2019 identify risks that result from, or are exacerbated by, financial economic downturn. These include risks related to our real estate assets, the competitive environment and regulatory developments.</w:t>
      </w:r>
    </w:p>
    <w:p w14:paraId="7ED6C514" w14:textId="77777777" w:rsidR="00000000" w:rsidRDefault="00322B34">
      <w:pPr>
        <w:pStyle w:val="a3"/>
        <w:spacing w:before="0" w:beforeAutospacing="0" w:after="0" w:afterAutospacing="0"/>
        <w:rPr>
          <w:sz w:val="20"/>
          <w:szCs w:val="20"/>
        </w:rPr>
      </w:pPr>
      <w:r>
        <w:rPr>
          <w:sz w:val="20"/>
          <w:szCs w:val="20"/>
        </w:rPr>
        <w:t> </w:t>
      </w:r>
    </w:p>
    <w:p w14:paraId="10538455" w14:textId="77777777" w:rsidR="00000000" w:rsidRDefault="00322B34">
      <w:pPr>
        <w:pStyle w:val="a3"/>
        <w:spacing w:before="0" w:beforeAutospacing="0" w:after="0" w:afterAutospacing="0"/>
        <w:rPr>
          <w:sz w:val="20"/>
          <w:szCs w:val="20"/>
        </w:rPr>
      </w:pPr>
      <w:r>
        <w:rPr>
          <w:b/>
          <w:bCs/>
          <w:sz w:val="20"/>
          <w:szCs w:val="20"/>
        </w:rPr>
        <w:t>Item 2. Unregistered Sales of Equity Securities and Use of Proceeds.</w:t>
      </w:r>
    </w:p>
    <w:p w14:paraId="6F08724A" w14:textId="77777777" w:rsidR="00000000" w:rsidRDefault="00322B34">
      <w:pPr>
        <w:pStyle w:val="a3"/>
        <w:spacing w:before="0" w:beforeAutospacing="0" w:after="0" w:afterAutospacing="0"/>
        <w:ind w:firstLine="720"/>
        <w:jc w:val="both"/>
        <w:rPr>
          <w:sz w:val="20"/>
          <w:szCs w:val="20"/>
        </w:rPr>
      </w:pPr>
      <w:r>
        <w:rPr>
          <w:sz w:val="20"/>
          <w:szCs w:val="20"/>
        </w:rPr>
        <w:t> </w:t>
      </w:r>
    </w:p>
    <w:p w14:paraId="321570AD" w14:textId="77777777" w:rsidR="00000000" w:rsidRDefault="00322B34">
      <w:pPr>
        <w:pStyle w:val="a3"/>
        <w:spacing w:before="0" w:beforeAutospacing="0" w:after="0" w:afterAutospacing="0"/>
        <w:ind w:firstLine="360"/>
        <w:jc w:val="both"/>
        <w:rPr>
          <w:sz w:val="20"/>
          <w:szCs w:val="20"/>
        </w:rPr>
      </w:pPr>
      <w:r>
        <w:rPr>
          <w:sz w:val="20"/>
          <w:szCs w:val="20"/>
          <w:u w:val="single"/>
        </w:rPr>
        <w:t>Issuer Purchases of Equity Securities</w:t>
      </w:r>
    </w:p>
    <w:p w14:paraId="7B9076FC" w14:textId="77777777" w:rsidR="00000000" w:rsidRDefault="00322B34">
      <w:pPr>
        <w:pStyle w:val="a3"/>
        <w:spacing w:before="0" w:beforeAutospacing="0" w:after="0" w:afterAutospacing="0"/>
        <w:ind w:firstLine="360"/>
        <w:jc w:val="both"/>
        <w:rPr>
          <w:sz w:val="20"/>
          <w:szCs w:val="20"/>
        </w:rPr>
      </w:pPr>
      <w:r>
        <w:rPr>
          <w:sz w:val="20"/>
          <w:szCs w:val="20"/>
        </w:rPr>
        <w:t> </w:t>
      </w:r>
    </w:p>
    <w:p w14:paraId="70318F17" w14:textId="77777777" w:rsidR="00000000" w:rsidRDefault="00322B34">
      <w:pPr>
        <w:pStyle w:val="a3"/>
        <w:spacing w:before="0" w:beforeAutospacing="0" w:after="0" w:afterAutospacing="0"/>
        <w:ind w:firstLine="360"/>
        <w:jc w:val="both"/>
        <w:rPr>
          <w:sz w:val="20"/>
          <w:szCs w:val="20"/>
        </w:rPr>
      </w:pPr>
      <w:r>
        <w:rPr>
          <w:sz w:val="20"/>
          <w:szCs w:val="20"/>
        </w:rPr>
        <w:t>During the six months ended June 30, 2020, the Company repurchased 288,885 shares for an aggregate purchase price of $5.3 million (weighted aver</w:t>
      </w:r>
      <w:r>
        <w:rPr>
          <w:sz w:val="20"/>
          <w:szCs w:val="20"/>
        </w:rPr>
        <w:t>age price of $18.39 per share) in connection with common shares surrendered or deemed surrendered to the Company to satisfy statutory minimum tax withholding obligations in connection with the vesting of restricted stock awards under the Company’s equity-b</w:t>
      </w:r>
      <w:r>
        <w:rPr>
          <w:sz w:val="20"/>
          <w:szCs w:val="20"/>
        </w:rPr>
        <w:t>ased compensation plans.</w:t>
      </w:r>
    </w:p>
    <w:p w14:paraId="384B54C6" w14:textId="77777777" w:rsidR="00000000" w:rsidRDefault="00322B34">
      <w:pPr>
        <w:pStyle w:val="a3"/>
        <w:spacing w:before="0" w:beforeAutospacing="0" w:after="0" w:afterAutospacing="0"/>
        <w:ind w:firstLine="360"/>
        <w:jc w:val="both"/>
        <w:rPr>
          <w:sz w:val="20"/>
          <w:szCs w:val="20"/>
        </w:rPr>
      </w:pPr>
      <w:r>
        <w:rPr>
          <w:sz w:val="20"/>
          <w:szCs w:val="20"/>
        </w:rPr>
        <w:t> </w:t>
      </w:r>
    </w:p>
    <w:p w14:paraId="3D000DAA" w14:textId="77777777" w:rsidR="00000000" w:rsidRDefault="00322B34">
      <w:pPr>
        <w:pStyle w:val="a3"/>
        <w:spacing w:before="0" w:beforeAutospacing="0" w:after="0" w:afterAutospacing="0"/>
        <w:ind w:firstLine="360"/>
        <w:jc w:val="both"/>
        <w:rPr>
          <w:sz w:val="20"/>
          <w:szCs w:val="20"/>
        </w:rPr>
      </w:pPr>
      <w:r>
        <w:rPr>
          <w:sz w:val="20"/>
          <w:szCs w:val="20"/>
        </w:rPr>
        <w:t>During February 2020, the Company extended its share repurchase program for a term of two years, which will expire in February 2022, pursuant to which the Company may repurchase shares of its common stock, par value $0.01 per sha</w:t>
      </w:r>
      <w:r>
        <w:rPr>
          <w:sz w:val="20"/>
          <w:szCs w:val="20"/>
        </w:rPr>
        <w:t>re, with an aggregate gross purchase price of up to $300.0 million. The Company did not repurchase any shares under the share repurchase program during the three months ended June 30, 2020. As of June 30, 2020, the Company had $224.9 million available unde</w:t>
      </w:r>
      <w:r>
        <w:rPr>
          <w:sz w:val="20"/>
          <w:szCs w:val="20"/>
        </w:rPr>
        <w:t>r this share repurchase program.</w:t>
      </w:r>
    </w:p>
    <w:p w14:paraId="46191583" w14:textId="77777777" w:rsidR="00000000" w:rsidRDefault="00322B34">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06"/>
        <w:gridCol w:w="80"/>
        <w:gridCol w:w="80"/>
        <w:gridCol w:w="1160"/>
        <w:gridCol w:w="80"/>
        <w:gridCol w:w="81"/>
        <w:gridCol w:w="101"/>
        <w:gridCol w:w="1161"/>
        <w:gridCol w:w="81"/>
        <w:gridCol w:w="81"/>
        <w:gridCol w:w="81"/>
        <w:gridCol w:w="1161"/>
        <w:gridCol w:w="81"/>
        <w:gridCol w:w="81"/>
        <w:gridCol w:w="100"/>
        <w:gridCol w:w="1410"/>
        <w:gridCol w:w="81"/>
      </w:tblGrid>
      <w:tr w:rsidR="00000000" w14:paraId="0726E1C3" w14:textId="77777777">
        <w:trPr>
          <w:tblCellSpacing w:w="0" w:type="dxa"/>
        </w:trPr>
        <w:tc>
          <w:tcPr>
            <w:tcW w:w="1450" w:type="pct"/>
            <w:tcBorders>
              <w:bottom w:val="single" w:sz="6" w:space="0" w:color="000000"/>
            </w:tcBorders>
            <w:vAlign w:val="bottom"/>
            <w:hideMark/>
          </w:tcPr>
          <w:p w14:paraId="4B5B2BDD" w14:textId="77777777" w:rsidR="00000000" w:rsidRDefault="00322B34">
            <w:pPr>
              <w:pStyle w:val="a3"/>
              <w:spacing w:before="0" w:beforeAutospacing="0" w:after="0" w:afterAutospacing="0"/>
              <w:jc w:val="center"/>
              <w:rPr>
                <w:sz w:val="20"/>
                <w:szCs w:val="20"/>
              </w:rPr>
            </w:pPr>
            <w:r>
              <w:rPr>
                <w:b/>
                <w:bCs/>
                <w:sz w:val="20"/>
                <w:szCs w:val="20"/>
              </w:rPr>
              <w:t>Period</w:t>
            </w:r>
          </w:p>
        </w:tc>
        <w:tc>
          <w:tcPr>
            <w:tcW w:w="50" w:type="pct"/>
            <w:vAlign w:val="bottom"/>
            <w:hideMark/>
          </w:tcPr>
          <w:p w14:paraId="03AE9EFF"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D164AB7" w14:textId="77777777" w:rsidR="00000000" w:rsidRDefault="00322B34">
            <w:pPr>
              <w:pStyle w:val="a3"/>
              <w:spacing w:before="0" w:beforeAutospacing="0" w:after="0" w:afterAutospacing="0"/>
              <w:jc w:val="center"/>
              <w:rPr>
                <w:sz w:val="20"/>
                <w:szCs w:val="20"/>
              </w:rPr>
            </w:pPr>
            <w:r>
              <w:rPr>
                <w:b/>
                <w:bCs/>
                <w:sz w:val="20"/>
                <w:szCs w:val="20"/>
              </w:rPr>
              <w:t>Total Number</w:t>
            </w:r>
          </w:p>
          <w:p w14:paraId="3B3D4385" w14:textId="77777777" w:rsidR="00000000" w:rsidRDefault="00322B34">
            <w:pPr>
              <w:pStyle w:val="a3"/>
              <w:spacing w:before="0" w:beforeAutospacing="0" w:after="0" w:afterAutospacing="0"/>
              <w:jc w:val="center"/>
              <w:rPr>
                <w:sz w:val="20"/>
                <w:szCs w:val="20"/>
              </w:rPr>
            </w:pPr>
            <w:r>
              <w:rPr>
                <w:b/>
                <w:bCs/>
                <w:sz w:val="20"/>
                <w:szCs w:val="20"/>
              </w:rPr>
              <w:t>of Shares</w:t>
            </w:r>
          </w:p>
          <w:p w14:paraId="38541484" w14:textId="77777777" w:rsidR="00000000" w:rsidRDefault="00322B34">
            <w:pPr>
              <w:pStyle w:val="a3"/>
              <w:spacing w:before="0" w:beforeAutospacing="0" w:after="0" w:afterAutospacing="0"/>
              <w:jc w:val="center"/>
              <w:rPr>
                <w:sz w:val="20"/>
                <w:szCs w:val="20"/>
              </w:rPr>
            </w:pPr>
            <w:r>
              <w:rPr>
                <w:b/>
                <w:bCs/>
                <w:sz w:val="20"/>
                <w:szCs w:val="20"/>
              </w:rPr>
              <w:t>Purchased</w:t>
            </w:r>
          </w:p>
        </w:tc>
        <w:tc>
          <w:tcPr>
            <w:tcW w:w="50" w:type="pct"/>
            <w:tcMar>
              <w:top w:w="0" w:type="dxa"/>
              <w:left w:w="0" w:type="dxa"/>
              <w:bottom w:w="15" w:type="dxa"/>
              <w:right w:w="0" w:type="dxa"/>
            </w:tcMar>
            <w:vAlign w:val="bottom"/>
            <w:hideMark/>
          </w:tcPr>
          <w:p w14:paraId="0CA3E592"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06AACECF"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1CC9A96" w14:textId="77777777" w:rsidR="00000000" w:rsidRDefault="00322B34">
            <w:pPr>
              <w:pStyle w:val="a3"/>
              <w:spacing w:before="0" w:beforeAutospacing="0" w:after="0" w:afterAutospacing="0"/>
              <w:jc w:val="center"/>
              <w:rPr>
                <w:sz w:val="20"/>
                <w:szCs w:val="20"/>
              </w:rPr>
            </w:pPr>
            <w:r>
              <w:rPr>
                <w:b/>
                <w:bCs/>
                <w:sz w:val="20"/>
                <w:szCs w:val="20"/>
              </w:rPr>
              <w:t>Average</w:t>
            </w:r>
          </w:p>
          <w:p w14:paraId="01535FF6" w14:textId="77777777" w:rsidR="00000000" w:rsidRDefault="00322B34">
            <w:pPr>
              <w:pStyle w:val="a3"/>
              <w:spacing w:before="0" w:beforeAutospacing="0" w:after="0" w:afterAutospacing="0"/>
              <w:jc w:val="center"/>
              <w:rPr>
                <w:sz w:val="20"/>
                <w:szCs w:val="20"/>
              </w:rPr>
            </w:pPr>
            <w:r>
              <w:rPr>
                <w:b/>
                <w:bCs/>
                <w:sz w:val="20"/>
                <w:szCs w:val="20"/>
              </w:rPr>
              <w:t>Price Paid</w:t>
            </w:r>
          </w:p>
          <w:p w14:paraId="76951051" w14:textId="77777777" w:rsidR="00000000" w:rsidRDefault="00322B34">
            <w:pPr>
              <w:pStyle w:val="a3"/>
              <w:spacing w:before="0" w:beforeAutospacing="0" w:after="0" w:afterAutospacing="0"/>
              <w:jc w:val="center"/>
              <w:rPr>
                <w:sz w:val="20"/>
                <w:szCs w:val="20"/>
              </w:rPr>
            </w:pPr>
            <w:r>
              <w:rPr>
                <w:b/>
                <w:bCs/>
                <w:sz w:val="20"/>
                <w:szCs w:val="20"/>
              </w:rPr>
              <w:t>per Share</w:t>
            </w:r>
          </w:p>
        </w:tc>
        <w:tc>
          <w:tcPr>
            <w:tcW w:w="50" w:type="pct"/>
            <w:tcMar>
              <w:top w:w="0" w:type="dxa"/>
              <w:left w:w="0" w:type="dxa"/>
              <w:bottom w:w="15" w:type="dxa"/>
              <w:right w:w="0" w:type="dxa"/>
            </w:tcMar>
            <w:vAlign w:val="bottom"/>
            <w:hideMark/>
          </w:tcPr>
          <w:p w14:paraId="4F9FFD38"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47C23438"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05A313F" w14:textId="77777777" w:rsidR="00000000" w:rsidRDefault="00322B34">
            <w:pPr>
              <w:pStyle w:val="a3"/>
              <w:spacing w:before="0" w:beforeAutospacing="0" w:after="0" w:afterAutospacing="0"/>
              <w:jc w:val="center"/>
              <w:rPr>
                <w:sz w:val="20"/>
                <w:szCs w:val="20"/>
              </w:rPr>
            </w:pPr>
            <w:r>
              <w:rPr>
                <w:b/>
                <w:bCs/>
                <w:sz w:val="20"/>
                <w:szCs w:val="20"/>
              </w:rPr>
              <w:t>Total Number of</w:t>
            </w:r>
          </w:p>
          <w:p w14:paraId="1F1FFCC1" w14:textId="77777777" w:rsidR="00000000" w:rsidRDefault="00322B34">
            <w:pPr>
              <w:pStyle w:val="a3"/>
              <w:spacing w:before="0" w:beforeAutospacing="0" w:after="0" w:afterAutospacing="0"/>
              <w:jc w:val="center"/>
              <w:rPr>
                <w:sz w:val="20"/>
                <w:szCs w:val="20"/>
              </w:rPr>
            </w:pPr>
            <w:r>
              <w:rPr>
                <w:b/>
                <w:bCs/>
                <w:sz w:val="20"/>
                <w:szCs w:val="20"/>
              </w:rPr>
              <w:t>Shares Purchased</w:t>
            </w:r>
          </w:p>
          <w:p w14:paraId="29303ACD" w14:textId="77777777" w:rsidR="00000000" w:rsidRDefault="00322B34">
            <w:pPr>
              <w:pStyle w:val="a3"/>
              <w:spacing w:before="0" w:beforeAutospacing="0" w:after="0" w:afterAutospacing="0"/>
              <w:jc w:val="center"/>
              <w:rPr>
                <w:sz w:val="20"/>
                <w:szCs w:val="20"/>
              </w:rPr>
            </w:pPr>
            <w:r>
              <w:rPr>
                <w:b/>
                <w:bCs/>
                <w:sz w:val="20"/>
                <w:szCs w:val="20"/>
              </w:rPr>
              <w:t>as Part of Publicly</w:t>
            </w:r>
          </w:p>
          <w:p w14:paraId="3A4CA5A9" w14:textId="77777777" w:rsidR="00000000" w:rsidRDefault="00322B34">
            <w:pPr>
              <w:pStyle w:val="a3"/>
              <w:spacing w:before="0" w:beforeAutospacing="0" w:after="0" w:afterAutospacing="0"/>
              <w:jc w:val="center"/>
              <w:rPr>
                <w:sz w:val="20"/>
                <w:szCs w:val="20"/>
              </w:rPr>
            </w:pPr>
            <w:r>
              <w:rPr>
                <w:b/>
                <w:bCs/>
                <w:sz w:val="20"/>
                <w:szCs w:val="20"/>
              </w:rPr>
              <w:t>Announced Plans</w:t>
            </w:r>
          </w:p>
          <w:p w14:paraId="297C2068" w14:textId="77777777" w:rsidR="00000000" w:rsidRDefault="00322B34">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14:paraId="19F411B9" w14:textId="77777777" w:rsidR="00000000" w:rsidRDefault="00322B34">
            <w:pPr>
              <w:rPr>
                <w:rFonts w:eastAsia="Times New Roman"/>
                <w:sz w:val="20"/>
                <w:szCs w:val="20"/>
              </w:rPr>
            </w:pPr>
            <w:r>
              <w:rPr>
                <w:rFonts w:eastAsia="Times New Roman"/>
                <w:sz w:val="20"/>
                <w:szCs w:val="20"/>
              </w:rPr>
              <w:t> </w:t>
            </w:r>
          </w:p>
        </w:tc>
        <w:tc>
          <w:tcPr>
            <w:tcW w:w="50" w:type="pct"/>
            <w:vAlign w:val="bottom"/>
            <w:hideMark/>
          </w:tcPr>
          <w:p w14:paraId="435894D0" w14:textId="77777777" w:rsidR="00000000" w:rsidRDefault="00322B34">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851C8A7" w14:textId="77777777" w:rsidR="00000000" w:rsidRDefault="00322B34">
            <w:pPr>
              <w:pStyle w:val="a3"/>
              <w:spacing w:before="0" w:beforeAutospacing="0" w:after="0" w:afterAutospacing="0"/>
              <w:jc w:val="center"/>
              <w:rPr>
                <w:sz w:val="20"/>
                <w:szCs w:val="20"/>
              </w:rPr>
            </w:pPr>
            <w:r>
              <w:rPr>
                <w:b/>
                <w:bCs/>
                <w:sz w:val="20"/>
                <w:szCs w:val="20"/>
              </w:rPr>
              <w:t>Approximate Dollar</w:t>
            </w:r>
          </w:p>
          <w:p w14:paraId="348B8762" w14:textId="77777777" w:rsidR="00000000" w:rsidRDefault="00322B34">
            <w:pPr>
              <w:pStyle w:val="a3"/>
              <w:spacing w:before="0" w:beforeAutospacing="0" w:after="0" w:afterAutospacing="0"/>
              <w:jc w:val="center"/>
              <w:rPr>
                <w:sz w:val="20"/>
                <w:szCs w:val="20"/>
              </w:rPr>
            </w:pPr>
            <w:r>
              <w:rPr>
                <w:b/>
                <w:bCs/>
                <w:sz w:val="20"/>
                <w:szCs w:val="20"/>
              </w:rPr>
              <w:t>Value of Shares that May</w:t>
            </w:r>
          </w:p>
          <w:p w14:paraId="67D596D6" w14:textId="77777777" w:rsidR="00000000" w:rsidRDefault="00322B34">
            <w:pPr>
              <w:pStyle w:val="a3"/>
              <w:spacing w:before="0" w:beforeAutospacing="0" w:after="0" w:afterAutospacing="0"/>
              <w:jc w:val="center"/>
              <w:rPr>
                <w:sz w:val="20"/>
                <w:szCs w:val="20"/>
              </w:rPr>
            </w:pPr>
            <w:r>
              <w:rPr>
                <w:b/>
                <w:bCs/>
                <w:sz w:val="20"/>
                <w:szCs w:val="20"/>
              </w:rPr>
              <w:t>Yet Be Purchased Under</w:t>
            </w:r>
          </w:p>
          <w:p w14:paraId="08088097" w14:textId="77777777" w:rsidR="00000000" w:rsidRDefault="00322B34">
            <w:pPr>
              <w:pStyle w:val="a3"/>
              <w:spacing w:before="0" w:beforeAutospacing="0" w:after="0" w:afterAutospacing="0"/>
              <w:jc w:val="center"/>
              <w:rPr>
                <w:sz w:val="20"/>
                <w:szCs w:val="20"/>
              </w:rPr>
            </w:pPr>
            <w:r>
              <w:rPr>
                <w:b/>
                <w:bCs/>
                <w:sz w:val="20"/>
                <w:szCs w:val="20"/>
              </w:rPr>
              <w:t>the Plans or Programs</w:t>
            </w:r>
          </w:p>
          <w:p w14:paraId="4939C319" w14:textId="77777777" w:rsidR="00000000" w:rsidRDefault="00322B34">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14:paraId="47FE704C" w14:textId="77777777" w:rsidR="00000000" w:rsidRDefault="00322B34">
            <w:pPr>
              <w:rPr>
                <w:rFonts w:eastAsia="Times New Roman"/>
                <w:sz w:val="20"/>
                <w:szCs w:val="20"/>
              </w:rPr>
            </w:pPr>
            <w:r>
              <w:rPr>
                <w:rFonts w:eastAsia="Times New Roman"/>
                <w:sz w:val="20"/>
                <w:szCs w:val="20"/>
              </w:rPr>
              <w:t> </w:t>
            </w:r>
          </w:p>
        </w:tc>
      </w:tr>
      <w:tr w:rsidR="00000000" w14:paraId="23B652EF" w14:textId="77777777">
        <w:trPr>
          <w:tblCellSpacing w:w="0" w:type="dxa"/>
        </w:trPr>
        <w:tc>
          <w:tcPr>
            <w:tcW w:w="1450" w:type="pct"/>
            <w:shd w:val="clear" w:color="auto" w:fill="CCEEFF"/>
            <w:vAlign w:val="bottom"/>
            <w:hideMark/>
          </w:tcPr>
          <w:p w14:paraId="79AFBA9F" w14:textId="77777777" w:rsidR="00000000" w:rsidRDefault="00322B34">
            <w:pPr>
              <w:pStyle w:val="a3"/>
              <w:spacing w:before="0" w:beforeAutospacing="0" w:after="0" w:afterAutospacing="0"/>
              <w:jc w:val="center"/>
              <w:rPr>
                <w:sz w:val="20"/>
                <w:szCs w:val="20"/>
              </w:rPr>
            </w:pPr>
            <w:r>
              <w:rPr>
                <w:sz w:val="20"/>
                <w:szCs w:val="20"/>
              </w:rPr>
              <w:t>January 1, 2020 – January 31, 2020</w:t>
            </w:r>
          </w:p>
        </w:tc>
        <w:tc>
          <w:tcPr>
            <w:tcW w:w="50" w:type="pct"/>
            <w:shd w:val="clear" w:color="auto" w:fill="CCEEFF"/>
            <w:vAlign w:val="bottom"/>
            <w:hideMark/>
          </w:tcPr>
          <w:p w14:paraId="65975C3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B9D749"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68510E4" w14:textId="77777777" w:rsidR="00000000" w:rsidRDefault="00322B34">
            <w:pPr>
              <w:jc w:val="right"/>
              <w:rPr>
                <w:rFonts w:eastAsia="Times New Roman"/>
                <w:sz w:val="20"/>
                <w:szCs w:val="20"/>
              </w:rPr>
            </w:pPr>
            <w:r>
              <w:rPr>
                <w:rFonts w:eastAsia="Times New Roman"/>
                <w:sz w:val="20"/>
                <w:szCs w:val="20"/>
              </w:rPr>
              <w:t>30,631</w:t>
            </w:r>
          </w:p>
        </w:tc>
        <w:tc>
          <w:tcPr>
            <w:tcW w:w="50" w:type="pct"/>
            <w:shd w:val="clear" w:color="auto" w:fill="CCEEFF"/>
            <w:vAlign w:val="bottom"/>
            <w:hideMark/>
          </w:tcPr>
          <w:p w14:paraId="79E5E0F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F3E09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FB9C5A" w14:textId="77777777" w:rsidR="00000000" w:rsidRDefault="00322B34">
            <w:pPr>
              <w:rPr>
                <w:rFonts w:eastAsia="Times New Roman"/>
                <w:sz w:val="20"/>
                <w:szCs w:val="20"/>
              </w:rPr>
            </w:pPr>
            <w:r>
              <w:rPr>
                <w:rFonts w:eastAsia="Times New Roman"/>
                <w:sz w:val="20"/>
                <w:szCs w:val="20"/>
              </w:rPr>
              <w:t>$</w:t>
            </w:r>
          </w:p>
        </w:tc>
        <w:tc>
          <w:tcPr>
            <w:tcW w:w="700" w:type="pct"/>
            <w:shd w:val="clear" w:color="auto" w:fill="CCEEFF"/>
            <w:vAlign w:val="bottom"/>
            <w:hideMark/>
          </w:tcPr>
          <w:p w14:paraId="2FAA1BF0" w14:textId="77777777" w:rsidR="00000000" w:rsidRDefault="00322B34">
            <w:pPr>
              <w:jc w:val="right"/>
              <w:rPr>
                <w:rFonts w:eastAsia="Times New Roman"/>
                <w:sz w:val="20"/>
                <w:szCs w:val="20"/>
              </w:rPr>
            </w:pPr>
            <w:r>
              <w:rPr>
                <w:rFonts w:eastAsia="Times New Roman"/>
                <w:sz w:val="20"/>
                <w:szCs w:val="20"/>
              </w:rPr>
              <w:t>20.63</w:t>
            </w:r>
          </w:p>
        </w:tc>
        <w:tc>
          <w:tcPr>
            <w:tcW w:w="50" w:type="pct"/>
            <w:shd w:val="clear" w:color="auto" w:fill="CCEEFF"/>
            <w:vAlign w:val="bottom"/>
            <w:hideMark/>
          </w:tcPr>
          <w:p w14:paraId="2BFE9E9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1760A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E48173"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1A46DFE3"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C07C96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C6484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CF15FE" w14:textId="77777777" w:rsidR="00000000" w:rsidRDefault="00322B34">
            <w:pPr>
              <w:rPr>
                <w:rFonts w:eastAsia="Times New Roman"/>
                <w:sz w:val="20"/>
                <w:szCs w:val="20"/>
              </w:rPr>
            </w:pPr>
            <w:r>
              <w:rPr>
                <w:rFonts w:eastAsia="Times New Roman"/>
                <w:sz w:val="20"/>
                <w:szCs w:val="20"/>
              </w:rPr>
              <w:t>$</w:t>
            </w:r>
          </w:p>
        </w:tc>
        <w:tc>
          <w:tcPr>
            <w:tcW w:w="850" w:type="pct"/>
            <w:shd w:val="clear" w:color="auto" w:fill="CCEEFF"/>
            <w:vAlign w:val="bottom"/>
            <w:hideMark/>
          </w:tcPr>
          <w:p w14:paraId="198BA172" w14:textId="77777777" w:rsidR="00000000" w:rsidRDefault="00322B34">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1CBD42BF" w14:textId="77777777" w:rsidR="00000000" w:rsidRDefault="00322B34">
            <w:pPr>
              <w:rPr>
                <w:rFonts w:eastAsia="Times New Roman"/>
                <w:sz w:val="20"/>
                <w:szCs w:val="20"/>
              </w:rPr>
            </w:pPr>
            <w:r>
              <w:rPr>
                <w:rFonts w:eastAsia="Times New Roman"/>
                <w:sz w:val="20"/>
                <w:szCs w:val="20"/>
              </w:rPr>
              <w:t> </w:t>
            </w:r>
          </w:p>
        </w:tc>
      </w:tr>
      <w:tr w:rsidR="00000000" w14:paraId="5DB6F160" w14:textId="77777777">
        <w:trPr>
          <w:tblCellSpacing w:w="0" w:type="dxa"/>
        </w:trPr>
        <w:tc>
          <w:tcPr>
            <w:tcW w:w="1450" w:type="pct"/>
            <w:shd w:val="clear" w:color="auto" w:fill="FFFFFF"/>
            <w:vAlign w:val="bottom"/>
            <w:hideMark/>
          </w:tcPr>
          <w:p w14:paraId="2498617C" w14:textId="77777777" w:rsidR="00000000" w:rsidRDefault="00322B34">
            <w:pPr>
              <w:pStyle w:val="a3"/>
              <w:spacing w:before="0" w:beforeAutospacing="0" w:after="0" w:afterAutospacing="0"/>
              <w:jc w:val="center"/>
              <w:rPr>
                <w:sz w:val="20"/>
                <w:szCs w:val="20"/>
              </w:rPr>
            </w:pPr>
            <w:r>
              <w:rPr>
                <w:sz w:val="20"/>
                <w:szCs w:val="20"/>
              </w:rPr>
              <w:t>February 1, 2020 – February 29, 2020</w:t>
            </w:r>
          </w:p>
        </w:tc>
        <w:tc>
          <w:tcPr>
            <w:tcW w:w="50" w:type="pct"/>
            <w:shd w:val="clear" w:color="auto" w:fill="FFFFFF"/>
            <w:vAlign w:val="bottom"/>
            <w:hideMark/>
          </w:tcPr>
          <w:p w14:paraId="04E0908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15C457"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FFFFFF"/>
            <w:vAlign w:val="bottom"/>
            <w:hideMark/>
          </w:tcPr>
          <w:p w14:paraId="7C1A1F02" w14:textId="77777777" w:rsidR="00000000" w:rsidRDefault="00322B34">
            <w:pPr>
              <w:jc w:val="right"/>
              <w:rPr>
                <w:rFonts w:eastAsia="Times New Roman"/>
                <w:sz w:val="20"/>
                <w:szCs w:val="20"/>
              </w:rPr>
            </w:pPr>
            <w:r>
              <w:rPr>
                <w:rFonts w:eastAsia="Times New Roman"/>
                <w:sz w:val="20"/>
                <w:szCs w:val="20"/>
              </w:rPr>
              <w:t>238,412</w:t>
            </w:r>
          </w:p>
        </w:tc>
        <w:tc>
          <w:tcPr>
            <w:tcW w:w="50" w:type="pct"/>
            <w:shd w:val="clear" w:color="auto" w:fill="FFFFFF"/>
            <w:vAlign w:val="bottom"/>
            <w:hideMark/>
          </w:tcPr>
          <w:p w14:paraId="1124950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75E66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15452E"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40BB2ED" w14:textId="77777777" w:rsidR="00000000" w:rsidRDefault="00322B34">
            <w:pPr>
              <w:jc w:val="right"/>
              <w:rPr>
                <w:rFonts w:eastAsia="Times New Roman"/>
                <w:sz w:val="20"/>
                <w:szCs w:val="20"/>
              </w:rPr>
            </w:pPr>
            <w:r>
              <w:rPr>
                <w:rFonts w:eastAsia="Times New Roman"/>
                <w:sz w:val="20"/>
                <w:szCs w:val="20"/>
              </w:rPr>
              <w:t>18.82</w:t>
            </w:r>
          </w:p>
        </w:tc>
        <w:tc>
          <w:tcPr>
            <w:tcW w:w="50" w:type="pct"/>
            <w:shd w:val="clear" w:color="auto" w:fill="FFFFFF"/>
            <w:vAlign w:val="bottom"/>
            <w:hideMark/>
          </w:tcPr>
          <w:p w14:paraId="5FDC174C"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76995A"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E5C3E5"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A991CDC"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EF4D05B"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EA01E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57183D" w14:textId="77777777" w:rsidR="00000000" w:rsidRDefault="00322B34">
            <w:pPr>
              <w:rPr>
                <w:rFonts w:eastAsia="Times New Roman"/>
                <w:sz w:val="20"/>
                <w:szCs w:val="20"/>
              </w:rPr>
            </w:pPr>
            <w:r>
              <w:rPr>
                <w:rFonts w:eastAsia="Times New Roman"/>
                <w:sz w:val="20"/>
                <w:szCs w:val="20"/>
              </w:rPr>
              <w:t> </w:t>
            </w:r>
          </w:p>
        </w:tc>
        <w:tc>
          <w:tcPr>
            <w:tcW w:w="850" w:type="pct"/>
            <w:shd w:val="clear" w:color="auto" w:fill="FFFFFF"/>
            <w:vAlign w:val="bottom"/>
            <w:hideMark/>
          </w:tcPr>
          <w:p w14:paraId="2449AD89" w14:textId="77777777" w:rsidR="00000000" w:rsidRDefault="00322B34">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14:paraId="399329CA" w14:textId="77777777" w:rsidR="00000000" w:rsidRDefault="00322B34">
            <w:pPr>
              <w:rPr>
                <w:rFonts w:eastAsia="Times New Roman"/>
                <w:sz w:val="20"/>
                <w:szCs w:val="20"/>
              </w:rPr>
            </w:pPr>
            <w:r>
              <w:rPr>
                <w:rFonts w:eastAsia="Times New Roman"/>
                <w:sz w:val="20"/>
                <w:szCs w:val="20"/>
              </w:rPr>
              <w:t> </w:t>
            </w:r>
          </w:p>
        </w:tc>
      </w:tr>
      <w:tr w:rsidR="00000000" w14:paraId="2F240395" w14:textId="77777777">
        <w:trPr>
          <w:tblCellSpacing w:w="0" w:type="dxa"/>
        </w:trPr>
        <w:tc>
          <w:tcPr>
            <w:tcW w:w="1450" w:type="pct"/>
            <w:shd w:val="clear" w:color="auto" w:fill="CCEEFF"/>
            <w:vAlign w:val="bottom"/>
            <w:hideMark/>
          </w:tcPr>
          <w:p w14:paraId="4E56E0DE" w14:textId="77777777" w:rsidR="00000000" w:rsidRDefault="00322B34">
            <w:pPr>
              <w:pStyle w:val="a3"/>
              <w:spacing w:before="0" w:beforeAutospacing="0" w:after="0" w:afterAutospacing="0"/>
              <w:jc w:val="center"/>
              <w:rPr>
                <w:sz w:val="20"/>
                <w:szCs w:val="20"/>
              </w:rPr>
            </w:pPr>
            <w:r>
              <w:rPr>
                <w:sz w:val="20"/>
                <w:szCs w:val="20"/>
              </w:rPr>
              <w:t>March 1, 2020 – March 31, 2020</w:t>
            </w:r>
          </w:p>
        </w:tc>
        <w:tc>
          <w:tcPr>
            <w:tcW w:w="50" w:type="pct"/>
            <w:shd w:val="clear" w:color="auto" w:fill="CCEEFF"/>
            <w:vAlign w:val="bottom"/>
            <w:hideMark/>
          </w:tcPr>
          <w:p w14:paraId="75FD7B3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6BD8C6"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7C67F2FA" w14:textId="77777777" w:rsidR="00000000" w:rsidRDefault="00322B34">
            <w:pPr>
              <w:jc w:val="right"/>
              <w:rPr>
                <w:rFonts w:eastAsia="Times New Roman"/>
                <w:sz w:val="20"/>
                <w:szCs w:val="20"/>
              </w:rPr>
            </w:pPr>
            <w:r>
              <w:rPr>
                <w:rFonts w:eastAsia="Times New Roman"/>
                <w:sz w:val="20"/>
                <w:szCs w:val="20"/>
              </w:rPr>
              <w:t>1,665</w:t>
            </w:r>
          </w:p>
        </w:tc>
        <w:tc>
          <w:tcPr>
            <w:tcW w:w="50" w:type="pct"/>
            <w:shd w:val="clear" w:color="auto" w:fill="CCEEFF"/>
            <w:vAlign w:val="bottom"/>
            <w:hideMark/>
          </w:tcPr>
          <w:p w14:paraId="3AE152DD"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34AD7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EEBAFF"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D886E53" w14:textId="77777777" w:rsidR="00000000" w:rsidRDefault="00322B34">
            <w:pPr>
              <w:jc w:val="right"/>
              <w:rPr>
                <w:rFonts w:eastAsia="Times New Roman"/>
                <w:sz w:val="20"/>
                <w:szCs w:val="20"/>
              </w:rPr>
            </w:pPr>
            <w:r>
              <w:rPr>
                <w:rFonts w:eastAsia="Times New Roman"/>
                <w:sz w:val="20"/>
                <w:szCs w:val="20"/>
              </w:rPr>
              <w:t>17.76</w:t>
            </w:r>
          </w:p>
        </w:tc>
        <w:tc>
          <w:tcPr>
            <w:tcW w:w="50" w:type="pct"/>
            <w:shd w:val="clear" w:color="auto" w:fill="CCEEFF"/>
            <w:vAlign w:val="bottom"/>
            <w:hideMark/>
          </w:tcPr>
          <w:p w14:paraId="35FD4E0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A64CC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DBAADB"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D36817A"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F12112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287A8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F16ED3" w14:textId="77777777" w:rsidR="00000000" w:rsidRDefault="00322B34">
            <w:pPr>
              <w:rPr>
                <w:rFonts w:eastAsia="Times New Roman"/>
                <w:sz w:val="20"/>
                <w:szCs w:val="20"/>
              </w:rPr>
            </w:pPr>
            <w:r>
              <w:rPr>
                <w:rFonts w:eastAsia="Times New Roman"/>
                <w:sz w:val="20"/>
                <w:szCs w:val="20"/>
              </w:rPr>
              <w:t> </w:t>
            </w:r>
          </w:p>
        </w:tc>
        <w:tc>
          <w:tcPr>
            <w:tcW w:w="850" w:type="pct"/>
            <w:shd w:val="clear" w:color="auto" w:fill="CCEEFF"/>
            <w:vAlign w:val="bottom"/>
            <w:hideMark/>
          </w:tcPr>
          <w:p w14:paraId="73357010" w14:textId="77777777" w:rsidR="00000000" w:rsidRDefault="00322B34">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641906BA" w14:textId="77777777" w:rsidR="00000000" w:rsidRDefault="00322B34">
            <w:pPr>
              <w:rPr>
                <w:rFonts w:eastAsia="Times New Roman"/>
                <w:sz w:val="20"/>
                <w:szCs w:val="20"/>
              </w:rPr>
            </w:pPr>
            <w:r>
              <w:rPr>
                <w:rFonts w:eastAsia="Times New Roman"/>
                <w:sz w:val="20"/>
                <w:szCs w:val="20"/>
              </w:rPr>
              <w:t> </w:t>
            </w:r>
          </w:p>
        </w:tc>
      </w:tr>
      <w:tr w:rsidR="00000000" w14:paraId="5ADE6550" w14:textId="77777777">
        <w:trPr>
          <w:tblCellSpacing w:w="0" w:type="dxa"/>
        </w:trPr>
        <w:tc>
          <w:tcPr>
            <w:tcW w:w="1450" w:type="pct"/>
            <w:shd w:val="clear" w:color="auto" w:fill="FFFFFF"/>
            <w:vAlign w:val="bottom"/>
            <w:hideMark/>
          </w:tcPr>
          <w:p w14:paraId="13AA4831" w14:textId="77777777" w:rsidR="00000000" w:rsidRDefault="00322B34">
            <w:pPr>
              <w:pStyle w:val="a3"/>
              <w:spacing w:before="0" w:beforeAutospacing="0" w:after="0" w:afterAutospacing="0"/>
              <w:jc w:val="center"/>
              <w:rPr>
                <w:sz w:val="20"/>
                <w:szCs w:val="20"/>
              </w:rPr>
            </w:pPr>
            <w:r>
              <w:rPr>
                <w:sz w:val="20"/>
                <w:szCs w:val="20"/>
              </w:rPr>
              <w:t>April 1, 2020 – April 30, 2020</w:t>
            </w:r>
          </w:p>
        </w:tc>
        <w:tc>
          <w:tcPr>
            <w:tcW w:w="50" w:type="pct"/>
            <w:shd w:val="clear" w:color="auto" w:fill="FFFFFF"/>
            <w:vAlign w:val="bottom"/>
            <w:hideMark/>
          </w:tcPr>
          <w:p w14:paraId="06A04A35"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4B94E4"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FFFFFF"/>
            <w:vAlign w:val="bottom"/>
            <w:hideMark/>
          </w:tcPr>
          <w:p w14:paraId="449BCD2A"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81A920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612B9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D18B1C"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1D26971"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023FDB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C89A3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D0EFD1"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FFFFFF"/>
            <w:vAlign w:val="bottom"/>
            <w:hideMark/>
          </w:tcPr>
          <w:p w14:paraId="338D1BD7"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771C4B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93C657"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2CE41A" w14:textId="77777777" w:rsidR="00000000" w:rsidRDefault="00322B34">
            <w:pPr>
              <w:rPr>
                <w:rFonts w:eastAsia="Times New Roman"/>
                <w:sz w:val="20"/>
                <w:szCs w:val="20"/>
              </w:rPr>
            </w:pPr>
            <w:r>
              <w:rPr>
                <w:rFonts w:eastAsia="Times New Roman"/>
                <w:sz w:val="20"/>
                <w:szCs w:val="20"/>
              </w:rPr>
              <w:t> </w:t>
            </w:r>
          </w:p>
        </w:tc>
        <w:tc>
          <w:tcPr>
            <w:tcW w:w="850" w:type="pct"/>
            <w:shd w:val="clear" w:color="auto" w:fill="FFFFFF"/>
            <w:vAlign w:val="bottom"/>
            <w:hideMark/>
          </w:tcPr>
          <w:p w14:paraId="173793E3" w14:textId="77777777" w:rsidR="00000000" w:rsidRDefault="00322B34">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14:paraId="4A312828" w14:textId="77777777" w:rsidR="00000000" w:rsidRDefault="00322B34">
            <w:pPr>
              <w:rPr>
                <w:rFonts w:eastAsia="Times New Roman"/>
                <w:sz w:val="20"/>
                <w:szCs w:val="20"/>
              </w:rPr>
            </w:pPr>
            <w:r>
              <w:rPr>
                <w:rFonts w:eastAsia="Times New Roman"/>
                <w:sz w:val="20"/>
                <w:szCs w:val="20"/>
              </w:rPr>
              <w:t> </w:t>
            </w:r>
          </w:p>
        </w:tc>
      </w:tr>
      <w:tr w:rsidR="00000000" w14:paraId="4A832C72" w14:textId="77777777">
        <w:trPr>
          <w:tblCellSpacing w:w="0" w:type="dxa"/>
        </w:trPr>
        <w:tc>
          <w:tcPr>
            <w:tcW w:w="1450" w:type="pct"/>
            <w:shd w:val="clear" w:color="auto" w:fill="CCEEFF"/>
            <w:vAlign w:val="bottom"/>
            <w:hideMark/>
          </w:tcPr>
          <w:p w14:paraId="20E1A5A6" w14:textId="77777777" w:rsidR="00000000" w:rsidRDefault="00322B34">
            <w:pPr>
              <w:pStyle w:val="a3"/>
              <w:spacing w:before="0" w:beforeAutospacing="0" w:after="0" w:afterAutospacing="0"/>
              <w:jc w:val="center"/>
              <w:rPr>
                <w:sz w:val="20"/>
                <w:szCs w:val="20"/>
              </w:rPr>
            </w:pPr>
            <w:r>
              <w:rPr>
                <w:sz w:val="20"/>
                <w:szCs w:val="20"/>
              </w:rPr>
              <w:t>May 1, 2020 – May 31, 2020</w:t>
            </w:r>
          </w:p>
        </w:tc>
        <w:tc>
          <w:tcPr>
            <w:tcW w:w="50" w:type="pct"/>
            <w:shd w:val="clear" w:color="auto" w:fill="CCEEFF"/>
            <w:vAlign w:val="bottom"/>
            <w:hideMark/>
          </w:tcPr>
          <w:p w14:paraId="0B9CA74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C902D7"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17EBB9D" w14:textId="77777777" w:rsidR="00000000" w:rsidRDefault="00322B34">
            <w:pPr>
              <w:jc w:val="right"/>
              <w:rPr>
                <w:rFonts w:eastAsia="Times New Roman"/>
                <w:sz w:val="20"/>
                <w:szCs w:val="20"/>
              </w:rPr>
            </w:pPr>
            <w:r>
              <w:rPr>
                <w:rFonts w:eastAsia="Times New Roman"/>
                <w:sz w:val="20"/>
                <w:szCs w:val="20"/>
              </w:rPr>
              <w:t>17,157</w:t>
            </w:r>
          </w:p>
        </w:tc>
        <w:tc>
          <w:tcPr>
            <w:tcW w:w="50" w:type="pct"/>
            <w:shd w:val="clear" w:color="auto" w:fill="CCEEFF"/>
            <w:vAlign w:val="bottom"/>
            <w:hideMark/>
          </w:tcPr>
          <w:p w14:paraId="15F030C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8C2BB8"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75FB20"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7F2FC6D3" w14:textId="77777777" w:rsidR="00000000" w:rsidRDefault="00322B34">
            <w:pPr>
              <w:jc w:val="right"/>
              <w:rPr>
                <w:rFonts w:eastAsia="Times New Roman"/>
                <w:sz w:val="20"/>
                <w:szCs w:val="20"/>
              </w:rPr>
            </w:pPr>
            <w:r>
              <w:rPr>
                <w:rFonts w:eastAsia="Times New Roman"/>
                <w:sz w:val="20"/>
                <w:szCs w:val="20"/>
              </w:rPr>
              <w:t>8.76</w:t>
            </w:r>
          </w:p>
        </w:tc>
        <w:tc>
          <w:tcPr>
            <w:tcW w:w="50" w:type="pct"/>
            <w:shd w:val="clear" w:color="auto" w:fill="CCEEFF"/>
            <w:vAlign w:val="bottom"/>
            <w:hideMark/>
          </w:tcPr>
          <w:p w14:paraId="66EB8270"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F7F134"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ED5506" w14:textId="77777777" w:rsidR="00000000" w:rsidRDefault="00322B3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70E387D7"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3DF39F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BEAFB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66C44E" w14:textId="77777777" w:rsidR="00000000" w:rsidRDefault="00322B34">
            <w:pPr>
              <w:rPr>
                <w:rFonts w:eastAsia="Times New Roman"/>
                <w:sz w:val="20"/>
                <w:szCs w:val="20"/>
              </w:rPr>
            </w:pPr>
            <w:r>
              <w:rPr>
                <w:rFonts w:eastAsia="Times New Roman"/>
                <w:sz w:val="20"/>
                <w:szCs w:val="20"/>
              </w:rPr>
              <w:t> </w:t>
            </w:r>
          </w:p>
        </w:tc>
        <w:tc>
          <w:tcPr>
            <w:tcW w:w="850" w:type="pct"/>
            <w:shd w:val="clear" w:color="auto" w:fill="CCEEFF"/>
            <w:vAlign w:val="bottom"/>
            <w:hideMark/>
          </w:tcPr>
          <w:p w14:paraId="2485EE95" w14:textId="77777777" w:rsidR="00000000" w:rsidRDefault="00322B34">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411E828D" w14:textId="77777777" w:rsidR="00000000" w:rsidRDefault="00322B34">
            <w:pPr>
              <w:rPr>
                <w:rFonts w:eastAsia="Times New Roman"/>
                <w:sz w:val="20"/>
                <w:szCs w:val="20"/>
              </w:rPr>
            </w:pPr>
            <w:r>
              <w:rPr>
                <w:rFonts w:eastAsia="Times New Roman"/>
                <w:sz w:val="20"/>
                <w:szCs w:val="20"/>
              </w:rPr>
              <w:t> </w:t>
            </w:r>
          </w:p>
        </w:tc>
      </w:tr>
      <w:tr w:rsidR="00000000" w14:paraId="672A8ACA" w14:textId="77777777">
        <w:trPr>
          <w:tblCellSpacing w:w="0" w:type="dxa"/>
        </w:trPr>
        <w:tc>
          <w:tcPr>
            <w:tcW w:w="1450" w:type="pct"/>
            <w:shd w:val="clear" w:color="auto" w:fill="FFFFFF"/>
            <w:vAlign w:val="bottom"/>
            <w:hideMark/>
          </w:tcPr>
          <w:p w14:paraId="254CE75C" w14:textId="77777777" w:rsidR="00000000" w:rsidRDefault="00322B34">
            <w:pPr>
              <w:pStyle w:val="a3"/>
              <w:spacing w:before="0" w:beforeAutospacing="0" w:after="0" w:afterAutospacing="0"/>
              <w:jc w:val="center"/>
              <w:rPr>
                <w:sz w:val="20"/>
                <w:szCs w:val="20"/>
              </w:rPr>
            </w:pPr>
            <w:r>
              <w:rPr>
                <w:sz w:val="20"/>
                <w:szCs w:val="20"/>
              </w:rPr>
              <w:t xml:space="preserve">June 1, 2020 – </w:t>
            </w:r>
            <w:r>
              <w:rPr>
                <w:sz w:val="20"/>
                <w:szCs w:val="20"/>
              </w:rPr>
              <w:t>June 30, 2020</w:t>
            </w:r>
          </w:p>
        </w:tc>
        <w:tc>
          <w:tcPr>
            <w:tcW w:w="50" w:type="pct"/>
            <w:shd w:val="clear" w:color="auto" w:fill="FFFFFF"/>
            <w:tcMar>
              <w:top w:w="0" w:type="dxa"/>
              <w:left w:w="0" w:type="dxa"/>
              <w:bottom w:w="15" w:type="dxa"/>
              <w:right w:w="0" w:type="dxa"/>
            </w:tcMar>
            <w:vAlign w:val="bottom"/>
            <w:hideMark/>
          </w:tcPr>
          <w:p w14:paraId="12547503"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D19BD98" w14:textId="77777777" w:rsidR="00000000" w:rsidRDefault="00322B34">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6F8B5153" w14:textId="77777777" w:rsidR="00000000" w:rsidRDefault="00322B34">
            <w:pPr>
              <w:jc w:val="right"/>
              <w:rPr>
                <w:rFonts w:eastAsia="Times New Roman"/>
                <w:sz w:val="20"/>
                <w:szCs w:val="20"/>
              </w:rPr>
            </w:pPr>
            <w:r>
              <w:rPr>
                <w:rFonts w:eastAsia="Times New Roman"/>
                <w:sz w:val="20"/>
                <w:szCs w:val="20"/>
              </w:rPr>
              <w:t>1,020</w:t>
            </w:r>
          </w:p>
        </w:tc>
        <w:tc>
          <w:tcPr>
            <w:tcW w:w="50" w:type="pct"/>
            <w:shd w:val="clear" w:color="auto" w:fill="FFFFFF"/>
            <w:tcMar>
              <w:top w:w="0" w:type="dxa"/>
              <w:left w:w="0" w:type="dxa"/>
              <w:bottom w:w="15" w:type="dxa"/>
              <w:right w:w="0" w:type="dxa"/>
            </w:tcMar>
            <w:vAlign w:val="bottom"/>
            <w:hideMark/>
          </w:tcPr>
          <w:p w14:paraId="4EBBC69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14BDE520"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40BA96E" w14:textId="77777777" w:rsidR="00000000" w:rsidRDefault="00322B34">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5E6FD2A0" w14:textId="77777777" w:rsidR="00000000" w:rsidRDefault="00322B34">
            <w:pPr>
              <w:jc w:val="right"/>
              <w:rPr>
                <w:rFonts w:eastAsia="Times New Roman"/>
                <w:sz w:val="20"/>
                <w:szCs w:val="20"/>
              </w:rPr>
            </w:pPr>
            <w:r>
              <w:rPr>
                <w:rFonts w:eastAsia="Times New Roman"/>
                <w:sz w:val="20"/>
                <w:szCs w:val="20"/>
              </w:rPr>
              <w:t>12.72</w:t>
            </w:r>
          </w:p>
        </w:tc>
        <w:tc>
          <w:tcPr>
            <w:tcW w:w="50" w:type="pct"/>
            <w:shd w:val="clear" w:color="auto" w:fill="FFFFFF"/>
            <w:tcMar>
              <w:top w:w="0" w:type="dxa"/>
              <w:left w:w="0" w:type="dxa"/>
              <w:bottom w:w="15" w:type="dxa"/>
              <w:right w:w="0" w:type="dxa"/>
            </w:tcMar>
            <w:vAlign w:val="bottom"/>
            <w:hideMark/>
          </w:tcPr>
          <w:p w14:paraId="02F0330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3E21A10" w14:textId="77777777" w:rsidR="00000000" w:rsidRDefault="00322B34">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40EAA17" w14:textId="77777777" w:rsidR="00000000" w:rsidRDefault="00322B34">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619FE967" w14:textId="77777777" w:rsidR="00000000" w:rsidRDefault="00322B34">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4ECA0556"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3B83D1" w14:textId="77777777" w:rsidR="00000000" w:rsidRDefault="00322B3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3CBF06" w14:textId="77777777" w:rsidR="00000000" w:rsidRDefault="00322B34">
            <w:pPr>
              <w:rPr>
                <w:rFonts w:eastAsia="Times New Roman"/>
                <w:sz w:val="20"/>
                <w:szCs w:val="20"/>
              </w:rPr>
            </w:pPr>
            <w:r>
              <w:rPr>
                <w:rFonts w:eastAsia="Times New Roman"/>
                <w:sz w:val="20"/>
                <w:szCs w:val="20"/>
              </w:rPr>
              <w:t> </w:t>
            </w:r>
          </w:p>
        </w:tc>
        <w:tc>
          <w:tcPr>
            <w:tcW w:w="850" w:type="pct"/>
            <w:shd w:val="clear" w:color="auto" w:fill="FFFFFF"/>
            <w:vAlign w:val="bottom"/>
            <w:hideMark/>
          </w:tcPr>
          <w:p w14:paraId="1278F158" w14:textId="77777777" w:rsidR="00000000" w:rsidRDefault="00322B34">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14:paraId="44CF7E3C" w14:textId="77777777" w:rsidR="00000000" w:rsidRDefault="00322B34">
            <w:pPr>
              <w:rPr>
                <w:rFonts w:eastAsia="Times New Roman"/>
                <w:sz w:val="20"/>
                <w:szCs w:val="20"/>
              </w:rPr>
            </w:pPr>
            <w:r>
              <w:rPr>
                <w:rFonts w:eastAsia="Times New Roman"/>
                <w:sz w:val="20"/>
                <w:szCs w:val="20"/>
              </w:rPr>
              <w:t> </w:t>
            </w:r>
          </w:p>
        </w:tc>
      </w:tr>
      <w:tr w:rsidR="00000000" w14:paraId="0A8B958D" w14:textId="77777777">
        <w:trPr>
          <w:tblCellSpacing w:w="0" w:type="dxa"/>
        </w:trPr>
        <w:tc>
          <w:tcPr>
            <w:tcW w:w="1450" w:type="pct"/>
            <w:shd w:val="clear" w:color="auto" w:fill="CCEEFF"/>
            <w:vAlign w:val="bottom"/>
            <w:hideMark/>
          </w:tcPr>
          <w:p w14:paraId="661B585F" w14:textId="77777777" w:rsidR="00000000" w:rsidRDefault="00322B34">
            <w:pPr>
              <w:pStyle w:val="a3"/>
              <w:spacing w:before="0" w:beforeAutospacing="0" w:after="0" w:afterAutospacing="0"/>
              <w:jc w:val="center"/>
              <w:rPr>
                <w:sz w:val="20"/>
                <w:szCs w:val="20"/>
              </w:rPr>
            </w:pPr>
            <w:r>
              <w:rPr>
                <w:b/>
                <w:bCs/>
                <w:sz w:val="20"/>
                <w:szCs w:val="20"/>
              </w:rPr>
              <w:t>Total</w:t>
            </w:r>
          </w:p>
        </w:tc>
        <w:tc>
          <w:tcPr>
            <w:tcW w:w="50" w:type="pct"/>
            <w:shd w:val="clear" w:color="auto" w:fill="CCEEFF"/>
            <w:vAlign w:val="bottom"/>
            <w:hideMark/>
          </w:tcPr>
          <w:p w14:paraId="421A316B"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1E6A7D9" w14:textId="77777777" w:rsidR="00000000" w:rsidRDefault="00322B34">
            <w:pPr>
              <w:rPr>
                <w:rFonts w:eastAsia="Times New Roman"/>
                <w:sz w:val="20"/>
                <w:szCs w:val="20"/>
              </w:rPr>
            </w:pPr>
            <w:r>
              <w:rPr>
                <w:rFonts w:eastAsia="Times New Roman"/>
                <w:b/>
                <w:bCs/>
                <w:sz w:val="20"/>
                <w:szCs w:val="20"/>
              </w:rPr>
              <w:t> </w:t>
            </w:r>
          </w:p>
        </w:tc>
        <w:tc>
          <w:tcPr>
            <w:tcW w:w="700" w:type="pct"/>
            <w:tcBorders>
              <w:bottom w:val="double" w:sz="6" w:space="0" w:color="000000"/>
            </w:tcBorders>
            <w:shd w:val="clear" w:color="auto" w:fill="CCEEFF"/>
            <w:vAlign w:val="bottom"/>
            <w:hideMark/>
          </w:tcPr>
          <w:p w14:paraId="08C1D85F" w14:textId="77777777" w:rsidR="00000000" w:rsidRDefault="00322B34">
            <w:pPr>
              <w:jc w:val="right"/>
              <w:rPr>
                <w:rFonts w:eastAsia="Times New Roman"/>
                <w:sz w:val="20"/>
                <w:szCs w:val="20"/>
              </w:rPr>
            </w:pPr>
            <w:r>
              <w:rPr>
                <w:rFonts w:eastAsia="Times New Roman"/>
                <w:b/>
                <w:bCs/>
                <w:sz w:val="20"/>
                <w:szCs w:val="20"/>
              </w:rPr>
              <w:t>288,885</w:t>
            </w:r>
          </w:p>
        </w:tc>
        <w:tc>
          <w:tcPr>
            <w:tcW w:w="50" w:type="pct"/>
            <w:shd w:val="clear" w:color="auto" w:fill="CCEEFF"/>
            <w:tcMar>
              <w:top w:w="0" w:type="dxa"/>
              <w:left w:w="0" w:type="dxa"/>
              <w:bottom w:w="45" w:type="dxa"/>
              <w:right w:w="0" w:type="dxa"/>
            </w:tcMar>
            <w:vAlign w:val="bottom"/>
            <w:hideMark/>
          </w:tcPr>
          <w:p w14:paraId="0F967242"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AA0BDC"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B95C2DD" w14:textId="77777777" w:rsidR="00000000" w:rsidRDefault="00322B34">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CCEEFF"/>
            <w:vAlign w:val="bottom"/>
            <w:hideMark/>
          </w:tcPr>
          <w:p w14:paraId="2B616281" w14:textId="77777777" w:rsidR="00000000" w:rsidRDefault="00322B34">
            <w:pPr>
              <w:jc w:val="right"/>
              <w:rPr>
                <w:rFonts w:eastAsia="Times New Roman"/>
                <w:sz w:val="20"/>
                <w:szCs w:val="20"/>
              </w:rPr>
            </w:pPr>
            <w:r>
              <w:rPr>
                <w:rFonts w:eastAsia="Times New Roman"/>
                <w:b/>
                <w:bCs/>
                <w:sz w:val="20"/>
                <w:szCs w:val="20"/>
              </w:rPr>
              <w:t>18.39</w:t>
            </w:r>
          </w:p>
        </w:tc>
        <w:tc>
          <w:tcPr>
            <w:tcW w:w="50" w:type="pct"/>
            <w:shd w:val="clear" w:color="auto" w:fill="CCEEFF"/>
            <w:tcMar>
              <w:top w:w="0" w:type="dxa"/>
              <w:left w:w="0" w:type="dxa"/>
              <w:bottom w:w="45" w:type="dxa"/>
              <w:right w:w="0" w:type="dxa"/>
            </w:tcMar>
            <w:vAlign w:val="bottom"/>
            <w:hideMark/>
          </w:tcPr>
          <w:p w14:paraId="520CB24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1F89CC" w14:textId="77777777" w:rsidR="00000000" w:rsidRDefault="00322B3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0F623FC" w14:textId="77777777" w:rsidR="00000000" w:rsidRDefault="00322B34">
            <w:pPr>
              <w:rPr>
                <w:rFonts w:eastAsia="Times New Roman"/>
                <w:sz w:val="20"/>
                <w:szCs w:val="20"/>
              </w:rPr>
            </w:pPr>
            <w:r>
              <w:rPr>
                <w:rFonts w:eastAsia="Times New Roman"/>
                <w:b/>
                <w:bCs/>
                <w:sz w:val="20"/>
                <w:szCs w:val="20"/>
              </w:rPr>
              <w:t> </w:t>
            </w:r>
          </w:p>
        </w:tc>
        <w:tc>
          <w:tcPr>
            <w:tcW w:w="700" w:type="pct"/>
            <w:tcBorders>
              <w:bottom w:val="double" w:sz="6" w:space="0" w:color="000000"/>
            </w:tcBorders>
            <w:shd w:val="clear" w:color="auto" w:fill="CCEEFF"/>
            <w:vAlign w:val="bottom"/>
            <w:hideMark/>
          </w:tcPr>
          <w:p w14:paraId="2DCF6253" w14:textId="77777777" w:rsidR="00000000" w:rsidRDefault="00322B34">
            <w:pPr>
              <w:jc w:val="right"/>
              <w:rPr>
                <w:rFonts w:eastAsia="Times New Roman"/>
                <w:sz w:val="20"/>
                <w:szCs w:val="20"/>
              </w:rPr>
            </w:pPr>
            <w:r>
              <w:rPr>
                <w:rFonts w:eastAsia="Times New Roman"/>
                <w:b/>
                <w:bCs/>
                <w:sz w:val="20"/>
                <w:szCs w:val="20"/>
              </w:rPr>
              <w:t>-</w:t>
            </w:r>
          </w:p>
        </w:tc>
        <w:tc>
          <w:tcPr>
            <w:tcW w:w="50" w:type="pct"/>
            <w:shd w:val="clear" w:color="auto" w:fill="CCEEFF"/>
            <w:tcMar>
              <w:top w:w="0" w:type="dxa"/>
              <w:left w:w="0" w:type="dxa"/>
              <w:bottom w:w="45" w:type="dxa"/>
              <w:right w:w="0" w:type="dxa"/>
            </w:tcMar>
            <w:vAlign w:val="bottom"/>
            <w:hideMark/>
          </w:tcPr>
          <w:p w14:paraId="07FBD3A9"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F3B523" w14:textId="77777777" w:rsidR="00000000" w:rsidRDefault="00322B3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78E924" w14:textId="77777777" w:rsidR="00000000" w:rsidRDefault="00322B34">
            <w:pPr>
              <w:rPr>
                <w:rFonts w:eastAsia="Times New Roman"/>
                <w:sz w:val="20"/>
                <w:szCs w:val="20"/>
              </w:rPr>
            </w:pPr>
            <w:r>
              <w:rPr>
                <w:rFonts w:eastAsia="Times New Roman"/>
                <w:b/>
                <w:bCs/>
                <w:sz w:val="20"/>
                <w:szCs w:val="20"/>
              </w:rPr>
              <w:t> </w:t>
            </w:r>
          </w:p>
        </w:tc>
        <w:tc>
          <w:tcPr>
            <w:tcW w:w="850" w:type="pct"/>
            <w:shd w:val="clear" w:color="auto" w:fill="CCEEFF"/>
            <w:vAlign w:val="bottom"/>
            <w:hideMark/>
          </w:tcPr>
          <w:p w14:paraId="4B94D35C" w14:textId="77777777" w:rsidR="00000000" w:rsidRDefault="00322B34">
            <w:pPr>
              <w:jc w:val="right"/>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277D3CA0" w14:textId="77777777" w:rsidR="00000000" w:rsidRDefault="00322B34">
            <w:pPr>
              <w:rPr>
                <w:rFonts w:eastAsia="Times New Roman"/>
                <w:sz w:val="20"/>
                <w:szCs w:val="20"/>
              </w:rPr>
            </w:pPr>
            <w:r>
              <w:rPr>
                <w:rFonts w:eastAsia="Times New Roman"/>
                <w:b/>
                <w:bCs/>
                <w:sz w:val="20"/>
                <w:szCs w:val="20"/>
              </w:rPr>
              <w:t> </w:t>
            </w:r>
          </w:p>
        </w:tc>
      </w:tr>
    </w:tbl>
    <w:p w14:paraId="27F50A61" w14:textId="77777777" w:rsidR="00000000" w:rsidRDefault="00322B34">
      <w:pPr>
        <w:pStyle w:val="a3"/>
        <w:spacing w:before="0" w:beforeAutospacing="0" w:after="0" w:afterAutospacing="0"/>
        <w:rPr>
          <w:sz w:val="20"/>
          <w:szCs w:val="20"/>
        </w:rPr>
      </w:pPr>
      <w:r>
        <w:rPr>
          <w:sz w:val="20"/>
          <w:szCs w:val="20"/>
        </w:rPr>
        <w:t> </w:t>
      </w:r>
    </w:p>
    <w:p w14:paraId="7E9C0200" w14:textId="77777777" w:rsidR="00000000" w:rsidRDefault="00322B34">
      <w:pPr>
        <w:pStyle w:val="a3"/>
        <w:spacing w:before="0" w:beforeAutospacing="0" w:after="0" w:afterAutospacing="0"/>
        <w:rPr>
          <w:sz w:val="20"/>
          <w:szCs w:val="20"/>
        </w:rPr>
      </w:pPr>
      <w:r>
        <w:rPr>
          <w:b/>
          <w:bCs/>
          <w:sz w:val="20"/>
          <w:szCs w:val="20"/>
        </w:rPr>
        <w:t>Item 3.  Defaults Upon Senior Securities.</w:t>
      </w:r>
    </w:p>
    <w:p w14:paraId="4205C73D" w14:textId="77777777" w:rsidR="00000000" w:rsidRDefault="00322B34">
      <w:pPr>
        <w:pStyle w:val="a3"/>
        <w:spacing w:before="0" w:beforeAutospacing="0" w:after="0" w:afterAutospacing="0"/>
        <w:jc w:val="both"/>
        <w:rPr>
          <w:sz w:val="20"/>
          <w:szCs w:val="20"/>
        </w:rPr>
      </w:pPr>
      <w:r>
        <w:rPr>
          <w:sz w:val="20"/>
          <w:szCs w:val="20"/>
        </w:rPr>
        <w:t> </w:t>
      </w:r>
    </w:p>
    <w:p w14:paraId="72B95822" w14:textId="77777777" w:rsidR="00000000" w:rsidRDefault="00322B34">
      <w:pPr>
        <w:pStyle w:val="a3"/>
        <w:spacing w:before="0" w:beforeAutospacing="0" w:after="0" w:afterAutospacing="0"/>
        <w:ind w:firstLine="360"/>
        <w:jc w:val="both"/>
        <w:rPr>
          <w:sz w:val="20"/>
          <w:szCs w:val="20"/>
        </w:rPr>
      </w:pPr>
      <w:r>
        <w:rPr>
          <w:sz w:val="20"/>
          <w:szCs w:val="20"/>
        </w:rPr>
        <w:t>None.</w:t>
      </w:r>
    </w:p>
    <w:p w14:paraId="4B76FC8C" w14:textId="77777777" w:rsidR="00000000" w:rsidRDefault="00322B34">
      <w:pPr>
        <w:pStyle w:val="a3"/>
        <w:spacing w:before="0" w:beforeAutospacing="0" w:after="0" w:afterAutospacing="0"/>
        <w:rPr>
          <w:sz w:val="20"/>
          <w:szCs w:val="20"/>
        </w:rPr>
      </w:pPr>
      <w:r>
        <w:rPr>
          <w:sz w:val="20"/>
          <w:szCs w:val="20"/>
        </w:rPr>
        <w:t> </w:t>
      </w:r>
    </w:p>
    <w:p w14:paraId="2EC36BCA" w14:textId="77777777" w:rsidR="00000000" w:rsidRDefault="00322B34">
      <w:pPr>
        <w:pStyle w:val="a3"/>
        <w:spacing w:before="0" w:beforeAutospacing="0" w:after="0" w:afterAutospacing="0"/>
        <w:rPr>
          <w:sz w:val="20"/>
          <w:szCs w:val="20"/>
        </w:rPr>
      </w:pPr>
      <w:r>
        <w:rPr>
          <w:b/>
          <w:bCs/>
          <w:sz w:val="20"/>
          <w:szCs w:val="20"/>
        </w:rPr>
        <w:t>Item 4.  </w:t>
      </w:r>
      <w:r>
        <w:rPr>
          <w:b/>
          <w:bCs/>
          <w:sz w:val="20"/>
          <w:szCs w:val="20"/>
        </w:rPr>
        <w:t>Mine Safety Disclosures.</w:t>
      </w:r>
    </w:p>
    <w:p w14:paraId="1A0AF190" w14:textId="77777777" w:rsidR="00000000" w:rsidRDefault="00322B34">
      <w:pPr>
        <w:pStyle w:val="a3"/>
        <w:spacing w:before="0" w:beforeAutospacing="0" w:after="0" w:afterAutospacing="0"/>
        <w:jc w:val="both"/>
        <w:rPr>
          <w:sz w:val="20"/>
          <w:szCs w:val="20"/>
        </w:rPr>
      </w:pPr>
      <w:r>
        <w:rPr>
          <w:sz w:val="20"/>
          <w:szCs w:val="20"/>
        </w:rPr>
        <w:t> </w:t>
      </w:r>
    </w:p>
    <w:p w14:paraId="30E1D83C" w14:textId="77777777" w:rsidR="00000000" w:rsidRDefault="00322B34">
      <w:pPr>
        <w:pStyle w:val="a3"/>
        <w:spacing w:before="0" w:beforeAutospacing="0" w:after="0" w:afterAutospacing="0"/>
        <w:ind w:firstLine="360"/>
        <w:jc w:val="both"/>
        <w:rPr>
          <w:sz w:val="20"/>
          <w:szCs w:val="20"/>
        </w:rPr>
      </w:pPr>
      <w:r>
        <w:rPr>
          <w:sz w:val="20"/>
          <w:szCs w:val="20"/>
        </w:rPr>
        <w:t>Not applicable.</w:t>
      </w:r>
    </w:p>
    <w:p w14:paraId="6331551B" w14:textId="77777777" w:rsidR="00000000" w:rsidRDefault="00322B34">
      <w:pPr>
        <w:pStyle w:val="a3"/>
        <w:spacing w:before="0" w:beforeAutospacing="0" w:after="0" w:afterAutospacing="0"/>
        <w:rPr>
          <w:sz w:val="20"/>
          <w:szCs w:val="20"/>
        </w:rPr>
      </w:pPr>
      <w:r>
        <w:rPr>
          <w:sz w:val="20"/>
          <w:szCs w:val="20"/>
        </w:rPr>
        <w:t> </w:t>
      </w:r>
    </w:p>
    <w:p w14:paraId="769AC871" w14:textId="77777777" w:rsidR="00000000" w:rsidRDefault="00322B34">
      <w:pPr>
        <w:pStyle w:val="a3"/>
        <w:spacing w:before="0" w:beforeAutospacing="0" w:after="0" w:afterAutospacing="0"/>
        <w:rPr>
          <w:sz w:val="20"/>
          <w:szCs w:val="20"/>
        </w:rPr>
      </w:pPr>
      <w:r>
        <w:rPr>
          <w:b/>
          <w:bCs/>
          <w:sz w:val="20"/>
          <w:szCs w:val="20"/>
        </w:rPr>
        <w:t>Item 5.  Other Information.</w:t>
      </w:r>
    </w:p>
    <w:p w14:paraId="2B089CE0" w14:textId="77777777" w:rsidR="00000000" w:rsidRDefault="00322B34">
      <w:pPr>
        <w:pStyle w:val="a3"/>
        <w:spacing w:before="0" w:beforeAutospacing="0" w:after="0" w:afterAutospacing="0"/>
        <w:jc w:val="both"/>
        <w:rPr>
          <w:sz w:val="20"/>
          <w:szCs w:val="20"/>
        </w:rPr>
      </w:pPr>
      <w:r>
        <w:rPr>
          <w:sz w:val="20"/>
          <w:szCs w:val="20"/>
        </w:rPr>
        <w:t> </w:t>
      </w:r>
    </w:p>
    <w:p w14:paraId="047700BD" w14:textId="77777777" w:rsidR="00000000" w:rsidRDefault="00322B34">
      <w:pPr>
        <w:pStyle w:val="a3"/>
        <w:spacing w:before="0" w:beforeAutospacing="0" w:after="0" w:afterAutospacing="0"/>
        <w:ind w:firstLine="360"/>
        <w:jc w:val="both"/>
        <w:rPr>
          <w:sz w:val="20"/>
          <w:szCs w:val="20"/>
        </w:rPr>
      </w:pPr>
      <w:r>
        <w:rPr>
          <w:sz w:val="20"/>
          <w:szCs w:val="20"/>
        </w:rPr>
        <w:t>None.</w:t>
      </w:r>
    </w:p>
    <w:p w14:paraId="64641173" w14:textId="77777777" w:rsidR="00000000" w:rsidRDefault="00322B34">
      <w:pPr>
        <w:pStyle w:val="a3"/>
        <w:spacing w:before="0" w:beforeAutospacing="0" w:after="0" w:afterAutospacing="0"/>
        <w:rPr>
          <w:sz w:val="20"/>
          <w:szCs w:val="20"/>
        </w:rPr>
      </w:pPr>
      <w:r>
        <w:rPr>
          <w:sz w:val="20"/>
          <w:szCs w:val="20"/>
        </w:rPr>
        <w:t> </w:t>
      </w:r>
    </w:p>
    <w:p w14:paraId="6DFE4ADB" w14:textId="77777777" w:rsidR="00000000" w:rsidRDefault="00322B34">
      <w:pPr>
        <w:pStyle w:val="a3"/>
        <w:spacing w:before="0" w:beforeAutospacing="0" w:after="0" w:afterAutospacing="0"/>
        <w:rPr>
          <w:sz w:val="20"/>
          <w:szCs w:val="20"/>
        </w:rPr>
      </w:pPr>
      <w:r>
        <w:rPr>
          <w:b/>
          <w:bCs/>
          <w:sz w:val="20"/>
          <w:szCs w:val="20"/>
        </w:rPr>
        <w:t>Item 6.  Exhibits.</w:t>
      </w:r>
    </w:p>
    <w:p w14:paraId="4F8AAAD8" w14:textId="77777777" w:rsidR="00000000" w:rsidRDefault="00322B34">
      <w:pPr>
        <w:pStyle w:val="a3"/>
        <w:spacing w:before="0" w:beforeAutospacing="0" w:after="0" w:afterAutospacing="0"/>
        <w:jc w:val="both"/>
        <w:rPr>
          <w:sz w:val="20"/>
          <w:szCs w:val="20"/>
        </w:rPr>
      </w:pPr>
      <w:r>
        <w:rPr>
          <w:sz w:val="20"/>
          <w:szCs w:val="20"/>
        </w:rPr>
        <w:t> </w:t>
      </w:r>
    </w:p>
    <w:p w14:paraId="15C900E8" w14:textId="77777777" w:rsidR="00000000" w:rsidRDefault="00322B34">
      <w:pPr>
        <w:pStyle w:val="a3"/>
        <w:spacing w:before="0" w:beforeAutospacing="0" w:after="0" w:afterAutospacing="0"/>
        <w:rPr>
          <w:sz w:val="20"/>
          <w:szCs w:val="20"/>
        </w:rPr>
      </w:pPr>
      <w:r>
        <w:rPr>
          <w:sz w:val="20"/>
          <w:szCs w:val="20"/>
        </w:rPr>
        <w:t>Exhibits –</w:t>
      </w:r>
    </w:p>
    <w:p w14:paraId="5B346EFD" w14:textId="77777777" w:rsidR="00000000" w:rsidRDefault="00322B34">
      <w:pPr>
        <w:pStyle w:val="a3"/>
        <w:spacing w:before="0" w:beforeAutospacing="0" w:after="0" w:afterAutospacing="0"/>
        <w:jc w:val="both"/>
        <w:rPr>
          <w:sz w:val="20"/>
          <w:szCs w:val="20"/>
        </w:rPr>
      </w:pPr>
      <w:r>
        <w:rPr>
          <w:sz w:val="20"/>
          <w:szCs w:val="20"/>
        </w:rPr>
        <w:t> </w:t>
      </w:r>
    </w:p>
    <w:p w14:paraId="0592CE49" w14:textId="77777777" w:rsidR="00000000" w:rsidRDefault="00322B34">
      <w:pPr>
        <w:pStyle w:val="a3"/>
        <w:spacing w:before="0" w:beforeAutospacing="0" w:after="0" w:afterAutospacing="0"/>
        <w:rPr>
          <w:sz w:val="20"/>
          <w:szCs w:val="20"/>
        </w:rPr>
      </w:pPr>
      <w:r>
        <w:rPr>
          <w:sz w:val="20"/>
          <w:szCs w:val="20"/>
        </w:rPr>
        <w:t>4.1 Agreement to File Instruments</w:t>
      </w:r>
    </w:p>
    <w:p w14:paraId="6C0068FC" w14:textId="77777777" w:rsidR="00000000" w:rsidRDefault="00322B34">
      <w:pPr>
        <w:pStyle w:val="a3"/>
        <w:spacing w:before="0" w:beforeAutospacing="0" w:after="0" w:afterAutospacing="0"/>
        <w:jc w:val="both"/>
        <w:rPr>
          <w:sz w:val="20"/>
          <w:szCs w:val="20"/>
        </w:rPr>
      </w:pPr>
      <w:r>
        <w:rPr>
          <w:sz w:val="20"/>
          <w:szCs w:val="20"/>
        </w:rPr>
        <w:t> </w:t>
      </w:r>
    </w:p>
    <w:p w14:paraId="66C87AAA" w14:textId="77777777" w:rsidR="00000000" w:rsidRDefault="00322B34">
      <w:pPr>
        <w:pStyle w:val="a3"/>
        <w:spacing w:before="0" w:beforeAutospacing="0" w:after="0" w:afterAutospacing="0"/>
        <w:ind w:firstLine="360"/>
        <w:jc w:val="both"/>
        <w:rPr>
          <w:sz w:val="20"/>
          <w:szCs w:val="20"/>
        </w:rPr>
      </w:pPr>
      <w:r>
        <w:rPr>
          <w:sz w:val="20"/>
          <w:szCs w:val="20"/>
        </w:rPr>
        <w:t>Kimco Realty Corporation (the “Registrant”) hereby agre</w:t>
      </w:r>
      <w:r>
        <w:rPr>
          <w:sz w:val="20"/>
          <w:szCs w:val="20"/>
        </w:rPr>
        <w:t>es to file with the Securities and Exchange Commission, upon request of the Commission, all instruments defining the rights of holders of long-term debt of the Registrant and its consolidated subsidiaries, and for any of its unconsolidated subsidiaries for</w:t>
      </w:r>
      <w:r>
        <w:rPr>
          <w:sz w:val="20"/>
          <w:szCs w:val="20"/>
        </w:rPr>
        <w:t xml:space="preserve"> which financial statements are required to be filed, and for which the total amount of securities authorized thereunder does not exceed 10 percent of the total assets of the Registrant and its subsidiaries on a consolidated basis.</w:t>
      </w:r>
    </w:p>
    <w:p w14:paraId="3416B3FC" w14:textId="77777777" w:rsidR="00000000" w:rsidRDefault="00322B34">
      <w:pPr>
        <w:pStyle w:val="a3"/>
        <w:spacing w:before="0" w:beforeAutospacing="0" w:after="0" w:afterAutospacing="0"/>
        <w:ind w:firstLine="360"/>
        <w:jc w:val="both"/>
        <w:rPr>
          <w:sz w:val="20"/>
          <w:szCs w:val="20"/>
        </w:rPr>
      </w:pPr>
      <w:r>
        <w:rPr>
          <w:sz w:val="20"/>
          <w:szCs w:val="20"/>
        </w:rPr>
        <w:t> </w:t>
      </w:r>
    </w:p>
    <w:p w14:paraId="6603976C" w14:textId="77777777" w:rsidR="00000000" w:rsidRDefault="00322B34">
      <w:pPr>
        <w:jc w:val="center"/>
        <w:divId w:val="1033965774"/>
        <w:rPr>
          <w:rFonts w:eastAsia="Times New Roman"/>
          <w:sz w:val="20"/>
          <w:szCs w:val="20"/>
        </w:rPr>
      </w:pPr>
      <w:r>
        <w:rPr>
          <w:rFonts w:eastAsia="Times New Roman"/>
          <w:sz w:val="20"/>
          <w:szCs w:val="20"/>
        </w:rPr>
        <w:t xml:space="preserve">35 </w:t>
      </w:r>
    </w:p>
    <w:p w14:paraId="32D4F203" w14:textId="77777777" w:rsidR="00000000" w:rsidRDefault="00322B34">
      <w:pPr>
        <w:divId w:val="1671055813"/>
        <w:rPr>
          <w:rFonts w:eastAsia="Times New Roman"/>
          <w:sz w:val="20"/>
          <w:szCs w:val="20"/>
        </w:rPr>
      </w:pPr>
      <w:r>
        <w:rPr>
          <w:rFonts w:eastAsia="Times New Roman"/>
          <w:sz w:val="20"/>
          <w:szCs w:val="20"/>
        </w:rPr>
        <w:pict w14:anchorId="76FA51B2">
          <v:rect id="_x0000_i1063" style="width:0;height:1.5pt" o:hralign="center" o:hrstd="t" o:hr="t" fillcolor="#a0a0a0" stroked="f"/>
        </w:pict>
      </w:r>
    </w:p>
    <w:p w14:paraId="2E552685" w14:textId="77777777" w:rsidR="00000000" w:rsidRDefault="00322B34">
      <w:pPr>
        <w:divId w:val="77170973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3B39675" w14:textId="77777777" w:rsidR="00000000" w:rsidRDefault="00322B34">
      <w:pPr>
        <w:pStyle w:val="a3"/>
        <w:spacing w:before="0" w:beforeAutospacing="0" w:after="0" w:afterAutospacing="0"/>
        <w:rPr>
          <w:sz w:val="20"/>
          <w:szCs w:val="20"/>
        </w:rPr>
      </w:pPr>
      <w:r>
        <w:rPr>
          <w:sz w:val="20"/>
          <w:szCs w:val="20"/>
        </w:rPr>
        <w:t> </w:t>
      </w:r>
    </w:p>
    <w:tbl>
      <w:tblPr>
        <w:tblW w:w="4930" w:type="pct"/>
        <w:tblCellSpacing w:w="0" w:type="dxa"/>
        <w:tblCellMar>
          <w:left w:w="0" w:type="dxa"/>
          <w:right w:w="0" w:type="dxa"/>
        </w:tblCellMar>
        <w:tblLook w:val="04A0" w:firstRow="1" w:lastRow="0" w:firstColumn="1" w:lastColumn="0" w:noHBand="0" w:noVBand="1"/>
      </w:tblPr>
      <w:tblGrid>
        <w:gridCol w:w="295"/>
        <w:gridCol w:w="1266"/>
        <w:gridCol w:w="6629"/>
      </w:tblGrid>
      <w:tr w:rsidR="00000000" w14:paraId="2AE23AC7" w14:textId="77777777">
        <w:trPr>
          <w:tblCellSpacing w:w="0" w:type="dxa"/>
        </w:trPr>
        <w:tc>
          <w:tcPr>
            <w:tcW w:w="180" w:type="pct"/>
            <w:hideMark/>
          </w:tcPr>
          <w:p w14:paraId="6B9FCDAF" w14:textId="77777777" w:rsidR="00000000" w:rsidRDefault="00322B34">
            <w:pPr>
              <w:rPr>
                <w:rFonts w:eastAsia="Times New Roman"/>
                <w:sz w:val="20"/>
                <w:szCs w:val="20"/>
              </w:rPr>
            </w:pPr>
            <w:r>
              <w:rPr>
                <w:rFonts w:eastAsia="Times New Roman"/>
                <w:sz w:val="20"/>
                <w:szCs w:val="20"/>
              </w:rPr>
              <w:t> </w:t>
            </w:r>
          </w:p>
        </w:tc>
        <w:tc>
          <w:tcPr>
            <w:tcW w:w="1965" w:type="dxa"/>
            <w:hideMark/>
          </w:tcPr>
          <w:p w14:paraId="6CA2A1D7" w14:textId="77777777" w:rsidR="00000000" w:rsidRDefault="00322B34">
            <w:pPr>
              <w:pStyle w:val="a3"/>
              <w:spacing w:before="0" w:beforeAutospacing="0" w:after="0" w:afterAutospacing="0"/>
              <w:rPr>
                <w:sz w:val="20"/>
                <w:szCs w:val="20"/>
              </w:rPr>
            </w:pPr>
            <w:r>
              <w:rPr>
                <w:sz w:val="20"/>
                <w:szCs w:val="20"/>
              </w:rPr>
              <w:t>10.1</w:t>
            </w:r>
          </w:p>
        </w:tc>
        <w:tc>
          <w:tcPr>
            <w:tcW w:w="14220" w:type="dxa"/>
            <w:hideMark/>
          </w:tcPr>
          <w:p w14:paraId="3627AB45" w14:textId="77777777" w:rsidR="00000000" w:rsidRDefault="00322B34">
            <w:pPr>
              <w:pStyle w:val="a3"/>
              <w:spacing w:before="0" w:beforeAutospacing="0" w:after="0" w:afterAutospacing="0"/>
              <w:rPr>
                <w:sz w:val="20"/>
                <w:szCs w:val="20"/>
              </w:rPr>
            </w:pPr>
            <w:hyperlink r:id="rId4" w:history="1">
              <w:r>
                <w:rPr>
                  <w:rStyle w:val="a4"/>
                  <w:sz w:val="20"/>
                  <w:szCs w:val="20"/>
                </w:rPr>
                <w:t>Credit Agreement, dated April 1, 2020, among Kimco Realty Corporation and each of the parties named therein</w:t>
              </w:r>
            </w:hyperlink>
            <w:r>
              <w:rPr>
                <w:sz w:val="20"/>
                <w:szCs w:val="20"/>
              </w:rPr>
              <w:t>.</w:t>
            </w:r>
          </w:p>
        </w:tc>
      </w:tr>
      <w:tr w:rsidR="00000000" w14:paraId="1510A50D" w14:textId="77777777">
        <w:trPr>
          <w:tblCellSpacing w:w="0" w:type="dxa"/>
        </w:trPr>
        <w:tc>
          <w:tcPr>
            <w:tcW w:w="180" w:type="pct"/>
            <w:hideMark/>
          </w:tcPr>
          <w:p w14:paraId="43F5AD6C" w14:textId="77777777" w:rsidR="00000000" w:rsidRDefault="00322B34">
            <w:pPr>
              <w:rPr>
                <w:rFonts w:eastAsia="Times New Roman"/>
                <w:sz w:val="20"/>
                <w:szCs w:val="20"/>
              </w:rPr>
            </w:pPr>
            <w:r>
              <w:rPr>
                <w:rFonts w:eastAsia="Times New Roman"/>
                <w:sz w:val="20"/>
                <w:szCs w:val="20"/>
              </w:rPr>
              <w:t> </w:t>
            </w:r>
          </w:p>
        </w:tc>
        <w:tc>
          <w:tcPr>
            <w:tcW w:w="1965" w:type="dxa"/>
            <w:hideMark/>
          </w:tcPr>
          <w:p w14:paraId="430AECDD" w14:textId="77777777" w:rsidR="00000000" w:rsidRDefault="00322B34">
            <w:pPr>
              <w:rPr>
                <w:rFonts w:eastAsia="Times New Roman"/>
                <w:sz w:val="20"/>
                <w:szCs w:val="20"/>
              </w:rPr>
            </w:pPr>
            <w:r>
              <w:rPr>
                <w:rFonts w:eastAsia="Times New Roman"/>
                <w:sz w:val="20"/>
                <w:szCs w:val="20"/>
              </w:rPr>
              <w:t>10.2</w:t>
            </w:r>
          </w:p>
        </w:tc>
        <w:tc>
          <w:tcPr>
            <w:tcW w:w="14220" w:type="dxa"/>
            <w:hideMark/>
          </w:tcPr>
          <w:p w14:paraId="152DB1F4" w14:textId="77777777" w:rsidR="00000000" w:rsidRDefault="00322B34">
            <w:pPr>
              <w:rPr>
                <w:rFonts w:eastAsia="Times New Roman"/>
                <w:sz w:val="20"/>
                <w:szCs w:val="20"/>
              </w:rPr>
            </w:pPr>
            <w:hyperlink r:id="rId5" w:history="1">
              <w:r>
                <w:rPr>
                  <w:rStyle w:val="a4"/>
                  <w:rFonts w:eastAsia="Times New Roman"/>
                  <w:sz w:val="20"/>
                  <w:szCs w:val="20"/>
                </w:rPr>
                <w:t>Amendment No.1 to Credit Agreement, dated April 20, 2020, among Kimco Realty Corporation and each of the parties named therein.</w:t>
              </w:r>
            </w:hyperlink>
          </w:p>
        </w:tc>
      </w:tr>
      <w:tr w:rsidR="00000000" w14:paraId="631DA257" w14:textId="77777777">
        <w:trPr>
          <w:tblCellSpacing w:w="0" w:type="dxa"/>
        </w:trPr>
        <w:tc>
          <w:tcPr>
            <w:tcW w:w="180" w:type="pct"/>
            <w:hideMark/>
          </w:tcPr>
          <w:p w14:paraId="3A989B2C" w14:textId="77777777" w:rsidR="00000000" w:rsidRDefault="00322B34">
            <w:pPr>
              <w:rPr>
                <w:rFonts w:eastAsia="Times New Roman"/>
                <w:sz w:val="20"/>
                <w:szCs w:val="20"/>
              </w:rPr>
            </w:pPr>
            <w:r>
              <w:rPr>
                <w:rFonts w:eastAsia="Times New Roman"/>
                <w:sz w:val="20"/>
                <w:szCs w:val="20"/>
              </w:rPr>
              <w:t> </w:t>
            </w:r>
          </w:p>
        </w:tc>
        <w:tc>
          <w:tcPr>
            <w:tcW w:w="1965" w:type="dxa"/>
            <w:hideMark/>
          </w:tcPr>
          <w:p w14:paraId="0B85AA59" w14:textId="77777777" w:rsidR="00000000" w:rsidRDefault="00322B34">
            <w:pPr>
              <w:rPr>
                <w:rFonts w:eastAsia="Times New Roman"/>
                <w:sz w:val="20"/>
                <w:szCs w:val="20"/>
              </w:rPr>
            </w:pPr>
            <w:r>
              <w:rPr>
                <w:rFonts w:eastAsia="Times New Roman"/>
                <w:sz w:val="20"/>
                <w:szCs w:val="20"/>
              </w:rPr>
              <w:t>10.3</w:t>
            </w:r>
          </w:p>
        </w:tc>
        <w:tc>
          <w:tcPr>
            <w:tcW w:w="14220" w:type="dxa"/>
            <w:hideMark/>
          </w:tcPr>
          <w:p w14:paraId="21E4D720" w14:textId="77777777" w:rsidR="00000000" w:rsidRDefault="00322B34">
            <w:pPr>
              <w:rPr>
                <w:rFonts w:eastAsia="Times New Roman"/>
                <w:sz w:val="20"/>
                <w:szCs w:val="20"/>
              </w:rPr>
            </w:pPr>
            <w:hyperlink r:id="rId6" w:history="1">
              <w:r>
                <w:rPr>
                  <w:rStyle w:val="a4"/>
                  <w:rFonts w:eastAsia="Times New Roman"/>
                  <w:sz w:val="20"/>
                  <w:szCs w:val="20"/>
                </w:rPr>
                <w:t>Amendment No.2 to Credit Agreement, dated April 24, 2020, among Kimco Realty Corporation a</w:t>
              </w:r>
              <w:r>
                <w:rPr>
                  <w:rStyle w:val="a4"/>
                  <w:rFonts w:eastAsia="Times New Roman"/>
                  <w:sz w:val="20"/>
                  <w:szCs w:val="20"/>
                </w:rPr>
                <w:t>nd each of the parties named therein.</w:t>
              </w:r>
            </w:hyperlink>
          </w:p>
        </w:tc>
      </w:tr>
      <w:tr w:rsidR="00000000" w14:paraId="0DDC3585" w14:textId="77777777">
        <w:trPr>
          <w:tblCellSpacing w:w="0" w:type="dxa"/>
        </w:trPr>
        <w:tc>
          <w:tcPr>
            <w:tcW w:w="180" w:type="pct"/>
            <w:hideMark/>
          </w:tcPr>
          <w:p w14:paraId="02E9DAE5" w14:textId="77777777" w:rsidR="00000000" w:rsidRDefault="00322B34">
            <w:pPr>
              <w:rPr>
                <w:rFonts w:eastAsia="Times New Roman"/>
                <w:sz w:val="20"/>
                <w:szCs w:val="20"/>
              </w:rPr>
            </w:pPr>
            <w:r>
              <w:rPr>
                <w:rFonts w:eastAsia="Times New Roman"/>
                <w:sz w:val="20"/>
                <w:szCs w:val="20"/>
              </w:rPr>
              <w:t> </w:t>
            </w:r>
          </w:p>
        </w:tc>
        <w:tc>
          <w:tcPr>
            <w:tcW w:w="1965" w:type="dxa"/>
            <w:hideMark/>
          </w:tcPr>
          <w:p w14:paraId="607F3D42" w14:textId="77777777" w:rsidR="00000000" w:rsidRDefault="00322B34">
            <w:pPr>
              <w:rPr>
                <w:rFonts w:eastAsia="Times New Roman"/>
                <w:sz w:val="20"/>
                <w:szCs w:val="20"/>
              </w:rPr>
            </w:pPr>
            <w:r>
              <w:rPr>
                <w:rFonts w:eastAsia="Times New Roman"/>
                <w:sz w:val="20"/>
                <w:szCs w:val="20"/>
              </w:rPr>
              <w:t>10.4</w:t>
            </w:r>
          </w:p>
        </w:tc>
        <w:tc>
          <w:tcPr>
            <w:tcW w:w="14220" w:type="dxa"/>
            <w:hideMark/>
          </w:tcPr>
          <w:p w14:paraId="0C5E046B" w14:textId="77777777" w:rsidR="00000000" w:rsidRDefault="00322B34">
            <w:pPr>
              <w:rPr>
                <w:rFonts w:eastAsia="Times New Roman"/>
                <w:sz w:val="20"/>
                <w:szCs w:val="20"/>
              </w:rPr>
            </w:pPr>
            <w:hyperlink r:id="rId7" w:history="1">
              <w:r>
                <w:rPr>
                  <w:rStyle w:val="a4"/>
                  <w:rFonts w:eastAsia="Times New Roman"/>
                  <w:sz w:val="20"/>
                  <w:szCs w:val="20"/>
                </w:rPr>
                <w:t>Form of Kimco Realty Corporation 2020 Equity Participation Plan Performance Share Award Grant Notice and Performance Share Award Agreement.</w:t>
              </w:r>
            </w:hyperlink>
          </w:p>
        </w:tc>
      </w:tr>
      <w:tr w:rsidR="00000000" w14:paraId="6185A2D1" w14:textId="77777777">
        <w:trPr>
          <w:tblCellSpacing w:w="0" w:type="dxa"/>
        </w:trPr>
        <w:tc>
          <w:tcPr>
            <w:tcW w:w="180" w:type="pct"/>
            <w:hideMark/>
          </w:tcPr>
          <w:p w14:paraId="53FDEF14" w14:textId="77777777" w:rsidR="00000000" w:rsidRDefault="00322B34">
            <w:pPr>
              <w:rPr>
                <w:rFonts w:eastAsia="Times New Roman"/>
                <w:sz w:val="20"/>
                <w:szCs w:val="20"/>
              </w:rPr>
            </w:pPr>
            <w:r>
              <w:rPr>
                <w:rFonts w:eastAsia="Times New Roman"/>
                <w:sz w:val="20"/>
                <w:szCs w:val="20"/>
              </w:rPr>
              <w:t> </w:t>
            </w:r>
          </w:p>
        </w:tc>
        <w:tc>
          <w:tcPr>
            <w:tcW w:w="1965" w:type="dxa"/>
            <w:hideMark/>
          </w:tcPr>
          <w:p w14:paraId="4FC9C235" w14:textId="77777777" w:rsidR="00000000" w:rsidRDefault="00322B34">
            <w:pPr>
              <w:rPr>
                <w:rFonts w:eastAsia="Times New Roman"/>
                <w:sz w:val="20"/>
                <w:szCs w:val="20"/>
              </w:rPr>
            </w:pPr>
            <w:r>
              <w:rPr>
                <w:rFonts w:eastAsia="Times New Roman"/>
                <w:sz w:val="20"/>
                <w:szCs w:val="20"/>
              </w:rPr>
              <w:t>10.5</w:t>
            </w:r>
          </w:p>
        </w:tc>
        <w:tc>
          <w:tcPr>
            <w:tcW w:w="14220" w:type="dxa"/>
            <w:hideMark/>
          </w:tcPr>
          <w:p w14:paraId="0A2C5355" w14:textId="77777777" w:rsidR="00000000" w:rsidRDefault="00322B34">
            <w:pPr>
              <w:rPr>
                <w:rFonts w:eastAsia="Times New Roman"/>
                <w:sz w:val="20"/>
                <w:szCs w:val="20"/>
              </w:rPr>
            </w:pPr>
            <w:hyperlink r:id="rId8" w:history="1">
              <w:r>
                <w:rPr>
                  <w:rStyle w:val="a4"/>
                  <w:rFonts w:eastAsia="Times New Roman"/>
                  <w:sz w:val="20"/>
                  <w:szCs w:val="20"/>
                </w:rPr>
                <w:t>Fo</w:t>
              </w:r>
              <w:r>
                <w:rPr>
                  <w:rStyle w:val="a4"/>
                  <w:rFonts w:eastAsia="Times New Roman"/>
                  <w:sz w:val="20"/>
                  <w:szCs w:val="20"/>
                </w:rPr>
                <w:t>rm of Kimco Realty Corporation 2020 Equity Participation Plan Restricted Stock Award Grant Notice and Restricted Stock Award Agreement.</w:t>
              </w:r>
            </w:hyperlink>
          </w:p>
        </w:tc>
      </w:tr>
      <w:tr w:rsidR="00000000" w14:paraId="154B3473" w14:textId="77777777">
        <w:trPr>
          <w:tblCellSpacing w:w="0" w:type="dxa"/>
        </w:trPr>
        <w:tc>
          <w:tcPr>
            <w:tcW w:w="180" w:type="pct"/>
            <w:hideMark/>
          </w:tcPr>
          <w:p w14:paraId="5EC41BF1" w14:textId="77777777" w:rsidR="00000000" w:rsidRDefault="00322B34">
            <w:pPr>
              <w:pStyle w:val="a3"/>
              <w:spacing w:before="0" w:beforeAutospacing="0" w:after="0" w:afterAutospacing="0"/>
              <w:rPr>
                <w:sz w:val="20"/>
                <w:szCs w:val="20"/>
              </w:rPr>
            </w:pPr>
            <w:r>
              <w:rPr>
                <w:sz w:val="20"/>
                <w:szCs w:val="20"/>
              </w:rPr>
              <w:t>  </w:t>
            </w:r>
          </w:p>
        </w:tc>
        <w:tc>
          <w:tcPr>
            <w:tcW w:w="1965" w:type="dxa"/>
            <w:hideMark/>
          </w:tcPr>
          <w:p w14:paraId="2470DB99" w14:textId="77777777" w:rsidR="00000000" w:rsidRDefault="00322B34">
            <w:pPr>
              <w:pStyle w:val="a3"/>
              <w:spacing w:before="0" w:beforeAutospacing="0" w:after="0" w:afterAutospacing="0"/>
              <w:rPr>
                <w:sz w:val="20"/>
                <w:szCs w:val="20"/>
              </w:rPr>
            </w:pPr>
            <w:r>
              <w:rPr>
                <w:sz w:val="20"/>
                <w:szCs w:val="20"/>
              </w:rPr>
              <w:t>31.1</w:t>
            </w:r>
          </w:p>
        </w:tc>
        <w:tc>
          <w:tcPr>
            <w:tcW w:w="14220" w:type="dxa"/>
            <w:hideMark/>
          </w:tcPr>
          <w:p w14:paraId="18A53767" w14:textId="77777777" w:rsidR="00000000" w:rsidRDefault="00322B34">
            <w:pPr>
              <w:pStyle w:val="a3"/>
              <w:spacing w:before="0" w:beforeAutospacing="0" w:after="0" w:afterAutospacing="0"/>
              <w:rPr>
                <w:sz w:val="20"/>
                <w:szCs w:val="20"/>
              </w:rPr>
            </w:pPr>
            <w:hyperlink r:id="rId9" w:history="1">
              <w:r>
                <w:rPr>
                  <w:rStyle w:val="a4"/>
                  <w:sz w:val="20"/>
                  <w:szCs w:val="20"/>
                </w:rPr>
                <w:t>Certification of the Company’</w:t>
              </w:r>
              <w:r>
                <w:rPr>
                  <w:rStyle w:val="a4"/>
                  <w:sz w:val="20"/>
                  <w:szCs w:val="20"/>
                </w:rPr>
                <w:t>s Chief Executive Officer, Conor C. Flynn, pursuant to Section 302 of the Sarbanes-Oxley Act of 2002.</w:t>
              </w:r>
            </w:hyperlink>
          </w:p>
        </w:tc>
      </w:tr>
      <w:tr w:rsidR="00000000" w14:paraId="2DEC1F56" w14:textId="77777777">
        <w:trPr>
          <w:tblCellSpacing w:w="0" w:type="dxa"/>
        </w:trPr>
        <w:tc>
          <w:tcPr>
            <w:tcW w:w="180" w:type="pct"/>
            <w:hideMark/>
          </w:tcPr>
          <w:p w14:paraId="0127E4F1" w14:textId="77777777" w:rsidR="00000000" w:rsidRDefault="00322B34">
            <w:pPr>
              <w:rPr>
                <w:rFonts w:eastAsia="Times New Roman"/>
                <w:sz w:val="20"/>
                <w:szCs w:val="20"/>
              </w:rPr>
            </w:pPr>
            <w:r>
              <w:rPr>
                <w:rFonts w:eastAsia="Times New Roman"/>
                <w:sz w:val="20"/>
                <w:szCs w:val="20"/>
              </w:rPr>
              <w:t> </w:t>
            </w:r>
          </w:p>
        </w:tc>
        <w:tc>
          <w:tcPr>
            <w:tcW w:w="1965" w:type="dxa"/>
            <w:hideMark/>
          </w:tcPr>
          <w:p w14:paraId="728697C3" w14:textId="77777777" w:rsidR="00000000" w:rsidRDefault="00322B34">
            <w:pPr>
              <w:pStyle w:val="a3"/>
              <w:spacing w:before="0" w:beforeAutospacing="0" w:after="0" w:afterAutospacing="0"/>
              <w:rPr>
                <w:sz w:val="20"/>
                <w:szCs w:val="20"/>
              </w:rPr>
            </w:pPr>
            <w:r>
              <w:rPr>
                <w:sz w:val="20"/>
                <w:szCs w:val="20"/>
              </w:rPr>
              <w:t>31.2</w:t>
            </w:r>
          </w:p>
        </w:tc>
        <w:tc>
          <w:tcPr>
            <w:tcW w:w="14220" w:type="dxa"/>
            <w:hideMark/>
          </w:tcPr>
          <w:p w14:paraId="3079061C" w14:textId="77777777" w:rsidR="00000000" w:rsidRDefault="00322B34">
            <w:pPr>
              <w:pStyle w:val="a3"/>
              <w:spacing w:before="0" w:beforeAutospacing="0" w:after="0" w:afterAutospacing="0"/>
              <w:rPr>
                <w:sz w:val="20"/>
                <w:szCs w:val="20"/>
              </w:rPr>
            </w:pPr>
            <w:hyperlink r:id="rId10" w:history="1">
              <w:r>
                <w:rPr>
                  <w:rStyle w:val="a4"/>
                  <w:sz w:val="20"/>
                  <w:szCs w:val="20"/>
                </w:rPr>
                <w:t>Certification of the Company’s Chief Financial Officer, Glenn G. Cohen, pursuant to Section 302 of the Sarbanes-Oxle</w:t>
              </w:r>
              <w:r>
                <w:rPr>
                  <w:rStyle w:val="a4"/>
                  <w:sz w:val="20"/>
                  <w:szCs w:val="20"/>
                </w:rPr>
                <w:t>y Act of 2002.</w:t>
              </w:r>
            </w:hyperlink>
          </w:p>
        </w:tc>
      </w:tr>
      <w:tr w:rsidR="00000000" w14:paraId="7BBB60C8" w14:textId="77777777">
        <w:trPr>
          <w:tblCellSpacing w:w="0" w:type="dxa"/>
        </w:trPr>
        <w:tc>
          <w:tcPr>
            <w:tcW w:w="180" w:type="pct"/>
            <w:hideMark/>
          </w:tcPr>
          <w:p w14:paraId="567B04CD" w14:textId="77777777" w:rsidR="00000000" w:rsidRDefault="00322B34">
            <w:pPr>
              <w:pStyle w:val="a3"/>
              <w:spacing w:before="0" w:beforeAutospacing="0" w:after="0" w:afterAutospacing="0"/>
              <w:rPr>
                <w:sz w:val="20"/>
                <w:szCs w:val="20"/>
              </w:rPr>
            </w:pPr>
            <w:r>
              <w:rPr>
                <w:sz w:val="20"/>
                <w:szCs w:val="20"/>
              </w:rPr>
              <w:t>  </w:t>
            </w:r>
          </w:p>
        </w:tc>
        <w:tc>
          <w:tcPr>
            <w:tcW w:w="1965" w:type="dxa"/>
            <w:hideMark/>
          </w:tcPr>
          <w:p w14:paraId="48740F27" w14:textId="77777777" w:rsidR="00000000" w:rsidRDefault="00322B34">
            <w:pPr>
              <w:pStyle w:val="a3"/>
              <w:spacing w:before="0" w:beforeAutospacing="0" w:after="0" w:afterAutospacing="0"/>
              <w:rPr>
                <w:sz w:val="20"/>
                <w:szCs w:val="20"/>
              </w:rPr>
            </w:pPr>
            <w:r>
              <w:rPr>
                <w:sz w:val="20"/>
                <w:szCs w:val="20"/>
              </w:rPr>
              <w:t>32.1</w:t>
            </w:r>
          </w:p>
        </w:tc>
        <w:tc>
          <w:tcPr>
            <w:tcW w:w="14220" w:type="dxa"/>
            <w:hideMark/>
          </w:tcPr>
          <w:p w14:paraId="27762D7A" w14:textId="77777777" w:rsidR="00000000" w:rsidRDefault="00322B34">
            <w:pPr>
              <w:pStyle w:val="a3"/>
              <w:spacing w:before="0" w:beforeAutospacing="0" w:after="0" w:afterAutospacing="0"/>
              <w:rPr>
                <w:sz w:val="20"/>
                <w:szCs w:val="20"/>
              </w:rPr>
            </w:pPr>
            <w:hyperlink r:id="rId11" w:history="1">
              <w:r>
                <w:rPr>
                  <w:rStyle w:val="a4"/>
                  <w:sz w:val="20"/>
                  <w:szCs w:val="20"/>
                </w:rPr>
                <w:t>Certification of the Company’s Chief Executive Officer, Conor C. Flynn, and the Company’s Chief Financial Officer, Glenn G. Cohen, pursuant to Section 906 of the Sarbanes-Oxley Act of 2002.</w:t>
              </w:r>
            </w:hyperlink>
          </w:p>
        </w:tc>
      </w:tr>
      <w:tr w:rsidR="00000000" w14:paraId="23F60C38" w14:textId="77777777">
        <w:trPr>
          <w:tblCellSpacing w:w="0" w:type="dxa"/>
        </w:trPr>
        <w:tc>
          <w:tcPr>
            <w:tcW w:w="180" w:type="pct"/>
            <w:hideMark/>
          </w:tcPr>
          <w:p w14:paraId="5E7CD316" w14:textId="77777777" w:rsidR="00000000" w:rsidRDefault="00322B34">
            <w:pPr>
              <w:rPr>
                <w:rFonts w:eastAsia="Times New Roman"/>
                <w:sz w:val="20"/>
                <w:szCs w:val="20"/>
              </w:rPr>
            </w:pPr>
            <w:r>
              <w:rPr>
                <w:rFonts w:eastAsia="Times New Roman"/>
                <w:sz w:val="20"/>
                <w:szCs w:val="20"/>
              </w:rPr>
              <w:t> </w:t>
            </w:r>
          </w:p>
        </w:tc>
        <w:tc>
          <w:tcPr>
            <w:tcW w:w="1965" w:type="dxa"/>
            <w:hideMark/>
          </w:tcPr>
          <w:p w14:paraId="75BAEBB3" w14:textId="77777777" w:rsidR="00000000" w:rsidRDefault="00322B34">
            <w:pPr>
              <w:pStyle w:val="a3"/>
              <w:spacing w:before="0" w:beforeAutospacing="0" w:after="0" w:afterAutospacing="0"/>
              <w:rPr>
                <w:sz w:val="20"/>
                <w:szCs w:val="20"/>
              </w:rPr>
            </w:pPr>
            <w:r>
              <w:rPr>
                <w:sz w:val="20"/>
                <w:szCs w:val="20"/>
              </w:rPr>
              <w:t>101.INS</w:t>
            </w:r>
          </w:p>
        </w:tc>
        <w:tc>
          <w:tcPr>
            <w:tcW w:w="14220" w:type="dxa"/>
            <w:hideMark/>
          </w:tcPr>
          <w:p w14:paraId="1EF123C5" w14:textId="77777777" w:rsidR="00000000" w:rsidRDefault="00322B34">
            <w:pPr>
              <w:pStyle w:val="a3"/>
              <w:spacing w:before="0" w:beforeAutospacing="0" w:after="0" w:afterAutospacing="0"/>
              <w:rPr>
                <w:sz w:val="20"/>
                <w:szCs w:val="20"/>
              </w:rPr>
            </w:pPr>
            <w:r>
              <w:rPr>
                <w:sz w:val="20"/>
                <w:szCs w:val="20"/>
              </w:rPr>
              <w:t>I</w:t>
            </w:r>
            <w:r>
              <w:rPr>
                <w:sz w:val="20"/>
                <w:szCs w:val="20"/>
              </w:rPr>
              <w:t>nline XBRL Instance Document - the Instance Document does not appear in the Interactive Data File because its XBRL tags are embedded within the Inline XBRL document.</w:t>
            </w:r>
          </w:p>
        </w:tc>
      </w:tr>
      <w:tr w:rsidR="00000000" w14:paraId="3ACE076C" w14:textId="77777777">
        <w:trPr>
          <w:tblCellSpacing w:w="0" w:type="dxa"/>
        </w:trPr>
        <w:tc>
          <w:tcPr>
            <w:tcW w:w="180" w:type="pct"/>
            <w:hideMark/>
          </w:tcPr>
          <w:p w14:paraId="313F770B" w14:textId="77777777" w:rsidR="00000000" w:rsidRDefault="00322B34">
            <w:pPr>
              <w:rPr>
                <w:rFonts w:eastAsia="Times New Roman"/>
                <w:sz w:val="20"/>
                <w:szCs w:val="20"/>
              </w:rPr>
            </w:pPr>
            <w:r>
              <w:rPr>
                <w:rFonts w:eastAsia="Times New Roman"/>
                <w:sz w:val="20"/>
                <w:szCs w:val="20"/>
              </w:rPr>
              <w:t> </w:t>
            </w:r>
          </w:p>
        </w:tc>
        <w:tc>
          <w:tcPr>
            <w:tcW w:w="1965" w:type="dxa"/>
            <w:hideMark/>
          </w:tcPr>
          <w:p w14:paraId="6AC6AB66" w14:textId="77777777" w:rsidR="00000000" w:rsidRDefault="00322B34">
            <w:pPr>
              <w:pStyle w:val="a3"/>
              <w:spacing w:before="0" w:beforeAutospacing="0" w:after="0" w:afterAutospacing="0"/>
              <w:rPr>
                <w:sz w:val="20"/>
                <w:szCs w:val="20"/>
              </w:rPr>
            </w:pPr>
            <w:r>
              <w:rPr>
                <w:sz w:val="20"/>
                <w:szCs w:val="20"/>
              </w:rPr>
              <w:t>101.SCH</w:t>
            </w:r>
          </w:p>
        </w:tc>
        <w:tc>
          <w:tcPr>
            <w:tcW w:w="14220" w:type="dxa"/>
            <w:hideMark/>
          </w:tcPr>
          <w:p w14:paraId="62AA500E" w14:textId="77777777" w:rsidR="00000000" w:rsidRDefault="00322B34">
            <w:pPr>
              <w:pStyle w:val="a3"/>
              <w:spacing w:before="0" w:beforeAutospacing="0" w:after="0" w:afterAutospacing="0"/>
              <w:rPr>
                <w:sz w:val="20"/>
                <w:szCs w:val="20"/>
              </w:rPr>
            </w:pPr>
            <w:r>
              <w:rPr>
                <w:sz w:val="20"/>
                <w:szCs w:val="20"/>
              </w:rPr>
              <w:t>Inline XBRL Taxonomy Extension Schema Document</w:t>
            </w:r>
          </w:p>
        </w:tc>
      </w:tr>
      <w:tr w:rsidR="00000000" w14:paraId="1F848754" w14:textId="77777777">
        <w:trPr>
          <w:tblCellSpacing w:w="0" w:type="dxa"/>
        </w:trPr>
        <w:tc>
          <w:tcPr>
            <w:tcW w:w="180" w:type="pct"/>
            <w:hideMark/>
          </w:tcPr>
          <w:p w14:paraId="0CFF8803" w14:textId="77777777" w:rsidR="00000000" w:rsidRDefault="00322B34">
            <w:pPr>
              <w:pStyle w:val="a3"/>
              <w:spacing w:before="0" w:beforeAutospacing="0" w:after="0" w:afterAutospacing="0"/>
              <w:rPr>
                <w:sz w:val="20"/>
                <w:szCs w:val="20"/>
              </w:rPr>
            </w:pPr>
            <w:r>
              <w:rPr>
                <w:sz w:val="20"/>
                <w:szCs w:val="20"/>
              </w:rPr>
              <w:t>  </w:t>
            </w:r>
          </w:p>
        </w:tc>
        <w:tc>
          <w:tcPr>
            <w:tcW w:w="1965" w:type="dxa"/>
            <w:hideMark/>
          </w:tcPr>
          <w:p w14:paraId="4211A365" w14:textId="77777777" w:rsidR="00000000" w:rsidRDefault="00322B34">
            <w:pPr>
              <w:pStyle w:val="a3"/>
              <w:spacing w:before="0" w:beforeAutospacing="0" w:after="0" w:afterAutospacing="0"/>
              <w:rPr>
                <w:sz w:val="20"/>
                <w:szCs w:val="20"/>
              </w:rPr>
            </w:pPr>
            <w:r>
              <w:rPr>
                <w:sz w:val="20"/>
                <w:szCs w:val="20"/>
              </w:rPr>
              <w:t>101.CAL</w:t>
            </w:r>
          </w:p>
        </w:tc>
        <w:tc>
          <w:tcPr>
            <w:tcW w:w="14220" w:type="dxa"/>
            <w:hideMark/>
          </w:tcPr>
          <w:p w14:paraId="39B63E65" w14:textId="77777777" w:rsidR="00000000" w:rsidRDefault="00322B34">
            <w:pPr>
              <w:pStyle w:val="a3"/>
              <w:spacing w:before="0" w:beforeAutospacing="0" w:after="0" w:afterAutospacing="0"/>
              <w:rPr>
                <w:sz w:val="20"/>
                <w:szCs w:val="20"/>
              </w:rPr>
            </w:pPr>
            <w:r>
              <w:rPr>
                <w:sz w:val="20"/>
                <w:szCs w:val="20"/>
              </w:rPr>
              <w:t>Inline XBRL Taxonomy</w:t>
            </w:r>
            <w:r>
              <w:rPr>
                <w:sz w:val="20"/>
                <w:szCs w:val="20"/>
              </w:rPr>
              <w:t xml:space="preserve"> Extension Calculation Linkbase Document</w:t>
            </w:r>
          </w:p>
        </w:tc>
      </w:tr>
      <w:tr w:rsidR="00000000" w14:paraId="293D6F59" w14:textId="77777777">
        <w:trPr>
          <w:tblCellSpacing w:w="0" w:type="dxa"/>
        </w:trPr>
        <w:tc>
          <w:tcPr>
            <w:tcW w:w="180" w:type="pct"/>
            <w:hideMark/>
          </w:tcPr>
          <w:p w14:paraId="3A4864CD" w14:textId="77777777" w:rsidR="00000000" w:rsidRDefault="00322B34">
            <w:pPr>
              <w:pStyle w:val="a3"/>
              <w:spacing w:before="0" w:beforeAutospacing="0" w:after="0" w:afterAutospacing="0"/>
              <w:rPr>
                <w:sz w:val="20"/>
                <w:szCs w:val="20"/>
              </w:rPr>
            </w:pPr>
            <w:r>
              <w:rPr>
                <w:sz w:val="20"/>
                <w:szCs w:val="20"/>
              </w:rPr>
              <w:t>  </w:t>
            </w:r>
          </w:p>
        </w:tc>
        <w:tc>
          <w:tcPr>
            <w:tcW w:w="1965" w:type="dxa"/>
            <w:hideMark/>
          </w:tcPr>
          <w:p w14:paraId="064FEAA9" w14:textId="77777777" w:rsidR="00000000" w:rsidRDefault="00322B34">
            <w:pPr>
              <w:pStyle w:val="a3"/>
              <w:spacing w:before="0" w:beforeAutospacing="0" w:after="0" w:afterAutospacing="0"/>
              <w:rPr>
                <w:sz w:val="20"/>
                <w:szCs w:val="20"/>
              </w:rPr>
            </w:pPr>
            <w:r>
              <w:rPr>
                <w:sz w:val="20"/>
                <w:szCs w:val="20"/>
              </w:rPr>
              <w:t>101.DEF</w:t>
            </w:r>
          </w:p>
        </w:tc>
        <w:tc>
          <w:tcPr>
            <w:tcW w:w="14220" w:type="dxa"/>
            <w:hideMark/>
          </w:tcPr>
          <w:p w14:paraId="42EA153C" w14:textId="77777777" w:rsidR="00000000" w:rsidRDefault="00322B34">
            <w:pPr>
              <w:pStyle w:val="a3"/>
              <w:spacing w:before="0" w:beforeAutospacing="0" w:after="0" w:afterAutospacing="0"/>
              <w:rPr>
                <w:sz w:val="20"/>
                <w:szCs w:val="20"/>
              </w:rPr>
            </w:pPr>
            <w:r>
              <w:rPr>
                <w:sz w:val="20"/>
                <w:szCs w:val="20"/>
              </w:rPr>
              <w:t>Inline XBRL Taxonomy Extension Definition Linkbase Document</w:t>
            </w:r>
          </w:p>
        </w:tc>
      </w:tr>
      <w:tr w:rsidR="00000000" w14:paraId="7F050F03" w14:textId="77777777">
        <w:trPr>
          <w:tblCellSpacing w:w="0" w:type="dxa"/>
        </w:trPr>
        <w:tc>
          <w:tcPr>
            <w:tcW w:w="180" w:type="pct"/>
            <w:hideMark/>
          </w:tcPr>
          <w:p w14:paraId="34E566ED" w14:textId="77777777" w:rsidR="00000000" w:rsidRDefault="00322B34">
            <w:pPr>
              <w:pStyle w:val="a3"/>
              <w:spacing w:before="0" w:beforeAutospacing="0" w:after="0" w:afterAutospacing="0"/>
              <w:rPr>
                <w:sz w:val="20"/>
                <w:szCs w:val="20"/>
              </w:rPr>
            </w:pPr>
            <w:r>
              <w:rPr>
                <w:sz w:val="20"/>
                <w:szCs w:val="20"/>
              </w:rPr>
              <w:t>  </w:t>
            </w:r>
          </w:p>
        </w:tc>
        <w:tc>
          <w:tcPr>
            <w:tcW w:w="1965" w:type="dxa"/>
            <w:hideMark/>
          </w:tcPr>
          <w:p w14:paraId="5FAA5169" w14:textId="77777777" w:rsidR="00000000" w:rsidRDefault="00322B34">
            <w:pPr>
              <w:pStyle w:val="a3"/>
              <w:spacing w:before="0" w:beforeAutospacing="0" w:after="0" w:afterAutospacing="0"/>
              <w:rPr>
                <w:sz w:val="20"/>
                <w:szCs w:val="20"/>
              </w:rPr>
            </w:pPr>
            <w:r>
              <w:rPr>
                <w:sz w:val="20"/>
                <w:szCs w:val="20"/>
              </w:rPr>
              <w:t>101.LAB</w:t>
            </w:r>
          </w:p>
        </w:tc>
        <w:tc>
          <w:tcPr>
            <w:tcW w:w="14220" w:type="dxa"/>
            <w:hideMark/>
          </w:tcPr>
          <w:p w14:paraId="240215A5" w14:textId="77777777" w:rsidR="00000000" w:rsidRDefault="00322B34">
            <w:pPr>
              <w:pStyle w:val="a3"/>
              <w:spacing w:before="0" w:beforeAutospacing="0" w:after="0" w:afterAutospacing="0"/>
              <w:rPr>
                <w:sz w:val="20"/>
                <w:szCs w:val="20"/>
              </w:rPr>
            </w:pPr>
            <w:r>
              <w:rPr>
                <w:sz w:val="20"/>
                <w:szCs w:val="20"/>
              </w:rPr>
              <w:t>Inline XBRL Taxonomy Extension Label Linkbase Document</w:t>
            </w:r>
          </w:p>
        </w:tc>
      </w:tr>
      <w:tr w:rsidR="00000000" w14:paraId="78B5BE27" w14:textId="77777777">
        <w:trPr>
          <w:tblCellSpacing w:w="0" w:type="dxa"/>
        </w:trPr>
        <w:tc>
          <w:tcPr>
            <w:tcW w:w="180" w:type="pct"/>
            <w:hideMark/>
          </w:tcPr>
          <w:p w14:paraId="001DEF83" w14:textId="77777777" w:rsidR="00000000" w:rsidRDefault="00322B34">
            <w:pPr>
              <w:pStyle w:val="a3"/>
              <w:spacing w:before="0" w:beforeAutospacing="0" w:after="0" w:afterAutospacing="0"/>
              <w:rPr>
                <w:sz w:val="20"/>
                <w:szCs w:val="20"/>
              </w:rPr>
            </w:pPr>
            <w:r>
              <w:rPr>
                <w:sz w:val="20"/>
                <w:szCs w:val="20"/>
              </w:rPr>
              <w:t>  </w:t>
            </w:r>
          </w:p>
        </w:tc>
        <w:tc>
          <w:tcPr>
            <w:tcW w:w="1965" w:type="dxa"/>
            <w:hideMark/>
          </w:tcPr>
          <w:p w14:paraId="177A2D2A" w14:textId="77777777" w:rsidR="00000000" w:rsidRDefault="00322B34">
            <w:pPr>
              <w:pStyle w:val="a3"/>
              <w:spacing w:before="0" w:beforeAutospacing="0" w:after="0" w:afterAutospacing="0"/>
              <w:rPr>
                <w:sz w:val="20"/>
                <w:szCs w:val="20"/>
              </w:rPr>
            </w:pPr>
            <w:r>
              <w:rPr>
                <w:sz w:val="20"/>
                <w:szCs w:val="20"/>
              </w:rPr>
              <w:t>101.PRE</w:t>
            </w:r>
          </w:p>
        </w:tc>
        <w:tc>
          <w:tcPr>
            <w:tcW w:w="14220" w:type="dxa"/>
            <w:hideMark/>
          </w:tcPr>
          <w:p w14:paraId="45235D0E" w14:textId="77777777" w:rsidR="00000000" w:rsidRDefault="00322B34">
            <w:pPr>
              <w:pStyle w:val="a3"/>
              <w:spacing w:before="0" w:beforeAutospacing="0" w:after="0" w:afterAutospacing="0"/>
              <w:rPr>
                <w:sz w:val="20"/>
                <w:szCs w:val="20"/>
              </w:rPr>
            </w:pPr>
            <w:r>
              <w:rPr>
                <w:sz w:val="20"/>
                <w:szCs w:val="20"/>
              </w:rPr>
              <w:t>Inline XBRL Taxonomy Extension Presentation Linkbase Document </w:t>
            </w:r>
          </w:p>
        </w:tc>
      </w:tr>
      <w:tr w:rsidR="00000000" w14:paraId="0BBC7B4E" w14:textId="77777777">
        <w:trPr>
          <w:tblCellSpacing w:w="0" w:type="dxa"/>
        </w:trPr>
        <w:tc>
          <w:tcPr>
            <w:tcW w:w="180" w:type="pct"/>
            <w:hideMark/>
          </w:tcPr>
          <w:p w14:paraId="6F4CC8F0" w14:textId="77777777" w:rsidR="00000000" w:rsidRDefault="00322B34">
            <w:pPr>
              <w:rPr>
                <w:rFonts w:eastAsia="Times New Roman"/>
                <w:sz w:val="20"/>
                <w:szCs w:val="20"/>
              </w:rPr>
            </w:pPr>
            <w:r>
              <w:rPr>
                <w:rFonts w:eastAsia="Times New Roman"/>
                <w:sz w:val="20"/>
                <w:szCs w:val="20"/>
              </w:rPr>
              <w:t> </w:t>
            </w:r>
          </w:p>
        </w:tc>
        <w:tc>
          <w:tcPr>
            <w:tcW w:w="1965" w:type="dxa"/>
            <w:hideMark/>
          </w:tcPr>
          <w:p w14:paraId="6FC5993E" w14:textId="77777777" w:rsidR="00000000" w:rsidRDefault="00322B34">
            <w:pPr>
              <w:pStyle w:val="a3"/>
              <w:spacing w:before="0" w:beforeAutospacing="0" w:after="0" w:afterAutospacing="0"/>
              <w:rPr>
                <w:sz w:val="20"/>
                <w:szCs w:val="20"/>
              </w:rPr>
            </w:pPr>
            <w:r>
              <w:rPr>
                <w:sz w:val="20"/>
                <w:szCs w:val="20"/>
              </w:rPr>
              <w:t>104</w:t>
            </w:r>
          </w:p>
        </w:tc>
        <w:tc>
          <w:tcPr>
            <w:tcW w:w="14220" w:type="dxa"/>
            <w:hideMark/>
          </w:tcPr>
          <w:p w14:paraId="0A94DBAF" w14:textId="77777777" w:rsidR="00000000" w:rsidRDefault="00322B34">
            <w:pPr>
              <w:pStyle w:val="a3"/>
              <w:spacing w:before="0" w:beforeAutospacing="0" w:after="0" w:afterAutospacing="0"/>
              <w:rPr>
                <w:sz w:val="20"/>
                <w:szCs w:val="20"/>
              </w:rPr>
            </w:pPr>
            <w:r>
              <w:rPr>
                <w:sz w:val="20"/>
                <w:szCs w:val="20"/>
              </w:rPr>
              <w:t>Cover Page Interactive Data File (formatted as Inline XBRL and contained in Exhibit 101)</w:t>
            </w:r>
          </w:p>
        </w:tc>
      </w:tr>
    </w:tbl>
    <w:p w14:paraId="58D311B0" w14:textId="77777777" w:rsidR="00000000" w:rsidRDefault="00322B34">
      <w:pPr>
        <w:pStyle w:val="a3"/>
        <w:spacing w:before="0" w:beforeAutospacing="0" w:after="0" w:afterAutospacing="0"/>
        <w:rPr>
          <w:sz w:val="20"/>
          <w:szCs w:val="20"/>
        </w:rPr>
      </w:pPr>
      <w:r>
        <w:rPr>
          <w:sz w:val="20"/>
          <w:szCs w:val="20"/>
        </w:rPr>
        <w:t> </w:t>
      </w:r>
    </w:p>
    <w:p w14:paraId="345A692D" w14:textId="77777777" w:rsidR="00000000" w:rsidRDefault="00322B34">
      <w:pPr>
        <w:jc w:val="center"/>
        <w:divId w:val="121196911"/>
        <w:rPr>
          <w:rFonts w:eastAsia="Times New Roman"/>
          <w:sz w:val="20"/>
          <w:szCs w:val="20"/>
        </w:rPr>
      </w:pPr>
      <w:r>
        <w:rPr>
          <w:rFonts w:eastAsia="Times New Roman"/>
          <w:sz w:val="20"/>
          <w:szCs w:val="20"/>
        </w:rPr>
        <w:t xml:space="preserve">36 </w:t>
      </w:r>
    </w:p>
    <w:p w14:paraId="0B81ADD4" w14:textId="77777777" w:rsidR="00000000" w:rsidRDefault="00322B34">
      <w:pPr>
        <w:divId w:val="192965956"/>
        <w:rPr>
          <w:rFonts w:eastAsia="Times New Roman"/>
          <w:sz w:val="20"/>
          <w:szCs w:val="20"/>
        </w:rPr>
      </w:pPr>
      <w:r>
        <w:rPr>
          <w:rFonts w:eastAsia="Times New Roman"/>
          <w:sz w:val="20"/>
          <w:szCs w:val="20"/>
        </w:rPr>
        <w:pict w14:anchorId="7C1D0CFA">
          <v:rect id="_x0000_i1064" style="width:0;height:1.5pt" o:hralign="center" o:hrstd="t" o:hr="t" fillcolor="#a0a0a0" stroked="f"/>
        </w:pict>
      </w:r>
    </w:p>
    <w:p w14:paraId="08F666A0" w14:textId="77777777" w:rsidR="00000000" w:rsidRDefault="00322B34">
      <w:pPr>
        <w:divId w:val="52942072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FCBBBF9" w14:textId="77777777" w:rsidR="00000000" w:rsidRDefault="00322B34">
      <w:pPr>
        <w:pStyle w:val="a3"/>
        <w:spacing w:before="0" w:beforeAutospacing="0" w:after="0" w:afterAutospacing="0"/>
        <w:rPr>
          <w:sz w:val="20"/>
          <w:szCs w:val="20"/>
        </w:rPr>
      </w:pPr>
      <w:r>
        <w:rPr>
          <w:sz w:val="20"/>
          <w:szCs w:val="20"/>
        </w:rPr>
        <w:t> </w:t>
      </w:r>
    </w:p>
    <w:p w14:paraId="75F733F8" w14:textId="77777777" w:rsidR="00000000" w:rsidRDefault="00322B34">
      <w:pPr>
        <w:pStyle w:val="a3"/>
        <w:spacing w:before="0" w:beforeAutospacing="0" w:after="0" w:afterAutospacing="0"/>
        <w:jc w:val="center"/>
        <w:rPr>
          <w:sz w:val="20"/>
          <w:szCs w:val="20"/>
        </w:rPr>
      </w:pPr>
      <w:r>
        <w:rPr>
          <w:b/>
          <w:bCs/>
          <w:sz w:val="20"/>
          <w:szCs w:val="20"/>
        </w:rPr>
        <w:t>SIGNATURES</w:t>
      </w:r>
    </w:p>
    <w:p w14:paraId="27919C51" w14:textId="77777777" w:rsidR="00000000" w:rsidRDefault="00322B34">
      <w:pPr>
        <w:pStyle w:val="a3"/>
        <w:spacing w:before="0" w:beforeAutospacing="0" w:after="0" w:afterAutospacing="0"/>
        <w:rPr>
          <w:sz w:val="20"/>
          <w:szCs w:val="20"/>
        </w:rPr>
      </w:pPr>
      <w:r>
        <w:rPr>
          <w:sz w:val="20"/>
          <w:szCs w:val="20"/>
        </w:rPr>
        <w:t> </w:t>
      </w:r>
    </w:p>
    <w:p w14:paraId="1826A692" w14:textId="77777777" w:rsidR="00000000" w:rsidRDefault="00322B34">
      <w:pPr>
        <w:pStyle w:val="a3"/>
        <w:spacing w:before="0" w:beforeAutospacing="0" w:after="0" w:afterAutospacing="0"/>
        <w:rPr>
          <w:sz w:val="20"/>
          <w:szCs w:val="20"/>
        </w:rPr>
      </w:pPr>
      <w:r>
        <w:rPr>
          <w:sz w:val="20"/>
          <w:szCs w:val="20"/>
        </w:rPr>
        <w:t> </w:t>
      </w:r>
    </w:p>
    <w:p w14:paraId="1DD0EC08" w14:textId="77777777" w:rsidR="00000000" w:rsidRDefault="00322B34">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p>
    <w:p w14:paraId="72FBC333" w14:textId="77777777" w:rsidR="00000000" w:rsidRDefault="00322B34">
      <w:pPr>
        <w:pStyle w:val="a3"/>
        <w:spacing w:before="0" w:beforeAutospacing="0" w:after="0" w:afterAutospacing="0"/>
        <w:rPr>
          <w:sz w:val="20"/>
          <w:szCs w:val="20"/>
        </w:rPr>
      </w:pPr>
      <w:r>
        <w:rPr>
          <w:sz w:val="20"/>
          <w:szCs w:val="20"/>
        </w:rPr>
        <w:t> </w:t>
      </w:r>
    </w:p>
    <w:p w14:paraId="3F7C62A1" w14:textId="77777777" w:rsidR="00000000" w:rsidRDefault="00322B34">
      <w:pPr>
        <w:pStyle w:val="a3"/>
        <w:spacing w:before="0" w:beforeAutospacing="0" w:after="0" w:afterAutospacing="0"/>
        <w:rPr>
          <w:sz w:val="20"/>
          <w:szCs w:val="20"/>
        </w:rPr>
      </w:pPr>
      <w:r>
        <w:rPr>
          <w:sz w:val="20"/>
          <w:szCs w:val="20"/>
        </w:rPr>
        <w:br/>
        <w:t> </w:t>
      </w:r>
    </w:p>
    <w:tbl>
      <w:tblPr>
        <w:tblW w:w="5000" w:type="pct"/>
        <w:tblCellSpacing w:w="0" w:type="dxa"/>
        <w:tblCellMar>
          <w:left w:w="0" w:type="dxa"/>
          <w:right w:w="0" w:type="dxa"/>
        </w:tblCellMar>
        <w:tblLook w:val="04A0" w:firstRow="1" w:lastRow="0" w:firstColumn="1" w:lastColumn="0" w:noHBand="0" w:noVBand="1"/>
      </w:tblPr>
      <w:tblGrid>
        <w:gridCol w:w="1687"/>
        <w:gridCol w:w="1204"/>
        <w:gridCol w:w="2043"/>
        <w:gridCol w:w="3372"/>
      </w:tblGrid>
      <w:tr w:rsidR="00000000" w14:paraId="64C04777" w14:textId="77777777">
        <w:trPr>
          <w:tblCellSpacing w:w="0" w:type="dxa"/>
        </w:trPr>
        <w:tc>
          <w:tcPr>
            <w:tcW w:w="1015" w:type="pct"/>
            <w:hideMark/>
          </w:tcPr>
          <w:p w14:paraId="21E091EF" w14:textId="77777777" w:rsidR="00000000" w:rsidRDefault="00322B34">
            <w:pPr>
              <w:pStyle w:val="a3"/>
              <w:spacing w:before="0" w:beforeAutospacing="0" w:after="0" w:afterAutospacing="0"/>
              <w:rPr>
                <w:sz w:val="20"/>
                <w:szCs w:val="20"/>
              </w:rPr>
            </w:pPr>
            <w:r>
              <w:rPr>
                <w:sz w:val="20"/>
                <w:szCs w:val="20"/>
              </w:rPr>
              <w:t>  </w:t>
            </w:r>
          </w:p>
        </w:tc>
        <w:tc>
          <w:tcPr>
            <w:tcW w:w="725" w:type="pct"/>
            <w:hideMark/>
          </w:tcPr>
          <w:p w14:paraId="3F4B3054" w14:textId="77777777" w:rsidR="00000000" w:rsidRDefault="00322B34">
            <w:pPr>
              <w:pStyle w:val="a3"/>
              <w:spacing w:before="0" w:beforeAutospacing="0" w:after="0" w:afterAutospacing="0"/>
              <w:rPr>
                <w:sz w:val="20"/>
                <w:szCs w:val="20"/>
              </w:rPr>
            </w:pPr>
            <w:r>
              <w:rPr>
                <w:sz w:val="20"/>
                <w:szCs w:val="20"/>
              </w:rPr>
              <w:t>  </w:t>
            </w:r>
          </w:p>
        </w:tc>
        <w:tc>
          <w:tcPr>
            <w:tcW w:w="1230" w:type="pct"/>
            <w:hideMark/>
          </w:tcPr>
          <w:p w14:paraId="4289CA53" w14:textId="77777777" w:rsidR="00000000" w:rsidRDefault="00322B34">
            <w:pPr>
              <w:pStyle w:val="a3"/>
              <w:spacing w:before="0" w:beforeAutospacing="0" w:after="0" w:afterAutospacing="0"/>
              <w:rPr>
                <w:sz w:val="20"/>
                <w:szCs w:val="20"/>
              </w:rPr>
            </w:pPr>
            <w:r>
              <w:rPr>
                <w:sz w:val="20"/>
                <w:szCs w:val="20"/>
              </w:rPr>
              <w:t>  </w:t>
            </w:r>
          </w:p>
        </w:tc>
        <w:tc>
          <w:tcPr>
            <w:tcW w:w="2030" w:type="pct"/>
            <w:hideMark/>
          </w:tcPr>
          <w:p w14:paraId="3B23BAC1" w14:textId="77777777" w:rsidR="00000000" w:rsidRDefault="00322B34">
            <w:pPr>
              <w:pStyle w:val="a3"/>
              <w:spacing w:before="0" w:beforeAutospacing="0" w:after="0" w:afterAutospacing="0"/>
              <w:rPr>
                <w:sz w:val="20"/>
                <w:szCs w:val="20"/>
              </w:rPr>
            </w:pPr>
            <w:r>
              <w:rPr>
                <w:sz w:val="20"/>
                <w:szCs w:val="20"/>
              </w:rPr>
              <w:t>KIMCO REALTY CORPORATION</w:t>
            </w:r>
          </w:p>
        </w:tc>
      </w:tr>
      <w:tr w:rsidR="00000000" w14:paraId="67FB127A" w14:textId="77777777">
        <w:trPr>
          <w:tblCellSpacing w:w="0" w:type="dxa"/>
        </w:trPr>
        <w:tc>
          <w:tcPr>
            <w:tcW w:w="1015" w:type="pct"/>
            <w:hideMark/>
          </w:tcPr>
          <w:p w14:paraId="3F8299C4" w14:textId="77777777" w:rsidR="00000000" w:rsidRDefault="00322B34">
            <w:pPr>
              <w:pStyle w:val="a3"/>
              <w:spacing w:before="0" w:beforeAutospacing="0" w:after="0" w:afterAutospacing="0"/>
              <w:rPr>
                <w:sz w:val="20"/>
                <w:szCs w:val="20"/>
              </w:rPr>
            </w:pPr>
            <w:r>
              <w:rPr>
                <w:sz w:val="20"/>
                <w:szCs w:val="20"/>
              </w:rPr>
              <w:t>  </w:t>
            </w:r>
          </w:p>
        </w:tc>
        <w:tc>
          <w:tcPr>
            <w:tcW w:w="725" w:type="pct"/>
            <w:hideMark/>
          </w:tcPr>
          <w:p w14:paraId="1051BF82" w14:textId="77777777" w:rsidR="00000000" w:rsidRDefault="00322B34">
            <w:pPr>
              <w:pStyle w:val="a3"/>
              <w:spacing w:before="0" w:beforeAutospacing="0" w:after="0" w:afterAutospacing="0"/>
              <w:rPr>
                <w:sz w:val="20"/>
                <w:szCs w:val="20"/>
              </w:rPr>
            </w:pPr>
            <w:r>
              <w:rPr>
                <w:sz w:val="20"/>
                <w:szCs w:val="20"/>
              </w:rPr>
              <w:t>  </w:t>
            </w:r>
          </w:p>
        </w:tc>
        <w:tc>
          <w:tcPr>
            <w:tcW w:w="1230" w:type="pct"/>
            <w:hideMark/>
          </w:tcPr>
          <w:p w14:paraId="2B2CA6C2" w14:textId="77777777" w:rsidR="00000000" w:rsidRDefault="00322B34">
            <w:pPr>
              <w:pStyle w:val="a3"/>
              <w:spacing w:before="0" w:beforeAutospacing="0" w:after="0" w:afterAutospacing="0"/>
              <w:rPr>
                <w:sz w:val="20"/>
                <w:szCs w:val="20"/>
              </w:rPr>
            </w:pPr>
            <w:r>
              <w:rPr>
                <w:sz w:val="20"/>
                <w:szCs w:val="20"/>
              </w:rPr>
              <w:t>  </w:t>
            </w:r>
          </w:p>
        </w:tc>
        <w:tc>
          <w:tcPr>
            <w:tcW w:w="2030" w:type="pct"/>
            <w:hideMark/>
          </w:tcPr>
          <w:p w14:paraId="6B0633B8" w14:textId="77777777" w:rsidR="00000000" w:rsidRDefault="00322B34">
            <w:pPr>
              <w:pStyle w:val="a3"/>
              <w:spacing w:before="0" w:beforeAutospacing="0" w:after="0" w:afterAutospacing="0"/>
              <w:rPr>
                <w:sz w:val="20"/>
                <w:szCs w:val="20"/>
              </w:rPr>
            </w:pPr>
            <w:r>
              <w:rPr>
                <w:sz w:val="20"/>
                <w:szCs w:val="20"/>
              </w:rPr>
              <w:t>  </w:t>
            </w:r>
          </w:p>
        </w:tc>
      </w:tr>
      <w:tr w:rsidR="00000000" w14:paraId="45052B4D" w14:textId="77777777">
        <w:trPr>
          <w:tblCellSpacing w:w="0" w:type="dxa"/>
        </w:trPr>
        <w:tc>
          <w:tcPr>
            <w:tcW w:w="1015" w:type="pct"/>
            <w:hideMark/>
          </w:tcPr>
          <w:p w14:paraId="2600BD3F" w14:textId="77777777" w:rsidR="00000000" w:rsidRDefault="00322B34">
            <w:pPr>
              <w:pStyle w:val="a3"/>
              <w:spacing w:before="0" w:beforeAutospacing="0" w:after="0" w:afterAutospacing="0"/>
              <w:rPr>
                <w:sz w:val="20"/>
                <w:szCs w:val="20"/>
              </w:rPr>
            </w:pPr>
            <w:r>
              <w:rPr>
                <w:sz w:val="20"/>
                <w:szCs w:val="20"/>
              </w:rPr>
              <w:t>  </w:t>
            </w:r>
          </w:p>
        </w:tc>
        <w:tc>
          <w:tcPr>
            <w:tcW w:w="725" w:type="pct"/>
            <w:hideMark/>
          </w:tcPr>
          <w:p w14:paraId="0568D515" w14:textId="77777777" w:rsidR="00000000" w:rsidRDefault="00322B34">
            <w:pPr>
              <w:pStyle w:val="a3"/>
              <w:spacing w:before="0" w:beforeAutospacing="0" w:after="0" w:afterAutospacing="0"/>
              <w:rPr>
                <w:sz w:val="20"/>
                <w:szCs w:val="20"/>
              </w:rPr>
            </w:pPr>
            <w:r>
              <w:rPr>
                <w:sz w:val="20"/>
                <w:szCs w:val="20"/>
              </w:rPr>
              <w:t>  </w:t>
            </w:r>
          </w:p>
        </w:tc>
        <w:tc>
          <w:tcPr>
            <w:tcW w:w="1230" w:type="pct"/>
            <w:hideMark/>
          </w:tcPr>
          <w:p w14:paraId="21C34D23" w14:textId="77777777" w:rsidR="00000000" w:rsidRDefault="00322B34">
            <w:pPr>
              <w:pStyle w:val="a3"/>
              <w:spacing w:before="0" w:beforeAutospacing="0" w:after="0" w:afterAutospacing="0"/>
              <w:rPr>
                <w:sz w:val="20"/>
                <w:szCs w:val="20"/>
              </w:rPr>
            </w:pPr>
            <w:r>
              <w:rPr>
                <w:sz w:val="20"/>
                <w:szCs w:val="20"/>
              </w:rPr>
              <w:t>  </w:t>
            </w:r>
          </w:p>
        </w:tc>
        <w:tc>
          <w:tcPr>
            <w:tcW w:w="2030" w:type="pct"/>
            <w:hideMark/>
          </w:tcPr>
          <w:p w14:paraId="5C730EA1" w14:textId="77777777" w:rsidR="00000000" w:rsidRDefault="00322B34">
            <w:pPr>
              <w:pStyle w:val="a3"/>
              <w:spacing w:before="0" w:beforeAutospacing="0" w:after="0" w:afterAutospacing="0"/>
              <w:rPr>
                <w:sz w:val="20"/>
                <w:szCs w:val="20"/>
              </w:rPr>
            </w:pPr>
            <w:r>
              <w:rPr>
                <w:sz w:val="20"/>
                <w:szCs w:val="20"/>
              </w:rPr>
              <w:t>  </w:t>
            </w:r>
          </w:p>
        </w:tc>
      </w:tr>
      <w:tr w:rsidR="00000000" w14:paraId="263642FB" w14:textId="77777777">
        <w:trPr>
          <w:tblCellSpacing w:w="0" w:type="dxa"/>
        </w:trPr>
        <w:tc>
          <w:tcPr>
            <w:tcW w:w="1015" w:type="pct"/>
            <w:hideMark/>
          </w:tcPr>
          <w:p w14:paraId="725B09A1" w14:textId="77777777" w:rsidR="00000000" w:rsidRDefault="00322B34">
            <w:pPr>
              <w:rPr>
                <w:rFonts w:eastAsia="Times New Roman"/>
                <w:sz w:val="20"/>
                <w:szCs w:val="20"/>
              </w:rPr>
            </w:pPr>
            <w:r>
              <w:rPr>
                <w:rFonts w:eastAsia="Times New Roman"/>
                <w:sz w:val="20"/>
                <w:szCs w:val="20"/>
              </w:rPr>
              <w:t> </w:t>
            </w:r>
          </w:p>
        </w:tc>
        <w:tc>
          <w:tcPr>
            <w:tcW w:w="725" w:type="pct"/>
            <w:hideMark/>
          </w:tcPr>
          <w:p w14:paraId="298D4B78" w14:textId="77777777" w:rsidR="00000000" w:rsidRDefault="00322B34">
            <w:pPr>
              <w:rPr>
                <w:rFonts w:eastAsia="Times New Roman"/>
                <w:sz w:val="20"/>
                <w:szCs w:val="20"/>
              </w:rPr>
            </w:pPr>
            <w:r>
              <w:rPr>
                <w:rFonts w:eastAsia="Times New Roman"/>
                <w:sz w:val="20"/>
                <w:szCs w:val="20"/>
              </w:rPr>
              <w:t> </w:t>
            </w:r>
          </w:p>
        </w:tc>
        <w:tc>
          <w:tcPr>
            <w:tcW w:w="1230" w:type="pct"/>
            <w:hideMark/>
          </w:tcPr>
          <w:p w14:paraId="2C94F650" w14:textId="77777777" w:rsidR="00000000" w:rsidRDefault="00322B34">
            <w:pPr>
              <w:rPr>
                <w:rFonts w:eastAsia="Times New Roman"/>
                <w:sz w:val="20"/>
                <w:szCs w:val="20"/>
              </w:rPr>
            </w:pPr>
            <w:r>
              <w:rPr>
                <w:rFonts w:eastAsia="Times New Roman"/>
                <w:sz w:val="20"/>
                <w:szCs w:val="20"/>
              </w:rPr>
              <w:t> </w:t>
            </w:r>
          </w:p>
        </w:tc>
        <w:tc>
          <w:tcPr>
            <w:tcW w:w="2030" w:type="pct"/>
            <w:hideMark/>
          </w:tcPr>
          <w:p w14:paraId="69BA2BFC" w14:textId="77777777" w:rsidR="00000000" w:rsidRDefault="00322B34">
            <w:pPr>
              <w:rPr>
                <w:rFonts w:eastAsia="Times New Roman"/>
                <w:sz w:val="20"/>
                <w:szCs w:val="20"/>
              </w:rPr>
            </w:pPr>
            <w:r>
              <w:rPr>
                <w:rFonts w:eastAsia="Times New Roman"/>
                <w:sz w:val="20"/>
                <w:szCs w:val="20"/>
              </w:rPr>
              <w:t> </w:t>
            </w:r>
          </w:p>
        </w:tc>
      </w:tr>
      <w:tr w:rsidR="00000000" w14:paraId="235B906D" w14:textId="77777777">
        <w:trPr>
          <w:tblCellSpacing w:w="0" w:type="dxa"/>
        </w:trPr>
        <w:tc>
          <w:tcPr>
            <w:tcW w:w="1015" w:type="pct"/>
            <w:hideMark/>
          </w:tcPr>
          <w:p w14:paraId="0AB46842" w14:textId="77777777" w:rsidR="00000000" w:rsidRDefault="00322B34">
            <w:pPr>
              <w:rPr>
                <w:rFonts w:eastAsia="Times New Roman"/>
                <w:sz w:val="20"/>
                <w:szCs w:val="20"/>
              </w:rPr>
            </w:pPr>
            <w:r>
              <w:rPr>
                <w:rFonts w:eastAsia="Times New Roman"/>
                <w:sz w:val="20"/>
                <w:szCs w:val="20"/>
              </w:rPr>
              <w:t> </w:t>
            </w:r>
          </w:p>
        </w:tc>
        <w:tc>
          <w:tcPr>
            <w:tcW w:w="725" w:type="pct"/>
            <w:hideMark/>
          </w:tcPr>
          <w:p w14:paraId="461073FC" w14:textId="77777777" w:rsidR="00000000" w:rsidRDefault="00322B34">
            <w:pPr>
              <w:rPr>
                <w:rFonts w:eastAsia="Times New Roman"/>
                <w:sz w:val="20"/>
                <w:szCs w:val="20"/>
              </w:rPr>
            </w:pPr>
            <w:r>
              <w:rPr>
                <w:rFonts w:eastAsia="Times New Roman"/>
                <w:sz w:val="20"/>
                <w:szCs w:val="20"/>
              </w:rPr>
              <w:t> </w:t>
            </w:r>
          </w:p>
        </w:tc>
        <w:tc>
          <w:tcPr>
            <w:tcW w:w="1230" w:type="pct"/>
            <w:hideMark/>
          </w:tcPr>
          <w:p w14:paraId="003E5362" w14:textId="77777777" w:rsidR="00000000" w:rsidRDefault="00322B34">
            <w:pPr>
              <w:rPr>
                <w:rFonts w:eastAsia="Times New Roman"/>
                <w:sz w:val="20"/>
                <w:szCs w:val="20"/>
              </w:rPr>
            </w:pPr>
            <w:r>
              <w:rPr>
                <w:rFonts w:eastAsia="Times New Roman"/>
                <w:sz w:val="20"/>
                <w:szCs w:val="20"/>
              </w:rPr>
              <w:t> </w:t>
            </w:r>
          </w:p>
        </w:tc>
        <w:tc>
          <w:tcPr>
            <w:tcW w:w="2030" w:type="pct"/>
            <w:hideMark/>
          </w:tcPr>
          <w:p w14:paraId="721178FE" w14:textId="77777777" w:rsidR="00000000" w:rsidRDefault="00322B34">
            <w:pPr>
              <w:rPr>
                <w:rFonts w:eastAsia="Times New Roman"/>
                <w:sz w:val="20"/>
                <w:szCs w:val="20"/>
              </w:rPr>
            </w:pPr>
            <w:r>
              <w:rPr>
                <w:rFonts w:eastAsia="Times New Roman"/>
                <w:sz w:val="20"/>
                <w:szCs w:val="20"/>
              </w:rPr>
              <w:t> </w:t>
            </w:r>
          </w:p>
        </w:tc>
      </w:tr>
      <w:tr w:rsidR="00000000" w14:paraId="164427D5" w14:textId="77777777">
        <w:trPr>
          <w:tblCellSpacing w:w="0" w:type="dxa"/>
        </w:trPr>
        <w:tc>
          <w:tcPr>
            <w:tcW w:w="1015" w:type="pct"/>
            <w:hideMark/>
          </w:tcPr>
          <w:p w14:paraId="0AC079E5" w14:textId="77777777" w:rsidR="00000000" w:rsidRDefault="00322B34">
            <w:pPr>
              <w:rPr>
                <w:rFonts w:eastAsia="Times New Roman"/>
                <w:sz w:val="20"/>
                <w:szCs w:val="20"/>
              </w:rPr>
            </w:pPr>
            <w:r>
              <w:rPr>
                <w:rFonts w:eastAsia="Times New Roman"/>
                <w:sz w:val="20"/>
                <w:szCs w:val="20"/>
              </w:rPr>
              <w:t> </w:t>
            </w:r>
          </w:p>
        </w:tc>
        <w:tc>
          <w:tcPr>
            <w:tcW w:w="725" w:type="pct"/>
            <w:hideMark/>
          </w:tcPr>
          <w:p w14:paraId="151106EF" w14:textId="77777777" w:rsidR="00000000" w:rsidRDefault="00322B34">
            <w:pPr>
              <w:rPr>
                <w:rFonts w:eastAsia="Times New Roman"/>
                <w:sz w:val="20"/>
                <w:szCs w:val="20"/>
              </w:rPr>
            </w:pPr>
            <w:r>
              <w:rPr>
                <w:rFonts w:eastAsia="Times New Roman"/>
                <w:sz w:val="20"/>
                <w:szCs w:val="20"/>
              </w:rPr>
              <w:t> </w:t>
            </w:r>
          </w:p>
        </w:tc>
        <w:tc>
          <w:tcPr>
            <w:tcW w:w="1230" w:type="pct"/>
            <w:hideMark/>
          </w:tcPr>
          <w:p w14:paraId="4943AFE7" w14:textId="77777777" w:rsidR="00000000" w:rsidRDefault="00322B34">
            <w:pPr>
              <w:rPr>
                <w:rFonts w:eastAsia="Times New Roman"/>
                <w:sz w:val="20"/>
                <w:szCs w:val="20"/>
              </w:rPr>
            </w:pPr>
            <w:r>
              <w:rPr>
                <w:rFonts w:eastAsia="Times New Roman"/>
                <w:sz w:val="20"/>
                <w:szCs w:val="20"/>
              </w:rPr>
              <w:t> </w:t>
            </w:r>
          </w:p>
        </w:tc>
        <w:tc>
          <w:tcPr>
            <w:tcW w:w="2030" w:type="pct"/>
            <w:hideMark/>
          </w:tcPr>
          <w:p w14:paraId="44C009C8" w14:textId="77777777" w:rsidR="00000000" w:rsidRDefault="00322B34">
            <w:pPr>
              <w:rPr>
                <w:rFonts w:eastAsia="Times New Roman"/>
                <w:sz w:val="20"/>
                <w:szCs w:val="20"/>
              </w:rPr>
            </w:pPr>
            <w:r>
              <w:rPr>
                <w:rFonts w:eastAsia="Times New Roman"/>
                <w:sz w:val="20"/>
                <w:szCs w:val="20"/>
              </w:rPr>
              <w:t> </w:t>
            </w:r>
          </w:p>
        </w:tc>
      </w:tr>
      <w:tr w:rsidR="00000000" w14:paraId="5A0DFEAF" w14:textId="77777777">
        <w:trPr>
          <w:tblCellSpacing w:w="0" w:type="dxa"/>
        </w:trPr>
        <w:tc>
          <w:tcPr>
            <w:tcW w:w="1015" w:type="pct"/>
            <w:hideMark/>
          </w:tcPr>
          <w:p w14:paraId="4FB8D89D" w14:textId="77777777" w:rsidR="00000000" w:rsidRDefault="00322B34">
            <w:pPr>
              <w:pStyle w:val="a3"/>
              <w:spacing w:before="0" w:beforeAutospacing="0" w:after="0" w:afterAutospacing="0"/>
              <w:rPr>
                <w:sz w:val="20"/>
                <w:szCs w:val="20"/>
              </w:rPr>
            </w:pPr>
            <w:r>
              <w:rPr>
                <w:sz w:val="20"/>
                <w:szCs w:val="20"/>
              </w:rPr>
              <w:t>  </w:t>
            </w:r>
          </w:p>
        </w:tc>
        <w:tc>
          <w:tcPr>
            <w:tcW w:w="725" w:type="pct"/>
            <w:hideMark/>
          </w:tcPr>
          <w:p w14:paraId="015AEEC2" w14:textId="77777777" w:rsidR="00000000" w:rsidRDefault="00322B34">
            <w:pPr>
              <w:pStyle w:val="a3"/>
              <w:spacing w:before="0" w:beforeAutospacing="0" w:after="0" w:afterAutospacing="0"/>
              <w:rPr>
                <w:sz w:val="20"/>
                <w:szCs w:val="20"/>
              </w:rPr>
            </w:pPr>
            <w:r>
              <w:rPr>
                <w:sz w:val="20"/>
                <w:szCs w:val="20"/>
              </w:rPr>
              <w:t>  </w:t>
            </w:r>
          </w:p>
        </w:tc>
        <w:tc>
          <w:tcPr>
            <w:tcW w:w="1230" w:type="pct"/>
            <w:hideMark/>
          </w:tcPr>
          <w:p w14:paraId="18863549" w14:textId="77777777" w:rsidR="00000000" w:rsidRDefault="00322B34">
            <w:pPr>
              <w:pStyle w:val="a3"/>
              <w:spacing w:before="0" w:beforeAutospacing="0" w:after="0" w:afterAutospacing="0"/>
              <w:rPr>
                <w:sz w:val="20"/>
                <w:szCs w:val="20"/>
              </w:rPr>
            </w:pPr>
            <w:r>
              <w:rPr>
                <w:sz w:val="20"/>
                <w:szCs w:val="20"/>
              </w:rPr>
              <w:t>  </w:t>
            </w:r>
          </w:p>
        </w:tc>
        <w:tc>
          <w:tcPr>
            <w:tcW w:w="2030" w:type="pct"/>
            <w:hideMark/>
          </w:tcPr>
          <w:p w14:paraId="6FB6FCD2" w14:textId="77777777" w:rsidR="00000000" w:rsidRDefault="00322B34">
            <w:pPr>
              <w:pStyle w:val="a3"/>
              <w:spacing w:before="0" w:beforeAutospacing="0" w:after="0" w:afterAutospacing="0"/>
              <w:rPr>
                <w:sz w:val="20"/>
                <w:szCs w:val="20"/>
              </w:rPr>
            </w:pPr>
            <w:r>
              <w:rPr>
                <w:sz w:val="20"/>
                <w:szCs w:val="20"/>
              </w:rPr>
              <w:t>  </w:t>
            </w:r>
          </w:p>
        </w:tc>
      </w:tr>
      <w:tr w:rsidR="00000000" w14:paraId="2BA1D017" w14:textId="77777777">
        <w:trPr>
          <w:tblCellSpacing w:w="0" w:type="dxa"/>
        </w:trPr>
        <w:tc>
          <w:tcPr>
            <w:tcW w:w="1015" w:type="pct"/>
            <w:tcBorders>
              <w:bottom w:val="single" w:sz="6" w:space="0" w:color="000000"/>
            </w:tcBorders>
            <w:hideMark/>
          </w:tcPr>
          <w:p w14:paraId="65F06181" w14:textId="77777777" w:rsidR="00000000" w:rsidRDefault="00322B34">
            <w:pPr>
              <w:pStyle w:val="a3"/>
              <w:spacing w:before="0" w:beforeAutospacing="0" w:after="0" w:afterAutospacing="0"/>
              <w:rPr>
                <w:sz w:val="20"/>
                <w:szCs w:val="20"/>
              </w:rPr>
            </w:pPr>
            <w:r>
              <w:rPr>
                <w:sz w:val="20"/>
                <w:szCs w:val="20"/>
              </w:rPr>
              <w:t>August 7, 2020</w:t>
            </w:r>
          </w:p>
        </w:tc>
        <w:tc>
          <w:tcPr>
            <w:tcW w:w="725" w:type="pct"/>
            <w:hideMark/>
          </w:tcPr>
          <w:p w14:paraId="51D97B36" w14:textId="77777777" w:rsidR="00000000" w:rsidRDefault="00322B34">
            <w:pPr>
              <w:pStyle w:val="a3"/>
              <w:spacing w:before="0" w:beforeAutospacing="0" w:after="0" w:afterAutospacing="0"/>
              <w:rPr>
                <w:sz w:val="20"/>
                <w:szCs w:val="20"/>
              </w:rPr>
            </w:pPr>
            <w:r>
              <w:rPr>
                <w:sz w:val="20"/>
                <w:szCs w:val="20"/>
              </w:rPr>
              <w:t>  </w:t>
            </w:r>
          </w:p>
        </w:tc>
        <w:tc>
          <w:tcPr>
            <w:tcW w:w="1230" w:type="pct"/>
            <w:hideMark/>
          </w:tcPr>
          <w:p w14:paraId="1F58AF4B" w14:textId="77777777" w:rsidR="00000000" w:rsidRDefault="00322B34">
            <w:pPr>
              <w:pStyle w:val="a3"/>
              <w:spacing w:before="0" w:beforeAutospacing="0" w:after="0" w:afterAutospacing="0"/>
              <w:rPr>
                <w:sz w:val="20"/>
                <w:szCs w:val="20"/>
              </w:rPr>
            </w:pPr>
            <w:r>
              <w:rPr>
                <w:sz w:val="20"/>
                <w:szCs w:val="20"/>
              </w:rPr>
              <w:t>  </w:t>
            </w:r>
          </w:p>
        </w:tc>
        <w:tc>
          <w:tcPr>
            <w:tcW w:w="2030" w:type="pct"/>
            <w:tcBorders>
              <w:bottom w:val="single" w:sz="6" w:space="0" w:color="000000"/>
            </w:tcBorders>
            <w:hideMark/>
          </w:tcPr>
          <w:p w14:paraId="2849A092" w14:textId="77777777" w:rsidR="00000000" w:rsidRDefault="00322B34">
            <w:pPr>
              <w:pStyle w:val="a3"/>
              <w:spacing w:before="0" w:beforeAutospacing="0" w:after="0" w:afterAutospacing="0"/>
              <w:rPr>
                <w:sz w:val="20"/>
                <w:szCs w:val="20"/>
              </w:rPr>
            </w:pPr>
            <w:r>
              <w:rPr>
                <w:sz w:val="20"/>
                <w:szCs w:val="20"/>
              </w:rPr>
              <w:t>/s/ Conor C. Flynn</w:t>
            </w:r>
          </w:p>
        </w:tc>
      </w:tr>
      <w:tr w:rsidR="00000000" w14:paraId="399F9AAB" w14:textId="77777777">
        <w:trPr>
          <w:tblCellSpacing w:w="0" w:type="dxa"/>
        </w:trPr>
        <w:tc>
          <w:tcPr>
            <w:tcW w:w="1015" w:type="pct"/>
            <w:hideMark/>
          </w:tcPr>
          <w:p w14:paraId="79B8CE08" w14:textId="77777777" w:rsidR="00000000" w:rsidRDefault="00322B34">
            <w:pPr>
              <w:pStyle w:val="a3"/>
              <w:spacing w:before="0" w:beforeAutospacing="0" w:after="0" w:afterAutospacing="0"/>
              <w:rPr>
                <w:sz w:val="20"/>
                <w:szCs w:val="20"/>
              </w:rPr>
            </w:pPr>
            <w:r>
              <w:rPr>
                <w:sz w:val="20"/>
                <w:szCs w:val="20"/>
              </w:rPr>
              <w:t>(Date)</w:t>
            </w:r>
          </w:p>
        </w:tc>
        <w:tc>
          <w:tcPr>
            <w:tcW w:w="725" w:type="pct"/>
            <w:hideMark/>
          </w:tcPr>
          <w:p w14:paraId="41C4F447" w14:textId="77777777" w:rsidR="00000000" w:rsidRDefault="00322B34">
            <w:pPr>
              <w:pStyle w:val="a3"/>
              <w:spacing w:before="0" w:beforeAutospacing="0" w:after="0" w:afterAutospacing="0"/>
              <w:rPr>
                <w:sz w:val="20"/>
                <w:szCs w:val="20"/>
              </w:rPr>
            </w:pPr>
            <w:r>
              <w:rPr>
                <w:sz w:val="20"/>
                <w:szCs w:val="20"/>
              </w:rPr>
              <w:t>  </w:t>
            </w:r>
          </w:p>
        </w:tc>
        <w:tc>
          <w:tcPr>
            <w:tcW w:w="1230" w:type="pct"/>
            <w:hideMark/>
          </w:tcPr>
          <w:p w14:paraId="3BDC2CDF" w14:textId="77777777" w:rsidR="00000000" w:rsidRDefault="00322B34">
            <w:pPr>
              <w:pStyle w:val="a3"/>
              <w:spacing w:before="0" w:beforeAutospacing="0" w:after="0" w:afterAutospacing="0"/>
              <w:rPr>
                <w:sz w:val="20"/>
                <w:szCs w:val="20"/>
              </w:rPr>
            </w:pPr>
            <w:r>
              <w:rPr>
                <w:sz w:val="20"/>
                <w:szCs w:val="20"/>
              </w:rPr>
              <w:t>  </w:t>
            </w:r>
          </w:p>
        </w:tc>
        <w:tc>
          <w:tcPr>
            <w:tcW w:w="2030" w:type="pct"/>
            <w:hideMark/>
          </w:tcPr>
          <w:p w14:paraId="08B24221" w14:textId="77777777" w:rsidR="00000000" w:rsidRDefault="00322B34">
            <w:pPr>
              <w:pStyle w:val="a3"/>
              <w:spacing w:before="0" w:beforeAutospacing="0" w:after="0" w:afterAutospacing="0"/>
              <w:rPr>
                <w:sz w:val="20"/>
                <w:szCs w:val="20"/>
              </w:rPr>
            </w:pPr>
            <w:r>
              <w:rPr>
                <w:sz w:val="20"/>
                <w:szCs w:val="20"/>
              </w:rPr>
              <w:t>Conor C. Flynn</w:t>
            </w:r>
          </w:p>
        </w:tc>
      </w:tr>
      <w:tr w:rsidR="00000000" w14:paraId="6F8F4028" w14:textId="77777777">
        <w:trPr>
          <w:tblCellSpacing w:w="0" w:type="dxa"/>
        </w:trPr>
        <w:tc>
          <w:tcPr>
            <w:tcW w:w="1015" w:type="pct"/>
            <w:hideMark/>
          </w:tcPr>
          <w:p w14:paraId="3AFD722E" w14:textId="77777777" w:rsidR="00000000" w:rsidRDefault="00322B34">
            <w:pPr>
              <w:pStyle w:val="a3"/>
              <w:spacing w:before="0" w:beforeAutospacing="0" w:after="0" w:afterAutospacing="0"/>
              <w:rPr>
                <w:sz w:val="20"/>
                <w:szCs w:val="20"/>
              </w:rPr>
            </w:pPr>
            <w:r>
              <w:rPr>
                <w:sz w:val="20"/>
                <w:szCs w:val="20"/>
              </w:rPr>
              <w:t>  </w:t>
            </w:r>
          </w:p>
        </w:tc>
        <w:tc>
          <w:tcPr>
            <w:tcW w:w="725" w:type="pct"/>
            <w:hideMark/>
          </w:tcPr>
          <w:p w14:paraId="2812234F" w14:textId="77777777" w:rsidR="00000000" w:rsidRDefault="00322B34">
            <w:pPr>
              <w:pStyle w:val="a3"/>
              <w:spacing w:before="0" w:beforeAutospacing="0" w:after="0" w:afterAutospacing="0"/>
              <w:rPr>
                <w:sz w:val="20"/>
                <w:szCs w:val="20"/>
              </w:rPr>
            </w:pPr>
            <w:r>
              <w:rPr>
                <w:sz w:val="20"/>
                <w:szCs w:val="20"/>
              </w:rPr>
              <w:t>  </w:t>
            </w:r>
          </w:p>
        </w:tc>
        <w:tc>
          <w:tcPr>
            <w:tcW w:w="1230" w:type="pct"/>
            <w:hideMark/>
          </w:tcPr>
          <w:p w14:paraId="5AE143F2" w14:textId="77777777" w:rsidR="00000000" w:rsidRDefault="00322B34">
            <w:pPr>
              <w:pStyle w:val="a3"/>
              <w:spacing w:before="0" w:beforeAutospacing="0" w:after="0" w:afterAutospacing="0"/>
              <w:rPr>
                <w:sz w:val="20"/>
                <w:szCs w:val="20"/>
              </w:rPr>
            </w:pPr>
            <w:r>
              <w:rPr>
                <w:sz w:val="20"/>
                <w:szCs w:val="20"/>
              </w:rPr>
              <w:t>  </w:t>
            </w:r>
          </w:p>
        </w:tc>
        <w:tc>
          <w:tcPr>
            <w:tcW w:w="2030" w:type="pct"/>
            <w:hideMark/>
          </w:tcPr>
          <w:p w14:paraId="0EF8883D" w14:textId="77777777" w:rsidR="00000000" w:rsidRDefault="00322B34">
            <w:pPr>
              <w:pStyle w:val="a3"/>
              <w:spacing w:before="0" w:beforeAutospacing="0" w:after="0" w:afterAutospacing="0"/>
              <w:rPr>
                <w:sz w:val="20"/>
                <w:szCs w:val="20"/>
              </w:rPr>
            </w:pPr>
            <w:r>
              <w:rPr>
                <w:sz w:val="20"/>
                <w:szCs w:val="20"/>
              </w:rPr>
              <w:t>Chief Executive Officer</w:t>
            </w:r>
          </w:p>
        </w:tc>
      </w:tr>
      <w:tr w:rsidR="00000000" w14:paraId="7997B774" w14:textId="77777777">
        <w:trPr>
          <w:tblCellSpacing w:w="0" w:type="dxa"/>
        </w:trPr>
        <w:tc>
          <w:tcPr>
            <w:tcW w:w="1015" w:type="pct"/>
            <w:hideMark/>
          </w:tcPr>
          <w:p w14:paraId="659D40FB" w14:textId="77777777" w:rsidR="00000000" w:rsidRDefault="00322B34">
            <w:pPr>
              <w:pStyle w:val="a3"/>
              <w:spacing w:before="0" w:beforeAutospacing="0" w:after="0" w:afterAutospacing="0"/>
              <w:rPr>
                <w:sz w:val="20"/>
                <w:szCs w:val="20"/>
              </w:rPr>
            </w:pPr>
            <w:r>
              <w:rPr>
                <w:sz w:val="20"/>
                <w:szCs w:val="20"/>
              </w:rPr>
              <w:t>  </w:t>
            </w:r>
          </w:p>
        </w:tc>
        <w:tc>
          <w:tcPr>
            <w:tcW w:w="725" w:type="pct"/>
            <w:hideMark/>
          </w:tcPr>
          <w:p w14:paraId="5CD2C02A" w14:textId="77777777" w:rsidR="00000000" w:rsidRDefault="00322B34">
            <w:pPr>
              <w:pStyle w:val="a3"/>
              <w:spacing w:before="0" w:beforeAutospacing="0" w:after="0" w:afterAutospacing="0"/>
              <w:rPr>
                <w:sz w:val="20"/>
                <w:szCs w:val="20"/>
              </w:rPr>
            </w:pPr>
            <w:r>
              <w:rPr>
                <w:sz w:val="20"/>
                <w:szCs w:val="20"/>
              </w:rPr>
              <w:t>  </w:t>
            </w:r>
          </w:p>
        </w:tc>
        <w:tc>
          <w:tcPr>
            <w:tcW w:w="1230" w:type="pct"/>
            <w:hideMark/>
          </w:tcPr>
          <w:p w14:paraId="1C22E314" w14:textId="77777777" w:rsidR="00000000" w:rsidRDefault="00322B34">
            <w:pPr>
              <w:pStyle w:val="a3"/>
              <w:spacing w:before="0" w:beforeAutospacing="0" w:after="0" w:afterAutospacing="0"/>
              <w:rPr>
                <w:sz w:val="20"/>
                <w:szCs w:val="20"/>
              </w:rPr>
            </w:pPr>
            <w:r>
              <w:rPr>
                <w:sz w:val="20"/>
                <w:szCs w:val="20"/>
              </w:rPr>
              <w:t>  </w:t>
            </w:r>
          </w:p>
        </w:tc>
        <w:tc>
          <w:tcPr>
            <w:tcW w:w="2030" w:type="pct"/>
            <w:hideMark/>
          </w:tcPr>
          <w:p w14:paraId="016E2540" w14:textId="77777777" w:rsidR="00000000" w:rsidRDefault="00322B34">
            <w:pPr>
              <w:pStyle w:val="a3"/>
              <w:spacing w:before="0" w:beforeAutospacing="0" w:after="0" w:afterAutospacing="0"/>
              <w:rPr>
                <w:sz w:val="20"/>
                <w:szCs w:val="20"/>
              </w:rPr>
            </w:pPr>
            <w:r>
              <w:rPr>
                <w:sz w:val="20"/>
                <w:szCs w:val="20"/>
              </w:rPr>
              <w:t>  </w:t>
            </w:r>
          </w:p>
        </w:tc>
      </w:tr>
      <w:tr w:rsidR="00000000" w14:paraId="0F92C1C8" w14:textId="77777777">
        <w:trPr>
          <w:tblCellSpacing w:w="0" w:type="dxa"/>
        </w:trPr>
        <w:tc>
          <w:tcPr>
            <w:tcW w:w="1015" w:type="pct"/>
            <w:hideMark/>
          </w:tcPr>
          <w:p w14:paraId="4C65C79D" w14:textId="77777777" w:rsidR="00000000" w:rsidRDefault="00322B34">
            <w:pPr>
              <w:pStyle w:val="a3"/>
              <w:spacing w:before="0" w:beforeAutospacing="0" w:after="0" w:afterAutospacing="0"/>
              <w:rPr>
                <w:sz w:val="20"/>
                <w:szCs w:val="20"/>
              </w:rPr>
            </w:pPr>
            <w:r>
              <w:rPr>
                <w:sz w:val="20"/>
                <w:szCs w:val="20"/>
              </w:rPr>
              <w:t>  </w:t>
            </w:r>
          </w:p>
        </w:tc>
        <w:tc>
          <w:tcPr>
            <w:tcW w:w="725" w:type="pct"/>
            <w:hideMark/>
          </w:tcPr>
          <w:p w14:paraId="77A7BBC2" w14:textId="77777777" w:rsidR="00000000" w:rsidRDefault="00322B34">
            <w:pPr>
              <w:pStyle w:val="a3"/>
              <w:spacing w:before="0" w:beforeAutospacing="0" w:after="0" w:afterAutospacing="0"/>
              <w:rPr>
                <w:sz w:val="20"/>
                <w:szCs w:val="20"/>
              </w:rPr>
            </w:pPr>
            <w:r>
              <w:rPr>
                <w:sz w:val="20"/>
                <w:szCs w:val="20"/>
              </w:rPr>
              <w:t>  </w:t>
            </w:r>
          </w:p>
        </w:tc>
        <w:tc>
          <w:tcPr>
            <w:tcW w:w="1230" w:type="pct"/>
            <w:hideMark/>
          </w:tcPr>
          <w:p w14:paraId="78DAE6A0" w14:textId="77777777" w:rsidR="00000000" w:rsidRDefault="00322B34">
            <w:pPr>
              <w:pStyle w:val="a3"/>
              <w:spacing w:before="0" w:beforeAutospacing="0" w:after="0" w:afterAutospacing="0"/>
              <w:rPr>
                <w:sz w:val="20"/>
                <w:szCs w:val="20"/>
              </w:rPr>
            </w:pPr>
            <w:r>
              <w:rPr>
                <w:sz w:val="20"/>
                <w:szCs w:val="20"/>
              </w:rPr>
              <w:t>  </w:t>
            </w:r>
          </w:p>
        </w:tc>
        <w:tc>
          <w:tcPr>
            <w:tcW w:w="2030" w:type="pct"/>
            <w:hideMark/>
          </w:tcPr>
          <w:p w14:paraId="00CE90B9" w14:textId="77777777" w:rsidR="00000000" w:rsidRDefault="00322B34">
            <w:pPr>
              <w:pStyle w:val="a3"/>
              <w:spacing w:before="0" w:beforeAutospacing="0" w:after="0" w:afterAutospacing="0"/>
              <w:rPr>
                <w:sz w:val="20"/>
                <w:szCs w:val="20"/>
              </w:rPr>
            </w:pPr>
            <w:r>
              <w:rPr>
                <w:sz w:val="20"/>
                <w:szCs w:val="20"/>
              </w:rPr>
              <w:t>  </w:t>
            </w:r>
          </w:p>
        </w:tc>
      </w:tr>
      <w:tr w:rsidR="00000000" w14:paraId="2E2193D8" w14:textId="77777777">
        <w:trPr>
          <w:tblCellSpacing w:w="0" w:type="dxa"/>
        </w:trPr>
        <w:tc>
          <w:tcPr>
            <w:tcW w:w="1015" w:type="pct"/>
            <w:tcBorders>
              <w:bottom w:val="single" w:sz="6" w:space="0" w:color="000000"/>
            </w:tcBorders>
            <w:hideMark/>
          </w:tcPr>
          <w:p w14:paraId="0C20CE75" w14:textId="77777777" w:rsidR="00000000" w:rsidRDefault="00322B34">
            <w:pPr>
              <w:pStyle w:val="a3"/>
              <w:spacing w:before="0" w:beforeAutospacing="0" w:after="0" w:afterAutospacing="0"/>
              <w:rPr>
                <w:sz w:val="20"/>
                <w:szCs w:val="20"/>
              </w:rPr>
            </w:pPr>
            <w:r>
              <w:rPr>
                <w:sz w:val="20"/>
                <w:szCs w:val="20"/>
              </w:rPr>
              <w:t>August 7, 2020</w:t>
            </w:r>
          </w:p>
        </w:tc>
        <w:tc>
          <w:tcPr>
            <w:tcW w:w="725" w:type="pct"/>
            <w:hideMark/>
          </w:tcPr>
          <w:p w14:paraId="619D1157" w14:textId="77777777" w:rsidR="00000000" w:rsidRDefault="00322B34">
            <w:pPr>
              <w:pStyle w:val="a3"/>
              <w:spacing w:before="0" w:beforeAutospacing="0" w:after="0" w:afterAutospacing="0"/>
              <w:rPr>
                <w:sz w:val="20"/>
                <w:szCs w:val="20"/>
              </w:rPr>
            </w:pPr>
            <w:r>
              <w:rPr>
                <w:sz w:val="20"/>
                <w:szCs w:val="20"/>
              </w:rPr>
              <w:t>  </w:t>
            </w:r>
          </w:p>
        </w:tc>
        <w:tc>
          <w:tcPr>
            <w:tcW w:w="1230" w:type="pct"/>
            <w:hideMark/>
          </w:tcPr>
          <w:p w14:paraId="61AF2CF4" w14:textId="77777777" w:rsidR="00000000" w:rsidRDefault="00322B34">
            <w:pPr>
              <w:pStyle w:val="a3"/>
              <w:spacing w:before="0" w:beforeAutospacing="0" w:after="0" w:afterAutospacing="0"/>
              <w:rPr>
                <w:sz w:val="20"/>
                <w:szCs w:val="20"/>
              </w:rPr>
            </w:pPr>
            <w:r>
              <w:rPr>
                <w:sz w:val="20"/>
                <w:szCs w:val="20"/>
              </w:rPr>
              <w:t>  </w:t>
            </w:r>
          </w:p>
        </w:tc>
        <w:tc>
          <w:tcPr>
            <w:tcW w:w="2030" w:type="pct"/>
            <w:tcBorders>
              <w:bottom w:val="single" w:sz="6" w:space="0" w:color="000000"/>
            </w:tcBorders>
            <w:hideMark/>
          </w:tcPr>
          <w:p w14:paraId="185C75D8" w14:textId="77777777" w:rsidR="00000000" w:rsidRDefault="00322B34">
            <w:pPr>
              <w:pStyle w:val="a3"/>
              <w:spacing w:before="0" w:beforeAutospacing="0" w:after="0" w:afterAutospacing="0"/>
              <w:rPr>
                <w:sz w:val="20"/>
                <w:szCs w:val="20"/>
              </w:rPr>
            </w:pPr>
            <w:r>
              <w:rPr>
                <w:sz w:val="20"/>
                <w:szCs w:val="20"/>
              </w:rPr>
              <w:t>/s/ Glenn G. Cohen</w:t>
            </w:r>
          </w:p>
        </w:tc>
      </w:tr>
      <w:tr w:rsidR="00000000" w14:paraId="71A1D9EB" w14:textId="77777777">
        <w:trPr>
          <w:tblCellSpacing w:w="0" w:type="dxa"/>
        </w:trPr>
        <w:tc>
          <w:tcPr>
            <w:tcW w:w="1015" w:type="pct"/>
            <w:hideMark/>
          </w:tcPr>
          <w:p w14:paraId="59319E08" w14:textId="77777777" w:rsidR="00000000" w:rsidRDefault="00322B34">
            <w:pPr>
              <w:pStyle w:val="a3"/>
              <w:spacing w:before="0" w:beforeAutospacing="0" w:after="0" w:afterAutospacing="0"/>
              <w:rPr>
                <w:sz w:val="20"/>
                <w:szCs w:val="20"/>
              </w:rPr>
            </w:pPr>
            <w:r>
              <w:rPr>
                <w:sz w:val="20"/>
                <w:szCs w:val="20"/>
              </w:rPr>
              <w:t>(Date)</w:t>
            </w:r>
          </w:p>
        </w:tc>
        <w:tc>
          <w:tcPr>
            <w:tcW w:w="725" w:type="pct"/>
            <w:hideMark/>
          </w:tcPr>
          <w:p w14:paraId="5F888D91" w14:textId="77777777" w:rsidR="00000000" w:rsidRDefault="00322B34">
            <w:pPr>
              <w:pStyle w:val="a3"/>
              <w:spacing w:before="0" w:beforeAutospacing="0" w:after="0" w:afterAutospacing="0"/>
              <w:rPr>
                <w:sz w:val="20"/>
                <w:szCs w:val="20"/>
              </w:rPr>
            </w:pPr>
            <w:r>
              <w:rPr>
                <w:sz w:val="20"/>
                <w:szCs w:val="20"/>
              </w:rPr>
              <w:t>  </w:t>
            </w:r>
          </w:p>
        </w:tc>
        <w:tc>
          <w:tcPr>
            <w:tcW w:w="1230" w:type="pct"/>
            <w:hideMark/>
          </w:tcPr>
          <w:p w14:paraId="14ABECC3" w14:textId="77777777" w:rsidR="00000000" w:rsidRDefault="00322B34">
            <w:pPr>
              <w:pStyle w:val="a3"/>
              <w:spacing w:before="0" w:beforeAutospacing="0" w:after="0" w:afterAutospacing="0"/>
              <w:rPr>
                <w:sz w:val="20"/>
                <w:szCs w:val="20"/>
              </w:rPr>
            </w:pPr>
            <w:r>
              <w:rPr>
                <w:sz w:val="20"/>
                <w:szCs w:val="20"/>
              </w:rPr>
              <w:t>  </w:t>
            </w:r>
          </w:p>
        </w:tc>
        <w:tc>
          <w:tcPr>
            <w:tcW w:w="2030" w:type="pct"/>
            <w:hideMark/>
          </w:tcPr>
          <w:p w14:paraId="22A6BCB3" w14:textId="77777777" w:rsidR="00000000" w:rsidRDefault="00322B34">
            <w:pPr>
              <w:pStyle w:val="a3"/>
              <w:spacing w:before="0" w:beforeAutospacing="0" w:after="0" w:afterAutospacing="0"/>
              <w:rPr>
                <w:sz w:val="20"/>
                <w:szCs w:val="20"/>
              </w:rPr>
            </w:pPr>
            <w:r>
              <w:rPr>
                <w:sz w:val="20"/>
                <w:szCs w:val="20"/>
              </w:rPr>
              <w:t>Glenn G. Cohen</w:t>
            </w:r>
          </w:p>
        </w:tc>
      </w:tr>
      <w:tr w:rsidR="00000000" w14:paraId="3E48C25F" w14:textId="77777777">
        <w:trPr>
          <w:tblCellSpacing w:w="0" w:type="dxa"/>
        </w:trPr>
        <w:tc>
          <w:tcPr>
            <w:tcW w:w="1015" w:type="pct"/>
            <w:hideMark/>
          </w:tcPr>
          <w:p w14:paraId="693203BB" w14:textId="77777777" w:rsidR="00000000" w:rsidRDefault="00322B34">
            <w:pPr>
              <w:pStyle w:val="a3"/>
              <w:spacing w:before="0" w:beforeAutospacing="0" w:after="0" w:afterAutospacing="0"/>
              <w:rPr>
                <w:sz w:val="20"/>
                <w:szCs w:val="20"/>
              </w:rPr>
            </w:pPr>
            <w:r>
              <w:rPr>
                <w:sz w:val="20"/>
                <w:szCs w:val="20"/>
              </w:rPr>
              <w:t>  </w:t>
            </w:r>
          </w:p>
        </w:tc>
        <w:tc>
          <w:tcPr>
            <w:tcW w:w="725" w:type="pct"/>
            <w:hideMark/>
          </w:tcPr>
          <w:p w14:paraId="3EC60469" w14:textId="77777777" w:rsidR="00000000" w:rsidRDefault="00322B34">
            <w:pPr>
              <w:pStyle w:val="a3"/>
              <w:spacing w:before="0" w:beforeAutospacing="0" w:after="0" w:afterAutospacing="0"/>
              <w:rPr>
                <w:sz w:val="20"/>
                <w:szCs w:val="20"/>
              </w:rPr>
            </w:pPr>
            <w:r>
              <w:rPr>
                <w:sz w:val="20"/>
                <w:szCs w:val="20"/>
              </w:rPr>
              <w:t>  </w:t>
            </w:r>
          </w:p>
        </w:tc>
        <w:tc>
          <w:tcPr>
            <w:tcW w:w="1230" w:type="pct"/>
            <w:hideMark/>
          </w:tcPr>
          <w:p w14:paraId="4DA40410" w14:textId="77777777" w:rsidR="00000000" w:rsidRDefault="00322B34">
            <w:pPr>
              <w:pStyle w:val="a3"/>
              <w:spacing w:before="0" w:beforeAutospacing="0" w:after="0" w:afterAutospacing="0"/>
              <w:rPr>
                <w:sz w:val="20"/>
                <w:szCs w:val="20"/>
              </w:rPr>
            </w:pPr>
            <w:r>
              <w:rPr>
                <w:sz w:val="20"/>
                <w:szCs w:val="20"/>
              </w:rPr>
              <w:t>  </w:t>
            </w:r>
          </w:p>
        </w:tc>
        <w:tc>
          <w:tcPr>
            <w:tcW w:w="2030" w:type="pct"/>
            <w:hideMark/>
          </w:tcPr>
          <w:p w14:paraId="283CC470" w14:textId="77777777" w:rsidR="00000000" w:rsidRDefault="00322B34">
            <w:pPr>
              <w:pStyle w:val="a3"/>
              <w:spacing w:before="0" w:beforeAutospacing="0" w:after="0" w:afterAutospacing="0"/>
              <w:rPr>
                <w:sz w:val="20"/>
                <w:szCs w:val="20"/>
              </w:rPr>
            </w:pPr>
            <w:r>
              <w:rPr>
                <w:sz w:val="20"/>
                <w:szCs w:val="20"/>
              </w:rPr>
              <w:t>Chief Financial Officer</w:t>
            </w:r>
          </w:p>
        </w:tc>
      </w:tr>
    </w:tbl>
    <w:p w14:paraId="08558D82" w14:textId="77777777" w:rsidR="00000000" w:rsidRDefault="00322B34">
      <w:pPr>
        <w:pStyle w:val="a3"/>
        <w:spacing w:before="0" w:beforeAutospacing="0" w:after="0" w:afterAutospacing="0"/>
        <w:rPr>
          <w:sz w:val="20"/>
          <w:szCs w:val="20"/>
        </w:rPr>
      </w:pPr>
      <w:r>
        <w:rPr>
          <w:sz w:val="20"/>
          <w:szCs w:val="20"/>
        </w:rPr>
        <w:t> </w:t>
      </w:r>
    </w:p>
    <w:p w14:paraId="55226348" w14:textId="77777777" w:rsidR="00000000" w:rsidRDefault="00322B34">
      <w:pPr>
        <w:pStyle w:val="a3"/>
        <w:spacing w:before="0" w:beforeAutospacing="0" w:after="0" w:afterAutospacing="0"/>
        <w:rPr>
          <w:sz w:val="20"/>
          <w:szCs w:val="20"/>
        </w:rPr>
      </w:pPr>
      <w:r>
        <w:rPr>
          <w:sz w:val="20"/>
          <w:szCs w:val="20"/>
        </w:rPr>
        <w:t> </w:t>
      </w:r>
    </w:p>
    <w:p w14:paraId="23479DB2" w14:textId="77777777" w:rsidR="00322B34" w:rsidRDefault="00322B34">
      <w:pPr>
        <w:jc w:val="center"/>
        <w:divId w:val="1956475237"/>
        <w:rPr>
          <w:rFonts w:eastAsia="Times New Roman"/>
          <w:sz w:val="20"/>
          <w:szCs w:val="20"/>
        </w:rPr>
      </w:pPr>
      <w:r>
        <w:rPr>
          <w:rFonts w:eastAsia="Times New Roman"/>
          <w:sz w:val="20"/>
          <w:szCs w:val="20"/>
        </w:rPr>
        <w:t xml:space="preserve">37 </w:t>
      </w:r>
    </w:p>
    <w:sectPr w:rsidR="00322B3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22B34"/>
    <w:rsid w:val="00322B34"/>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fasb.org/srt-types/2017-01-31"/>
  <w:attachedSchema w:val="http://www.xbrl.org/2009/utr"/>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www.kimcorealty.com/20200630"/>
  <w:attachedSchema w:val="http://xbrl.sec.gov/currency/2020-01-31"/>
  <w:attachedSchema w:val="http://fasb.org/srt/2020-01-31"/>
  <w:attachedSchema w:val="http://xbrl.sec.gov/rr/2018-01-31"/>
  <w:attachedSchema w:val="http://fasb.org/us-gaap/2020-01-31"/>
  <w:attachedSchema w:val="http://xbrl.sec.gov/sic/2020-01-31"/>
  <w:attachedSchema w:val="http://xbrl.sec.gov/exch/2020-01-31"/>
  <w:attachedSchema w:val="http://xbrl.sec.gov/country/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C7CEE"/>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07">
      <w:marLeft w:val="0"/>
      <w:marRight w:val="0"/>
      <w:marTop w:val="0"/>
      <w:marBottom w:val="0"/>
      <w:divBdr>
        <w:top w:val="none" w:sz="0" w:space="0" w:color="auto"/>
        <w:left w:val="none" w:sz="0" w:space="0" w:color="auto"/>
        <w:bottom w:val="none" w:sz="0" w:space="0" w:color="auto"/>
        <w:right w:val="none" w:sz="0" w:space="0" w:color="auto"/>
      </w:divBdr>
    </w:div>
    <w:div w:id="15543851">
      <w:marLeft w:val="0"/>
      <w:marRight w:val="0"/>
      <w:marTop w:val="0"/>
      <w:marBottom w:val="0"/>
      <w:divBdr>
        <w:top w:val="none" w:sz="0" w:space="0" w:color="auto"/>
        <w:left w:val="none" w:sz="0" w:space="0" w:color="auto"/>
        <w:bottom w:val="none" w:sz="0" w:space="0" w:color="auto"/>
        <w:right w:val="none" w:sz="0" w:space="0" w:color="auto"/>
      </w:divBdr>
    </w:div>
    <w:div w:id="15734364">
      <w:marLeft w:val="0"/>
      <w:marRight w:val="0"/>
      <w:marTop w:val="0"/>
      <w:marBottom w:val="0"/>
      <w:divBdr>
        <w:top w:val="none" w:sz="0" w:space="0" w:color="auto"/>
        <w:left w:val="none" w:sz="0" w:space="0" w:color="auto"/>
        <w:bottom w:val="none" w:sz="0" w:space="0" w:color="auto"/>
        <w:right w:val="none" w:sz="0" w:space="0" w:color="auto"/>
      </w:divBdr>
      <w:divsChild>
        <w:div w:id="260067565">
          <w:marLeft w:val="0"/>
          <w:marRight w:val="0"/>
          <w:marTop w:val="0"/>
          <w:marBottom w:val="0"/>
          <w:divBdr>
            <w:top w:val="none" w:sz="0" w:space="0" w:color="auto"/>
            <w:left w:val="none" w:sz="0" w:space="0" w:color="auto"/>
            <w:bottom w:val="none" w:sz="0" w:space="0" w:color="auto"/>
            <w:right w:val="none" w:sz="0" w:space="0" w:color="auto"/>
          </w:divBdr>
        </w:div>
        <w:div w:id="870531747">
          <w:marLeft w:val="0"/>
          <w:marRight w:val="0"/>
          <w:marTop w:val="0"/>
          <w:marBottom w:val="0"/>
          <w:divBdr>
            <w:top w:val="none" w:sz="0" w:space="0" w:color="auto"/>
            <w:left w:val="none" w:sz="0" w:space="0" w:color="auto"/>
            <w:bottom w:val="none" w:sz="0" w:space="0" w:color="auto"/>
            <w:right w:val="none" w:sz="0" w:space="0" w:color="auto"/>
          </w:divBdr>
        </w:div>
      </w:divsChild>
    </w:div>
    <w:div w:id="22873815">
      <w:marLeft w:val="0"/>
      <w:marRight w:val="0"/>
      <w:marTop w:val="0"/>
      <w:marBottom w:val="0"/>
      <w:divBdr>
        <w:top w:val="none" w:sz="0" w:space="0" w:color="auto"/>
        <w:left w:val="none" w:sz="0" w:space="0" w:color="auto"/>
        <w:bottom w:val="none" w:sz="0" w:space="0" w:color="auto"/>
        <w:right w:val="none" w:sz="0" w:space="0" w:color="auto"/>
      </w:divBdr>
    </w:div>
    <w:div w:id="34695423">
      <w:marLeft w:val="0"/>
      <w:marRight w:val="0"/>
      <w:marTop w:val="0"/>
      <w:marBottom w:val="0"/>
      <w:divBdr>
        <w:top w:val="none" w:sz="0" w:space="0" w:color="auto"/>
        <w:left w:val="none" w:sz="0" w:space="0" w:color="auto"/>
        <w:bottom w:val="none" w:sz="0" w:space="0" w:color="auto"/>
        <w:right w:val="none" w:sz="0" w:space="0" w:color="auto"/>
      </w:divBdr>
    </w:div>
    <w:div w:id="35590974">
      <w:marLeft w:val="0"/>
      <w:marRight w:val="0"/>
      <w:marTop w:val="0"/>
      <w:marBottom w:val="0"/>
      <w:divBdr>
        <w:top w:val="none" w:sz="0" w:space="0" w:color="auto"/>
        <w:left w:val="none" w:sz="0" w:space="0" w:color="auto"/>
        <w:bottom w:val="none" w:sz="0" w:space="0" w:color="auto"/>
        <w:right w:val="none" w:sz="0" w:space="0" w:color="auto"/>
      </w:divBdr>
    </w:div>
    <w:div w:id="45447007">
      <w:marLeft w:val="0"/>
      <w:marRight w:val="0"/>
      <w:marTop w:val="0"/>
      <w:marBottom w:val="0"/>
      <w:divBdr>
        <w:top w:val="none" w:sz="0" w:space="0" w:color="auto"/>
        <w:left w:val="none" w:sz="0" w:space="0" w:color="auto"/>
        <w:bottom w:val="none" w:sz="0" w:space="0" w:color="auto"/>
        <w:right w:val="none" w:sz="0" w:space="0" w:color="auto"/>
      </w:divBdr>
    </w:div>
    <w:div w:id="61762102">
      <w:marLeft w:val="0"/>
      <w:marRight w:val="0"/>
      <w:marTop w:val="0"/>
      <w:marBottom w:val="0"/>
      <w:divBdr>
        <w:top w:val="none" w:sz="0" w:space="0" w:color="auto"/>
        <w:left w:val="none" w:sz="0" w:space="0" w:color="auto"/>
        <w:bottom w:val="none" w:sz="0" w:space="0" w:color="auto"/>
        <w:right w:val="none" w:sz="0" w:space="0" w:color="auto"/>
      </w:divBdr>
      <w:divsChild>
        <w:div w:id="1818301737">
          <w:marLeft w:val="0"/>
          <w:marRight w:val="0"/>
          <w:marTop w:val="0"/>
          <w:marBottom w:val="0"/>
          <w:divBdr>
            <w:top w:val="none" w:sz="0" w:space="0" w:color="auto"/>
            <w:left w:val="none" w:sz="0" w:space="0" w:color="auto"/>
            <w:bottom w:val="none" w:sz="0" w:space="0" w:color="auto"/>
            <w:right w:val="none" w:sz="0" w:space="0" w:color="auto"/>
          </w:divBdr>
        </w:div>
        <w:div w:id="1646931658">
          <w:marLeft w:val="0"/>
          <w:marRight w:val="0"/>
          <w:marTop w:val="0"/>
          <w:marBottom w:val="0"/>
          <w:divBdr>
            <w:top w:val="none" w:sz="0" w:space="0" w:color="auto"/>
            <w:left w:val="none" w:sz="0" w:space="0" w:color="auto"/>
            <w:bottom w:val="none" w:sz="0" w:space="0" w:color="auto"/>
            <w:right w:val="none" w:sz="0" w:space="0" w:color="auto"/>
          </w:divBdr>
        </w:div>
      </w:divsChild>
    </w:div>
    <w:div w:id="85080704">
      <w:marLeft w:val="0"/>
      <w:marRight w:val="0"/>
      <w:marTop w:val="0"/>
      <w:marBottom w:val="0"/>
      <w:divBdr>
        <w:top w:val="none" w:sz="0" w:space="0" w:color="auto"/>
        <w:left w:val="none" w:sz="0" w:space="0" w:color="auto"/>
        <w:bottom w:val="none" w:sz="0" w:space="0" w:color="auto"/>
        <w:right w:val="none" w:sz="0" w:space="0" w:color="auto"/>
      </w:divBdr>
    </w:div>
    <w:div w:id="105085779">
      <w:marLeft w:val="0"/>
      <w:marRight w:val="0"/>
      <w:marTop w:val="0"/>
      <w:marBottom w:val="0"/>
      <w:divBdr>
        <w:top w:val="none" w:sz="0" w:space="0" w:color="auto"/>
        <w:left w:val="none" w:sz="0" w:space="0" w:color="auto"/>
        <w:bottom w:val="none" w:sz="0" w:space="0" w:color="auto"/>
        <w:right w:val="none" w:sz="0" w:space="0" w:color="auto"/>
      </w:divBdr>
    </w:div>
    <w:div w:id="192965956">
      <w:marLeft w:val="0"/>
      <w:marRight w:val="0"/>
      <w:marTop w:val="0"/>
      <w:marBottom w:val="0"/>
      <w:divBdr>
        <w:top w:val="none" w:sz="0" w:space="0" w:color="auto"/>
        <w:left w:val="none" w:sz="0" w:space="0" w:color="auto"/>
        <w:bottom w:val="none" w:sz="0" w:space="0" w:color="auto"/>
        <w:right w:val="none" w:sz="0" w:space="0" w:color="auto"/>
      </w:divBdr>
      <w:divsChild>
        <w:div w:id="121196911">
          <w:marLeft w:val="0"/>
          <w:marRight w:val="0"/>
          <w:marTop w:val="0"/>
          <w:marBottom w:val="0"/>
          <w:divBdr>
            <w:top w:val="none" w:sz="0" w:space="0" w:color="auto"/>
            <w:left w:val="none" w:sz="0" w:space="0" w:color="auto"/>
            <w:bottom w:val="none" w:sz="0" w:space="0" w:color="auto"/>
            <w:right w:val="none" w:sz="0" w:space="0" w:color="auto"/>
          </w:divBdr>
        </w:div>
        <w:div w:id="529420724">
          <w:marLeft w:val="0"/>
          <w:marRight w:val="0"/>
          <w:marTop w:val="0"/>
          <w:marBottom w:val="0"/>
          <w:divBdr>
            <w:top w:val="none" w:sz="0" w:space="0" w:color="auto"/>
            <w:left w:val="none" w:sz="0" w:space="0" w:color="auto"/>
            <w:bottom w:val="none" w:sz="0" w:space="0" w:color="auto"/>
            <w:right w:val="none" w:sz="0" w:space="0" w:color="auto"/>
          </w:divBdr>
        </w:div>
      </w:divsChild>
    </w:div>
    <w:div w:id="213007863">
      <w:marLeft w:val="0"/>
      <w:marRight w:val="0"/>
      <w:marTop w:val="0"/>
      <w:marBottom w:val="0"/>
      <w:divBdr>
        <w:top w:val="none" w:sz="0" w:space="0" w:color="auto"/>
        <w:left w:val="none" w:sz="0" w:space="0" w:color="auto"/>
        <w:bottom w:val="none" w:sz="0" w:space="0" w:color="auto"/>
        <w:right w:val="none" w:sz="0" w:space="0" w:color="auto"/>
      </w:divBdr>
    </w:div>
    <w:div w:id="216477441">
      <w:marLeft w:val="0"/>
      <w:marRight w:val="0"/>
      <w:marTop w:val="0"/>
      <w:marBottom w:val="0"/>
      <w:divBdr>
        <w:top w:val="none" w:sz="0" w:space="0" w:color="auto"/>
        <w:left w:val="none" w:sz="0" w:space="0" w:color="auto"/>
        <w:bottom w:val="none" w:sz="0" w:space="0" w:color="auto"/>
        <w:right w:val="none" w:sz="0" w:space="0" w:color="auto"/>
      </w:divBdr>
    </w:div>
    <w:div w:id="274212108">
      <w:marLeft w:val="0"/>
      <w:marRight w:val="0"/>
      <w:marTop w:val="0"/>
      <w:marBottom w:val="0"/>
      <w:divBdr>
        <w:top w:val="none" w:sz="0" w:space="0" w:color="auto"/>
        <w:left w:val="none" w:sz="0" w:space="0" w:color="auto"/>
        <w:bottom w:val="none" w:sz="0" w:space="0" w:color="auto"/>
        <w:right w:val="none" w:sz="0" w:space="0" w:color="auto"/>
      </w:divBdr>
    </w:div>
    <w:div w:id="297036410">
      <w:marLeft w:val="0"/>
      <w:marRight w:val="0"/>
      <w:marTop w:val="0"/>
      <w:marBottom w:val="0"/>
      <w:divBdr>
        <w:top w:val="none" w:sz="0" w:space="0" w:color="auto"/>
        <w:left w:val="none" w:sz="0" w:space="0" w:color="auto"/>
        <w:bottom w:val="none" w:sz="0" w:space="0" w:color="auto"/>
        <w:right w:val="none" w:sz="0" w:space="0" w:color="auto"/>
      </w:divBdr>
    </w:div>
    <w:div w:id="307054370">
      <w:marLeft w:val="0"/>
      <w:marRight w:val="0"/>
      <w:marTop w:val="0"/>
      <w:marBottom w:val="0"/>
      <w:divBdr>
        <w:top w:val="none" w:sz="0" w:space="0" w:color="auto"/>
        <w:left w:val="none" w:sz="0" w:space="0" w:color="auto"/>
        <w:bottom w:val="none" w:sz="0" w:space="0" w:color="auto"/>
        <w:right w:val="none" w:sz="0" w:space="0" w:color="auto"/>
      </w:divBdr>
      <w:divsChild>
        <w:div w:id="840239469">
          <w:marLeft w:val="0"/>
          <w:marRight w:val="0"/>
          <w:marTop w:val="0"/>
          <w:marBottom w:val="0"/>
          <w:divBdr>
            <w:top w:val="none" w:sz="0" w:space="0" w:color="auto"/>
            <w:left w:val="none" w:sz="0" w:space="0" w:color="auto"/>
            <w:bottom w:val="none" w:sz="0" w:space="0" w:color="auto"/>
            <w:right w:val="none" w:sz="0" w:space="0" w:color="auto"/>
          </w:divBdr>
        </w:div>
        <w:div w:id="912861871">
          <w:marLeft w:val="0"/>
          <w:marRight w:val="0"/>
          <w:marTop w:val="0"/>
          <w:marBottom w:val="0"/>
          <w:divBdr>
            <w:top w:val="none" w:sz="0" w:space="0" w:color="auto"/>
            <w:left w:val="none" w:sz="0" w:space="0" w:color="auto"/>
            <w:bottom w:val="none" w:sz="0" w:space="0" w:color="auto"/>
            <w:right w:val="none" w:sz="0" w:space="0" w:color="auto"/>
          </w:divBdr>
        </w:div>
      </w:divsChild>
    </w:div>
    <w:div w:id="363990851">
      <w:marLeft w:val="0"/>
      <w:marRight w:val="0"/>
      <w:marTop w:val="0"/>
      <w:marBottom w:val="0"/>
      <w:divBdr>
        <w:top w:val="none" w:sz="0" w:space="0" w:color="auto"/>
        <w:left w:val="none" w:sz="0" w:space="0" w:color="auto"/>
        <w:bottom w:val="none" w:sz="0" w:space="0" w:color="auto"/>
        <w:right w:val="none" w:sz="0" w:space="0" w:color="auto"/>
      </w:divBdr>
      <w:divsChild>
        <w:div w:id="1488202035">
          <w:marLeft w:val="0"/>
          <w:marRight w:val="0"/>
          <w:marTop w:val="0"/>
          <w:marBottom w:val="0"/>
          <w:divBdr>
            <w:top w:val="none" w:sz="0" w:space="0" w:color="auto"/>
            <w:left w:val="none" w:sz="0" w:space="0" w:color="auto"/>
            <w:bottom w:val="none" w:sz="0" w:space="0" w:color="auto"/>
            <w:right w:val="none" w:sz="0" w:space="0" w:color="auto"/>
          </w:divBdr>
          <w:divsChild>
            <w:div w:id="19564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833">
      <w:marLeft w:val="0"/>
      <w:marRight w:val="0"/>
      <w:marTop w:val="0"/>
      <w:marBottom w:val="0"/>
      <w:divBdr>
        <w:top w:val="none" w:sz="0" w:space="0" w:color="auto"/>
        <w:left w:val="none" w:sz="0" w:space="0" w:color="auto"/>
        <w:bottom w:val="none" w:sz="0" w:space="0" w:color="auto"/>
        <w:right w:val="none" w:sz="0" w:space="0" w:color="auto"/>
      </w:divBdr>
    </w:div>
    <w:div w:id="376854770">
      <w:marLeft w:val="0"/>
      <w:marRight w:val="0"/>
      <w:marTop w:val="0"/>
      <w:marBottom w:val="0"/>
      <w:divBdr>
        <w:top w:val="none" w:sz="0" w:space="0" w:color="auto"/>
        <w:left w:val="none" w:sz="0" w:space="0" w:color="auto"/>
        <w:bottom w:val="none" w:sz="0" w:space="0" w:color="auto"/>
        <w:right w:val="none" w:sz="0" w:space="0" w:color="auto"/>
      </w:divBdr>
    </w:div>
    <w:div w:id="401756447">
      <w:marLeft w:val="0"/>
      <w:marRight w:val="0"/>
      <w:marTop w:val="0"/>
      <w:marBottom w:val="0"/>
      <w:divBdr>
        <w:top w:val="none" w:sz="0" w:space="0" w:color="auto"/>
        <w:left w:val="none" w:sz="0" w:space="0" w:color="auto"/>
        <w:bottom w:val="none" w:sz="0" w:space="0" w:color="auto"/>
        <w:right w:val="none" w:sz="0" w:space="0" w:color="auto"/>
      </w:divBdr>
      <w:divsChild>
        <w:div w:id="109593185">
          <w:marLeft w:val="0"/>
          <w:marRight w:val="0"/>
          <w:marTop w:val="0"/>
          <w:marBottom w:val="0"/>
          <w:divBdr>
            <w:top w:val="none" w:sz="0" w:space="0" w:color="auto"/>
            <w:left w:val="none" w:sz="0" w:space="0" w:color="auto"/>
            <w:bottom w:val="none" w:sz="0" w:space="0" w:color="auto"/>
            <w:right w:val="none" w:sz="0" w:space="0" w:color="auto"/>
          </w:divBdr>
        </w:div>
        <w:div w:id="455955416">
          <w:marLeft w:val="0"/>
          <w:marRight w:val="0"/>
          <w:marTop w:val="0"/>
          <w:marBottom w:val="0"/>
          <w:divBdr>
            <w:top w:val="none" w:sz="0" w:space="0" w:color="auto"/>
            <w:left w:val="none" w:sz="0" w:space="0" w:color="auto"/>
            <w:bottom w:val="none" w:sz="0" w:space="0" w:color="auto"/>
            <w:right w:val="none" w:sz="0" w:space="0" w:color="auto"/>
          </w:divBdr>
        </w:div>
      </w:divsChild>
    </w:div>
    <w:div w:id="489103229">
      <w:marLeft w:val="0"/>
      <w:marRight w:val="0"/>
      <w:marTop w:val="0"/>
      <w:marBottom w:val="0"/>
      <w:divBdr>
        <w:top w:val="none" w:sz="0" w:space="0" w:color="auto"/>
        <w:left w:val="none" w:sz="0" w:space="0" w:color="auto"/>
        <w:bottom w:val="none" w:sz="0" w:space="0" w:color="auto"/>
        <w:right w:val="none" w:sz="0" w:space="0" w:color="auto"/>
      </w:divBdr>
    </w:div>
    <w:div w:id="621962390">
      <w:marLeft w:val="0"/>
      <w:marRight w:val="0"/>
      <w:marTop w:val="0"/>
      <w:marBottom w:val="0"/>
      <w:divBdr>
        <w:top w:val="none" w:sz="0" w:space="0" w:color="auto"/>
        <w:left w:val="none" w:sz="0" w:space="0" w:color="auto"/>
        <w:bottom w:val="none" w:sz="0" w:space="0" w:color="auto"/>
        <w:right w:val="none" w:sz="0" w:space="0" w:color="auto"/>
      </w:divBdr>
    </w:div>
    <w:div w:id="655450770">
      <w:marLeft w:val="0"/>
      <w:marRight w:val="0"/>
      <w:marTop w:val="0"/>
      <w:marBottom w:val="0"/>
      <w:divBdr>
        <w:top w:val="none" w:sz="0" w:space="0" w:color="auto"/>
        <w:left w:val="none" w:sz="0" w:space="0" w:color="auto"/>
        <w:bottom w:val="none" w:sz="0" w:space="0" w:color="auto"/>
        <w:right w:val="none" w:sz="0" w:space="0" w:color="auto"/>
      </w:divBdr>
    </w:div>
    <w:div w:id="715544523">
      <w:marLeft w:val="0"/>
      <w:marRight w:val="0"/>
      <w:marTop w:val="0"/>
      <w:marBottom w:val="0"/>
      <w:divBdr>
        <w:top w:val="none" w:sz="0" w:space="0" w:color="auto"/>
        <w:left w:val="none" w:sz="0" w:space="0" w:color="auto"/>
        <w:bottom w:val="none" w:sz="0" w:space="0" w:color="auto"/>
        <w:right w:val="none" w:sz="0" w:space="0" w:color="auto"/>
      </w:divBdr>
    </w:div>
    <w:div w:id="727848964">
      <w:marLeft w:val="0"/>
      <w:marRight w:val="0"/>
      <w:marTop w:val="0"/>
      <w:marBottom w:val="0"/>
      <w:divBdr>
        <w:top w:val="none" w:sz="0" w:space="0" w:color="auto"/>
        <w:left w:val="none" w:sz="0" w:space="0" w:color="auto"/>
        <w:bottom w:val="none" w:sz="0" w:space="0" w:color="auto"/>
        <w:right w:val="none" w:sz="0" w:space="0" w:color="auto"/>
      </w:divBdr>
    </w:div>
    <w:div w:id="805244608">
      <w:marLeft w:val="0"/>
      <w:marRight w:val="0"/>
      <w:marTop w:val="0"/>
      <w:marBottom w:val="0"/>
      <w:divBdr>
        <w:top w:val="none" w:sz="0" w:space="0" w:color="auto"/>
        <w:left w:val="none" w:sz="0" w:space="0" w:color="auto"/>
        <w:bottom w:val="none" w:sz="0" w:space="0" w:color="auto"/>
        <w:right w:val="none" w:sz="0" w:space="0" w:color="auto"/>
      </w:divBdr>
    </w:div>
    <w:div w:id="846555125">
      <w:marLeft w:val="0"/>
      <w:marRight w:val="0"/>
      <w:marTop w:val="0"/>
      <w:marBottom w:val="0"/>
      <w:divBdr>
        <w:top w:val="none" w:sz="0" w:space="0" w:color="auto"/>
        <w:left w:val="none" w:sz="0" w:space="0" w:color="auto"/>
        <w:bottom w:val="none" w:sz="0" w:space="0" w:color="auto"/>
        <w:right w:val="none" w:sz="0" w:space="0" w:color="auto"/>
      </w:divBdr>
    </w:div>
    <w:div w:id="911236395">
      <w:marLeft w:val="0"/>
      <w:marRight w:val="0"/>
      <w:marTop w:val="0"/>
      <w:marBottom w:val="0"/>
      <w:divBdr>
        <w:top w:val="none" w:sz="0" w:space="0" w:color="auto"/>
        <w:left w:val="none" w:sz="0" w:space="0" w:color="auto"/>
        <w:bottom w:val="none" w:sz="0" w:space="0" w:color="auto"/>
        <w:right w:val="none" w:sz="0" w:space="0" w:color="auto"/>
      </w:divBdr>
    </w:div>
    <w:div w:id="926961579">
      <w:marLeft w:val="0"/>
      <w:marRight w:val="0"/>
      <w:marTop w:val="0"/>
      <w:marBottom w:val="0"/>
      <w:divBdr>
        <w:top w:val="none" w:sz="0" w:space="0" w:color="auto"/>
        <w:left w:val="none" w:sz="0" w:space="0" w:color="auto"/>
        <w:bottom w:val="none" w:sz="0" w:space="0" w:color="auto"/>
        <w:right w:val="none" w:sz="0" w:space="0" w:color="auto"/>
      </w:divBdr>
    </w:div>
    <w:div w:id="964963560">
      <w:marLeft w:val="0"/>
      <w:marRight w:val="0"/>
      <w:marTop w:val="0"/>
      <w:marBottom w:val="0"/>
      <w:divBdr>
        <w:top w:val="none" w:sz="0" w:space="0" w:color="auto"/>
        <w:left w:val="none" w:sz="0" w:space="0" w:color="auto"/>
        <w:bottom w:val="none" w:sz="0" w:space="0" w:color="auto"/>
        <w:right w:val="none" w:sz="0" w:space="0" w:color="auto"/>
      </w:divBdr>
    </w:div>
    <w:div w:id="970788313">
      <w:marLeft w:val="0"/>
      <w:marRight w:val="0"/>
      <w:marTop w:val="0"/>
      <w:marBottom w:val="0"/>
      <w:divBdr>
        <w:top w:val="none" w:sz="0" w:space="0" w:color="auto"/>
        <w:left w:val="none" w:sz="0" w:space="0" w:color="auto"/>
        <w:bottom w:val="none" w:sz="0" w:space="0" w:color="auto"/>
        <w:right w:val="none" w:sz="0" w:space="0" w:color="auto"/>
      </w:divBdr>
      <w:divsChild>
        <w:div w:id="2115055200">
          <w:marLeft w:val="0"/>
          <w:marRight w:val="0"/>
          <w:marTop w:val="0"/>
          <w:marBottom w:val="0"/>
          <w:divBdr>
            <w:top w:val="none" w:sz="0" w:space="0" w:color="auto"/>
            <w:left w:val="none" w:sz="0" w:space="0" w:color="auto"/>
            <w:bottom w:val="none" w:sz="0" w:space="0" w:color="auto"/>
            <w:right w:val="none" w:sz="0" w:space="0" w:color="auto"/>
          </w:divBdr>
        </w:div>
      </w:divsChild>
    </w:div>
    <w:div w:id="1008366968">
      <w:marLeft w:val="0"/>
      <w:marRight w:val="0"/>
      <w:marTop w:val="0"/>
      <w:marBottom w:val="0"/>
      <w:divBdr>
        <w:top w:val="none" w:sz="0" w:space="0" w:color="auto"/>
        <w:left w:val="none" w:sz="0" w:space="0" w:color="auto"/>
        <w:bottom w:val="none" w:sz="0" w:space="0" w:color="auto"/>
        <w:right w:val="none" w:sz="0" w:space="0" w:color="auto"/>
      </w:divBdr>
      <w:divsChild>
        <w:div w:id="1457679797">
          <w:marLeft w:val="0"/>
          <w:marRight w:val="0"/>
          <w:marTop w:val="0"/>
          <w:marBottom w:val="0"/>
          <w:divBdr>
            <w:top w:val="none" w:sz="0" w:space="0" w:color="auto"/>
            <w:left w:val="none" w:sz="0" w:space="0" w:color="auto"/>
            <w:bottom w:val="none" w:sz="0" w:space="0" w:color="auto"/>
            <w:right w:val="none" w:sz="0" w:space="0" w:color="auto"/>
          </w:divBdr>
          <w:divsChild>
            <w:div w:id="215118945">
              <w:marLeft w:val="0"/>
              <w:marRight w:val="0"/>
              <w:marTop w:val="0"/>
              <w:marBottom w:val="0"/>
              <w:divBdr>
                <w:top w:val="none" w:sz="0" w:space="0" w:color="auto"/>
                <w:left w:val="none" w:sz="0" w:space="0" w:color="auto"/>
                <w:bottom w:val="none" w:sz="0" w:space="0" w:color="auto"/>
                <w:right w:val="none" w:sz="0" w:space="0" w:color="auto"/>
              </w:divBdr>
            </w:div>
          </w:divsChild>
        </w:div>
        <w:div w:id="1705517493">
          <w:marLeft w:val="0"/>
          <w:marRight w:val="0"/>
          <w:marTop w:val="0"/>
          <w:marBottom w:val="0"/>
          <w:divBdr>
            <w:top w:val="none" w:sz="0" w:space="0" w:color="auto"/>
            <w:left w:val="none" w:sz="0" w:space="0" w:color="auto"/>
            <w:bottom w:val="none" w:sz="0" w:space="0" w:color="auto"/>
            <w:right w:val="none" w:sz="0" w:space="0" w:color="auto"/>
          </w:divBdr>
        </w:div>
      </w:divsChild>
    </w:div>
    <w:div w:id="1039010391">
      <w:marLeft w:val="0"/>
      <w:marRight w:val="0"/>
      <w:marTop w:val="0"/>
      <w:marBottom w:val="0"/>
      <w:divBdr>
        <w:top w:val="none" w:sz="0" w:space="0" w:color="auto"/>
        <w:left w:val="none" w:sz="0" w:space="0" w:color="auto"/>
        <w:bottom w:val="none" w:sz="0" w:space="0" w:color="auto"/>
        <w:right w:val="none" w:sz="0" w:space="0" w:color="auto"/>
      </w:divBdr>
    </w:div>
    <w:div w:id="1039208302">
      <w:marLeft w:val="0"/>
      <w:marRight w:val="0"/>
      <w:marTop w:val="0"/>
      <w:marBottom w:val="0"/>
      <w:divBdr>
        <w:top w:val="none" w:sz="0" w:space="0" w:color="auto"/>
        <w:left w:val="none" w:sz="0" w:space="0" w:color="auto"/>
        <w:bottom w:val="none" w:sz="0" w:space="0" w:color="auto"/>
        <w:right w:val="none" w:sz="0" w:space="0" w:color="auto"/>
      </w:divBdr>
    </w:div>
    <w:div w:id="1075669484">
      <w:marLeft w:val="0"/>
      <w:marRight w:val="0"/>
      <w:marTop w:val="0"/>
      <w:marBottom w:val="0"/>
      <w:divBdr>
        <w:top w:val="none" w:sz="0" w:space="0" w:color="auto"/>
        <w:left w:val="none" w:sz="0" w:space="0" w:color="auto"/>
        <w:bottom w:val="none" w:sz="0" w:space="0" w:color="auto"/>
        <w:right w:val="none" w:sz="0" w:space="0" w:color="auto"/>
      </w:divBdr>
    </w:div>
    <w:div w:id="1076778529">
      <w:marLeft w:val="0"/>
      <w:marRight w:val="0"/>
      <w:marTop w:val="0"/>
      <w:marBottom w:val="0"/>
      <w:divBdr>
        <w:top w:val="none" w:sz="0" w:space="0" w:color="auto"/>
        <w:left w:val="none" w:sz="0" w:space="0" w:color="auto"/>
        <w:bottom w:val="none" w:sz="0" w:space="0" w:color="auto"/>
        <w:right w:val="none" w:sz="0" w:space="0" w:color="auto"/>
      </w:divBdr>
    </w:div>
    <w:div w:id="1078213461">
      <w:marLeft w:val="0"/>
      <w:marRight w:val="0"/>
      <w:marTop w:val="0"/>
      <w:marBottom w:val="0"/>
      <w:divBdr>
        <w:top w:val="none" w:sz="0" w:space="0" w:color="auto"/>
        <w:left w:val="none" w:sz="0" w:space="0" w:color="auto"/>
        <w:bottom w:val="none" w:sz="0" w:space="0" w:color="auto"/>
        <w:right w:val="none" w:sz="0" w:space="0" w:color="auto"/>
      </w:divBdr>
    </w:div>
    <w:div w:id="1080518059">
      <w:marLeft w:val="0"/>
      <w:marRight w:val="0"/>
      <w:marTop w:val="0"/>
      <w:marBottom w:val="0"/>
      <w:divBdr>
        <w:top w:val="none" w:sz="0" w:space="0" w:color="auto"/>
        <w:left w:val="none" w:sz="0" w:space="0" w:color="auto"/>
        <w:bottom w:val="none" w:sz="0" w:space="0" w:color="auto"/>
        <w:right w:val="none" w:sz="0" w:space="0" w:color="auto"/>
      </w:divBdr>
      <w:divsChild>
        <w:div w:id="1171411907">
          <w:marLeft w:val="0"/>
          <w:marRight w:val="0"/>
          <w:marTop w:val="0"/>
          <w:marBottom w:val="0"/>
          <w:divBdr>
            <w:top w:val="none" w:sz="0" w:space="0" w:color="auto"/>
            <w:left w:val="none" w:sz="0" w:space="0" w:color="auto"/>
            <w:bottom w:val="none" w:sz="0" w:space="0" w:color="auto"/>
            <w:right w:val="none" w:sz="0" w:space="0" w:color="auto"/>
          </w:divBdr>
        </w:div>
        <w:div w:id="330136066">
          <w:marLeft w:val="0"/>
          <w:marRight w:val="0"/>
          <w:marTop w:val="0"/>
          <w:marBottom w:val="0"/>
          <w:divBdr>
            <w:top w:val="none" w:sz="0" w:space="0" w:color="auto"/>
            <w:left w:val="none" w:sz="0" w:space="0" w:color="auto"/>
            <w:bottom w:val="none" w:sz="0" w:space="0" w:color="auto"/>
            <w:right w:val="none" w:sz="0" w:space="0" w:color="auto"/>
          </w:divBdr>
        </w:div>
      </w:divsChild>
    </w:div>
    <w:div w:id="1084883016">
      <w:marLeft w:val="0"/>
      <w:marRight w:val="0"/>
      <w:marTop w:val="0"/>
      <w:marBottom w:val="0"/>
      <w:divBdr>
        <w:top w:val="none" w:sz="0" w:space="0" w:color="auto"/>
        <w:left w:val="none" w:sz="0" w:space="0" w:color="auto"/>
        <w:bottom w:val="none" w:sz="0" w:space="0" w:color="auto"/>
        <w:right w:val="none" w:sz="0" w:space="0" w:color="auto"/>
      </w:divBdr>
      <w:divsChild>
        <w:div w:id="243883487">
          <w:marLeft w:val="0"/>
          <w:marRight w:val="0"/>
          <w:marTop w:val="0"/>
          <w:marBottom w:val="0"/>
          <w:divBdr>
            <w:top w:val="none" w:sz="0" w:space="0" w:color="auto"/>
            <w:left w:val="none" w:sz="0" w:space="0" w:color="auto"/>
            <w:bottom w:val="none" w:sz="0" w:space="0" w:color="auto"/>
            <w:right w:val="none" w:sz="0" w:space="0" w:color="auto"/>
          </w:divBdr>
        </w:div>
        <w:div w:id="1602640707">
          <w:marLeft w:val="0"/>
          <w:marRight w:val="0"/>
          <w:marTop w:val="0"/>
          <w:marBottom w:val="0"/>
          <w:divBdr>
            <w:top w:val="none" w:sz="0" w:space="0" w:color="auto"/>
            <w:left w:val="none" w:sz="0" w:space="0" w:color="auto"/>
            <w:bottom w:val="none" w:sz="0" w:space="0" w:color="auto"/>
            <w:right w:val="none" w:sz="0" w:space="0" w:color="auto"/>
          </w:divBdr>
        </w:div>
      </w:divsChild>
    </w:div>
    <w:div w:id="1094745554">
      <w:marLeft w:val="0"/>
      <w:marRight w:val="0"/>
      <w:marTop w:val="0"/>
      <w:marBottom w:val="0"/>
      <w:divBdr>
        <w:top w:val="none" w:sz="0" w:space="0" w:color="auto"/>
        <w:left w:val="none" w:sz="0" w:space="0" w:color="auto"/>
        <w:bottom w:val="none" w:sz="0" w:space="0" w:color="auto"/>
        <w:right w:val="none" w:sz="0" w:space="0" w:color="auto"/>
      </w:divBdr>
      <w:divsChild>
        <w:div w:id="422382000">
          <w:marLeft w:val="0"/>
          <w:marRight w:val="0"/>
          <w:marTop w:val="0"/>
          <w:marBottom w:val="0"/>
          <w:divBdr>
            <w:top w:val="none" w:sz="0" w:space="0" w:color="auto"/>
            <w:left w:val="none" w:sz="0" w:space="0" w:color="auto"/>
            <w:bottom w:val="none" w:sz="0" w:space="0" w:color="auto"/>
            <w:right w:val="none" w:sz="0" w:space="0" w:color="auto"/>
          </w:divBdr>
        </w:div>
        <w:div w:id="986589772">
          <w:marLeft w:val="0"/>
          <w:marRight w:val="0"/>
          <w:marTop w:val="0"/>
          <w:marBottom w:val="0"/>
          <w:divBdr>
            <w:top w:val="none" w:sz="0" w:space="0" w:color="auto"/>
            <w:left w:val="none" w:sz="0" w:space="0" w:color="auto"/>
            <w:bottom w:val="none" w:sz="0" w:space="0" w:color="auto"/>
            <w:right w:val="none" w:sz="0" w:space="0" w:color="auto"/>
          </w:divBdr>
        </w:div>
      </w:divsChild>
    </w:div>
    <w:div w:id="1112819601">
      <w:marLeft w:val="0"/>
      <w:marRight w:val="0"/>
      <w:marTop w:val="0"/>
      <w:marBottom w:val="0"/>
      <w:divBdr>
        <w:top w:val="none" w:sz="0" w:space="0" w:color="auto"/>
        <w:left w:val="none" w:sz="0" w:space="0" w:color="auto"/>
        <w:bottom w:val="none" w:sz="0" w:space="0" w:color="auto"/>
        <w:right w:val="none" w:sz="0" w:space="0" w:color="auto"/>
      </w:divBdr>
    </w:div>
    <w:div w:id="1122961704">
      <w:marLeft w:val="0"/>
      <w:marRight w:val="0"/>
      <w:marTop w:val="0"/>
      <w:marBottom w:val="0"/>
      <w:divBdr>
        <w:top w:val="none" w:sz="0" w:space="0" w:color="auto"/>
        <w:left w:val="none" w:sz="0" w:space="0" w:color="auto"/>
        <w:bottom w:val="none" w:sz="0" w:space="0" w:color="auto"/>
        <w:right w:val="none" w:sz="0" w:space="0" w:color="auto"/>
      </w:divBdr>
    </w:div>
    <w:div w:id="1130050927">
      <w:marLeft w:val="0"/>
      <w:marRight w:val="0"/>
      <w:marTop w:val="0"/>
      <w:marBottom w:val="0"/>
      <w:divBdr>
        <w:top w:val="none" w:sz="0" w:space="0" w:color="auto"/>
        <w:left w:val="none" w:sz="0" w:space="0" w:color="auto"/>
        <w:bottom w:val="none" w:sz="0" w:space="0" w:color="auto"/>
        <w:right w:val="none" w:sz="0" w:space="0" w:color="auto"/>
      </w:divBdr>
      <w:divsChild>
        <w:div w:id="1846508405">
          <w:marLeft w:val="0"/>
          <w:marRight w:val="0"/>
          <w:marTop w:val="0"/>
          <w:marBottom w:val="0"/>
          <w:divBdr>
            <w:top w:val="none" w:sz="0" w:space="0" w:color="auto"/>
            <w:left w:val="none" w:sz="0" w:space="0" w:color="auto"/>
            <w:bottom w:val="none" w:sz="0" w:space="0" w:color="auto"/>
            <w:right w:val="none" w:sz="0" w:space="0" w:color="auto"/>
          </w:divBdr>
        </w:div>
        <w:div w:id="1717775632">
          <w:marLeft w:val="0"/>
          <w:marRight w:val="0"/>
          <w:marTop w:val="0"/>
          <w:marBottom w:val="0"/>
          <w:divBdr>
            <w:top w:val="none" w:sz="0" w:space="0" w:color="auto"/>
            <w:left w:val="none" w:sz="0" w:space="0" w:color="auto"/>
            <w:bottom w:val="none" w:sz="0" w:space="0" w:color="auto"/>
            <w:right w:val="none" w:sz="0" w:space="0" w:color="auto"/>
          </w:divBdr>
        </w:div>
      </w:divsChild>
    </w:div>
    <w:div w:id="1167787560">
      <w:marLeft w:val="0"/>
      <w:marRight w:val="0"/>
      <w:marTop w:val="0"/>
      <w:marBottom w:val="0"/>
      <w:divBdr>
        <w:top w:val="none" w:sz="0" w:space="0" w:color="auto"/>
        <w:left w:val="none" w:sz="0" w:space="0" w:color="auto"/>
        <w:bottom w:val="none" w:sz="0" w:space="0" w:color="auto"/>
        <w:right w:val="none" w:sz="0" w:space="0" w:color="auto"/>
      </w:divBdr>
    </w:div>
    <w:div w:id="1186137999">
      <w:marLeft w:val="0"/>
      <w:marRight w:val="0"/>
      <w:marTop w:val="0"/>
      <w:marBottom w:val="0"/>
      <w:divBdr>
        <w:top w:val="none" w:sz="0" w:space="0" w:color="auto"/>
        <w:left w:val="none" w:sz="0" w:space="0" w:color="auto"/>
        <w:bottom w:val="none" w:sz="0" w:space="0" w:color="auto"/>
        <w:right w:val="none" w:sz="0" w:space="0" w:color="auto"/>
      </w:divBdr>
    </w:div>
    <w:div w:id="1188526883">
      <w:marLeft w:val="0"/>
      <w:marRight w:val="0"/>
      <w:marTop w:val="0"/>
      <w:marBottom w:val="0"/>
      <w:divBdr>
        <w:top w:val="none" w:sz="0" w:space="0" w:color="auto"/>
        <w:left w:val="none" w:sz="0" w:space="0" w:color="auto"/>
        <w:bottom w:val="none" w:sz="0" w:space="0" w:color="auto"/>
        <w:right w:val="none" w:sz="0" w:space="0" w:color="auto"/>
      </w:divBdr>
    </w:div>
    <w:div w:id="1230768926">
      <w:marLeft w:val="0"/>
      <w:marRight w:val="0"/>
      <w:marTop w:val="0"/>
      <w:marBottom w:val="0"/>
      <w:divBdr>
        <w:top w:val="none" w:sz="0" w:space="0" w:color="auto"/>
        <w:left w:val="none" w:sz="0" w:space="0" w:color="auto"/>
        <w:bottom w:val="none" w:sz="0" w:space="0" w:color="auto"/>
        <w:right w:val="none" w:sz="0" w:space="0" w:color="auto"/>
      </w:divBdr>
    </w:div>
    <w:div w:id="1315573036">
      <w:marLeft w:val="0"/>
      <w:marRight w:val="0"/>
      <w:marTop w:val="0"/>
      <w:marBottom w:val="0"/>
      <w:divBdr>
        <w:top w:val="none" w:sz="0" w:space="0" w:color="auto"/>
        <w:left w:val="none" w:sz="0" w:space="0" w:color="auto"/>
        <w:bottom w:val="none" w:sz="0" w:space="0" w:color="auto"/>
        <w:right w:val="none" w:sz="0" w:space="0" w:color="auto"/>
      </w:divBdr>
    </w:div>
    <w:div w:id="1448936564">
      <w:marLeft w:val="0"/>
      <w:marRight w:val="0"/>
      <w:marTop w:val="0"/>
      <w:marBottom w:val="0"/>
      <w:divBdr>
        <w:top w:val="none" w:sz="0" w:space="0" w:color="auto"/>
        <w:left w:val="none" w:sz="0" w:space="0" w:color="auto"/>
        <w:bottom w:val="none" w:sz="0" w:space="0" w:color="auto"/>
        <w:right w:val="none" w:sz="0" w:space="0" w:color="auto"/>
      </w:divBdr>
    </w:div>
    <w:div w:id="1461342411">
      <w:marLeft w:val="0"/>
      <w:marRight w:val="0"/>
      <w:marTop w:val="0"/>
      <w:marBottom w:val="0"/>
      <w:divBdr>
        <w:top w:val="none" w:sz="0" w:space="0" w:color="auto"/>
        <w:left w:val="none" w:sz="0" w:space="0" w:color="auto"/>
        <w:bottom w:val="none" w:sz="0" w:space="0" w:color="auto"/>
        <w:right w:val="none" w:sz="0" w:space="0" w:color="auto"/>
      </w:divBdr>
    </w:div>
    <w:div w:id="1479760351">
      <w:marLeft w:val="0"/>
      <w:marRight w:val="0"/>
      <w:marTop w:val="0"/>
      <w:marBottom w:val="0"/>
      <w:divBdr>
        <w:top w:val="none" w:sz="0" w:space="0" w:color="auto"/>
        <w:left w:val="none" w:sz="0" w:space="0" w:color="auto"/>
        <w:bottom w:val="none" w:sz="0" w:space="0" w:color="auto"/>
        <w:right w:val="none" w:sz="0" w:space="0" w:color="auto"/>
      </w:divBdr>
    </w:div>
    <w:div w:id="1508055709">
      <w:marLeft w:val="0"/>
      <w:marRight w:val="0"/>
      <w:marTop w:val="0"/>
      <w:marBottom w:val="0"/>
      <w:divBdr>
        <w:top w:val="none" w:sz="0" w:space="0" w:color="auto"/>
        <w:left w:val="none" w:sz="0" w:space="0" w:color="auto"/>
        <w:bottom w:val="none" w:sz="0" w:space="0" w:color="auto"/>
        <w:right w:val="none" w:sz="0" w:space="0" w:color="auto"/>
      </w:divBdr>
      <w:divsChild>
        <w:div w:id="1341547169">
          <w:marLeft w:val="0"/>
          <w:marRight w:val="0"/>
          <w:marTop w:val="0"/>
          <w:marBottom w:val="0"/>
          <w:divBdr>
            <w:top w:val="none" w:sz="0" w:space="0" w:color="auto"/>
            <w:left w:val="none" w:sz="0" w:space="0" w:color="auto"/>
            <w:bottom w:val="none" w:sz="0" w:space="0" w:color="auto"/>
            <w:right w:val="none" w:sz="0" w:space="0" w:color="auto"/>
          </w:divBdr>
        </w:div>
        <w:div w:id="1492019296">
          <w:marLeft w:val="0"/>
          <w:marRight w:val="0"/>
          <w:marTop w:val="0"/>
          <w:marBottom w:val="0"/>
          <w:divBdr>
            <w:top w:val="none" w:sz="0" w:space="0" w:color="auto"/>
            <w:left w:val="none" w:sz="0" w:space="0" w:color="auto"/>
            <w:bottom w:val="none" w:sz="0" w:space="0" w:color="auto"/>
            <w:right w:val="none" w:sz="0" w:space="0" w:color="auto"/>
          </w:divBdr>
        </w:div>
      </w:divsChild>
    </w:div>
    <w:div w:id="1530600705">
      <w:marLeft w:val="0"/>
      <w:marRight w:val="0"/>
      <w:marTop w:val="0"/>
      <w:marBottom w:val="0"/>
      <w:divBdr>
        <w:top w:val="none" w:sz="0" w:space="0" w:color="auto"/>
        <w:left w:val="none" w:sz="0" w:space="0" w:color="auto"/>
        <w:bottom w:val="none" w:sz="0" w:space="0" w:color="auto"/>
        <w:right w:val="none" w:sz="0" w:space="0" w:color="auto"/>
      </w:divBdr>
    </w:div>
    <w:div w:id="1532189030">
      <w:marLeft w:val="0"/>
      <w:marRight w:val="0"/>
      <w:marTop w:val="0"/>
      <w:marBottom w:val="0"/>
      <w:divBdr>
        <w:top w:val="none" w:sz="0" w:space="0" w:color="auto"/>
        <w:left w:val="none" w:sz="0" w:space="0" w:color="auto"/>
        <w:bottom w:val="none" w:sz="0" w:space="0" w:color="auto"/>
        <w:right w:val="none" w:sz="0" w:space="0" w:color="auto"/>
      </w:divBdr>
    </w:div>
    <w:div w:id="1537624897">
      <w:marLeft w:val="0"/>
      <w:marRight w:val="0"/>
      <w:marTop w:val="0"/>
      <w:marBottom w:val="0"/>
      <w:divBdr>
        <w:top w:val="none" w:sz="0" w:space="0" w:color="auto"/>
        <w:left w:val="none" w:sz="0" w:space="0" w:color="auto"/>
        <w:bottom w:val="none" w:sz="0" w:space="0" w:color="auto"/>
        <w:right w:val="none" w:sz="0" w:space="0" w:color="auto"/>
      </w:divBdr>
    </w:div>
    <w:div w:id="1550653568">
      <w:marLeft w:val="0"/>
      <w:marRight w:val="0"/>
      <w:marTop w:val="0"/>
      <w:marBottom w:val="0"/>
      <w:divBdr>
        <w:top w:val="none" w:sz="0" w:space="0" w:color="auto"/>
        <w:left w:val="none" w:sz="0" w:space="0" w:color="auto"/>
        <w:bottom w:val="none" w:sz="0" w:space="0" w:color="auto"/>
        <w:right w:val="none" w:sz="0" w:space="0" w:color="auto"/>
      </w:divBdr>
    </w:div>
    <w:div w:id="1569609847">
      <w:marLeft w:val="0"/>
      <w:marRight w:val="0"/>
      <w:marTop w:val="0"/>
      <w:marBottom w:val="0"/>
      <w:divBdr>
        <w:top w:val="none" w:sz="0" w:space="0" w:color="auto"/>
        <w:left w:val="none" w:sz="0" w:space="0" w:color="auto"/>
        <w:bottom w:val="none" w:sz="0" w:space="0" w:color="auto"/>
        <w:right w:val="none" w:sz="0" w:space="0" w:color="auto"/>
      </w:divBdr>
      <w:divsChild>
        <w:div w:id="310065019">
          <w:marLeft w:val="0"/>
          <w:marRight w:val="0"/>
          <w:marTop w:val="0"/>
          <w:marBottom w:val="0"/>
          <w:divBdr>
            <w:top w:val="none" w:sz="0" w:space="0" w:color="auto"/>
            <w:left w:val="none" w:sz="0" w:space="0" w:color="auto"/>
            <w:bottom w:val="none" w:sz="0" w:space="0" w:color="auto"/>
            <w:right w:val="none" w:sz="0" w:space="0" w:color="auto"/>
          </w:divBdr>
        </w:div>
        <w:div w:id="298845323">
          <w:marLeft w:val="0"/>
          <w:marRight w:val="0"/>
          <w:marTop w:val="0"/>
          <w:marBottom w:val="0"/>
          <w:divBdr>
            <w:top w:val="none" w:sz="0" w:space="0" w:color="auto"/>
            <w:left w:val="none" w:sz="0" w:space="0" w:color="auto"/>
            <w:bottom w:val="none" w:sz="0" w:space="0" w:color="auto"/>
            <w:right w:val="none" w:sz="0" w:space="0" w:color="auto"/>
          </w:divBdr>
        </w:div>
      </w:divsChild>
    </w:div>
    <w:div w:id="1570845310">
      <w:marLeft w:val="0"/>
      <w:marRight w:val="0"/>
      <w:marTop w:val="0"/>
      <w:marBottom w:val="0"/>
      <w:divBdr>
        <w:top w:val="none" w:sz="0" w:space="0" w:color="auto"/>
        <w:left w:val="none" w:sz="0" w:space="0" w:color="auto"/>
        <w:bottom w:val="none" w:sz="0" w:space="0" w:color="auto"/>
        <w:right w:val="none" w:sz="0" w:space="0" w:color="auto"/>
      </w:divBdr>
    </w:div>
    <w:div w:id="1580867750">
      <w:marLeft w:val="0"/>
      <w:marRight w:val="0"/>
      <w:marTop w:val="0"/>
      <w:marBottom w:val="0"/>
      <w:divBdr>
        <w:top w:val="none" w:sz="0" w:space="0" w:color="auto"/>
        <w:left w:val="none" w:sz="0" w:space="0" w:color="auto"/>
        <w:bottom w:val="none" w:sz="0" w:space="0" w:color="auto"/>
        <w:right w:val="none" w:sz="0" w:space="0" w:color="auto"/>
      </w:divBdr>
      <w:divsChild>
        <w:div w:id="745225824">
          <w:marLeft w:val="0"/>
          <w:marRight w:val="0"/>
          <w:marTop w:val="0"/>
          <w:marBottom w:val="0"/>
          <w:divBdr>
            <w:top w:val="none" w:sz="0" w:space="0" w:color="auto"/>
            <w:left w:val="none" w:sz="0" w:space="0" w:color="auto"/>
            <w:bottom w:val="none" w:sz="0" w:space="0" w:color="auto"/>
            <w:right w:val="none" w:sz="0" w:space="0" w:color="auto"/>
          </w:divBdr>
        </w:div>
        <w:div w:id="2102947700">
          <w:marLeft w:val="0"/>
          <w:marRight w:val="0"/>
          <w:marTop w:val="0"/>
          <w:marBottom w:val="0"/>
          <w:divBdr>
            <w:top w:val="none" w:sz="0" w:space="0" w:color="auto"/>
            <w:left w:val="none" w:sz="0" w:space="0" w:color="auto"/>
            <w:bottom w:val="none" w:sz="0" w:space="0" w:color="auto"/>
            <w:right w:val="none" w:sz="0" w:space="0" w:color="auto"/>
          </w:divBdr>
        </w:div>
      </w:divsChild>
    </w:div>
    <w:div w:id="1614896236">
      <w:marLeft w:val="0"/>
      <w:marRight w:val="0"/>
      <w:marTop w:val="0"/>
      <w:marBottom w:val="0"/>
      <w:divBdr>
        <w:top w:val="none" w:sz="0" w:space="0" w:color="auto"/>
        <w:left w:val="none" w:sz="0" w:space="0" w:color="auto"/>
        <w:bottom w:val="none" w:sz="0" w:space="0" w:color="auto"/>
        <w:right w:val="none" w:sz="0" w:space="0" w:color="auto"/>
      </w:divBdr>
    </w:div>
    <w:div w:id="1641615032">
      <w:marLeft w:val="0"/>
      <w:marRight w:val="0"/>
      <w:marTop w:val="0"/>
      <w:marBottom w:val="0"/>
      <w:divBdr>
        <w:top w:val="none" w:sz="0" w:space="0" w:color="auto"/>
        <w:left w:val="none" w:sz="0" w:space="0" w:color="auto"/>
        <w:bottom w:val="none" w:sz="0" w:space="0" w:color="auto"/>
        <w:right w:val="none" w:sz="0" w:space="0" w:color="auto"/>
      </w:divBdr>
      <w:divsChild>
        <w:div w:id="1861507380">
          <w:marLeft w:val="0"/>
          <w:marRight w:val="0"/>
          <w:marTop w:val="0"/>
          <w:marBottom w:val="0"/>
          <w:divBdr>
            <w:top w:val="none" w:sz="0" w:space="0" w:color="auto"/>
            <w:left w:val="none" w:sz="0" w:space="0" w:color="auto"/>
            <w:bottom w:val="none" w:sz="0" w:space="0" w:color="auto"/>
            <w:right w:val="none" w:sz="0" w:space="0" w:color="auto"/>
          </w:divBdr>
        </w:div>
        <w:div w:id="1327201978">
          <w:marLeft w:val="0"/>
          <w:marRight w:val="0"/>
          <w:marTop w:val="0"/>
          <w:marBottom w:val="0"/>
          <w:divBdr>
            <w:top w:val="none" w:sz="0" w:space="0" w:color="auto"/>
            <w:left w:val="none" w:sz="0" w:space="0" w:color="auto"/>
            <w:bottom w:val="none" w:sz="0" w:space="0" w:color="auto"/>
            <w:right w:val="none" w:sz="0" w:space="0" w:color="auto"/>
          </w:divBdr>
        </w:div>
      </w:divsChild>
    </w:div>
    <w:div w:id="1671055813">
      <w:marLeft w:val="0"/>
      <w:marRight w:val="0"/>
      <w:marTop w:val="0"/>
      <w:marBottom w:val="0"/>
      <w:divBdr>
        <w:top w:val="none" w:sz="0" w:space="0" w:color="auto"/>
        <w:left w:val="none" w:sz="0" w:space="0" w:color="auto"/>
        <w:bottom w:val="none" w:sz="0" w:space="0" w:color="auto"/>
        <w:right w:val="none" w:sz="0" w:space="0" w:color="auto"/>
      </w:divBdr>
      <w:divsChild>
        <w:div w:id="1033965774">
          <w:marLeft w:val="0"/>
          <w:marRight w:val="0"/>
          <w:marTop w:val="0"/>
          <w:marBottom w:val="0"/>
          <w:divBdr>
            <w:top w:val="none" w:sz="0" w:space="0" w:color="auto"/>
            <w:left w:val="none" w:sz="0" w:space="0" w:color="auto"/>
            <w:bottom w:val="none" w:sz="0" w:space="0" w:color="auto"/>
            <w:right w:val="none" w:sz="0" w:space="0" w:color="auto"/>
          </w:divBdr>
        </w:div>
        <w:div w:id="771709737">
          <w:marLeft w:val="0"/>
          <w:marRight w:val="0"/>
          <w:marTop w:val="0"/>
          <w:marBottom w:val="0"/>
          <w:divBdr>
            <w:top w:val="none" w:sz="0" w:space="0" w:color="auto"/>
            <w:left w:val="none" w:sz="0" w:space="0" w:color="auto"/>
            <w:bottom w:val="none" w:sz="0" w:space="0" w:color="auto"/>
            <w:right w:val="none" w:sz="0" w:space="0" w:color="auto"/>
          </w:divBdr>
        </w:div>
      </w:divsChild>
    </w:div>
    <w:div w:id="1682123436">
      <w:marLeft w:val="0"/>
      <w:marRight w:val="0"/>
      <w:marTop w:val="0"/>
      <w:marBottom w:val="0"/>
      <w:divBdr>
        <w:top w:val="none" w:sz="0" w:space="0" w:color="auto"/>
        <w:left w:val="none" w:sz="0" w:space="0" w:color="auto"/>
        <w:bottom w:val="none" w:sz="0" w:space="0" w:color="auto"/>
        <w:right w:val="none" w:sz="0" w:space="0" w:color="auto"/>
      </w:divBdr>
    </w:div>
    <w:div w:id="1697005639">
      <w:marLeft w:val="0"/>
      <w:marRight w:val="0"/>
      <w:marTop w:val="0"/>
      <w:marBottom w:val="0"/>
      <w:divBdr>
        <w:top w:val="none" w:sz="0" w:space="0" w:color="auto"/>
        <w:left w:val="none" w:sz="0" w:space="0" w:color="auto"/>
        <w:bottom w:val="none" w:sz="0" w:space="0" w:color="auto"/>
        <w:right w:val="none" w:sz="0" w:space="0" w:color="auto"/>
      </w:divBdr>
      <w:divsChild>
        <w:div w:id="1370959648">
          <w:marLeft w:val="0"/>
          <w:marRight w:val="0"/>
          <w:marTop w:val="0"/>
          <w:marBottom w:val="0"/>
          <w:divBdr>
            <w:top w:val="none" w:sz="0" w:space="0" w:color="auto"/>
            <w:left w:val="none" w:sz="0" w:space="0" w:color="auto"/>
            <w:bottom w:val="none" w:sz="0" w:space="0" w:color="auto"/>
            <w:right w:val="none" w:sz="0" w:space="0" w:color="auto"/>
          </w:divBdr>
          <w:divsChild>
            <w:div w:id="492647506">
              <w:marLeft w:val="0"/>
              <w:marRight w:val="0"/>
              <w:marTop w:val="0"/>
              <w:marBottom w:val="0"/>
              <w:divBdr>
                <w:top w:val="none" w:sz="0" w:space="0" w:color="auto"/>
                <w:left w:val="none" w:sz="0" w:space="0" w:color="auto"/>
                <w:bottom w:val="none" w:sz="0" w:space="0" w:color="auto"/>
                <w:right w:val="none" w:sz="0" w:space="0" w:color="auto"/>
              </w:divBdr>
              <w:divsChild>
                <w:div w:id="171838225">
                  <w:marLeft w:val="0"/>
                  <w:marRight w:val="0"/>
                  <w:marTop w:val="0"/>
                  <w:marBottom w:val="0"/>
                  <w:divBdr>
                    <w:top w:val="none" w:sz="0" w:space="0" w:color="auto"/>
                    <w:left w:val="none" w:sz="0" w:space="0" w:color="auto"/>
                    <w:bottom w:val="none" w:sz="0" w:space="0" w:color="auto"/>
                    <w:right w:val="none" w:sz="0" w:space="0" w:color="auto"/>
                  </w:divBdr>
                </w:div>
              </w:divsChild>
            </w:div>
            <w:div w:id="8582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2220">
      <w:marLeft w:val="0"/>
      <w:marRight w:val="0"/>
      <w:marTop w:val="0"/>
      <w:marBottom w:val="0"/>
      <w:divBdr>
        <w:top w:val="none" w:sz="0" w:space="0" w:color="auto"/>
        <w:left w:val="none" w:sz="0" w:space="0" w:color="auto"/>
        <w:bottom w:val="none" w:sz="0" w:space="0" w:color="auto"/>
        <w:right w:val="none" w:sz="0" w:space="0" w:color="auto"/>
      </w:divBdr>
    </w:div>
    <w:div w:id="1725523274">
      <w:marLeft w:val="0"/>
      <w:marRight w:val="0"/>
      <w:marTop w:val="0"/>
      <w:marBottom w:val="0"/>
      <w:divBdr>
        <w:top w:val="none" w:sz="0" w:space="0" w:color="auto"/>
        <w:left w:val="none" w:sz="0" w:space="0" w:color="auto"/>
        <w:bottom w:val="none" w:sz="0" w:space="0" w:color="auto"/>
        <w:right w:val="none" w:sz="0" w:space="0" w:color="auto"/>
      </w:divBdr>
    </w:div>
    <w:div w:id="1792364224">
      <w:marLeft w:val="0"/>
      <w:marRight w:val="0"/>
      <w:marTop w:val="0"/>
      <w:marBottom w:val="0"/>
      <w:divBdr>
        <w:top w:val="none" w:sz="0" w:space="0" w:color="auto"/>
        <w:left w:val="none" w:sz="0" w:space="0" w:color="auto"/>
        <w:bottom w:val="none" w:sz="0" w:space="0" w:color="auto"/>
        <w:right w:val="none" w:sz="0" w:space="0" w:color="auto"/>
      </w:divBdr>
      <w:divsChild>
        <w:div w:id="259679547">
          <w:marLeft w:val="0"/>
          <w:marRight w:val="0"/>
          <w:marTop w:val="0"/>
          <w:marBottom w:val="0"/>
          <w:divBdr>
            <w:top w:val="none" w:sz="0" w:space="0" w:color="auto"/>
            <w:left w:val="none" w:sz="0" w:space="0" w:color="auto"/>
            <w:bottom w:val="none" w:sz="0" w:space="0" w:color="auto"/>
            <w:right w:val="none" w:sz="0" w:space="0" w:color="auto"/>
          </w:divBdr>
        </w:div>
        <w:div w:id="908540648">
          <w:marLeft w:val="0"/>
          <w:marRight w:val="0"/>
          <w:marTop w:val="0"/>
          <w:marBottom w:val="0"/>
          <w:divBdr>
            <w:top w:val="none" w:sz="0" w:space="0" w:color="auto"/>
            <w:left w:val="none" w:sz="0" w:space="0" w:color="auto"/>
            <w:bottom w:val="none" w:sz="0" w:space="0" w:color="auto"/>
            <w:right w:val="none" w:sz="0" w:space="0" w:color="auto"/>
          </w:divBdr>
        </w:div>
      </w:divsChild>
    </w:div>
    <w:div w:id="1805078489">
      <w:marLeft w:val="0"/>
      <w:marRight w:val="0"/>
      <w:marTop w:val="0"/>
      <w:marBottom w:val="0"/>
      <w:divBdr>
        <w:top w:val="none" w:sz="0" w:space="0" w:color="auto"/>
        <w:left w:val="none" w:sz="0" w:space="0" w:color="auto"/>
        <w:bottom w:val="none" w:sz="0" w:space="0" w:color="auto"/>
        <w:right w:val="none" w:sz="0" w:space="0" w:color="auto"/>
      </w:divBdr>
    </w:div>
    <w:div w:id="1869636019">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26069847">
      <w:marLeft w:val="0"/>
      <w:marRight w:val="0"/>
      <w:marTop w:val="0"/>
      <w:marBottom w:val="0"/>
      <w:divBdr>
        <w:top w:val="none" w:sz="0" w:space="0" w:color="auto"/>
        <w:left w:val="none" w:sz="0" w:space="0" w:color="auto"/>
        <w:bottom w:val="none" w:sz="0" w:space="0" w:color="auto"/>
        <w:right w:val="none" w:sz="0" w:space="0" w:color="auto"/>
      </w:divBdr>
    </w:div>
    <w:div w:id="1942180863">
      <w:marLeft w:val="0"/>
      <w:marRight w:val="0"/>
      <w:marTop w:val="0"/>
      <w:marBottom w:val="0"/>
      <w:divBdr>
        <w:top w:val="none" w:sz="0" w:space="0" w:color="auto"/>
        <w:left w:val="none" w:sz="0" w:space="0" w:color="auto"/>
        <w:bottom w:val="none" w:sz="0" w:space="0" w:color="auto"/>
        <w:right w:val="none" w:sz="0" w:space="0" w:color="auto"/>
      </w:divBdr>
      <w:divsChild>
        <w:div w:id="1588347027">
          <w:marLeft w:val="0"/>
          <w:marRight w:val="0"/>
          <w:marTop w:val="0"/>
          <w:marBottom w:val="0"/>
          <w:divBdr>
            <w:top w:val="none" w:sz="0" w:space="0" w:color="auto"/>
            <w:left w:val="none" w:sz="0" w:space="0" w:color="auto"/>
            <w:bottom w:val="none" w:sz="0" w:space="0" w:color="auto"/>
            <w:right w:val="none" w:sz="0" w:space="0" w:color="auto"/>
          </w:divBdr>
        </w:div>
        <w:div w:id="1449660627">
          <w:marLeft w:val="0"/>
          <w:marRight w:val="0"/>
          <w:marTop w:val="0"/>
          <w:marBottom w:val="0"/>
          <w:divBdr>
            <w:top w:val="none" w:sz="0" w:space="0" w:color="auto"/>
            <w:left w:val="none" w:sz="0" w:space="0" w:color="auto"/>
            <w:bottom w:val="none" w:sz="0" w:space="0" w:color="auto"/>
            <w:right w:val="none" w:sz="0" w:space="0" w:color="auto"/>
          </w:divBdr>
        </w:div>
      </w:divsChild>
    </w:div>
    <w:div w:id="1953316481">
      <w:marLeft w:val="0"/>
      <w:marRight w:val="0"/>
      <w:marTop w:val="0"/>
      <w:marBottom w:val="0"/>
      <w:divBdr>
        <w:top w:val="none" w:sz="0" w:space="0" w:color="auto"/>
        <w:left w:val="none" w:sz="0" w:space="0" w:color="auto"/>
        <w:bottom w:val="none" w:sz="0" w:space="0" w:color="auto"/>
        <w:right w:val="none" w:sz="0" w:space="0" w:color="auto"/>
      </w:divBdr>
      <w:divsChild>
        <w:div w:id="718287239">
          <w:marLeft w:val="0"/>
          <w:marRight w:val="0"/>
          <w:marTop w:val="0"/>
          <w:marBottom w:val="0"/>
          <w:divBdr>
            <w:top w:val="none" w:sz="0" w:space="0" w:color="auto"/>
            <w:left w:val="none" w:sz="0" w:space="0" w:color="auto"/>
            <w:bottom w:val="none" w:sz="0" w:space="0" w:color="auto"/>
            <w:right w:val="none" w:sz="0" w:space="0" w:color="auto"/>
          </w:divBdr>
        </w:div>
        <w:div w:id="528570197">
          <w:marLeft w:val="0"/>
          <w:marRight w:val="0"/>
          <w:marTop w:val="0"/>
          <w:marBottom w:val="0"/>
          <w:divBdr>
            <w:top w:val="none" w:sz="0" w:space="0" w:color="auto"/>
            <w:left w:val="none" w:sz="0" w:space="0" w:color="auto"/>
            <w:bottom w:val="none" w:sz="0" w:space="0" w:color="auto"/>
            <w:right w:val="none" w:sz="0" w:space="0" w:color="auto"/>
          </w:divBdr>
        </w:div>
      </w:divsChild>
    </w:div>
    <w:div w:id="2018998779">
      <w:marLeft w:val="0"/>
      <w:marRight w:val="0"/>
      <w:marTop w:val="0"/>
      <w:marBottom w:val="0"/>
      <w:divBdr>
        <w:top w:val="none" w:sz="0" w:space="0" w:color="auto"/>
        <w:left w:val="none" w:sz="0" w:space="0" w:color="auto"/>
        <w:bottom w:val="none" w:sz="0" w:space="0" w:color="auto"/>
        <w:right w:val="none" w:sz="0" w:space="0" w:color="auto"/>
      </w:divBdr>
      <w:divsChild>
        <w:div w:id="195124870">
          <w:marLeft w:val="0"/>
          <w:marRight w:val="0"/>
          <w:marTop w:val="0"/>
          <w:marBottom w:val="0"/>
          <w:divBdr>
            <w:top w:val="none" w:sz="0" w:space="0" w:color="auto"/>
            <w:left w:val="none" w:sz="0" w:space="0" w:color="auto"/>
            <w:bottom w:val="none" w:sz="0" w:space="0" w:color="auto"/>
            <w:right w:val="none" w:sz="0" w:space="0" w:color="auto"/>
          </w:divBdr>
        </w:div>
        <w:div w:id="1846163460">
          <w:marLeft w:val="0"/>
          <w:marRight w:val="0"/>
          <w:marTop w:val="0"/>
          <w:marBottom w:val="0"/>
          <w:divBdr>
            <w:top w:val="none" w:sz="0" w:space="0" w:color="auto"/>
            <w:left w:val="none" w:sz="0" w:space="0" w:color="auto"/>
            <w:bottom w:val="none" w:sz="0" w:space="0" w:color="auto"/>
            <w:right w:val="none" w:sz="0" w:space="0" w:color="auto"/>
          </w:divBdr>
        </w:div>
      </w:divsChild>
    </w:div>
    <w:div w:id="2033264750">
      <w:marLeft w:val="0"/>
      <w:marRight w:val="0"/>
      <w:marTop w:val="0"/>
      <w:marBottom w:val="0"/>
      <w:divBdr>
        <w:top w:val="none" w:sz="0" w:space="0" w:color="auto"/>
        <w:left w:val="none" w:sz="0" w:space="0" w:color="auto"/>
        <w:bottom w:val="none" w:sz="0" w:space="0" w:color="auto"/>
        <w:right w:val="none" w:sz="0" w:space="0" w:color="auto"/>
      </w:divBdr>
      <w:divsChild>
        <w:div w:id="2100056154">
          <w:marLeft w:val="0"/>
          <w:marRight w:val="0"/>
          <w:marTop w:val="0"/>
          <w:marBottom w:val="0"/>
          <w:divBdr>
            <w:top w:val="none" w:sz="0" w:space="0" w:color="auto"/>
            <w:left w:val="none" w:sz="0" w:space="0" w:color="auto"/>
            <w:bottom w:val="none" w:sz="0" w:space="0" w:color="auto"/>
            <w:right w:val="none" w:sz="0" w:space="0" w:color="auto"/>
          </w:divBdr>
        </w:div>
        <w:div w:id="590546777">
          <w:marLeft w:val="0"/>
          <w:marRight w:val="0"/>
          <w:marTop w:val="0"/>
          <w:marBottom w:val="0"/>
          <w:divBdr>
            <w:top w:val="none" w:sz="0" w:space="0" w:color="auto"/>
            <w:left w:val="none" w:sz="0" w:space="0" w:color="auto"/>
            <w:bottom w:val="none" w:sz="0" w:space="0" w:color="auto"/>
            <w:right w:val="none" w:sz="0" w:space="0" w:color="auto"/>
          </w:divBdr>
        </w:div>
      </w:divsChild>
    </w:div>
    <w:div w:id="2050060100">
      <w:marLeft w:val="0"/>
      <w:marRight w:val="0"/>
      <w:marTop w:val="0"/>
      <w:marBottom w:val="0"/>
      <w:divBdr>
        <w:top w:val="none" w:sz="0" w:space="0" w:color="auto"/>
        <w:left w:val="none" w:sz="0" w:space="0" w:color="auto"/>
        <w:bottom w:val="none" w:sz="0" w:space="0" w:color="auto"/>
        <w:right w:val="none" w:sz="0" w:space="0" w:color="auto"/>
      </w:divBdr>
      <w:divsChild>
        <w:div w:id="132793537">
          <w:marLeft w:val="0"/>
          <w:marRight w:val="0"/>
          <w:marTop w:val="0"/>
          <w:marBottom w:val="0"/>
          <w:divBdr>
            <w:top w:val="none" w:sz="0" w:space="0" w:color="auto"/>
            <w:left w:val="none" w:sz="0" w:space="0" w:color="auto"/>
            <w:bottom w:val="none" w:sz="0" w:space="0" w:color="auto"/>
            <w:right w:val="none" w:sz="0" w:space="0" w:color="auto"/>
          </w:divBdr>
        </w:div>
        <w:div w:id="789055992">
          <w:marLeft w:val="0"/>
          <w:marRight w:val="0"/>
          <w:marTop w:val="0"/>
          <w:marBottom w:val="0"/>
          <w:divBdr>
            <w:top w:val="none" w:sz="0" w:space="0" w:color="auto"/>
            <w:left w:val="none" w:sz="0" w:space="0" w:color="auto"/>
            <w:bottom w:val="none" w:sz="0" w:space="0" w:color="auto"/>
            <w:right w:val="none" w:sz="0" w:space="0" w:color="auto"/>
          </w:divBdr>
        </w:div>
      </w:divsChild>
    </w:div>
    <w:div w:id="2050110721">
      <w:marLeft w:val="0"/>
      <w:marRight w:val="0"/>
      <w:marTop w:val="0"/>
      <w:marBottom w:val="0"/>
      <w:divBdr>
        <w:top w:val="none" w:sz="0" w:space="0" w:color="auto"/>
        <w:left w:val="none" w:sz="0" w:space="0" w:color="auto"/>
        <w:bottom w:val="none" w:sz="0" w:space="0" w:color="auto"/>
        <w:right w:val="none" w:sz="0" w:space="0" w:color="auto"/>
      </w:divBdr>
    </w:div>
    <w:div w:id="2088646663">
      <w:marLeft w:val="0"/>
      <w:marRight w:val="0"/>
      <w:marTop w:val="0"/>
      <w:marBottom w:val="0"/>
      <w:divBdr>
        <w:top w:val="none" w:sz="0" w:space="0" w:color="auto"/>
        <w:left w:val="none" w:sz="0" w:space="0" w:color="auto"/>
        <w:bottom w:val="none" w:sz="0" w:space="0" w:color="auto"/>
        <w:right w:val="none" w:sz="0" w:space="0" w:color="auto"/>
      </w:divBdr>
      <w:divsChild>
        <w:div w:id="705449904">
          <w:marLeft w:val="0"/>
          <w:marRight w:val="0"/>
          <w:marTop w:val="0"/>
          <w:marBottom w:val="0"/>
          <w:divBdr>
            <w:top w:val="none" w:sz="0" w:space="0" w:color="auto"/>
            <w:left w:val="none" w:sz="0" w:space="0" w:color="auto"/>
            <w:bottom w:val="none" w:sz="0" w:space="0" w:color="auto"/>
            <w:right w:val="none" w:sz="0" w:space="0" w:color="auto"/>
          </w:divBdr>
        </w:div>
        <w:div w:id="957221181">
          <w:marLeft w:val="0"/>
          <w:marRight w:val="0"/>
          <w:marTop w:val="0"/>
          <w:marBottom w:val="0"/>
          <w:divBdr>
            <w:top w:val="none" w:sz="0" w:space="0" w:color="auto"/>
            <w:left w:val="none" w:sz="0" w:space="0" w:color="auto"/>
            <w:bottom w:val="none" w:sz="0" w:space="0" w:color="auto"/>
            <w:right w:val="none" w:sz="0" w:space="0" w:color="auto"/>
          </w:divBdr>
        </w:div>
      </w:divsChild>
    </w:div>
    <w:div w:id="2111076944">
      <w:marLeft w:val="0"/>
      <w:marRight w:val="0"/>
      <w:marTop w:val="0"/>
      <w:marBottom w:val="0"/>
      <w:divBdr>
        <w:top w:val="none" w:sz="0" w:space="0" w:color="auto"/>
        <w:left w:val="none" w:sz="0" w:space="0" w:color="auto"/>
        <w:bottom w:val="none" w:sz="0" w:space="0" w:color="auto"/>
        <w:right w:val="none" w:sz="0" w:space="0" w:color="auto"/>
      </w:divBdr>
    </w:div>
    <w:div w:id="213413204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_195426.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ex_195425.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_194764.htm" TargetMode="External"/><Relationship Id="rId11" Type="http://schemas.openxmlformats.org/officeDocument/2006/relationships/hyperlink" Target="ex_194700.htm" TargetMode="External"/><Relationship Id="rId5" Type="http://schemas.openxmlformats.org/officeDocument/2006/relationships/hyperlink" Target="ex_194763.htm" TargetMode="External"/><Relationship Id="rId10" Type="http://schemas.openxmlformats.org/officeDocument/2006/relationships/hyperlink" Target="ex_194699.htm" TargetMode="External"/><Relationship Id="rId4" Type="http://schemas.openxmlformats.org/officeDocument/2006/relationships/hyperlink" Target="ex_194696.htm" TargetMode="External"/><Relationship Id="rId9" Type="http://schemas.openxmlformats.org/officeDocument/2006/relationships/hyperlink" Target="ex_19469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28398</Words>
  <Characters>161872</Characters>
  <Application>Microsoft Office Word</Application>
  <DocSecurity>0</DocSecurity>
  <Lines>1348</Lines>
  <Paragraphs>379</Paragraphs>
  <ScaleCrop>false</ScaleCrop>
  <Company/>
  <LinksUpToDate>false</LinksUpToDate>
  <CharactersWithSpaces>189891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kim20200630_10q.htm</dc:title>
  <dc:subject/>
  <dc:creator>Chongjian.Yue</dc:creator>
  <cp:keywords/>
  <dc:description/>
  <cp:lastModifiedBy>Yue Chongjian</cp:lastModifiedBy>
  <cp:revision>1</cp:revision>
  <dcterms:created xsi:type="dcterms:W3CDTF">2024-01-04T15:49:00Z</dcterms:created>
  <dcterms:modified xsi:type="dcterms:W3CDTF">2024-01-04T15:49:00Z</dcterms:modified>
</cp:coreProperties>
</file>