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E30E9">
      <w:pPr>
        <w:divId w:val="649091691"/>
        <w:rPr>
          <w:rFonts w:eastAsia="Times New Roman"/>
          <w:vanish/>
          <w:sz w:val="20"/>
          <w:szCs w:val="20"/>
        </w:rPr>
      </w:pPr>
      <w:r>
        <w:rPr>
          <w:rFonts w:eastAsia="Times New Roman"/>
          <w:vanish/>
          <w:sz w:val="20"/>
          <w:szCs w:val="20"/>
        </w:rPr>
        <w:t xml:space="preserve">0000879101 KIMCO REALTY CORP false --12-31 FY 2020 1.00 1.00 7,054,000 7,054,000 19,580 19,580 19,580 19,580 489,500 489,500 0.01 0.01 750,000,000 750,000,000 432,518,743 432,518,743 431,814,951 431,814,951 7,538 1,531 13,308 13,683 15,690 17,549 47 </w:t>
      </w:r>
      <w:r>
        <w:rPr>
          <w:rFonts w:eastAsia="Times New Roman"/>
          <w:vanish/>
          <w:sz w:val="20"/>
          <w:szCs w:val="20"/>
        </w:rPr>
        <w:t>3,452 1,007 1 1 3 10 4 5 10 1 3 9 1 4 22 1 5 98 98 1 8 3.33 3.46 1 0 0.3 4.73 4.97 4 3 7 5.2 1 0 0 0 0 0 0 0 Expiration dates ranging from 2021 to 2032. During the year ended December 31, 2019, the Prudential Investment Program recognized an impairment cha</w:t>
      </w:r>
      <w:r>
        <w:rPr>
          <w:rFonts w:eastAsia="Times New Roman"/>
          <w:vanish/>
          <w:sz w:val="20"/>
          <w:szCs w:val="20"/>
        </w:rPr>
        <w:t xml:space="preserve">rge on a property of $29.9 million, of which the Company's share was $3.7 million. For the years ended December 31, 2020, 2019 and 2018, the corresponding common stock equivalent of these vested awards were 594,900, 104,551 and 0 shares, respectively. The </w:t>
      </w:r>
      <w:r>
        <w:rPr>
          <w:rFonts w:eastAsia="Times New Roman"/>
          <w:vanish/>
          <w:sz w:val="20"/>
          <w:szCs w:val="20"/>
        </w:rPr>
        <w:t>year ended December 31, 2018 includes a charge of $1.6 million related to the recording of a deferred tax valuation allowance. During the year ended December 31, 2020, the Company recorded an adjustment of $2.2 million to the estimated redemption fair mark</w:t>
      </w:r>
      <w:r>
        <w:rPr>
          <w:rFonts w:eastAsia="Times New Roman"/>
          <w:vanish/>
          <w:sz w:val="20"/>
          <w:szCs w:val="20"/>
        </w:rPr>
        <w:t xml:space="preserve">et value of this noncontrolling interest in accordance with the provisions of the joint venture agreement and ASC 480 – Accounting for Redeemable Equity Instruments. The Company assesses the fair market value of this noncontrolling interest on a recurring </w:t>
      </w:r>
      <w:r>
        <w:rPr>
          <w:rFonts w:eastAsia="Times New Roman"/>
          <w:vanish/>
          <w:sz w:val="20"/>
          <w:szCs w:val="20"/>
        </w:rPr>
        <w:t>basis and determined that its valuation was classified within Level 3 of the fair value hierarchy. The estimated fair market value of this noncontrolling interest was based upon a discounted cash flow model, for which a capitalization rate of 5.50% and dis</w:t>
      </w:r>
      <w:r>
        <w:rPr>
          <w:rFonts w:eastAsia="Times New Roman"/>
          <w:vanish/>
          <w:sz w:val="20"/>
          <w:szCs w:val="20"/>
        </w:rPr>
        <w:t>count rate of 6.50% were utilized in the model based upon unobservable rates that the Company believes to be within a reasonable range of current market rates. No adjustment to fair value was required during the year ended December 31, 2019. The Company de</w:t>
      </w:r>
      <w:r>
        <w:rPr>
          <w:rFonts w:eastAsia="Times New Roman"/>
          <w:vanish/>
          <w:sz w:val="20"/>
          <w:szCs w:val="20"/>
        </w:rPr>
        <w:t>termined that its valuation of these mortgages and construction loan payable was classified within Level 3 of the fair value hierarchy. Includes minimum base rents, expense reimbursements, ancillary income and straight-line rent adjustments. The Company de</w:t>
      </w:r>
      <w:r>
        <w:rPr>
          <w:rFonts w:eastAsia="Times New Roman"/>
          <w:vanish/>
          <w:sz w:val="20"/>
          <w:szCs w:val="20"/>
        </w:rPr>
        <w:t>termined that the valuation of its Senior Unsecured Notes were classified within Level 2 of the fair value hierarchy and its Credit Facility was classified within Level 3 of the fair value hierarchy. The estimated fair value amounts classified as Level 2 a</w:t>
      </w:r>
      <w:r>
        <w:rPr>
          <w:rFonts w:eastAsia="Times New Roman"/>
          <w:vanish/>
          <w:sz w:val="20"/>
          <w:szCs w:val="20"/>
        </w:rPr>
        <w:t>s of December 31, 2020 and 2019, were $5.5 billion and $4.8 billion, respectively. The estimated fair value amounts classified as Level 3 as of December 31, 2019, was $199.9 million. The year ended December 31, 2020 includes $1.5 million of estimated state</w:t>
      </w:r>
      <w:r>
        <w:rPr>
          <w:rFonts w:eastAsia="Times New Roman"/>
          <w:vanish/>
          <w:sz w:val="20"/>
          <w:szCs w:val="20"/>
        </w:rPr>
        <w:t xml:space="preserve"> and local tax provision related to the REIT operations. As of December 31, 2020, the Company had $5.6 million of deferred financing costs, net related to the Credit Facility that are included in Other assets on the Company’s Consolidated Balance Sheets. A</w:t>
      </w:r>
      <w:r>
        <w:rPr>
          <w:rFonts w:eastAsia="Times New Roman"/>
          <w:vanish/>
          <w:sz w:val="20"/>
          <w:szCs w:val="20"/>
        </w:rPr>
        <w:t>ll adjustments to "GAAP net income from REIT operations" are net of amounts attributable to noncontrolling interests and TRSs. The effect of the assumed conversion of certain convertible units had an anti-dilutive effect upon the calculation of Income from</w:t>
      </w:r>
      <w:r>
        <w:rPr>
          <w:rFonts w:eastAsia="Times New Roman"/>
          <w:vanish/>
          <w:sz w:val="20"/>
          <w:szCs w:val="20"/>
        </w:rPr>
        <w:t xml:space="preserve"> continuing operations per share. Accordingly, the impact of such conversions has not been included in the determination of diluted earnings per share calculations. Additionally, there were 1.2 million, 0.5 million and 1.3 million stock options that were n</w:t>
      </w:r>
      <w:r>
        <w:rPr>
          <w:rFonts w:eastAsia="Times New Roman"/>
          <w:vanish/>
          <w:sz w:val="20"/>
          <w:szCs w:val="20"/>
        </w:rPr>
        <w:t>ot dilutive as of December 31, 2020, 2019 and 2018, respectively. During the year ended December 31, 2018, a joint venture investment distributed cash proceeds resulting from the refinancing of an existing loan of which the Company's share was $3.6 million</w:t>
      </w:r>
      <w:r>
        <w:rPr>
          <w:rFonts w:eastAsia="Times New Roman"/>
          <w:vanish/>
          <w:sz w:val="20"/>
          <w:szCs w:val="20"/>
        </w:rPr>
        <w:t>. This distribution was in excess of the Company’s carrying basis in this joint venture investment and to that extent was recognized as income. In addition, during the year ended December 31, 2018, a joint venture recognized an impairment charge related to</w:t>
      </w:r>
      <w:r>
        <w:rPr>
          <w:rFonts w:eastAsia="Times New Roman"/>
          <w:vanish/>
          <w:sz w:val="20"/>
          <w:szCs w:val="20"/>
        </w:rPr>
        <w:t xml:space="preserve"> the pending foreclosure of a property, of which the Company’s share was $5.2 million. Includes restricted assets of consolidated variable interest entities ("VIEs") at December 31, 2020 and December 31, 2019 of $102,482 and $245,489, respectively. See Foo</w:t>
      </w:r>
      <w:r>
        <w:rPr>
          <w:rFonts w:eastAsia="Times New Roman"/>
          <w:vanish/>
          <w:sz w:val="20"/>
          <w:szCs w:val="20"/>
        </w:rPr>
        <w:t>tnote 10 of the Notes to Consolidated Financial Statements. Weighted-average interest rate Represents three separate joint ventures, with three separate accounts managed by Prudential Global Investment Management. Expiration dates ranging from 2027 to 2035</w:t>
      </w:r>
      <w:r>
        <w:rPr>
          <w:rFonts w:eastAsia="Times New Roman"/>
          <w:vanish/>
          <w:sz w:val="20"/>
          <w:szCs w:val="20"/>
        </w:rPr>
        <w:t>. Includes non-recourse liabilities of consolidated VIEs at December 31, 2020 and December 31, 2019 of $62,076 and $153,436, respectively. See Footnote 10 of the Notes to Consolidated Financial Statements. Includes the Company's previously held equity inte</w:t>
      </w:r>
      <w:r>
        <w:rPr>
          <w:rFonts w:eastAsia="Times New Roman"/>
          <w:vanish/>
          <w:sz w:val="20"/>
          <w:szCs w:val="20"/>
        </w:rPr>
        <w:t>rest investment, net of noncontrolling interest of the remaining partners. During 2020, the Company's revenue was reduced by $81.0 million associated with potentially uncollectible revenues, including revenues from tenants that are being accounted for on a</w:t>
      </w:r>
      <w:r>
        <w:rPr>
          <w:rFonts w:eastAsia="Times New Roman"/>
          <w:vanish/>
          <w:sz w:val="20"/>
          <w:szCs w:val="20"/>
        </w:rPr>
        <w:t xml:space="preserve"> cash basis, and disputed amounts, which includes $15.2 million for straight-line rent receivables, primarily attributable to the COVID-19 pandemic. The Company utilized an aggregate $36.1 million associated with Internal Revenue Code 26 U.S.C. §1031 sales</w:t>
      </w:r>
      <w:r>
        <w:rPr>
          <w:rFonts w:eastAsia="Times New Roman"/>
          <w:vanish/>
          <w:sz w:val="20"/>
          <w:szCs w:val="20"/>
        </w:rPr>
        <w:t xml:space="preserve"> proceeds. Includes minimum base rents, expense reimbursements, percentage rent, lease termination fee income and ancillary income. Gross leasable area ("GLA") Representing 97 property interests and 21.2 million square feet of GLA, as of December 31, 2020,</w:t>
      </w:r>
      <w:r>
        <w:rPr>
          <w:rFonts w:eastAsia="Times New Roman"/>
          <w:vanish/>
          <w:sz w:val="20"/>
          <w:szCs w:val="20"/>
        </w:rPr>
        <w:t xml:space="preserve"> and 98 property interests and 21.3 million square feet of GLA, as of December 31, 2019. Amounts relate to dispositions/deeds in lieu/foreclosures during the respective years shown. Average remaining term includes extensions These units are redeemable for </w:t>
      </w:r>
      <w:r>
        <w:rPr>
          <w:rFonts w:eastAsia="Times New Roman"/>
          <w:vanish/>
          <w:sz w:val="20"/>
          <w:szCs w:val="20"/>
        </w:rPr>
        <w:t>cash by the holder or at the Company’s option, shares of the Company’s common stock, based upon the conversion calculation as defined in the agreement. These units are included in Noncontrolling interests on the Company’s Consolidated Balance Sheets. The w</w:t>
      </w:r>
      <w:r>
        <w:rPr>
          <w:rFonts w:eastAsia="Times New Roman"/>
          <w:vanish/>
          <w:sz w:val="20"/>
          <w:szCs w:val="20"/>
        </w:rPr>
        <w:t>eighted-average grant date fair value for restricted stock issued during the years ended December 31, 2020, 2019 and 2018 were $18.67, $18.03 and $14.72, respectively. The weighted-average grant date fair value for performance shares issued during the year</w:t>
      </w:r>
      <w:r>
        <w:rPr>
          <w:rFonts w:eastAsia="Times New Roman"/>
          <w:vanish/>
          <w:sz w:val="20"/>
          <w:szCs w:val="20"/>
        </w:rPr>
        <w:t>s ended December 31, 2020, 2019 and 2018 were $18.02, $22.00 and $15.40, respectively. See Footnote 16 of the Notes to Consolidated Financial Statements for additional disclosure on fair value. Includes fair market value of debt adjustments, net and deferr</w:t>
      </w:r>
      <w:r>
        <w:rPr>
          <w:rFonts w:eastAsia="Times New Roman"/>
          <w:vanish/>
          <w:sz w:val="20"/>
          <w:szCs w:val="20"/>
        </w:rPr>
        <w:t>ed financing costs, net. In accordance with the Tax Cuts and Jobs Act, effective for tax years beginning on January 1, 2018, Section 162(m) of the Code a $1.0 million limit per executive was placed on the amount a company can deduct for executive compensat</w:t>
      </w:r>
      <w:r>
        <w:rPr>
          <w:rFonts w:eastAsia="Times New Roman"/>
          <w:vanish/>
          <w:sz w:val="20"/>
          <w:szCs w:val="20"/>
        </w:rPr>
        <w:t>ion for each of their CEO, CFO and the other three most highly paid executives. See Albertsons Companies, Inc. discussion below. Volatility is based on the annualized standard deviation of the daily logarithmic returns on dividend-adjusted closing prices o</w:t>
      </w:r>
      <w:r>
        <w:rPr>
          <w:rFonts w:eastAsia="Times New Roman"/>
          <w:vanish/>
          <w:sz w:val="20"/>
          <w:szCs w:val="20"/>
        </w:rPr>
        <w:t>ver the look-back period based on the term of the award. These units are redeemable for cash by the holder or callable by the Company and are included in Redeemable noncontrolling interests on the Company's Consolidated Balance Sheets. The Company acquired</w:t>
      </w:r>
      <w:r>
        <w:rPr>
          <w:rFonts w:eastAsia="Times New Roman"/>
          <w:vanish/>
          <w:sz w:val="20"/>
          <w:szCs w:val="20"/>
        </w:rPr>
        <w:t xml:space="preserve"> a partner's ownership interest in a property which was held in a joint venture in which the Company had a noncontrolling interest. The Company now has a 69.5% controlling interest in this property and has deemed this entity to be a VIE for which the Compa</w:t>
      </w:r>
      <w:r>
        <w:rPr>
          <w:rFonts w:eastAsia="Times New Roman"/>
          <w:vanish/>
          <w:sz w:val="20"/>
          <w:szCs w:val="20"/>
        </w:rPr>
        <w:t>ny is the primary beneficiary and consolidates the asset. The Company evaluated this transaction pursuant to the FASB's Consolidation guidance and, as a result, recognized a gain on change in control of interests of $0.1 million resulting from the fair val</w:t>
      </w:r>
      <w:r>
        <w:rPr>
          <w:rFonts w:eastAsia="Times New Roman"/>
          <w:vanish/>
          <w:sz w:val="20"/>
          <w:szCs w:val="20"/>
        </w:rPr>
        <w:t>ue adjustment associated with the Company’s previously held equity interest, which are included in the purchase price above in Other Consideration. Includes fixtures, leasehold improvements and other costs capitalized. In July 2020, the Company issued unse</w:t>
      </w:r>
      <w:r>
        <w:rPr>
          <w:rFonts w:eastAsia="Times New Roman"/>
          <w:vanish/>
          <w:sz w:val="20"/>
          <w:szCs w:val="20"/>
        </w:rPr>
        <w:t>cured notes (the "Green Bond"), of which the net proceeds from this offering are allocated to finance or refinance, in whole or in part, recently completed, existing or future Eligible Green Projects, in alignment with the four core components of the Green</w:t>
      </w:r>
      <w:r>
        <w:rPr>
          <w:rFonts w:eastAsia="Times New Roman"/>
          <w:vanish/>
          <w:sz w:val="20"/>
          <w:szCs w:val="20"/>
        </w:rPr>
        <w:t xml:space="preserve"> Bond Principles, 2018 as administered by the International Capital Market Association. Eligible Green Projects include projects with disbursements made in the three years preceding the issue date of the notes. Total Shareholder Returns, as used in the per</w:t>
      </w:r>
      <w:r>
        <w:rPr>
          <w:rFonts w:eastAsia="Times New Roman"/>
          <w:vanish/>
          <w:sz w:val="20"/>
          <w:szCs w:val="20"/>
        </w:rPr>
        <w:t>formance share awards computation, are measured based on cumulative dividend stock prices, as such a zero percent dividend yield is utilized. Redemption charges resulting from the difference between the redemption amount and the carrying amount of the resp</w:t>
      </w:r>
      <w:r>
        <w:rPr>
          <w:rFonts w:eastAsia="Times New Roman"/>
          <w:vanish/>
          <w:sz w:val="20"/>
          <w:szCs w:val="20"/>
        </w:rPr>
        <w:t>ective preferred stock class on the Company's Condensed Consolidated Balance Sheets are accounted for in accordance with the FASB's guidance on Distinguishing Liabilities from Equity. These charges were subtracted from net income attributable to the Compan</w:t>
      </w:r>
      <w:r>
        <w:rPr>
          <w:rFonts w:eastAsia="Times New Roman"/>
          <w:vanish/>
          <w:sz w:val="20"/>
          <w:szCs w:val="20"/>
        </w:rPr>
        <w:t>y to arrive at net income available to the Company's common shareholders and used in the calculation of earnings per share. The negative balance for costs capitalized subsequent to acquisition could include parcels/out-parcels sold, assets held-for-sale, p</w:t>
      </w:r>
      <w:r>
        <w:rPr>
          <w:rFonts w:eastAsia="Times New Roman"/>
          <w:vanish/>
          <w:sz w:val="20"/>
          <w:szCs w:val="20"/>
        </w:rPr>
        <w:t>rovision for losses and/or demolition of part of a property for redevelopment. Accrued interest at a rate of LIBOR plus 1.80% (3.56% as of December 31, 2019). In January 2020, the construction loan had been was fully repaid. These impairment charges relate</w:t>
      </w:r>
      <w:r>
        <w:rPr>
          <w:rFonts w:eastAsia="Times New Roman"/>
          <w:vanish/>
          <w:sz w:val="20"/>
          <w:szCs w:val="20"/>
        </w:rPr>
        <w:t xml:space="preserve"> to adjustments to property carrying values for properties which the Company has marketed for sale as part of its capital recycling program and as such has adjusted the anticipated hold periods for such properties. During December 2018, the Company recogni</w:t>
      </w:r>
      <w:r>
        <w:rPr>
          <w:rFonts w:eastAsia="Times New Roman"/>
          <w:vanish/>
          <w:sz w:val="20"/>
          <w:szCs w:val="20"/>
        </w:rPr>
        <w:t xml:space="preserve">zed an impairment charge of $41.0 million related to a development project located in Jacksonville, FL, which the Company had no longer intended to develop. The Company has sold portions of the property and is marketing the remainder of the property as is </w:t>
      </w:r>
      <w:r>
        <w:rPr>
          <w:rFonts w:eastAsia="Times New Roman"/>
          <w:vanish/>
          <w:sz w:val="20"/>
          <w:szCs w:val="20"/>
        </w:rPr>
        <w:t>for sale. The Company incurred a prepayment charge of $7.5 million, which is included in Early extinguishment of debt charges on the Company's Consolidated Statements of Income. The aggregate cost for Federal income tax purposes was approximately $32.2 mil</w:t>
      </w:r>
      <w:r>
        <w:rPr>
          <w:rFonts w:eastAsia="Times New Roman"/>
          <w:vanish/>
          <w:sz w:val="20"/>
          <w:szCs w:val="20"/>
        </w:rPr>
        <w:t>lion as of December 31, 2020. The year ended December 31, 2019 includes a tax benefit from AMT credit refunds of $3.7 million and $1.1 million related to the recording of a deferred tax valuation allowance. The year ended December 31, 2018 includes a charg</w:t>
      </w:r>
      <w:r>
        <w:rPr>
          <w:rFonts w:eastAsia="Times New Roman"/>
          <w:vanish/>
          <w:sz w:val="20"/>
          <w:szCs w:val="20"/>
        </w:rPr>
        <w:t>e of $0.3 million related to the recording of a deferred tax valuation allowance. At December 31, 2020 and 2019, the Company had accumulated amortization relating to in-place leases and above-market leases aggregating $499,022 and $485,040, respectively. S</w:t>
      </w:r>
      <w:r>
        <w:rPr>
          <w:rFonts w:eastAsia="Times New Roman"/>
          <w:vanish/>
          <w:sz w:val="20"/>
          <w:szCs w:val="20"/>
        </w:rPr>
        <w:t>hopping center includes active real estate under development project or land held for development. Includes allowances on accounts receivable and straight-line rents. Effective January 1, 2019, in accordance with the adoption of Topic 842, the Company incl</w:t>
      </w:r>
      <w:r>
        <w:rPr>
          <w:rFonts w:eastAsia="Times New Roman"/>
          <w:vanish/>
          <w:sz w:val="20"/>
          <w:szCs w:val="20"/>
        </w:rPr>
        <w:t>udes provision for doubtful accounts in Revenues from rental properties, net on the Company's Consolidated Statements of Income. If a lessee's accounts receivable balance is considered uncollectible, these uncollectible lessee lease receivables would be re</w:t>
      </w:r>
      <w:r>
        <w:rPr>
          <w:rFonts w:eastAsia="Times New Roman"/>
          <w:vanish/>
          <w:sz w:val="20"/>
          <w:szCs w:val="20"/>
        </w:rPr>
        <w:t>cognized as a reduction in revenues and would not be considered an allowance. With this implementation, the Allowance for Uncollectible Accounts was re-characterized to be appropriately reflected as reductions in revenues for uncollectible amounts. In addi</w:t>
      </w:r>
      <w:r>
        <w:rPr>
          <w:rFonts w:eastAsia="Times New Roman"/>
          <w:vanish/>
          <w:sz w:val="20"/>
          <w:szCs w:val="20"/>
        </w:rPr>
        <w:t>tion, the Company also recognizes a general reserve which is included for the year ended December 31, 2020. See Footnote 1 of the Notes to the Consolidated Financial Statements for additional disclosure. During 2019, the Company redeemed all 5,223,313 Clas</w:t>
      </w:r>
      <w:r>
        <w:rPr>
          <w:rFonts w:eastAsia="Times New Roman"/>
          <w:vanish/>
          <w:sz w:val="20"/>
          <w:szCs w:val="20"/>
        </w:rPr>
        <w:t>s A Units for a total redemption price of $5.8 million. Includes the land parcel sale at Dania Pointe, noted above in Footnote 4 of the Notes to Consolidated Financial Statements. The Company manages these joint venture investments and, where applicable, e</w:t>
      </w:r>
      <w:r>
        <w:rPr>
          <w:rFonts w:eastAsia="Times New Roman"/>
          <w:vanish/>
          <w:sz w:val="20"/>
          <w:szCs w:val="20"/>
        </w:rPr>
        <w:t>arns acquisition fees, leasing commissions, property management fees, asset management fees and construction management fees. 00008791012020-01-012020-12-31 0000879101us-gaap:CommonStockMember2020-01-012020-12-31 0000879101kim:ClassLCumulativeRedeemablePre</w:t>
      </w:r>
      <w:r>
        <w:rPr>
          <w:rFonts w:eastAsia="Times New Roman"/>
          <w:vanish/>
          <w:sz w:val="20"/>
          <w:szCs w:val="20"/>
        </w:rPr>
        <w:t>ferredStockMember2020-01-012020-12-31 0000879101kim:ClassMCumulativeRedeemablePreferredStockMember2020-01-012020-12-31 iso4217:USD 00008791012020-06-30 xbrli:shares 00008791012021-02-11 thunderdome:item 00008791012020-12-31 00008791012019-12-31 0000879101k</w:t>
      </w:r>
      <w:r>
        <w:rPr>
          <w:rFonts w:eastAsia="Times New Roman"/>
          <w:vanish/>
          <w:sz w:val="20"/>
          <w:szCs w:val="20"/>
        </w:rPr>
        <w:t>im:RealEstateUnderDevelopmentMember2020-12-31 0000879101kim:RealEstateUnderDevelopmentMember2019-12-31 0000879101kim:InvestmentsInAndAdvancesToRealEstateJointVenturesMember2020-12-31 0000879101kim:InvestmentsInAndAdvancesToRealEstateJointVenturesMember2019</w:t>
      </w:r>
      <w:r>
        <w:rPr>
          <w:rFonts w:eastAsia="Times New Roman"/>
          <w:vanish/>
          <w:sz w:val="20"/>
          <w:szCs w:val="20"/>
        </w:rPr>
        <w:t>-12-31 0000879101kim:OtherRealEstateInvestmentsMember2020-12-31 0000879101kim:OtherRealEstateInvestmentsMember2019-12-31 iso4217:USDxbrli:shares 00008791012019-01-012019-12-31 00008791012018-01-012018-12-31 0000879101kim:JointVenturesMember2020-01-012020-1</w:t>
      </w:r>
      <w:r>
        <w:rPr>
          <w:rFonts w:eastAsia="Times New Roman"/>
          <w:vanish/>
          <w:sz w:val="20"/>
          <w:szCs w:val="20"/>
        </w:rPr>
        <w:t>2-31 0000879101kim:JointVenturesMember2019-01-012019-12-31 0000879101kim:JointVenturesMember2018-01-012018-12-31 0000879101kim:OtherRealEstateInvestmentsMember2020-01-012020-12-31 0000879101kim:OtherRealEstateInvestmentsMember2019-01-012019-12-31 000087910</w:t>
      </w:r>
      <w:r>
        <w:rPr>
          <w:rFonts w:eastAsia="Times New Roman"/>
          <w:vanish/>
          <w:sz w:val="20"/>
          <w:szCs w:val="20"/>
        </w:rPr>
        <w:t>1kim:OtherRealEstateInvestmentsMember2018-01-012018-12-31 0000879101us-gaap:RetainedEarningsMember2017-12-31 0000879101us-gaap:AccumulatedOtherComprehensiveIncomeMember2017-12-31 0000879101us-gaap:PreferredStockMember2017-12-31 0000879101us-gaap:CommonStoc</w:t>
      </w:r>
      <w:r>
        <w:rPr>
          <w:rFonts w:eastAsia="Times New Roman"/>
          <w:vanish/>
          <w:sz w:val="20"/>
          <w:szCs w:val="20"/>
        </w:rPr>
        <w:t xml:space="preserve">kMember2017-12-31 0000879101us-gaap:AdditionalPaidInCapitalMember2017-12-31 0000879101us-gaap:ParentMember2017-12-31 0000879101us-gaap:NoncontrollingInterestMember2017-12-31 00008791012017-12-31 0000879101us-gaap:RetainedEarningsMember2018-01-012018-12-31 </w:t>
      </w:r>
      <w:r>
        <w:rPr>
          <w:rFonts w:eastAsia="Times New Roman"/>
          <w:vanish/>
          <w:sz w:val="20"/>
          <w:szCs w:val="20"/>
        </w:rPr>
        <w:t>0000879101us-gaap:AccumulatedOtherComprehensiveIncomeMember2018-01-012018-12-31 0000879101us-gaap:PreferredStockMember2018-01-012018-12-31 0000879101us-gaap:CommonStockMember2018-01-012018-12-31 0000879101us-gaap:AdditionalPaidInCapitalMember2018-01-012018</w:t>
      </w:r>
      <w:r>
        <w:rPr>
          <w:rFonts w:eastAsia="Times New Roman"/>
          <w:vanish/>
          <w:sz w:val="20"/>
          <w:szCs w:val="20"/>
        </w:rPr>
        <w:t>-12-31 0000879101us-gaap:ParentMember2018-01-012018-12-31 0000879101us-gaap:NoncontrollingInterestMember2018-01-012018-12-31 0000879101us-gaap:RetainedEarningsMember2018-12-31 0000879101us-gaap:AccumulatedOtherComprehensiveIncomeMember2018-12-31 0000879101</w:t>
      </w:r>
      <w:r>
        <w:rPr>
          <w:rFonts w:eastAsia="Times New Roman"/>
          <w:vanish/>
          <w:sz w:val="20"/>
          <w:szCs w:val="20"/>
        </w:rPr>
        <w:t>us-gaap:PreferredStockMember2018-12-31 0000879101us-gaap:CommonStockMember2018-12-31 0000879101us-gaap:AdditionalPaidInCapitalMember2018-12-31 0000879101us-gaap:ParentMember2018-12-31 0000879101us-gaap:NoncontrollingInterestMember2018-12-31 00008791012018-</w:t>
      </w:r>
      <w:r>
        <w:rPr>
          <w:rFonts w:eastAsia="Times New Roman"/>
          <w:vanish/>
          <w:sz w:val="20"/>
          <w:szCs w:val="20"/>
        </w:rPr>
        <w:t>12-31 0000879101us-gaap:RetainedEarningsMember2019-01-012019-12-31 0000879101us-gaap:AccumulatedOtherComprehensiveIncomeMember2019-01-012019-12-31 0000879101us-gaap:PreferredStockMember2019-01-012019-12-31 0000879101us-gaap:CommonStockMember2019-01-012019-</w:t>
      </w:r>
      <w:r>
        <w:rPr>
          <w:rFonts w:eastAsia="Times New Roman"/>
          <w:vanish/>
          <w:sz w:val="20"/>
          <w:szCs w:val="20"/>
        </w:rPr>
        <w:t>12-31 0000879101us-gaap:AdditionalPaidInCapitalMember2019-01-012019-12-31 0000879101us-gaap:ParentMember2019-01-012019-12-31 0000879101us-gaap:NoncontrollingInterestMember2019-01-012019-12-31 0000879101us-gaap:RetainedEarningsMember2019-12-31 0000879101us-</w:t>
      </w:r>
      <w:r>
        <w:rPr>
          <w:rFonts w:eastAsia="Times New Roman"/>
          <w:vanish/>
          <w:sz w:val="20"/>
          <w:szCs w:val="20"/>
        </w:rPr>
        <w:t>gaap:AccumulatedOtherComprehensiveIncomeMember2019-12-31 0000879101us-gaap:PreferredStockMember2019-12-31 0000879101us-gaap:CommonStockMember2019-12-31 0000879101us-gaap:AdditionalPaidInCapitalMember2019-12-31 0000879101us-gaap:ParentMember2019-12-31 00008</w:t>
      </w:r>
      <w:r>
        <w:rPr>
          <w:rFonts w:eastAsia="Times New Roman"/>
          <w:vanish/>
          <w:sz w:val="20"/>
          <w:szCs w:val="20"/>
        </w:rPr>
        <w:t>79101us-gaap:NoncontrollingInterestMember2019-12-31 0000879101us-gaap:RetainedEarningsMember2020-01-012020-12-31 0000879101us-gaap:AccumulatedOtherComprehensiveIncomeMember2020-01-012020-12-31 0000879101us-gaap:PreferredStockMember2020-01-012020-12-31 0000</w:t>
      </w:r>
      <w:r>
        <w:rPr>
          <w:rFonts w:eastAsia="Times New Roman"/>
          <w:vanish/>
          <w:sz w:val="20"/>
          <w:szCs w:val="20"/>
        </w:rPr>
        <w:t>879101us-gaap:CommonStockMember2020-01-012020-12-31 0000879101us-gaap:AdditionalPaidInCapitalMember2020-01-012020-12-31 0000879101us-gaap:ParentMember2020-01-012020-12-31 0000879101us-gaap:NoncontrollingInterestMember2020-01-012020-12-31 0000879101us-gaap:</w:t>
      </w:r>
      <w:r>
        <w:rPr>
          <w:rFonts w:eastAsia="Times New Roman"/>
          <w:vanish/>
          <w:sz w:val="20"/>
          <w:szCs w:val="20"/>
        </w:rPr>
        <w:t xml:space="preserve">RetainedEarningsMember2020-12-31 0000879101us-gaap:AccumulatedOtherComprehensiveIncomeMember2020-12-31 0000879101us-gaap:PreferredStockMember2020-12-31 0000879101us-gaap:CommonStockMember2020-12-31 0000879101us-gaap:AdditionalPaidInCapitalMember2020-12-31 </w:t>
      </w:r>
      <w:r>
        <w:rPr>
          <w:rFonts w:eastAsia="Times New Roman"/>
          <w:vanish/>
          <w:sz w:val="20"/>
          <w:szCs w:val="20"/>
        </w:rPr>
        <w:t>0000879101us-gaap:ParentMember2020-12-31 0000879101us-gaap:NoncontrollingInterestMember2020-12-31 0000879101kim:TermLoanMember2020-01-012020-12-31 0000879101kim:TermLoanMember2019-01-012019-12-31 0000879101kim:TermLoanMember2018-01-012018-12-31 0000879101k</w:t>
      </w:r>
      <w:r>
        <w:rPr>
          <w:rFonts w:eastAsia="Times New Roman"/>
          <w:vanish/>
          <w:sz w:val="20"/>
          <w:szCs w:val="20"/>
        </w:rPr>
        <w:t>im:SeniorUnsecuredNotesMember2020-01-012020-12-31 0000879101kim:SeniorUnsecuredNotesMember2019-01-012019-12-31 0000879101kim:SeniorUnsecuredNotesMember2018-01-012018-12-31 utr:Y 0000879101us-gaap:BuildingAndBuildingImprovementsMembersrt:MinimumMember2020-0</w:t>
      </w:r>
      <w:r>
        <w:rPr>
          <w:rFonts w:eastAsia="Times New Roman"/>
          <w:vanish/>
          <w:sz w:val="20"/>
          <w:szCs w:val="20"/>
        </w:rPr>
        <w:t>1-012020-12-31 0000879101us-gaap:BuildingAndBuildingImprovementsMembersrt:MaximumMember2020-01-012020-12-31 xbrli:pure utr:D 0000879101us-gaap:ComputerSoftwareIntangibleAssetMembersrt:MinimumMember2020-01-012020-12-31 0000879101us-gaap:ComputerSoftwareInta</w:t>
      </w:r>
      <w:r>
        <w:rPr>
          <w:rFonts w:eastAsia="Times New Roman"/>
          <w:vanish/>
          <w:sz w:val="20"/>
          <w:szCs w:val="20"/>
        </w:rPr>
        <w:t>ngibleAssetMembersrt:MaximumMember2020-01-012020-12-31 0000879101kim:Covid19Member2020-01-012020-12-31 0000879101kim:StraightlineRentReceivablesMemberkim:Covid19Member2020-12-31 0000879101kim:The2010PlanMember2020-12-31 0000879101us-gaap:RestrictedStockMem</w:t>
      </w:r>
      <w:r>
        <w:rPr>
          <w:rFonts w:eastAsia="Times New Roman"/>
          <w:vanish/>
          <w:sz w:val="20"/>
          <w:szCs w:val="20"/>
        </w:rPr>
        <w:t>berkim:SharebasedCompensationAwardVestingOnFourthOrFifthAnniversaryMember2020-01-012020-12-31 0000879101us-gaap:RestrictedStockMemberus-gaap:ShareBasedCompensationAwardTrancheTwoMember2020-01-012020-12-31 0000879101us-gaap:RestrictedStockMemberus-gaap:Shar</w:t>
      </w:r>
      <w:r>
        <w:rPr>
          <w:rFonts w:eastAsia="Times New Roman"/>
          <w:vanish/>
          <w:sz w:val="20"/>
          <w:szCs w:val="20"/>
        </w:rPr>
        <w:t>eBasedCompensationAwardTrancheThreeMember2020-01-012020-12-31 0000879101us-gaap:RestrictedStockMemberkim:SharebasedCompensationAwardVestingAfterTheFifthAnniversaryMember2020-01-012020-12-31 0000879101us-gaap:PerformanceSharesMembersrt:MinimumMember2020-01-</w:t>
      </w:r>
      <w:r>
        <w:rPr>
          <w:rFonts w:eastAsia="Times New Roman"/>
          <w:vanish/>
          <w:sz w:val="20"/>
          <w:szCs w:val="20"/>
        </w:rPr>
        <w:t>012020-12-31 0000879101us-gaap:PerformanceSharesMembersrt:MaximumMember2020-01-012020-12-31 0000879101srt:RevisionOfPriorPeriodReclassificationAdjustmentMember2019-12-31 0000879101srt:RevisionOfPriorPeriodReclassificationAdjustmentMember2019-01-012019-12-3</w:t>
      </w:r>
      <w:r>
        <w:rPr>
          <w:rFonts w:eastAsia="Times New Roman"/>
          <w:vanish/>
          <w:sz w:val="20"/>
          <w:szCs w:val="20"/>
        </w:rPr>
        <w:t>1 0000879101srt:RevisionOfPriorPeriodReclassificationAdjustmentMember2018-01-012018-12-31 0000879101us-gaap:LandMember2020-12-31 0000879101us-gaap:LandMember2019-12-31 0000879101kim:UndevelopedLandMember2020-12-31 0000879101kim:UndevelopedLandMember2019-12</w:t>
      </w:r>
      <w:r>
        <w:rPr>
          <w:rFonts w:eastAsia="Times New Roman"/>
          <w:vanish/>
          <w:sz w:val="20"/>
          <w:szCs w:val="20"/>
        </w:rPr>
        <w:t>-31 0000879101us-gaap:BuildingMember2020-12-31 0000879101us-gaap:BuildingMember2019-12-31 0000879101us-gaap:BuildingImprovementsMember2020-12-31 0000879101us-gaap:BuildingImprovementsMember2019-12-31 0000879101kim:TenantImprovementsMember2020-12-31 0000879</w:t>
      </w:r>
      <w:r>
        <w:rPr>
          <w:rFonts w:eastAsia="Times New Roman"/>
          <w:vanish/>
          <w:sz w:val="20"/>
          <w:szCs w:val="20"/>
        </w:rPr>
        <w:t>101kim:TenantImprovementsMember2019-12-31 0000879101kim:FixturesAndLeaseholdImprovementsMember2020-12-31 0000879101kim:FixturesAndLeaseholdImprovementsMember2019-12-31 0000879101us-gaap:AboveMarketLeasesMember2020-12-31 0000879101us-gaap:AboveMarketLeasesM</w:t>
      </w:r>
      <w:r>
        <w:rPr>
          <w:rFonts w:eastAsia="Times New Roman"/>
          <w:vanish/>
          <w:sz w:val="20"/>
          <w:szCs w:val="20"/>
        </w:rPr>
        <w:t>ember2019-12-31 0000879101kim:InplaceLeasesMember2020-12-31 0000879101kim:InplaceLeasesMember2019-12-31 0000879101kim:InplaceLeasesTenantRelationshipsAndAbovemarketLeasesMember2020-12-31 0000879101kim:InplaceLeasesTenantRelationshipsAndAbovemarketLeasesMem</w:t>
      </w:r>
      <w:r>
        <w:rPr>
          <w:rFonts w:eastAsia="Times New Roman"/>
          <w:vanish/>
          <w:sz w:val="20"/>
          <w:szCs w:val="20"/>
        </w:rPr>
        <w:t>ber2019-12-31 0000879101kim:BelowMarketRentsMember2020-12-31 0000879101kim:BelowMarketRentsMember2019-12-31 0000879101kim:AboveAndBelowMarketLeasesMember2020-01-012020-12-31 0000879101kim:AboveAndBelowMarketLeasesMember2019-01-012019-12-31 0000879101kim:Ab</w:t>
      </w:r>
      <w:r>
        <w:rPr>
          <w:rFonts w:eastAsia="Times New Roman"/>
          <w:vanish/>
          <w:sz w:val="20"/>
          <w:szCs w:val="20"/>
        </w:rPr>
        <w:t>oveAndBelowMarketLeasesMember2018-01-012018-12-31 0000879101kim:InplaceLeasesAndTenantRelationshipsMember2020-01-012020-12-31 0000879101kim:InplaceLeasesAndTenantRelationshipsMember2019-01-012019-12-31 0000879101kim:InplaceLeasesAndTenantRelationshipsMembe</w:t>
      </w:r>
      <w:r>
        <w:rPr>
          <w:rFonts w:eastAsia="Times New Roman"/>
          <w:vanish/>
          <w:sz w:val="20"/>
          <w:szCs w:val="20"/>
        </w:rPr>
        <w:t>r2018-01-012018-12-31 0000879101kim:InplaceLeasesMember2020-12-31 0000879101kim:NorthValleyParcelMember2020-01-012020-12-31 utr:sqft 0000879101kim:NorthValleyParcelMember2020-12-31 0000879101kim:BellCaminoOutparcelMember2019-01-012019-12-31 0000879101kim:B</w:t>
      </w:r>
      <w:r>
        <w:rPr>
          <w:rFonts w:eastAsia="Times New Roman"/>
          <w:vanish/>
          <w:sz w:val="20"/>
          <w:szCs w:val="20"/>
        </w:rPr>
        <w:t>ellCaminoOutparcelMember2019-12-31 0000879101kim:GatewayAtDonnerPassOutparcelMember2019-01-012019-12-31 0000879101kim:GatewayAtDonnerPassOutparcelMember2019-12-31 0000879101kim:RanchoPenasquitosOutparcelMember2019-01-012019-12-31 0000879101kim:RanchoPenasq</w:t>
      </w:r>
      <w:r>
        <w:rPr>
          <w:rFonts w:eastAsia="Times New Roman"/>
          <w:vanish/>
          <w:sz w:val="20"/>
          <w:szCs w:val="20"/>
        </w:rPr>
        <w:t>uitosOutparcelMember2019-12-31 0000879101kim:LinwoodSquareMember2019-01-012019-12-31 0000879101kim:LinwoodSquareMember2019-12-31 0000879101us-gaap:BuildingMember2020-01-012020-12-31 0000879101us-gaap:BuildingMember2019-01-012019-12-31 0000879101us-gaap:Bui</w:t>
      </w:r>
      <w:r>
        <w:rPr>
          <w:rFonts w:eastAsia="Times New Roman"/>
          <w:vanish/>
          <w:sz w:val="20"/>
          <w:szCs w:val="20"/>
        </w:rPr>
        <w:t>ldingImprovementsMember2020-01-012020-12-31 0000879101us-gaap:BuildingImprovementsMember2019-01-012019-12-31 0000879101kim:TenantImprovementsMember2020-12-31 0000879101kim:TenantImprovementsMember2020-01-012020-12-31 0000879101kim:TenantImprovementsMember2</w:t>
      </w:r>
      <w:r>
        <w:rPr>
          <w:rFonts w:eastAsia="Times New Roman"/>
          <w:vanish/>
          <w:sz w:val="20"/>
          <w:szCs w:val="20"/>
        </w:rPr>
        <w:t>019-12-31 0000879101kim:TenantImprovementsMember2019-01-012019-12-31 0000879101us-gaap:LeasesAcquiredInPlaceMember2020-12-31 0000879101us-gaap:LeasesAcquiredInPlaceMember2020-01-012020-12-31 0000879101us-gaap:LeasesAcquiredInPlaceMember2019-12-31 000087910</w:t>
      </w:r>
      <w:r>
        <w:rPr>
          <w:rFonts w:eastAsia="Times New Roman"/>
          <w:vanish/>
          <w:sz w:val="20"/>
          <w:szCs w:val="20"/>
        </w:rPr>
        <w:t>1us-gaap:LeasesAcquiredInPlaceMember2019-01-012019-12-31 0000879101us-gaap:AboveMarketLeasesMember2020-12-31 0000879101us-gaap:AboveMarketLeasesMember2019-12-31 0000879101us-gaap:AboveMarketLeasesMember2019-01-012019-12-31 0000879101kim:BelowMarketLeasesMe</w:t>
      </w:r>
      <w:r>
        <w:rPr>
          <w:rFonts w:eastAsia="Times New Roman"/>
          <w:vanish/>
          <w:sz w:val="20"/>
          <w:szCs w:val="20"/>
        </w:rPr>
        <w:t>mber2020-12-31 0000879101kim:BelowMarketLeasesMember2019-12-31 0000879101kim:BelowMarketLeasesMember2019-01-012019-12-31 0000879101kim:ReclassificationFromDevelopmentInProcessToOperatingRealEstateMember2020-12-31 0000879101kim:ReclassificationFromDevelopme</w:t>
      </w:r>
      <w:r>
        <w:rPr>
          <w:rFonts w:eastAsia="Times New Roman"/>
          <w:vanish/>
          <w:sz w:val="20"/>
          <w:szCs w:val="20"/>
        </w:rPr>
        <w:t>ntInProcessToOtherAssetsMember2020-12-31 0000879101kim:DaniaPointeMember2019-01-012019-12-31 0000879101kim:DispositionActivityRelatingToConsolidatedOperatingPropertiesAndParcelsMember2020-12-31 0000879101kim:DispositionActivityRelatingToConsolidatedOperati</w:t>
      </w:r>
      <w:r>
        <w:rPr>
          <w:rFonts w:eastAsia="Times New Roman"/>
          <w:vanish/>
          <w:sz w:val="20"/>
          <w:szCs w:val="20"/>
        </w:rPr>
        <w:t>ngPropertiesAndParcelsMember2019-12-31 0000879101kim:DispositionActivityRelatingToConsolidatedOperatingPropertiesAndParcelsMember2018-12-31 0000879101kim:DispositionActivityRelatingToConsolidatedOperatingPropertiesAndParcelsMember2020-01-012020-12-31 00008</w:t>
      </w:r>
      <w:r>
        <w:rPr>
          <w:rFonts w:eastAsia="Times New Roman"/>
          <w:vanish/>
          <w:sz w:val="20"/>
          <w:szCs w:val="20"/>
        </w:rPr>
        <w:t>79101kim:DispositionActivityRelatingToConsolidatedOperatingPropertiesAndParcelsMember2019-01-012019-12-31 0000879101kim:DispositionActivityRelatingToConsolidatedOperatingPropertiesAndParcelsMember2018-01-012018-12-31 0000879101kim:SoldPortionOfInvestmentIn</w:t>
      </w:r>
      <w:r>
        <w:rPr>
          <w:rFonts w:eastAsia="Times New Roman"/>
          <w:vanish/>
          <w:sz w:val="20"/>
          <w:szCs w:val="20"/>
        </w:rPr>
        <w:t>ConsolidatedOperatingPropertyMember2018-12-31 0000879101kim:NonrecouseMortgageDebtRelatedToPropertyDeconsolidatedMember2018-01-012018-12-31 0000879101kim:SoldPortionOfInvestmentInConsolidatedOperatingPropertyMember2018-01-012018-12-31 0000879101us-gaap:Acc</w:t>
      </w:r>
      <w:r>
        <w:rPr>
          <w:rFonts w:eastAsia="Times New Roman"/>
          <w:vanish/>
          <w:sz w:val="20"/>
          <w:szCs w:val="20"/>
        </w:rPr>
        <w:t>ountingStandardsUpdate201705Memberkim:GainOnSaleOfOperatingPropertiesChangeInControlsOfInterestsMember2018-01-012018-12-31 0000879101kim:InvestmentInUnconsolidatedPropertyUnconsolidated2017Member2018-12-31 0000879101us-gaap:DisposalGroupDisposedOfBySaleNot</w:t>
      </w:r>
      <w:r>
        <w:rPr>
          <w:rFonts w:eastAsia="Times New Roman"/>
          <w:vanish/>
          <w:sz w:val="20"/>
          <w:szCs w:val="20"/>
        </w:rPr>
        <w:t>DiscontinuedOperationsMemberkim:ConsolidatedOperatingPropertiesMember2018-01-012018-12-31 0000879101us-gaap:DisposalGroupDisposedOfBySaleNotDiscontinuedOperationsMember2018-01-012018-12-31 0000879101kim:PropertiesMarketedForSaleMember2020-01-012020-12-31 0</w:t>
      </w:r>
      <w:r>
        <w:rPr>
          <w:rFonts w:eastAsia="Times New Roman"/>
          <w:vanish/>
          <w:sz w:val="20"/>
          <w:szCs w:val="20"/>
        </w:rPr>
        <w:t>000879101kim:PropertiesMarketedForSaleMember2019-01-012019-12-31 0000879101kim:PropertiesMarketedForSaleMember2018-01-012018-12-31 0000879101kim:DisposedOperatingPropertiesMember2020-01-012020-12-31 0000879101kim:DisposedOperatingPropertiesMember2019-01-01</w:t>
      </w:r>
      <w:r>
        <w:rPr>
          <w:rFonts w:eastAsia="Times New Roman"/>
          <w:vanish/>
          <w:sz w:val="20"/>
          <w:szCs w:val="20"/>
        </w:rPr>
        <w:t>2019-12-31 0000879101kim:DisposedOperatingPropertiesMember2018-01-012018-12-31 0000879101kim:PropertiesMarketedForSaleMember2018-12-012018-12-31 0000879101us-gaap:EquityMethodInvestmentsMember2020-01-012020-12-31 0000879101us-gaap:EquityMethodInvestmentsMe</w:t>
      </w:r>
      <w:r>
        <w:rPr>
          <w:rFonts w:eastAsia="Times New Roman"/>
          <w:vanish/>
          <w:sz w:val="20"/>
          <w:szCs w:val="20"/>
        </w:rPr>
        <w:t>mber2019-01-012019-12-31 0000879101us-gaap:EquityMethodInvestmentsMember2018-01-012018-12-31 0000879101kim:KimPruandKimPruIIMember2020-12-31 0000879101kim:KimPruandKimPruIIMember2019-12-31 0000879101kim:KimcoIncomeFundMember2020-12-31 0000879101kim:KimcoIn</w:t>
      </w:r>
      <w:r>
        <w:rPr>
          <w:rFonts w:eastAsia="Times New Roman"/>
          <w:vanish/>
          <w:sz w:val="20"/>
          <w:szCs w:val="20"/>
        </w:rPr>
        <w:t>comeFundMember2019-12-31 0000879101kim:CPPMember2020-12-31 0000879101kim:CPPMember2019-12-31 0000879101kim:OtherJointVentureProgramsMember2020-12-31 0000879101kim:OtherJointVentureProgramsMember2019-12-31 0000879101kim:AllEquityMethodInvestmentsMember2020-</w:t>
      </w:r>
      <w:r>
        <w:rPr>
          <w:rFonts w:eastAsia="Times New Roman"/>
          <w:vanish/>
          <w:sz w:val="20"/>
          <w:szCs w:val="20"/>
        </w:rPr>
        <w:t>12-31 0000879101kim:AllEquityMethodInvestmentsMember2019-12-31 0000879101kim:PrudentialInvestmentProgramMember2020-01-012020-12-31 0000879101kim:PrudentialInvestmentProgramMember2019-01-012019-12-31 0000879101kim:PrudentialInvestmentProgramMember2018-01-01</w:t>
      </w:r>
      <w:r>
        <w:rPr>
          <w:rFonts w:eastAsia="Times New Roman"/>
          <w:vanish/>
          <w:sz w:val="20"/>
          <w:szCs w:val="20"/>
        </w:rPr>
        <w:t>2018-12-31 0000879101kim:KIRMember2020-01-012020-12-31 0000879101kim:KIRMember2019-01-012019-12-31 0000879101kim:KIRMember2018-01-012018-12-31 0000879101kim:CPPMember2020-01-012020-12-31 0000879101kim:CPPMember2019-01-012019-12-31 0000879101kim:CPPMember20</w:t>
      </w:r>
      <w:r>
        <w:rPr>
          <w:rFonts w:eastAsia="Times New Roman"/>
          <w:vanish/>
          <w:sz w:val="20"/>
          <w:szCs w:val="20"/>
        </w:rPr>
        <w:t>18-01-012018-12-31 0000879101kim:OtherJointVentureProgramsMember2020-01-012020-12-31 0000879101kim:OtherJointVentureProgramsMember2019-01-012019-12-31 0000879101kim:OtherJointVentureProgramsMember2018-01-012018-12-31 0000879101kim:PrudentialInvestmentProgr</w:t>
      </w:r>
      <w:r>
        <w:rPr>
          <w:rFonts w:eastAsia="Times New Roman"/>
          <w:vanish/>
          <w:sz w:val="20"/>
          <w:szCs w:val="20"/>
        </w:rPr>
        <w:t>amMember2019-01-012019-12-31 0000879101kim:OperatingPropertiesMemberkim:RealEstateJointVenturesMember2019-01-012019-12-31 0000879101kim:OperatingPropertiesMemberkim:RealEstateJointVenturesMember2019-12-31 0000879101kim:OperatingPropertiesMemberkim:RealEsta</w:t>
      </w:r>
      <w:r>
        <w:rPr>
          <w:rFonts w:eastAsia="Times New Roman"/>
          <w:vanish/>
          <w:sz w:val="20"/>
          <w:szCs w:val="20"/>
        </w:rPr>
        <w:t>teJointVenturesMember2018-01-012018-12-31 0000879101kim:OperatingPropertiesMemberkim:RealEstateJointVenturesMember2018-12-31 0000879101kim:PrudentialInvestmentProgramMember2020-12-31 utr:M 0000879101kim:PrudentialInvestmentProgramMember2019-12-31 000087910</w:t>
      </w:r>
      <w:r>
        <w:rPr>
          <w:rFonts w:eastAsia="Times New Roman"/>
          <w:vanish/>
          <w:sz w:val="20"/>
          <w:szCs w:val="20"/>
        </w:rPr>
        <w:t>1kim:KIRMember2020-12-31 0000879101kim:KIRMember2019-12-31 0000879101us-gaap:EquityMethodInvestmentNonconsolidatedInvesteeOrGroupOfInvesteesMemberkim:KIRMember2020-12-31 0000879101us-gaap:EquityMethodInvestmentNonconsolidatedInvesteeOrGroupOfInvesteesMembe</w:t>
      </w:r>
      <w:r>
        <w:rPr>
          <w:rFonts w:eastAsia="Times New Roman"/>
          <w:vanish/>
          <w:sz w:val="20"/>
          <w:szCs w:val="20"/>
        </w:rPr>
        <w:t>rkim:KIRMember2019-12-31 0000879101us-gaap:EquityMethodInvestmentNonconsolidatedInvesteeOrGroupOfInvesteesMemberkim:KIRMember2020-01-012020-12-31 0000879101us-gaap:EquityMethodInvestmentNonconsolidatedInvesteeOrGroupOfInvesteesMemberkim:KIRMember2019-01-01</w:t>
      </w:r>
      <w:r>
        <w:rPr>
          <w:rFonts w:eastAsia="Times New Roman"/>
          <w:vanish/>
          <w:sz w:val="20"/>
          <w:szCs w:val="20"/>
        </w:rPr>
        <w:t>2019-12-31 0000879101us-gaap:EquityMethodInvestmentNonconsolidatedInvesteeOrGroupOfInvesteesMemberkim:KIRMember2018-01-012018-12-31 0000879101us-gaap:EquityMethodInvestmentNonconsolidatedInvesteeOrGroupOfInvesteesMemberkim:ExcludingKIRMember2020-12-31 0000</w:t>
      </w:r>
      <w:r>
        <w:rPr>
          <w:rFonts w:eastAsia="Times New Roman"/>
          <w:vanish/>
          <w:sz w:val="20"/>
          <w:szCs w:val="20"/>
        </w:rPr>
        <w:t>879101us-gaap:EquityMethodInvestmentNonconsolidatedInvesteeOrGroupOfInvesteesMemberkim:ExcludingKIRMember2019-12-31 0000879101us-gaap:EquityMethodInvestmentNonconsolidatedInvesteeOrGroupOfInvesteesMemberkim:ExcludingKIRMember2020-01-012020-12-31 0000879101</w:t>
      </w:r>
      <w:r>
        <w:rPr>
          <w:rFonts w:eastAsia="Times New Roman"/>
          <w:vanish/>
          <w:sz w:val="20"/>
          <w:szCs w:val="20"/>
        </w:rPr>
        <w:t>us-gaap:EquityMethodInvestmentNonconsolidatedInvesteeOrGroupOfInvesteesMemberkim:ExcludingKIRMember2019-01-012019-12-31 0000879101us-gaap:EquityMethodInvestmentNonconsolidatedInvesteeOrGroupOfInvesteesMemberkim:ExcludingKIRMember2018-01-012018-12-31 000087</w:t>
      </w:r>
      <w:r>
        <w:rPr>
          <w:rFonts w:eastAsia="Times New Roman"/>
          <w:vanish/>
          <w:sz w:val="20"/>
          <w:szCs w:val="20"/>
        </w:rPr>
        <w:t>9101kim:PreferredEquityInvestmentsMember2020-12-31 0000879101kim:LeasedPropertiesMemberkim:PreferredEquityInvestmentsMember2020-12-31 0000879101kim:PreferredEquityInvestmentsMember2020-01-012020-12-31 0000879101kim:PreferredEquityInvestmentsMember2019-12-3</w:t>
      </w:r>
      <w:r>
        <w:rPr>
          <w:rFonts w:eastAsia="Times New Roman"/>
          <w:vanish/>
          <w:sz w:val="20"/>
          <w:szCs w:val="20"/>
        </w:rPr>
        <w:t>1 0000879101kim:LeasedPropertiesMemberkim:PreferredEquityInvestmentsMember2019-12-31 0000879101kim:PreferredEquityInvestmentsMember2019-01-012019-12-31 0000879101kim:PropertyInQueensNyMemberkim:PreferredEquityInvestmentMember2020-12-31 0000879101kim:Prefer</w:t>
      </w:r>
      <w:r>
        <w:rPr>
          <w:rFonts w:eastAsia="Times New Roman"/>
          <w:vanish/>
          <w:sz w:val="20"/>
          <w:szCs w:val="20"/>
        </w:rPr>
        <w:t>redEquityInvestmentMember2020-12-31 0000879101srt:MinimumMemberkim:PreferredEquityInvestmentsMember2020-01-012020-12-31 0000879101srt:MaximumMemberkim:PreferredEquityInvestmentsMember2020-01-012020-12-31 0000879101srt:MinimumMemberkim:PreferredEquityInvest</w:t>
      </w:r>
      <w:r>
        <w:rPr>
          <w:rFonts w:eastAsia="Times New Roman"/>
          <w:vanish/>
          <w:sz w:val="20"/>
          <w:szCs w:val="20"/>
        </w:rPr>
        <w:t>mentsMember2020-12-31 0000879101srt:MaximumMemberkim:PreferredEquityInvestmentsMember2020-12-31 0000879101us-gaap:EquityMethodInvestmentNonconsolidatedInvesteeOrGroupOfInvesteesMemberkim:PreferredEquityInvestmentsMember2020-12-31 0000879101us-gaap:EquityMe</w:t>
      </w:r>
      <w:r>
        <w:rPr>
          <w:rFonts w:eastAsia="Times New Roman"/>
          <w:vanish/>
          <w:sz w:val="20"/>
          <w:szCs w:val="20"/>
        </w:rPr>
        <w:t>thodInvestmentNonconsolidatedInvesteeOrGroupOfInvesteesMemberkim:PreferredEquityInvestmentsMember2019-12-31 0000879101us-gaap:EquityMethodInvestmentNonconsolidatedInvesteeOrGroupOfInvesteesMemberkim:PreferredEquityInvestmentsMember2020-01-012020-12-31 0000</w:t>
      </w:r>
      <w:r>
        <w:rPr>
          <w:rFonts w:eastAsia="Times New Roman"/>
          <w:vanish/>
          <w:sz w:val="20"/>
          <w:szCs w:val="20"/>
        </w:rPr>
        <w:t>879101us-gaap:EquityMethodInvestmentNonconsolidatedInvesteeOrGroupOfInvesteesMemberkim:PreferredEquityInvestmentsMember2019-01-012019-12-31 0000879101us-gaap:EquityMethodInvestmentNonconsolidatedInvesteeOrGroupOfInvesteesMemberkim:PreferredEquityInvestment</w:t>
      </w:r>
      <w:r>
        <w:rPr>
          <w:rFonts w:eastAsia="Times New Roman"/>
          <w:vanish/>
          <w:sz w:val="20"/>
          <w:szCs w:val="20"/>
        </w:rPr>
        <w:t>sMember2018-01-012018-12-31 0000879101kim:AlbertsonsCompaniesIncMember2020-12-31 0000879101us-gaap:OtherAssetsMemberkim:AlbertsonsCompaniesIncMember2020-12-31 0000879101kim:AlbertsonsCompaniesIncMemberus-gaap:ConvertiblePreferredStockMember2020-06-012020-0</w:t>
      </w:r>
      <w:r>
        <w:rPr>
          <w:rFonts w:eastAsia="Times New Roman"/>
          <w:vanish/>
          <w:sz w:val="20"/>
          <w:szCs w:val="20"/>
        </w:rPr>
        <w:t>6-30 0000879101kim:AlbertsonsCompaniesIncMember2020-06-012020-06-30 0000879101kim:AlbertsonsCompaniesIncMember2020-06-30 0000879101kim:AlbertsonsCompaniesIncMember2020-06-012020-06-30 0000879101kim:AlbertsonsCompaniesIncMember2020-06-30 0000879101kim:Alber</w:t>
      </w:r>
      <w:r>
        <w:rPr>
          <w:rFonts w:eastAsia="Times New Roman"/>
          <w:vanish/>
          <w:sz w:val="20"/>
          <w:szCs w:val="20"/>
        </w:rPr>
        <w:t>tsonsCompaniesIncMemberus-gaap:IPOMember2020-06-252020-06-25 0000879101kim:AlbertsonsCompaniesIncMemberus-gaap:IPOMember2020-06-25 0000879101kim:AlbertsonsCompaniesIncMember2020-06-252020-06-25 0000879101kim:AlbertsonsCompaniesIncMember2020-01-012020-12-31</w:t>
      </w:r>
      <w:r>
        <w:rPr>
          <w:rFonts w:eastAsia="Times New Roman"/>
          <w:vanish/>
          <w:sz w:val="20"/>
          <w:szCs w:val="20"/>
        </w:rPr>
        <w:t xml:space="preserve"> 0000879101kim:AlbertsonsCompaniesIncMember2020-10-012020-10-31 0000879101kim:ConsolidatedOperatingPropertiesMember2019-12-31 0000879101kim:ConsolidatedOperatingPropertiesMember2020-12-31 0000879101us-gaap:VariableInterestEntityPrimaryBeneficiaryMemberkim:</w:t>
      </w:r>
      <w:r>
        <w:rPr>
          <w:rFonts w:eastAsia="Times New Roman"/>
          <w:vanish/>
          <w:sz w:val="20"/>
          <w:szCs w:val="20"/>
        </w:rPr>
        <w:t>ConsolidatedOperatingPropertiesMember2020-12-31 0000879101us-gaap:VariableInterestEntityPrimaryBeneficiaryMemberkim:ConsolidatedOperatingPropertiesMember2019-12-31 0000879101kim:RealEstateUnderDevelopmentMember2019-12-31 0000879101us-gaap:VariableInterestE</w:t>
      </w:r>
      <w:r>
        <w:rPr>
          <w:rFonts w:eastAsia="Times New Roman"/>
          <w:vanish/>
          <w:sz w:val="20"/>
          <w:szCs w:val="20"/>
        </w:rPr>
        <w:t>ntityPrimaryBeneficiaryMemberkim:RealEstateUnderDevelopmentMember2019-12-31 0000879101kim:VariableInterestEntityUnencumberedMember2020-12-31 0000879101kim:VariableInterestEntityUnencumberedMember2019-12-31 0000879101kim:VariableInterestEntityEncumberedByTh</w:t>
      </w:r>
      <w:r>
        <w:rPr>
          <w:rFonts w:eastAsia="Times New Roman"/>
          <w:vanish/>
          <w:sz w:val="20"/>
          <w:szCs w:val="20"/>
        </w:rPr>
        <w:t>irdPartyNonResourceMortgageDebtMember2020-12-31 0000879101kim:VariableInterestEntityEncumberedByThirdPartyNonResourceMortgageDebtMember2019-12-31 0000879101us-gaap:VariableInterestEntityPrimaryBeneficiaryMember2020-12-31 0000879101us-gaap:VariableInterestE</w:t>
      </w:r>
      <w:r>
        <w:rPr>
          <w:rFonts w:eastAsia="Times New Roman"/>
          <w:vanish/>
          <w:sz w:val="20"/>
          <w:szCs w:val="20"/>
        </w:rPr>
        <w:t>ntityPrimaryBeneficiaryMember2019-12-31 0000879101us-gaap:VariableInterestEntityPrimaryBeneficiaryMemberus-gaap:AssetPledgedAsCollateralMember2020-12-31 0000879101us-gaap:VariableInterestEntityPrimaryBeneficiaryMemberus-gaap:AssetPledgedAsCollateralMember2</w:t>
      </w:r>
      <w:r>
        <w:rPr>
          <w:rFonts w:eastAsia="Times New Roman"/>
          <w:vanish/>
          <w:sz w:val="20"/>
          <w:szCs w:val="20"/>
        </w:rPr>
        <w:t>019-12-31 0000879101us-gaap:VariableInterestEntityPrimaryBeneficiaryMemberus-gaap:NonrecourseMember2020-12-31 0000879101us-gaap:VariableInterestEntityPrimaryBeneficiaryMemberus-gaap:NonrecourseMember2019-12-31 00008791012020-01-012020-09-30 00008791012019-</w:t>
      </w:r>
      <w:r>
        <w:rPr>
          <w:rFonts w:eastAsia="Times New Roman"/>
          <w:vanish/>
          <w:sz w:val="20"/>
          <w:szCs w:val="20"/>
        </w:rPr>
        <w:t>01-012019-09-30 0000879101kim:ShoppingCentersMembersrt:MinimumMember2020-12-31 0000879101kim:ShoppingCentersMembersrt:MaximumMember2020-12-31 0000879101kim:RentalRevenueMemberus-gaap:CustomerConcentrationRiskMemberkim:AnnualMinimumRentalsPlusIncrementalRen</w:t>
      </w:r>
      <w:r>
        <w:rPr>
          <w:rFonts w:eastAsia="Times New Roman"/>
          <w:vanish/>
          <w:sz w:val="20"/>
          <w:szCs w:val="20"/>
        </w:rPr>
        <w:t>tsMember2020-01-012020-12-31 0000879101us-gaap:SalesRevenueNetMemberus-gaap:CustomerConcentrationRiskMemberkim:AnnualMinimumRentalsPlusIncrementalRentsMember2019-01-012019-12-31 0000879101us-gaap:SalesRevenueNetMemberus-gaap:CustomerConcentrationRiskMember</w:t>
      </w:r>
      <w:r>
        <w:rPr>
          <w:rFonts w:eastAsia="Times New Roman"/>
          <w:vanish/>
          <w:sz w:val="20"/>
          <w:szCs w:val="20"/>
        </w:rPr>
        <w:t>kim:AnnualMinimumRentalsPlusIncrementalRentsMember2018-01-012018-12-31 0000879101us-gaap:AccountingStandardsUpdate201602Member2020-12-31 0000879101srt:MinimumMember2020-12-31 0000879101srt:MaximumMember2020-12-31 0000879101kim:NewGroundLeaseMember2020-01-0</w:t>
      </w:r>
      <w:r>
        <w:rPr>
          <w:rFonts w:eastAsia="Times New Roman"/>
          <w:vanish/>
          <w:sz w:val="20"/>
          <w:szCs w:val="20"/>
        </w:rPr>
        <w:t>12020-12-31 0000879101us-gaap:PerformingFinancingReceivableMember2020-12-31 0000879101kim:NotesPayableMemberus-gaap:UnsecuredDebtMember2020-12-31 0000879101kim:NotesPayableMemberus-gaap:UnsecuredDebtMember2019-12-31 0000879101kim:NotesPayableMemberus-gaap:</w:t>
      </w:r>
      <w:r>
        <w:rPr>
          <w:rFonts w:eastAsia="Times New Roman"/>
          <w:vanish/>
          <w:sz w:val="20"/>
          <w:szCs w:val="20"/>
        </w:rPr>
        <w:t>UnsecuredDebtMembersrt:MinimumMember2020-12-31 0000879101kim:NotesPayableMemberus-gaap:UnsecuredDebtMembersrt:MaximumMember2020-12-31 0000879101kim:NotesPayableMemberus-gaap:UnsecuredDebtMembersrt:MinimumMember2019-12-31 0000879101kim:NotesPayableMemberus-</w:t>
      </w:r>
      <w:r>
        <w:rPr>
          <w:rFonts w:eastAsia="Times New Roman"/>
          <w:vanish/>
          <w:sz w:val="20"/>
          <w:szCs w:val="20"/>
        </w:rPr>
        <w:t>gaap:UnsecuredDebtMembersrt:MaximumMember2019-12-31 0000879101kim:NotesPayableMemberus-gaap:LineOfCreditMember2020-12-31 0000879101kim:NotesPayableMemberus-gaap:LineOfCreditMember2019-12-31 0000879101kim:NotesPayableMember2020-12-31 0000879101kim:NotesPaya</w:t>
      </w:r>
      <w:r>
        <w:rPr>
          <w:rFonts w:eastAsia="Times New Roman"/>
          <w:vanish/>
          <w:sz w:val="20"/>
          <w:szCs w:val="20"/>
        </w:rPr>
        <w:t>bleMember2019-12-31 0000879101srt:WeightedAverageMember2020-12-31 0000879101srt:WeightedAverageMember2019-12-31 0000879101us-gaap:RevolvingCreditFacilityMemberus-gaap:LondonInterbankOfferedRateLIBORMember2020-01-012020-12-31 0000879101us-gaap:RevolvingCred</w:t>
      </w:r>
      <w:r>
        <w:rPr>
          <w:rFonts w:eastAsia="Times New Roman"/>
          <w:vanish/>
          <w:sz w:val="20"/>
          <w:szCs w:val="20"/>
        </w:rPr>
        <w:t>itFacilityMember2020-12-31 0000879101us-gaap:RevolvingCreditFacilityMemberus-gaap:LondonInterbankOfferedRateLIBORMember2019-01-012019-12-31 0000879101us-gaap:RevolvingCreditFacilityMember2019-12-31 0000879101us-gaap:OtherAssetsMemberus-gaap:RevolvingCredit</w:t>
      </w:r>
      <w:r>
        <w:rPr>
          <w:rFonts w:eastAsia="Times New Roman"/>
          <w:vanish/>
          <w:sz w:val="20"/>
          <w:szCs w:val="20"/>
        </w:rPr>
        <w:t>FacilityMember2020-12-31 0000879101kim:SeniorUnsecuredNotes1Member2020-12-31 0000879101kim:SeniorUnsecuredNotes2Member2020-12-31 0000879101kim:SeniorUnsecuredNotes3Member2020-12-31 0000879101kim:SeniorNote1Member2020-01-012020-12-31 0000879101kim:SeniorNot</w:t>
      </w:r>
      <w:r>
        <w:rPr>
          <w:rFonts w:eastAsia="Times New Roman"/>
          <w:vanish/>
          <w:sz w:val="20"/>
          <w:szCs w:val="20"/>
        </w:rPr>
        <w:t>e1Member2020-12-31 0000879101us-gaap:UnsecuredDebtMember2020-12-31 0000879101kim:TermLoanMember2020-04-01 0000879101kim:TermLoanMemberus-gaap:LondonInterbankOfferedRateLIBORMember2020-04-012020-04-01 0000879101kim:TermLoanMemberus-gaap:BaseRateMember2020-0</w:t>
      </w:r>
      <w:r>
        <w:rPr>
          <w:rFonts w:eastAsia="Times New Roman"/>
          <w:vanish/>
          <w:sz w:val="20"/>
          <w:szCs w:val="20"/>
        </w:rPr>
        <w:t>4-012020-04-01 0000879101us-gaap:RevolvingCreditFacilityMember2020-02-29 0000879101us-gaap:RevolvingCreditFacilityMember2020-01-31 0000879101us-gaap:RevolvingCreditFacilityMember2020-01-012020-12-31 0000879101us-gaap:RevolvingCreditFacilityMember2020-02-01</w:t>
      </w:r>
      <w:r>
        <w:rPr>
          <w:rFonts w:eastAsia="Times New Roman"/>
          <w:vanish/>
          <w:sz w:val="20"/>
          <w:szCs w:val="20"/>
        </w:rPr>
        <w:t>2020-02-29 0000879101us-gaap:RevolvingCreditFacilityMemberkim:CreditFacilityAccordionFeatureMember2020-02-29 0000879101us-gaap:LetterOfCreditMember2020-12-31 0000879101us-gaap:MortgagesMember2020-12-31 0000879101us-gaap:MortgagesMember2019-12-31 0000879101</w:t>
      </w:r>
      <w:r>
        <w:rPr>
          <w:rFonts w:eastAsia="Times New Roman"/>
          <w:vanish/>
          <w:sz w:val="20"/>
          <w:szCs w:val="20"/>
        </w:rPr>
        <w:t>us-gaap:MortgagesMembersrt:MinimumMember2020-12-31 0000879101us-gaap:MortgagesMembersrt:MaximumMember2020-12-31 0000879101us-gaap:MortgagesMembersrt:MinimumMember2019-12-31 0000879101us-gaap:MortgagesMembersrt:MaximumMember2019-12-31 0000879101us-gaap:Cons</w:t>
      </w:r>
      <w:r>
        <w:rPr>
          <w:rFonts w:eastAsia="Times New Roman"/>
          <w:vanish/>
          <w:sz w:val="20"/>
          <w:szCs w:val="20"/>
        </w:rPr>
        <w:t>tructionLoansMember2020-12-31 0000879101us-gaap:ConstructionLoansMember2019-12-31 0000879101us-gaap:MortgagesMembersrt:WeightedAverageMember2019-12-31 0000879101us-gaap:ConstructionLoansMemberus-gaap:LondonInterbankOfferedRateLIBORMember2020-01-012020-01-3</w:t>
      </w:r>
      <w:r>
        <w:rPr>
          <w:rFonts w:eastAsia="Times New Roman"/>
          <w:vanish/>
          <w:sz w:val="20"/>
          <w:szCs w:val="20"/>
        </w:rPr>
        <w:t>1 0000879101kim:MortgageDebtEncumberedOperatingPropertyMember2020-01-012020-12-31 0000879101kim:MortgageDebtEncumberedOperatingPropertyMember2020-12-31 0000879101kim:MortgageDebtEncumberedOperatingPropertyMember2019-01-012019-12-31 0000879101kim:MortgageDe</w:t>
      </w:r>
      <w:r>
        <w:rPr>
          <w:rFonts w:eastAsia="Times New Roman"/>
          <w:vanish/>
          <w:sz w:val="20"/>
          <w:szCs w:val="20"/>
        </w:rPr>
        <w:t>btEncumberedOperatingPropertyMember2019-12-31 0000879101kim:MortgagesPayableAndConstructionLoansMember2020-12-31 0000879101country:PR2020-12-31 0000879101kim:NonconvertibleUnitsMembercountry:PR2020-01-012020-12-31 0000879101kim:ConvertibleUnitsMembercountr</w:t>
      </w:r>
      <w:r>
        <w:rPr>
          <w:rFonts w:eastAsia="Times New Roman"/>
          <w:vanish/>
          <w:sz w:val="20"/>
          <w:szCs w:val="20"/>
        </w:rPr>
        <w:t>y:PR2020-01-012020-12-31 0000879101country:PR2020-01-012020-12-31 0000879101kim:PremiumsMembercountry:PR2020-01-012020-12-31 0000879101kim:FairMarketValueAdjustmentsMembercountry:PR2020-01-012020-12-31 0000879101country:PR2019-12-31 0000879101kim:ClassB1Pr</w:t>
      </w:r>
      <w:r>
        <w:rPr>
          <w:rFonts w:eastAsia="Times New Roman"/>
          <w:vanish/>
          <w:sz w:val="20"/>
          <w:szCs w:val="20"/>
        </w:rPr>
        <w:t>eferredUnitsMember2020-12-31 0000879101kim:ClassB1PreferredUnitsMember2020-01-012020-12-31 0000879101kim:ClassB2PreferredUnitsMember2020-12-31 0000879101kim:ClassB2PreferredUnitsMember2020-01-012020-12-31 0000879101kim:ClassCDownreitUnitsMember2020-12-31 0</w:t>
      </w:r>
      <w:r>
        <w:rPr>
          <w:rFonts w:eastAsia="Times New Roman"/>
          <w:vanish/>
          <w:sz w:val="20"/>
          <w:szCs w:val="20"/>
        </w:rPr>
        <w:t>000879101kim:ClassCDownreitUnitsMember2020-01-012020-12-31 0000879101kim:CapitalUnitsClassBMember2006-01-012006-12-31 0000879101kim:CapitalUnitsClassBMember2006-12-31 0000879101kim:CapitalUnitsClassBMember2007-01-012007-12-31 0000879101kim:CapitalUnitsClas</w:t>
      </w:r>
      <w:r>
        <w:rPr>
          <w:rFonts w:eastAsia="Times New Roman"/>
          <w:vanish/>
          <w:sz w:val="20"/>
          <w:szCs w:val="20"/>
        </w:rPr>
        <w:t>sBMember2019-01-012019-12-31 0000879101kim:CapitalUnitsClassBMember2018-01-012018-12-31 0000879101kim:CapitalUnitsClassBMember2020-12-31 0000879101kim:CapitalUnitsClassBMember2019-12-31 0000879101kim:ConvertibleUnitsMember2006-12-31 0000879101kim:Convertib</w:t>
      </w:r>
      <w:r>
        <w:rPr>
          <w:rFonts w:eastAsia="Times New Roman"/>
          <w:vanish/>
          <w:sz w:val="20"/>
          <w:szCs w:val="20"/>
        </w:rPr>
        <w:t>leUnitsMember2006-01-012006-12-31 0000879101kim:FairMarketValueAdjustmentsMemberkim:ConvertibleUnitsMember2006-01-012006-12-31 0000879101kim:ClassAUnitsMember2019-01-012019-12-31 0000879101us-gaap:MeasurementInputCapRateMember2020-01-012020-12-31 000087910</w:t>
      </w:r>
      <w:r>
        <w:rPr>
          <w:rFonts w:eastAsia="Times New Roman"/>
          <w:vanish/>
          <w:sz w:val="20"/>
          <w:szCs w:val="20"/>
        </w:rPr>
        <w:t>1us-gaap:MeasurementInputDiscountRateMember2020-01-012020-12-31 0000879101us-gaap:CarryingReportedAmountFairValueDisclosureMember2020-12-31 0000879101us-gaap:EstimateOfFairValueFairValueDisclosureMember2020-12-31 0000879101us-gaap:CarryingReportedAmountFai</w:t>
      </w:r>
      <w:r>
        <w:rPr>
          <w:rFonts w:eastAsia="Times New Roman"/>
          <w:vanish/>
          <w:sz w:val="20"/>
          <w:szCs w:val="20"/>
        </w:rPr>
        <w:t>rValueDisclosureMember2019-12-31 0000879101us-gaap:EstimateOfFairValueFairValueDisclosureMember2019-12-31 0000879101us-gaap:CarryingReportedAmountFairValueDisclosureMemberus-gaap:MortgagesMember2020-12-31 0000879101us-gaap:EstimateOfFairValueFairValueDiscl</w:t>
      </w:r>
      <w:r>
        <w:rPr>
          <w:rFonts w:eastAsia="Times New Roman"/>
          <w:vanish/>
          <w:sz w:val="20"/>
          <w:szCs w:val="20"/>
        </w:rPr>
        <w:t>osureMemberus-gaap:MortgagesMember2020-12-31 0000879101us-gaap:CarryingReportedAmountFairValueDisclosureMemberus-gaap:MortgagesMember2019-12-31 0000879101us-gaap:EstimateOfFairValueFairValueDisclosureMemberus-gaap:MortgagesMember2019-12-31 0000879101us-gaa</w:t>
      </w:r>
      <w:r>
        <w:rPr>
          <w:rFonts w:eastAsia="Times New Roman"/>
          <w:vanish/>
          <w:sz w:val="20"/>
          <w:szCs w:val="20"/>
        </w:rPr>
        <w:t>p:FairValueInputsLevel2Memberus-gaap:EstimateOfFairValueFairValueDisclosureMember2020-12-31 0000879101us-gaap:FairValueInputsLevel2Memberus-gaap:EstimateOfFairValueFairValueDisclosureMember2019-12-31 0000879101us-gaap:FairValueInputsLevel3Memberus-gaap:Est</w:t>
      </w:r>
      <w:r>
        <w:rPr>
          <w:rFonts w:eastAsia="Times New Roman"/>
          <w:vanish/>
          <w:sz w:val="20"/>
          <w:szCs w:val="20"/>
        </w:rPr>
        <w:t>imateOfFairValueFairValueDisclosureMember2019-12-31 0000879101us-gaap:FairValueMeasurementsRecurringMember2020-12-31 0000879101us-gaap:FairValueInputsLevel1Memberus-gaap:FairValueMeasurementsRecurringMember2020-12-31 0000879101us-gaap:FairValueInputsLevel2</w:t>
      </w:r>
      <w:r>
        <w:rPr>
          <w:rFonts w:eastAsia="Times New Roman"/>
          <w:vanish/>
          <w:sz w:val="20"/>
          <w:szCs w:val="20"/>
        </w:rPr>
        <w:t>Memberus-gaap:FairValueMeasurementsRecurringMember2020-12-31 0000879101us-gaap:FairValueMeasurementsRecurringMember2019-12-31 0000879101us-gaap:FairValueInputsLevel1Memberus-gaap:FairValueMeasurementsRecurringMember2019-12-31 0000879101us-gaap:FairValueInp</w:t>
      </w:r>
      <w:r>
        <w:rPr>
          <w:rFonts w:eastAsia="Times New Roman"/>
          <w:vanish/>
          <w:sz w:val="20"/>
          <w:szCs w:val="20"/>
        </w:rPr>
        <w:t>utsLevel3Memberus-gaap:FairValueMeasurementsRecurringMember2019-12-31 0000879101us-gaap:FairValueMeasurementsNonrecurringMember2020-12-31 0000879101us-gaap:FairValueInputsLevel1Memberus-gaap:FairValueMeasurementsNonrecurringMember2020-12-31 0000879101us-ga</w:t>
      </w:r>
      <w:r>
        <w:rPr>
          <w:rFonts w:eastAsia="Times New Roman"/>
          <w:vanish/>
          <w:sz w:val="20"/>
          <w:szCs w:val="20"/>
        </w:rPr>
        <w:t>ap:FairValueInputsLevel2Memberus-gaap:FairValueMeasurementsNonrecurringMember2020-12-31 0000879101us-gaap:FairValueInputsLevel3Memberus-gaap:FairValueMeasurementsNonrecurringMember2020-12-31 0000879101us-gaap:FairValueMeasurementsNonrecurringMember2019-12-</w:t>
      </w:r>
      <w:r>
        <w:rPr>
          <w:rFonts w:eastAsia="Times New Roman"/>
          <w:vanish/>
          <w:sz w:val="20"/>
          <w:szCs w:val="20"/>
        </w:rPr>
        <w:t>31 0000879101us-gaap:FairValueInputsLevel1Memberus-gaap:FairValueMeasurementsNonrecurringMember2019-12-31 0000879101us-gaap:FairValueInputsLevel2Memberus-gaap:FairValueMeasurementsNonrecurringMember2019-12-31 0000879101us-gaap:FairValueInputsLevel3Memberus</w:t>
      </w:r>
      <w:r>
        <w:rPr>
          <w:rFonts w:eastAsia="Times New Roman"/>
          <w:vanish/>
          <w:sz w:val="20"/>
          <w:szCs w:val="20"/>
        </w:rPr>
        <w:t>-gaap:FairValueMeasurementsNonrecurringMember2019-12-31 0000879101us-gaap:MeasurementInputCapRateMember2019-12-31 0000879101us-gaap:MeasurementInputDiscountRateMember2019-12-31 0000879101kim:SeriesLPreferredStockMember2020-12-31 0000879101kim:SeriesLPrefer</w:t>
      </w:r>
      <w:r>
        <w:rPr>
          <w:rFonts w:eastAsia="Times New Roman"/>
          <w:vanish/>
          <w:sz w:val="20"/>
          <w:szCs w:val="20"/>
        </w:rPr>
        <w:t>redStockMember2020-01-012020-12-31 0000879101kim:SeriesMPreferredStockMember2020-12-31 0000879101kim:SeriesMPreferredStockMember2020-01-012020-12-31 0000879101kim:TotalMember2020-12-31 0000879101kim:SeriesJPreferredStockMember2019-01-012019-12-31 000087910</w:t>
      </w:r>
      <w:r>
        <w:rPr>
          <w:rFonts w:eastAsia="Times New Roman"/>
          <w:vanish/>
          <w:sz w:val="20"/>
          <w:szCs w:val="20"/>
        </w:rPr>
        <w:t>1kim:SeriesJPreferredStockMember2019-12-31 0000879101kim:SeriesIPreferredStockMember2019-01-012019-12-31 0000879101kim:SeriesIPreferredStockMember2019-12-31 0000879101kim:SeriesKPreferredStockMember2019-01-012019-12-31 0000879101kim:SeriesKPreferredStockMe</w:t>
      </w:r>
      <w:r>
        <w:rPr>
          <w:rFonts w:eastAsia="Times New Roman"/>
          <w:vanish/>
          <w:sz w:val="20"/>
          <w:szCs w:val="20"/>
        </w:rPr>
        <w:t>mber2019-12-31 0000879101kim:SeriesIJKLOrMPreferredStockMember2020-12-31 0000879101kim:SeriesIPreferredStockMember2020-12-31 0000879101kim:SeriesJPreferredStockMember2020-12-31 0000879101kim:DepositaryShareMember2020-12-31 0000879101kim:ATMProgramMember201</w:t>
      </w:r>
      <w:r>
        <w:rPr>
          <w:rFonts w:eastAsia="Times New Roman"/>
          <w:vanish/>
          <w:sz w:val="20"/>
          <w:szCs w:val="20"/>
        </w:rPr>
        <w:t>9-09-30 0000879101kim:ATMProgramMember2019-09-012019-09-30 0000879101kim:ATMProgramMember2019-01-012019-12-31 0000879101kim:ATMProgramMember2020-01-012020-12-31 0000879101kim:ATMProgramMember2020-12-31 0000879101kim:ShareRepurchaseProgramMember2020-12-31 0</w:t>
      </w:r>
      <w:r>
        <w:rPr>
          <w:rFonts w:eastAsia="Times New Roman"/>
          <w:vanish/>
          <w:sz w:val="20"/>
          <w:szCs w:val="20"/>
        </w:rPr>
        <w:t>000879101kim:ShareRepurchaseProgramMember2020-01-012020-12-31 0000879101kim:ShareRepurchaseProgramMember2019-01-012019-12-31 0000879101kim:ConvertibleUnitsMember2020-12-31 0000879101kim:SeriesIPreferredStockMember2020-01-012020-12-31 0000879101kim:SeriesIP</w:t>
      </w:r>
      <w:r>
        <w:rPr>
          <w:rFonts w:eastAsia="Times New Roman"/>
          <w:vanish/>
          <w:sz w:val="20"/>
          <w:szCs w:val="20"/>
        </w:rPr>
        <w:t>referredStockMember2018-01-012018-12-31 0000879101kim:SeriesJPreferredStockMember2020-01-012020-12-31 0000879101kim:SeriesJPreferredStockMember2018-01-012018-12-31 0000879101kim:SeriesKPreferredStockMember2020-01-012020-12-31 0000879101kim:SeriesKPreferred</w:t>
      </w:r>
      <w:r>
        <w:rPr>
          <w:rFonts w:eastAsia="Times New Roman"/>
          <w:vanish/>
          <w:sz w:val="20"/>
          <w:szCs w:val="20"/>
        </w:rPr>
        <w:t>StockMember2018-01-012018-12-31 0000879101kim:SeriesLPreferredStockMember2019-01-012019-12-31 0000879101kim:SeriesLPreferredStockMember2018-01-012018-12-31 0000879101kim:SeriesMPreferredStockMember2019-01-012019-12-31 0000879101kim:SeriesMPreferredStockMem</w:t>
      </w:r>
      <w:r>
        <w:rPr>
          <w:rFonts w:eastAsia="Times New Roman"/>
          <w:vanish/>
          <w:sz w:val="20"/>
          <w:szCs w:val="20"/>
        </w:rPr>
        <w:t>ber2018-01-012018-12-31 0000879101kim:RipcoMembersrt:OfficerMember2020-12-31 0000879101kim:RipcoMember2020-01-012020-12-31 0000879101kim:RipcoMember2019-01-012019-12-31 0000879101kim:RipcoMember2018-01-012018-12-31 0000879101kim:The2020EquityParticipationP</w:t>
      </w:r>
      <w:r>
        <w:rPr>
          <w:rFonts w:eastAsia="Times New Roman"/>
          <w:vanish/>
          <w:sz w:val="20"/>
          <w:szCs w:val="20"/>
        </w:rPr>
        <w:t>lanMember2020-05-31 0000879101kim:The2020EquityParticipationPlanMember2020-12-31 0000879101us-gaap:RestrictedStockMember2019-12-31 0000879101us-gaap:RestrictedStockMember2018-12-31 0000879101us-gaap:RestrictedStockMember2017-12-31 0000879101us-gaap:Restric</w:t>
      </w:r>
      <w:r>
        <w:rPr>
          <w:rFonts w:eastAsia="Times New Roman"/>
          <w:vanish/>
          <w:sz w:val="20"/>
          <w:szCs w:val="20"/>
        </w:rPr>
        <w:t>tedStockMember2020-01-012020-12-31 0000879101us-gaap:RestrictedStockMember2019-01-012019-12-31 0000879101us-gaap:RestrictedStockMember2018-01-012018-12-31 0000879101us-gaap:RestrictedStockMember2020-12-31 0000879101us-gaap:PerformanceSharesMember2019-12-31</w:t>
      </w:r>
      <w:r>
        <w:rPr>
          <w:rFonts w:eastAsia="Times New Roman"/>
          <w:vanish/>
          <w:sz w:val="20"/>
          <w:szCs w:val="20"/>
        </w:rPr>
        <w:t xml:space="preserve"> 0000879101us-gaap:PerformanceSharesMember2018-12-31 0000879101us-gaap:PerformanceSharesMember2017-12-31 0000879101us-gaap:PerformanceSharesMember2020-01-012020-12-31 0000879101us-gaap:PerformanceSharesMember2019-01-012019-12-31 0000879101us-gaap:Performan</w:t>
      </w:r>
      <w:r>
        <w:rPr>
          <w:rFonts w:eastAsia="Times New Roman"/>
          <w:vanish/>
          <w:sz w:val="20"/>
          <w:szCs w:val="20"/>
        </w:rPr>
        <w:t>ceSharesMember2018-01-012018-12-31 0000879101us-gaap:PerformanceSharesMember2020-12-31 0000879101kim:EmployeeMember2020-01-012020-12-31 0000879101kim:EmployeeMember2019-01-012019-12-31 0000879101kim:EmployeeMember2018-01-012018-12-31 0000879101kim:GAAPNetL</w:t>
      </w:r>
      <w:r>
        <w:rPr>
          <w:rFonts w:eastAsia="Times New Roman"/>
          <w:vanish/>
          <w:sz w:val="20"/>
          <w:szCs w:val="20"/>
        </w:rPr>
        <w:t>ossincomeOfTaxableREITSubsidiariesMember2020-01-012020-12-31 0000879101kim:GAAPNetLossincomeOfTaxableREITSubsidiariesMember2019-01-012019-12-31 0000879101kim:GAAPNetLossincomeOfTaxableREITSubsidiariesMember2018-01-012018-12-31 0000879101kim:GAAPNetIncomeFr</w:t>
      </w:r>
      <w:r>
        <w:rPr>
          <w:rFonts w:eastAsia="Times New Roman"/>
          <w:vanish/>
          <w:sz w:val="20"/>
          <w:szCs w:val="20"/>
        </w:rPr>
        <w:t>omREITOperationsMember2020-01-012020-12-31 0000879101kim:GAAPNetIncomeFromREITOperationsMember2019-01-012019-12-31 0000879101kim:GAAPNetIncomeFromREITOperationsMember2018-01-012018-12-31 0000879101us-gaap:EmployeeStockOptionMember2020-01-012020-12-31 00008</w:t>
      </w:r>
      <w:r>
        <w:rPr>
          <w:rFonts w:eastAsia="Times New Roman"/>
          <w:vanish/>
          <w:sz w:val="20"/>
          <w:szCs w:val="20"/>
        </w:rPr>
        <w:t>79101us-gaap:EmployeeStockOptionMember2019-01-012019-12-31 0000879101us-gaap:EmployeeStockOptionMember2018-01-012018-12-31 0000879101kim:CommonStock1Member2020-01-012020-12-31 0000879101kim:CommonStock1Member2019-01-012019-12-31 0000879101kim:CommonStock1M</w:t>
      </w:r>
      <w:r>
        <w:rPr>
          <w:rFonts w:eastAsia="Times New Roman"/>
          <w:vanish/>
          <w:sz w:val="20"/>
          <w:szCs w:val="20"/>
        </w:rPr>
        <w:t>ember2018-01-012018-12-31 0000879101kim:TaxableReitSubsidiariesMember2020-01-012020-12-31 0000879101kim:TaxableReitSubsidiariesMember2019-01-012019-12-31 0000879101kim:TaxableReitSubsidiariesMember2018-01-012018-12-31 0000879101us-gaap:StateAndLocalJurisdi</w:t>
      </w:r>
      <w:r>
        <w:rPr>
          <w:rFonts w:eastAsia="Times New Roman"/>
          <w:vanish/>
          <w:sz w:val="20"/>
          <w:szCs w:val="20"/>
        </w:rPr>
        <w:t>ctionMember2020-01-012020-12-31 0000879101us-gaap:StateAndLocalJurisdictionMember2018-01-012018-12-31 0000879101us-gaap:DomesticCountryMember2020-12-31 0000879101us-gaap:DomesticCountryMember2019-12-31 0000879101us-gaap:MexicanTaxAuthorityMemberus-gaap:Tax</w:t>
      </w:r>
      <w:r>
        <w:rPr>
          <w:rFonts w:eastAsia="Times New Roman"/>
          <w:vanish/>
          <w:sz w:val="20"/>
          <w:szCs w:val="20"/>
        </w:rPr>
        <w:t>Year2010Member2016-08-012016-08-31 0000879101us-gaap:MexicanTaxAuthorityMember2016-08-012016-08-31 0000879101us-gaap:MexicanTaxAuthorityMember2019-11-012019-12-31 0000879101us-gaap:EmployeeStockOptionMember2020-01-012020-12-31 0000879101us-gaap:EmployeeSto</w:t>
      </w:r>
      <w:r>
        <w:rPr>
          <w:rFonts w:eastAsia="Times New Roman"/>
          <w:vanish/>
          <w:sz w:val="20"/>
          <w:szCs w:val="20"/>
        </w:rPr>
        <w:t>ckOptionMember2019-01-012019-12-31 0000879101us-gaap:EmployeeStockOptionMember2018-01-012018-12-31 00008791012020-01-012020-03-31 00008791012020-04-012020-06-30 00008791012020-07-012020-09-30 00008791012020-10-012020-12-31 00008791012019-01-012019-03-31 00</w:t>
      </w:r>
      <w:r>
        <w:rPr>
          <w:rFonts w:eastAsia="Times New Roman"/>
          <w:vanish/>
          <w:sz w:val="20"/>
          <w:szCs w:val="20"/>
        </w:rPr>
        <w:t>008791012019-04-012019-06-30 00008791012019-07-012019-09-30 00008791012019-10-012019-12-31 0000879101kim:KimcoInsuranceCompanyMember2020-12-31 0000879101kim:KimcoInsuranceCompanyMembersrt:MinimumMember2020-01-012020-12-31 0000879101kim:KimcoInsuranceCompan</w:t>
      </w:r>
      <w:r>
        <w:rPr>
          <w:rFonts w:eastAsia="Times New Roman"/>
          <w:vanish/>
          <w:sz w:val="20"/>
          <w:szCs w:val="20"/>
        </w:rPr>
        <w:t>yMembersrt:MaximumMember2020-01-012020-12-31 0000879101kim:KimcoInsuranceCompanyMember2020-01-012020-12-31 0000879101kim:KimcoInsuranceCompanyMember2019-01-012019-12-31 0000879101us-gaap:AllowanceForCreditLossMember2019-12-31 0000879101us-gaap:AllowanceFor</w:t>
      </w:r>
      <w:r>
        <w:rPr>
          <w:rFonts w:eastAsia="Times New Roman"/>
          <w:vanish/>
          <w:sz w:val="20"/>
          <w:szCs w:val="20"/>
        </w:rPr>
        <w:t>CreditLossMember2020-01-012020-12-31 0000879101us-gaap:AllowanceForCreditLossMember2020-12-31 0000879101us-gaap:ValuationAllowanceOfDeferredTaxAssetsMember2019-12-31 0000879101us-gaap:ValuationAllowanceOfDeferredTaxAssetsMember2020-01-012020-12-31 00008791</w:t>
      </w:r>
      <w:r>
        <w:rPr>
          <w:rFonts w:eastAsia="Times New Roman"/>
          <w:vanish/>
          <w:sz w:val="20"/>
          <w:szCs w:val="20"/>
        </w:rPr>
        <w:t>01us-gaap:ValuationAllowanceOfDeferredTaxAssetsMember2020-12-31 0000879101us-gaap:ValuationAllowanceOfDeferredTaxAssetsMember2018-12-31 0000879101us-gaap:ValuationAllowanceOfDeferredTaxAssetsMember2019-01-012019-12-31 0000879101us-gaap:AllowanceForCreditLo</w:t>
      </w:r>
      <w:r>
        <w:rPr>
          <w:rFonts w:eastAsia="Times New Roman"/>
          <w:vanish/>
          <w:sz w:val="20"/>
          <w:szCs w:val="20"/>
        </w:rPr>
        <w:t>ssMember2017-12-31 0000879101us-gaap:AllowanceForCreditLossMember2018-01-012018-12-31 0000879101us-gaap:AllowanceForCreditLossMember2018-12-31 0000879101us-gaap:ValuationAllowanceOfDeferredTaxAssetsMember2017-12-31 0000879101us-gaap:ValuationAllowanceOfDef</w:t>
      </w:r>
      <w:r>
        <w:rPr>
          <w:rFonts w:eastAsia="Times New Roman"/>
          <w:vanish/>
          <w:sz w:val="20"/>
          <w:szCs w:val="20"/>
        </w:rPr>
        <w:t>erredTaxAssetsMember2018-01-012018-12-31 0000879101kim:ShoppingCenterMemberkim:MesaRiverviewMember2020-12-31 0000879101kim:ShoppingCenterMemberkim:MesaRiverviewMember2020-01-012020-12-31 0000879101kim:ShoppingCenterMemberkim:MetroSquareMember2020-12-31 000</w:t>
      </w:r>
      <w:r>
        <w:rPr>
          <w:rFonts w:eastAsia="Times New Roman"/>
          <w:vanish/>
          <w:sz w:val="20"/>
          <w:szCs w:val="20"/>
        </w:rPr>
        <w:t>0879101kim:ShoppingCenterMemberkim:MetroSquareMember2020-01-012020-12-31 0000879101kim:ShoppingCenterMemberkim:PlazaDelSolMember2020-12-31 0000879101kim:ShoppingCenterMemberkim:PlazaDelSolMember2020-01-012020-12-31 0000879101kim:ShoppingCenterMemberkim:Pla</w:t>
      </w:r>
      <w:r>
        <w:rPr>
          <w:rFonts w:eastAsia="Times New Roman"/>
          <w:vanish/>
          <w:sz w:val="20"/>
          <w:szCs w:val="20"/>
        </w:rPr>
        <w:t>zaAtMountainsideMember2020-12-31 0000879101kim:ShoppingCenterMemberkim:PlazaAtMountainsideMember2020-01-012020-12-31 0000879101kim:ShoppingCenterMemberkim:VillageCrossroadsMember2020-12-31 0000879101kim:ShoppingCenterMemberkim:VillageCrossroadsMember2020-0</w:t>
      </w:r>
      <w:r>
        <w:rPr>
          <w:rFonts w:eastAsia="Times New Roman"/>
          <w:vanish/>
          <w:sz w:val="20"/>
          <w:szCs w:val="20"/>
        </w:rPr>
        <w:t>1-012020-12-31 0000879101kim:ShoppingCenterMemberkim:NorthValleyMember2020-12-31 0000879101kim:ShoppingCenterMemberkim:NorthValleyMember2020-01-012020-12-31 0000879101kim:ShoppingCenterMemberkim:ChristownSpectrumMallMember2020-12-31 0000879101kim:ShoppingC</w:t>
      </w:r>
      <w:r>
        <w:rPr>
          <w:rFonts w:eastAsia="Times New Roman"/>
          <w:vanish/>
          <w:sz w:val="20"/>
          <w:szCs w:val="20"/>
        </w:rPr>
        <w:t>enterMemberkim:ChristownSpectrumMallMember2020-01-012020-12-31 0000879101kim:ShoppingCenterMemberkim:BellCaminoCenterMember2020-12-31 0000879101kim:ShoppingCenterMemberkim:BellCaminoCenterMember2020-01-012020-12-31 0000879101kim:ShoppingCenterMemberkim:Bel</w:t>
      </w:r>
      <w:r>
        <w:rPr>
          <w:rFonts w:eastAsia="Times New Roman"/>
          <w:vanish/>
          <w:sz w:val="20"/>
          <w:szCs w:val="20"/>
        </w:rPr>
        <w:t>lCaminosafewayParcelMember2020-12-31 0000879101kim:ShoppingCenterMemberkim:BellCaminosafewayParcelMember2020-01-012020-12-31 0000879101kim:ShoppingCenterMemberkim:CollegeParkShoppingCenterMember2020-12-31 0000879101kim:ShoppingCenterMemberkim:CollegeParkSh</w:t>
      </w:r>
      <w:r>
        <w:rPr>
          <w:rFonts w:eastAsia="Times New Roman"/>
          <w:vanish/>
          <w:sz w:val="20"/>
          <w:szCs w:val="20"/>
        </w:rPr>
        <w:t>oppingCenterMember2020-01-012020-12-31 0000879101kim:ShoppingCenterMemberkim:CostcoPlaza541Member2020-12-31 0000879101kim:ShoppingCenterMemberkim:CostcoPlaza541Member2020-01-012020-12-31 0000879101kim:ShoppingCenterMemberkim:BrookhurstCenterMember2020-12-3</w:t>
      </w:r>
      <w:r>
        <w:rPr>
          <w:rFonts w:eastAsia="Times New Roman"/>
          <w:vanish/>
          <w:sz w:val="20"/>
          <w:szCs w:val="20"/>
        </w:rPr>
        <w:t>1 0000879101kim:ShoppingCenterMemberkim:BrookhurstCenterMember2020-01-012020-12-31 0000879101kim:ShoppingCenterMemberkim:LakewoodPlazaMember2020-12-31 0000879101kim:ShoppingCenterMemberkim:LakewoodPlazaMember2020-01-012020-12-31 0000879101kim:ShoppingCente</w:t>
      </w:r>
      <w:r>
        <w:rPr>
          <w:rFonts w:eastAsia="Times New Roman"/>
          <w:vanish/>
          <w:sz w:val="20"/>
          <w:szCs w:val="20"/>
        </w:rPr>
        <w:t>rMemberkim:MadisonPlazaMember2020-12-31 0000879101kim:ShoppingCenterMemberkim:MadisonPlazaMember2020-01-012020-12-31 0000879101kim:ShoppingCenterMemberkim:CoronaHillsPlazaMember2020-12-31 0000879101kim:ShoppingCenterMemberkim:CoronaHillsPlazaMember2020-01-</w:t>
      </w:r>
      <w:r>
        <w:rPr>
          <w:rFonts w:eastAsia="Times New Roman"/>
          <w:vanish/>
          <w:sz w:val="20"/>
          <w:szCs w:val="20"/>
        </w:rPr>
        <w:t>012020-12-31 0000879101kim:ShoppingCenterMemberkim:The280MetroCenterMember2020-12-31 0000879101kim:ShoppingCenterMemberkim:The280MetroCenterMember2020-01-012020-12-31 0000879101kim:ShoppingCenterMemberkim:LabandVillageShoppingCenterMember2020-12-31 0000879</w:t>
      </w:r>
      <w:r>
        <w:rPr>
          <w:rFonts w:eastAsia="Times New Roman"/>
          <w:vanish/>
          <w:sz w:val="20"/>
          <w:szCs w:val="20"/>
        </w:rPr>
        <w:t>101kim:ShoppingCenterMemberkim:LabandVillageShoppingCenterMember2020-01-012020-12-31 0000879101kim:ShoppingCenterMemberkim:CupertinoVillageMember2020-12-31 0000879101kim:ShoppingCenterMemberkim:CupertinoVillageMember2020-01-012020-12-31 0000879101kim:Shopp</w:t>
      </w:r>
      <w:r>
        <w:rPr>
          <w:rFonts w:eastAsia="Times New Roman"/>
          <w:vanish/>
          <w:sz w:val="20"/>
          <w:szCs w:val="20"/>
        </w:rPr>
        <w:t>ingCenterMemberkim:NorthCountyPlazaMember2020-12-31 0000879101kim:ShoppingCenterMemberkim:NorthCountyPlazaMember2020-01-012020-12-31 0000879101kim:ShoppingCenterMemberkim:ChicoCrossroadsMember2020-12-31 0000879101kim:ShoppingCenterMemberkim:ChicoCrossroads</w:t>
      </w:r>
      <w:r>
        <w:rPr>
          <w:rFonts w:eastAsia="Times New Roman"/>
          <w:vanish/>
          <w:sz w:val="20"/>
          <w:szCs w:val="20"/>
        </w:rPr>
        <w:t>Member2020-01-012020-12-31 0000879101kim:ShoppingCenterMemberkim:CreeksideCenterMember2020-12-31 0000879101kim:ShoppingCenterMemberkim:CreeksideCenterMember2020-01-012020-12-31 0000879101kim:ShoppingCenterMemberkim:LaMiradaTheatreCenterMember2020-12-31 000</w:t>
      </w:r>
      <w:r>
        <w:rPr>
          <w:rFonts w:eastAsia="Times New Roman"/>
          <w:vanish/>
          <w:sz w:val="20"/>
          <w:szCs w:val="20"/>
        </w:rPr>
        <w:t>0879101kim:ShoppingCenterMemberkim:LaMiradaTheatreCenterMember2020-01-012020-12-31 0000879101kim:ShoppingCenterMemberkim:KennethHahnPlazaMember2020-12-31 0000879101kim:ShoppingCenterMemberkim:KennethHahnPlazaMember2020-01-012020-12-31 0000879101kim:Shoppin</w:t>
      </w:r>
      <w:r>
        <w:rPr>
          <w:rFonts w:eastAsia="Times New Roman"/>
          <w:vanish/>
          <w:sz w:val="20"/>
          <w:szCs w:val="20"/>
        </w:rPr>
        <w:t>gCenterMemberkim:LaVerneTownCenterMember2020-12-31 0000879101kim:ShoppingCenterMemberkim:LaVerneTownCenterMember2020-01-012020-12-31 0000879101kim:ShoppingCenterMemberkim:LincolnHillsTownCenterMember2020-12-31 0000879101kim:ShoppingCenterMemberkim:LincolnH</w:t>
      </w:r>
      <w:r>
        <w:rPr>
          <w:rFonts w:eastAsia="Times New Roman"/>
          <w:vanish/>
          <w:sz w:val="20"/>
          <w:szCs w:val="20"/>
        </w:rPr>
        <w:t>illsTownCenterMember2020-01-012020-12-31 0000879101kim:ShoppingCenterMemberkim:NovatoFairSCMember2020-12-31 0000879101kim:ShoppingCenterMemberkim:NovatoFairSCMember2020-01-012020-12-31 0000879101kim:ShoppingCenterMemberkim:SouthNapaMarketPlaceMember2020-12</w:t>
      </w:r>
      <w:r>
        <w:rPr>
          <w:rFonts w:eastAsia="Times New Roman"/>
          <w:vanish/>
          <w:sz w:val="20"/>
          <w:szCs w:val="20"/>
        </w:rPr>
        <w:t>-31 0000879101kim:ShoppingCenterMemberkim:SouthNapaMarketPlaceMember2020-01-012020-12-31 0000879101kim:ShoppingCenterMemberkim:PlazaDiNorthridgeMember2020-12-31 0000879101kim:ShoppingCenterMemberkim:PlazaDiNorthridgeMember2020-01-012020-12-31 0000879101kim</w:t>
      </w:r>
      <w:r>
        <w:rPr>
          <w:rFonts w:eastAsia="Times New Roman"/>
          <w:vanish/>
          <w:sz w:val="20"/>
          <w:szCs w:val="20"/>
        </w:rPr>
        <w:t>:ShoppingCenterMemberkim:LindaMarShippingCenterMember2020-12-31 0000879101kim:ShoppingCenterMemberkim:LindaMarShippingCenterMember2020-01-012020-12-31 0000879101kim:ShoppingCenterMemberkim:PowayCityCentreMember2020-12-31 0000879101kim:ShoppingCenterMemberk</w:t>
      </w:r>
      <w:r>
        <w:rPr>
          <w:rFonts w:eastAsia="Times New Roman"/>
          <w:vanish/>
          <w:sz w:val="20"/>
          <w:szCs w:val="20"/>
        </w:rPr>
        <w:t>im:PowayCityCentreMember2020-01-012020-12-31 0000879101kim:ShoppingCenterMemberkim:RedwoodCityPlazaMember2020-12-31 0000879101kim:ShoppingCenterMemberkim:RedwoodCityPlazaMember2020-01-012020-12-31 0000879101kim:ShoppingCenterMemberkim:StanfordRanchMember20</w:t>
      </w:r>
      <w:r>
        <w:rPr>
          <w:rFonts w:eastAsia="Times New Roman"/>
          <w:vanish/>
          <w:sz w:val="20"/>
          <w:szCs w:val="20"/>
        </w:rPr>
        <w:t>20-12-31 0000879101kim:ShoppingCenterMemberkim:StanfordRanchMember2020-01-012020-12-31 0000879101kim:ShoppingCenterMemberkim:CrockerRanchMember2020-12-31 0000879101kim:ShoppingCenterMemberkim:CrockerRanchMember2020-01-012020-12-31 0000879101kim:ShoppingCen</w:t>
      </w:r>
      <w:r>
        <w:rPr>
          <w:rFonts w:eastAsia="Times New Roman"/>
          <w:vanish/>
          <w:sz w:val="20"/>
          <w:szCs w:val="20"/>
        </w:rPr>
        <w:t>terMemberkim:HomeDepotPlazaMember2020-12-31 0000879101kim:ShoppingCenterMemberkim:HomeDepotPlazaMember2020-01-012020-12-31 0000879101kim:ShoppingCenterMemberkim:SanteeTrolleySquareMember2020-12-31 0000879101kim:ShoppingCenterMemberkim:SanteeTrolleySquareMe</w:t>
      </w:r>
      <w:r>
        <w:rPr>
          <w:rFonts w:eastAsia="Times New Roman"/>
          <w:vanish/>
          <w:sz w:val="20"/>
          <w:szCs w:val="20"/>
        </w:rPr>
        <w:t>mber2020-01-012020-12-31 0000879101kim:ShoppingCenterMemberkim:SanDiegoCarmelMountainMember2020-12-31 0000879101kim:ShoppingCenterMemberkim:SanDiegoCarmelMountainMember2020-01-012020-12-31 0000879101kim:ShoppingCenterMemberkim:FultonMarketPlaceMember2020-1</w:t>
      </w:r>
      <w:r>
        <w:rPr>
          <w:rFonts w:eastAsia="Times New Roman"/>
          <w:vanish/>
          <w:sz w:val="20"/>
          <w:szCs w:val="20"/>
        </w:rPr>
        <w:t>2-31 0000879101kim:ShoppingCenterMemberkim:FultonMarketPlaceMember2020-01-012020-12-31 0000879101kim:ShoppingCenterMemberkim:BlackMountainVillageMember2020-12-31 0000879101kim:ShoppingCenterMemberkim:BlackMountainVillageMember2020-01-012020-12-31 000087910</w:t>
      </w:r>
      <w:r>
        <w:rPr>
          <w:rFonts w:eastAsia="Times New Roman"/>
          <w:vanish/>
          <w:sz w:val="20"/>
          <w:szCs w:val="20"/>
        </w:rPr>
        <w:t>1kim:ShoppingCenterMemberkim:RanchoPenasquitosTowneCtrIMember2020-12-31 0000879101kim:ShoppingCenterMemberkim:RanchoPenasquitosTowneCtrIMember2020-01-012020-12-31 0000879101kim:ShoppingCenterMemberkim:RanchoPenasquitosvonsPropMember2020-12-31 0000879101kim</w:t>
      </w:r>
      <w:r>
        <w:rPr>
          <w:rFonts w:eastAsia="Times New Roman"/>
          <w:vanish/>
          <w:sz w:val="20"/>
          <w:szCs w:val="20"/>
        </w:rPr>
        <w:t>:ShoppingCenterMemberkim:RanchoPenasquitosvonsPropMember2020-01-012020-12-31 0000879101kim:ShoppingCenterMemberkim:RanchoPenasquitosTowneCtrIIMember2020-12-31 0000879101kim:ShoppingCenterMemberkim:RanchoPenasquitosTowneCtrIIMember2020-01-012020-12-31 00008</w:t>
      </w:r>
      <w:r>
        <w:rPr>
          <w:rFonts w:eastAsia="Times New Roman"/>
          <w:vanish/>
          <w:sz w:val="20"/>
          <w:szCs w:val="20"/>
        </w:rPr>
        <w:t>79101kim:ShoppingCenterMemberkim:CityHeightsMember2020-12-31 0000879101kim:ShoppingCenterMemberkim:CityHeightsMember2020-01-012020-12-31 0000879101kim:ShoppingCenterMemberkim:TruckeeCrossroadsMember2020-12-31 0000879101kim:ShoppingCenterMemberkim:TruckeeCr</w:t>
      </w:r>
      <w:r>
        <w:rPr>
          <w:rFonts w:eastAsia="Times New Roman"/>
          <w:vanish/>
          <w:sz w:val="20"/>
          <w:szCs w:val="20"/>
        </w:rPr>
        <w:t>ossroadsMember2020-01-012020-12-31 0000879101kim:ShoppingCenterMemberkim:GatewayAtDonnerPassMember2020-12-31 0000879101kim:ShoppingCenterMemberkim:GatewayAtDonnerPassMember2020-01-012020-12-31 0000879101kim:ShoppingCenterMemberkim:WestlakeShoppingCenterMem</w:t>
      </w:r>
      <w:r>
        <w:rPr>
          <w:rFonts w:eastAsia="Times New Roman"/>
          <w:vanish/>
          <w:sz w:val="20"/>
          <w:szCs w:val="20"/>
        </w:rPr>
        <w:t>ber2020-12-31 0000879101kim:ShoppingCenterMemberkim:WestlakeShoppingCenterMember2020-01-012020-12-31 0000879101kim:ShoppingCenterMemberkim:LakewoodVillageMember2020-12-31 0000879101kim:ShoppingCenterMemberkim:LakewoodVillageMember2020-01-012020-12-31 00008</w:t>
      </w:r>
      <w:r>
        <w:rPr>
          <w:rFonts w:eastAsia="Times New Roman"/>
          <w:vanish/>
          <w:sz w:val="20"/>
          <w:szCs w:val="20"/>
        </w:rPr>
        <w:t>79101kim:ShoppingCenterMemberkim:WhittwoodTownCenterMember2020-12-31 0000879101kim:ShoppingCenterMemberkim:WhittwoodTownCenterMember2020-01-012020-12-31 0000879101kim:ShoppingCenterMemberkim:VillageOnTheParkMember2020-12-31 0000879101kim:ShoppingCenterMemb</w:t>
      </w:r>
      <w:r>
        <w:rPr>
          <w:rFonts w:eastAsia="Times New Roman"/>
          <w:vanish/>
          <w:sz w:val="20"/>
          <w:szCs w:val="20"/>
        </w:rPr>
        <w:t>erkim:VillageOnTheParkMember2020-01-012020-12-31 0000879101kim:ShoppingCenterMemberkim:QuincyPlaceSCMember2020-12-31 0000879101kim:ShoppingCenterMemberkim:QuincyPlaceSCMember2020-01-012020-12-31 0000879101kim:ShoppingCenterMemberkim:EastBankSCMember2020-12</w:t>
      </w:r>
      <w:r>
        <w:rPr>
          <w:rFonts w:eastAsia="Times New Roman"/>
          <w:vanish/>
          <w:sz w:val="20"/>
          <w:szCs w:val="20"/>
        </w:rPr>
        <w:t>-31 0000879101kim:ShoppingCenterMemberkim:EastBankSCMember2020-01-012020-12-31 0000879101kim:ShoppingCenterMemberkim:NorthridgeShoppingCenterMember2020-12-31 0000879101kim:ShoppingCenterMemberkim:NorthridgeShoppingCenterMember2020-01-012020-12-31 000087910</w:t>
      </w:r>
      <w:r>
        <w:rPr>
          <w:rFonts w:eastAsia="Times New Roman"/>
          <w:vanish/>
          <w:sz w:val="20"/>
          <w:szCs w:val="20"/>
        </w:rPr>
        <w:t>1kim:ShoppingCenterMemberkim:DenverWest38thStreetMember2020-12-31 0000879101kim:ShoppingCenterMemberkim:DenverWest38thStreetMember2020-01-012020-12-31 0000879101kim:ShoppingCenterMemberkim:EnglewoodPlazaMember2020-12-31 0000879101kim:ShoppingCenterMemberki</w:t>
      </w:r>
      <w:r>
        <w:rPr>
          <w:rFonts w:eastAsia="Times New Roman"/>
          <w:vanish/>
          <w:sz w:val="20"/>
          <w:szCs w:val="20"/>
        </w:rPr>
        <w:t>m:EnglewoodPlazaMember2020-01-012020-12-31 0000879101kim:ShoppingCenterMemberkim:GreeleyCommonsMember2020-12-31 0000879101kim:ShoppingCenterMemberkim:GreeleyCommonsMember2020-01-012020-12-31 0000879101kim:ShoppingCenterMemberkim:HighlandsRanchVillageSCMemb</w:t>
      </w:r>
      <w:r>
        <w:rPr>
          <w:rFonts w:eastAsia="Times New Roman"/>
          <w:vanish/>
          <w:sz w:val="20"/>
          <w:szCs w:val="20"/>
        </w:rPr>
        <w:t>er2020-12-31 0000879101kim:ShoppingCenterMemberkim:HighlandsRanchVillageSCMember2020-01-012020-12-31 0000879101kim:ShoppingCenterMemberkim:VillageCenterWestMember2020-12-31 0000879101kim:ShoppingCenterMemberkim:VillageCenterWestMember2020-01-012020-12-31 0</w:t>
      </w:r>
      <w:r>
        <w:rPr>
          <w:rFonts w:eastAsia="Times New Roman"/>
          <w:vanish/>
          <w:sz w:val="20"/>
          <w:szCs w:val="20"/>
        </w:rPr>
        <w:t>000879101kim:ShoppingCenterMemberkim:HighlandsRanchIIMember2020-12-31 0000879101kim:ShoppingCenterMemberkim:HighlandsRanchIIMember2020-01-012020-12-31 0000879101kim:ShoppingCenterMemberkim:VillageCenterHighlandRanchMember2020-12-31 0000879101kim:ShoppingCe</w:t>
      </w:r>
      <w:r>
        <w:rPr>
          <w:rFonts w:eastAsia="Times New Roman"/>
          <w:vanish/>
          <w:sz w:val="20"/>
          <w:szCs w:val="20"/>
        </w:rPr>
        <w:t>nterMemberkim:VillageCenterHighlandRanchMember2020-01-012020-12-31 0000879101kim:ShoppingCenterMemberkim:HeritageWestSCMember2020-12-31 0000879101kim:ShoppingCenterMemberkim:HeritageWestSCMember2020-01-012020-12-31 0000879101kim:ShoppingCenterMemberkim:Mar</w:t>
      </w:r>
      <w:r>
        <w:rPr>
          <w:rFonts w:eastAsia="Times New Roman"/>
          <w:vanish/>
          <w:sz w:val="20"/>
          <w:szCs w:val="20"/>
        </w:rPr>
        <w:t>ketAtSouthparkMember2020-12-31 0000879101kim:ShoppingCenterMemberkim:MarketAtSouthparkMember2020-01-012020-12-31 0000879101kim:ShoppingCenterMemberkim:NewtownSCMember2020-12-31 0000879101kim:ShoppingCenterMemberkim:NewtownSCMember2020-01-012020-12-31 00008</w:t>
      </w:r>
      <w:r>
        <w:rPr>
          <w:rFonts w:eastAsia="Times New Roman"/>
          <w:vanish/>
          <w:sz w:val="20"/>
          <w:szCs w:val="20"/>
        </w:rPr>
        <w:t>79101kim:ShoppingCenterMemberkim:WestFarmShoppingCenterMember2020-12-31 0000879101kim:ShoppingCenterMemberkim:WestFarmShoppingCenterMember2020-01-012020-12-31 0000879101kim:ShoppingCenterMemberkim:HamdenMartMember2020-12-31 0000879101kim:ShoppingCenterMemb</w:t>
      </w:r>
      <w:r>
        <w:rPr>
          <w:rFonts w:eastAsia="Times New Roman"/>
          <w:vanish/>
          <w:sz w:val="20"/>
          <w:szCs w:val="20"/>
        </w:rPr>
        <w:t>erkim:HamdenMartMember2020-01-012020-12-31 0000879101kim:ShoppingCenterMemberkim:HomeDepotPlaza2Member2020-12-31 0000879101kim:ShoppingCenterMemberkim:HomeDepotPlaza2Member2020-01-012020-12-31 0000879101kim:ShoppingCenterMemberkim:WiltonRiverParkShoppingCt</w:t>
      </w:r>
      <w:r>
        <w:rPr>
          <w:rFonts w:eastAsia="Times New Roman"/>
          <w:vanish/>
          <w:sz w:val="20"/>
          <w:szCs w:val="20"/>
        </w:rPr>
        <w:t>rMember2020-12-31 0000879101kim:ShoppingCenterMemberkim:WiltonRiverParkShoppingCtrMember2020-01-012020-12-31 0000879101kim:ShoppingCenterMemberkim:BrightHorizonsMember2020-12-31 0000879101kim:ShoppingCenterMemberkim:BrightHorizonsMember2020-01-012020-12-31</w:t>
      </w:r>
      <w:r>
        <w:rPr>
          <w:rFonts w:eastAsia="Times New Roman"/>
          <w:vanish/>
          <w:sz w:val="20"/>
          <w:szCs w:val="20"/>
        </w:rPr>
        <w:t xml:space="preserve"> 0000879101kim:ShoppingCenterMemberkim:WiltonCampusMember2020-12-31 0000879101kim:ShoppingCenterMemberkim:WiltonCampusMember2020-01-012020-12-31 0000879101kim:ShoppingCenterMemberkim:CamdenSquareMember2020-12-31 0000879101kim:ShoppingCenterMemberkim:Camden</w:t>
      </w:r>
      <w:r>
        <w:rPr>
          <w:rFonts w:eastAsia="Times New Roman"/>
          <w:vanish/>
          <w:sz w:val="20"/>
          <w:szCs w:val="20"/>
        </w:rPr>
        <w:t>SquareMember2020-01-012020-12-31 0000879101kim:ShoppingCenterMemberkim:PromenadeAtChristianaMember2020-12-31 0000879101kim:ShoppingCenterMemberkim:PromenadeAtChristianaMember2020-01-012020-12-31 0000879101kim:ShoppingCenterMemberkim:BrandywineCommonsMember</w:t>
      </w:r>
      <w:r>
        <w:rPr>
          <w:rFonts w:eastAsia="Times New Roman"/>
          <w:vanish/>
          <w:sz w:val="20"/>
          <w:szCs w:val="20"/>
        </w:rPr>
        <w:t>2020-12-31 0000879101kim:ShoppingCenterMemberkim:BrandywineCommonsMember2020-01-012020-12-31 0000879101kim:ShoppingCenterMemberkim:CaminoSquareMember2020-12-31 0000879101kim:ShoppingCenterMemberkim:CaminoSquareMember2020-01-012020-12-31 0000879101kim:Shopp</w:t>
      </w:r>
      <w:r>
        <w:rPr>
          <w:rFonts w:eastAsia="Times New Roman"/>
          <w:vanish/>
          <w:sz w:val="20"/>
          <w:szCs w:val="20"/>
        </w:rPr>
        <w:t>ingCenterMemberkim:CoralSquarePromenadeMember2020-12-31 0000879101kim:ShoppingCenterMemberkim:CoralSquarePromenadeMember2020-01-012020-12-31 0000879101kim:ShoppingCenterMemberkim:MaplewoodPlazaMember2020-12-31 0000879101kim:ShoppingCenterMemberkim:Maplewoo</w:t>
      </w:r>
      <w:r>
        <w:rPr>
          <w:rFonts w:eastAsia="Times New Roman"/>
          <w:vanish/>
          <w:sz w:val="20"/>
          <w:szCs w:val="20"/>
        </w:rPr>
        <w:t>dPlazaMember2020-01-012020-12-31 0000879101kim:ShoppingCenterMemberkim:CurlewCrossingShoppingCtrMember2020-12-31 0000879101kim:ShoppingCenterMemberkim:CurlewCrossingShoppingCtrMember2020-01-012020-12-31 0000879101kim:ShoppingCenterMemberkim:ShopsAtSantaBar</w:t>
      </w:r>
      <w:r>
        <w:rPr>
          <w:rFonts w:eastAsia="Times New Roman"/>
          <w:vanish/>
          <w:sz w:val="20"/>
          <w:szCs w:val="20"/>
        </w:rPr>
        <w:t>baraPhase1Member2020-12-31 0000879101kim:ShoppingCenterMemberkim:ShopsAtSantaBarbaraPhase1Member2020-01-012020-12-31 0000879101kim:ShoppingCenterMemberkim:ShopsAtSantaBarbaraPhase2Member2020-12-31 0000879101kim:ShoppingCenterMemberkim:ShopsAtSantaBarbaraPh</w:t>
      </w:r>
      <w:r>
        <w:rPr>
          <w:rFonts w:eastAsia="Times New Roman"/>
          <w:vanish/>
          <w:sz w:val="20"/>
          <w:szCs w:val="20"/>
        </w:rPr>
        <w:t>ase2Member2020-01-012020-12-31 0000879101kim:ShoppingCenterMemberkim:ShopsAtSantaBarbaraPhase3Member2020-12-31 0000879101kim:ShoppingCenterMemberkim:ShopsAtSantaBarbaraPhase3Member2020-01-012020-12-31 0000879101kim:ShoppingCenterMemberkim:CoralPointeSCMemb</w:t>
      </w:r>
      <w:r>
        <w:rPr>
          <w:rFonts w:eastAsia="Times New Roman"/>
          <w:vanish/>
          <w:sz w:val="20"/>
          <w:szCs w:val="20"/>
        </w:rPr>
        <w:t>er2020-12-31 0000879101kim:ShoppingCenterMemberkim:CoralPointeSCMember2020-01-012020-12-31 0000879101kim:ShoppingCenterMemberkim:DaniaPointeMember2020-12-31 0000879101kim:ShoppingCenterMemberkim:DaniaPointeMember2020-01-012020-12-31 0000879101kim:ShoppingC</w:t>
      </w:r>
      <w:r>
        <w:rPr>
          <w:rFonts w:eastAsia="Times New Roman"/>
          <w:vanish/>
          <w:sz w:val="20"/>
          <w:szCs w:val="20"/>
        </w:rPr>
        <w:t>enterMemberkim:DaniaPointePhaseIIMember2020-12-31 0000879101kim:ShoppingCenterMemberkim:DaniaPointePhaseIIMember2020-01-012020-12-31 0000879101kim:ShoppingCenterMemberkim:FtLauderdaleCypressCreekMember2020-12-31 0000879101kim:ShoppingCenterMemberkim:FtLaud</w:t>
      </w:r>
      <w:r>
        <w:rPr>
          <w:rFonts w:eastAsia="Times New Roman"/>
          <w:vanish/>
          <w:sz w:val="20"/>
          <w:szCs w:val="20"/>
        </w:rPr>
        <w:t>erdaleCypressCreekMember2020-01-012020-12-31 0000879101kim:ShoppingCenterMemberkim:HomesteadWachtelLandLeaseMember2020-12-31 0000879101kim:ShoppingCenterMemberkim:HomesteadWachtelLandLeaseMember2020-01-012020-12-31 0000879101kim:ShoppingCenterMemberkim:Oak</w:t>
      </w:r>
      <w:r>
        <w:rPr>
          <w:rFonts w:eastAsia="Times New Roman"/>
          <w:vanish/>
          <w:sz w:val="20"/>
          <w:szCs w:val="20"/>
        </w:rPr>
        <w:t>woodPlazaNorthMember2020-12-31 0000879101kim:ShoppingCenterMemberkim:OakwoodPlazaNorthMember2020-01-012020-12-31 0000879101kim:ShoppingCenterMemberkim:OakwoodPlazaSouthMember2020-12-31 0000879101kim:ShoppingCenterMemberkim:OakwoodPlazaSouthMember2020-01-01</w:t>
      </w:r>
      <w:r>
        <w:rPr>
          <w:rFonts w:eastAsia="Times New Roman"/>
          <w:vanish/>
          <w:sz w:val="20"/>
          <w:szCs w:val="20"/>
        </w:rPr>
        <w:t>2020-12-31 0000879101kim:ShoppingCenterMemberkim:OakwoodBusinessCtrBDLG1Member2020-12-31 0000879101kim:ShoppingCenterMemberkim:OakwoodBusinessCtrBDLG1Member2020-01-012020-12-31 0000879101kim:ShoppingCenterMemberkim:KimcoAvenuesWalkLLCMember2020-12-31 00008</w:t>
      </w:r>
      <w:r>
        <w:rPr>
          <w:rFonts w:eastAsia="Times New Roman"/>
          <w:vanish/>
          <w:sz w:val="20"/>
          <w:szCs w:val="20"/>
        </w:rPr>
        <w:t>79101kim:ShoppingCenterMemberkim:KimcoAvenuesWalkLLCMember2020-01-012020-12-31 0000879101kim:ShoppingCenterMemberkim:AvenuesWalkMember2020-12-31 0000879101kim:ShoppingCenterMemberkim:AvenuesWalkMember2020-01-012020-12-31 0000879101kim:ShoppingCenterMemberk</w:t>
      </w:r>
      <w:r>
        <w:rPr>
          <w:rFonts w:eastAsia="Times New Roman"/>
          <w:vanish/>
          <w:sz w:val="20"/>
          <w:szCs w:val="20"/>
        </w:rPr>
        <w:t>im:RiverplaceShoppingCtrMember2020-12-31 0000879101kim:ShoppingCenterMemberkim:RiverplaceShoppingCtrMember2020-01-012020-12-31 0000879101kim:ShoppingCenterMemberkim:MerchantsWalkMember2020-12-31 0000879101kim:ShoppingCenterMemberkim:MerchantsWalkMember2020</w:t>
      </w:r>
      <w:r>
        <w:rPr>
          <w:rFonts w:eastAsia="Times New Roman"/>
          <w:vanish/>
          <w:sz w:val="20"/>
          <w:szCs w:val="20"/>
        </w:rPr>
        <w:t>-01-012020-12-31 0000879101kim:ShoppingCenterMemberkim:CenterAtMissouriAvenueMember2020-12-31 0000879101kim:ShoppingCenterMemberkim:CenterAtMissouriAvenueMember2020-01-012020-12-31 0000879101kim:ShoppingCenterMemberkim:TriCityPlazaMember2020-12-31 00008791</w:t>
      </w:r>
      <w:r>
        <w:rPr>
          <w:rFonts w:eastAsia="Times New Roman"/>
          <w:vanish/>
          <w:sz w:val="20"/>
          <w:szCs w:val="20"/>
        </w:rPr>
        <w:t>01kim:ShoppingCenterMemberkim:TriCityPlazaMember2020-01-012020-12-31 0000879101kim:ShoppingCenterMemberkim:FtLauderdale1FLMember2020-12-31 0000879101kim:ShoppingCenterMemberkim:FtLauderdale1FLMember2020-01-012020-12-31 0000879101kim:ShoppingCenterMemberkim</w:t>
      </w:r>
      <w:r>
        <w:rPr>
          <w:rFonts w:eastAsia="Times New Roman"/>
          <w:vanish/>
          <w:sz w:val="20"/>
          <w:szCs w:val="20"/>
        </w:rPr>
        <w:t>:NASAPlazaMember2020-12-31 0000879101kim:ShoppingCenterMemberkim:NASAPlazaMember2020-01-012020-12-31 0000879101kim:ShoppingCenterMemberkim:GroveGatesSCMember2020-12-31 0000879101kim:ShoppingCenterMemberkim:GroveGatesSCMember2020-01-012020-12-31 0000879101k</w:t>
      </w:r>
      <w:r>
        <w:rPr>
          <w:rFonts w:eastAsia="Times New Roman"/>
          <w:vanish/>
          <w:sz w:val="20"/>
          <w:szCs w:val="20"/>
        </w:rPr>
        <w:t>im:ShoppingCenterMemberkim:ChevronOutparcelMember2020-12-31 0000879101kim:ShoppingCenterMemberkim:ChevronOutparcelMember2020-01-012020-12-31 0000879101kim:ShoppingCenterMemberkim:IvesDairyCrossingMember2020-12-31 0000879101kim:ShoppingCenterMemberkim:IvesD</w:t>
      </w:r>
      <w:r>
        <w:rPr>
          <w:rFonts w:eastAsia="Times New Roman"/>
          <w:vanish/>
          <w:sz w:val="20"/>
          <w:szCs w:val="20"/>
        </w:rPr>
        <w:t>airyCrossingMember2020-01-012020-12-31 0000879101kim:ShoppingCenterMemberkim:MillerRoadSCMember2020-12-31 0000879101kim:ShoppingCenterMemberkim:MillerRoadSCMember2020-01-012020-12-31 0000879101kim:ShoppingCenterMemberkim:KendaleLakesPlazaMember2020-12-31 0</w:t>
      </w:r>
      <w:r>
        <w:rPr>
          <w:rFonts w:eastAsia="Times New Roman"/>
          <w:vanish/>
          <w:sz w:val="20"/>
          <w:szCs w:val="20"/>
        </w:rPr>
        <w:t>000879101kim:ShoppingCenterMemberkim:KendaleLakesPlazaMember2020-01-012020-12-31 0000879101kim:ShoppingCenterMemberkim:MillerWestPlazaMember2020-12-31 0000879101kim:ShoppingCenterMemberkim:MillerWestPlazaMember2020-01-012020-12-31 0000879101kim:ShoppingCen</w:t>
      </w:r>
      <w:r>
        <w:rPr>
          <w:rFonts w:eastAsia="Times New Roman"/>
          <w:vanish/>
          <w:sz w:val="20"/>
          <w:szCs w:val="20"/>
        </w:rPr>
        <w:t>terMemberkim:CorsicaSquareSCMember2020-12-31 0000879101kim:ShoppingCenterMemberkim:CorsicaSquareSCMember2020-01-012020-12-31 0000879101kim:ShoppingCenterMemberkim:FlaglerParkMember2020-12-31 0000879101kim:ShoppingCenterMemberkim:FlaglerParkMember2020-01-01</w:t>
      </w:r>
      <w:r>
        <w:rPr>
          <w:rFonts w:eastAsia="Times New Roman"/>
          <w:vanish/>
          <w:sz w:val="20"/>
          <w:szCs w:val="20"/>
        </w:rPr>
        <w:t>2020-12-31 0000879101kim:ShoppingCenterMemberkim:ParkhillPlazaMember2020-12-31 0000879101kim:ShoppingCenterMemberkim:ParkhillPlazaMember2020-01-012020-12-31 0000879101kim:ShoppingCenterMemberkim:WinnDixieMiamiMember2020-12-31 0000879101kim:ShoppingCenterMe</w:t>
      </w:r>
      <w:r>
        <w:rPr>
          <w:rFonts w:eastAsia="Times New Roman"/>
          <w:vanish/>
          <w:sz w:val="20"/>
          <w:szCs w:val="20"/>
        </w:rPr>
        <w:t>mberkim:WinnDixieMiamiMember2020-01-012020-12-31 0000879101kim:ShoppingCenterMemberkim:MarathonShoppingCenterMember2020-12-31 0000879101kim:ShoppingCenterMemberkim:MarathonShoppingCenterMember2020-01-012020-12-31 0000879101kim:ShoppingCenterMemberkim:SodoS</w:t>
      </w:r>
      <w:r>
        <w:rPr>
          <w:rFonts w:eastAsia="Times New Roman"/>
          <w:vanish/>
          <w:sz w:val="20"/>
          <w:szCs w:val="20"/>
        </w:rPr>
        <w:t>CMember2020-12-31 0000879101kim:ShoppingCenterMemberkim:SodoSCMember2020-01-012020-12-31 0000879101kim:ShoppingCenterMemberkim:RenaissanceCenterMember2020-12-31 0000879101kim:ShoppingCenterMemberkim:RenaissanceCenterMember2020-01-012020-12-31 0000879101kim</w:t>
      </w:r>
      <w:r>
        <w:rPr>
          <w:rFonts w:eastAsia="Times New Roman"/>
          <w:vanish/>
          <w:sz w:val="20"/>
          <w:szCs w:val="20"/>
        </w:rPr>
        <w:t>:ShoppingCenterMemberkim:MilleniaPlazaPhaseIIMember2020-12-31 0000879101kim:ShoppingCenterMemberkim:MilleniaPlazaPhaseIIMember2020-01-012020-12-31 0000879101kim:ShoppingCenterMemberkim:RiversideLandingsSCMember2020-12-31 0000879101kim:ShoppingCenterMemberk</w:t>
      </w:r>
      <w:r>
        <w:rPr>
          <w:rFonts w:eastAsia="Times New Roman"/>
          <w:vanish/>
          <w:sz w:val="20"/>
          <w:szCs w:val="20"/>
        </w:rPr>
        <w:t>im:RiversideLandingsSCMember2020-01-012020-12-31 0000879101kim:ShoppingCenterMemberkim:GrandOaksVillageMember2020-12-31 0000879101kim:ShoppingCenterMemberkim:GrandOaksVillageMember2020-01-012020-12-31 0000879101kim:ShoppingCenterMemberkim:PlantationCrossin</w:t>
      </w:r>
      <w:r>
        <w:rPr>
          <w:rFonts w:eastAsia="Times New Roman"/>
          <w:vanish/>
          <w:sz w:val="20"/>
          <w:szCs w:val="20"/>
        </w:rPr>
        <w:t>gMember2020-12-31 0000879101kim:ShoppingCenterMemberkim:PlantationCrossingMember2020-01-012020-12-31 0000879101kim:ShoppingCenterMemberkim:PompanoPointeSCMember2020-12-31 0000879101kim:ShoppingCenterMemberkim:PompanoPointeSCMember2020-01-012020-12-31 00008</w:t>
      </w:r>
      <w:r>
        <w:rPr>
          <w:rFonts w:eastAsia="Times New Roman"/>
          <w:vanish/>
          <w:sz w:val="20"/>
          <w:szCs w:val="20"/>
        </w:rPr>
        <w:t>79101kim:ShoppingCenterMemberkim:UniversityTownCenterMember2020-12-31 0000879101kim:ShoppingCenterMemberkim:UniversityTownCenterMember2020-01-012020-12-31 0000879101kim:ShoppingCenterMemberkim:OakTreePlazaMember2020-12-31 0000879101kim:ShoppingCenterMember</w:t>
      </w:r>
      <w:r>
        <w:rPr>
          <w:rFonts w:eastAsia="Times New Roman"/>
          <w:vanish/>
          <w:sz w:val="20"/>
          <w:szCs w:val="20"/>
        </w:rPr>
        <w:t>kim:OakTreePlazaMember2020-01-012020-12-31 0000879101kim:ShoppingCenterMemberkim:TuttlebeePlazaMember2020-12-31 0000879101kim:ShoppingCenterMemberkim:TuttlebeePlazaMember2020-01-012020-12-31 0000879101kim:ShoppingCenterMemberkim:SouthMiamiSCMember2020-12-3</w:t>
      </w:r>
      <w:r>
        <w:rPr>
          <w:rFonts w:eastAsia="Times New Roman"/>
          <w:vanish/>
          <w:sz w:val="20"/>
          <w:szCs w:val="20"/>
        </w:rPr>
        <w:t>1 0000879101kim:ShoppingCenterMemberkim:SouthMiamiSCMember2020-01-012020-12-31 0000879101kim:ShoppingCenterMemberkim:CarrollwoodCommonsMember2020-12-31 0000879101kim:ShoppingCenterMemberkim:CarrollwoodCommonsMember2020-01-012020-12-31 0000879101kim:Shoppin</w:t>
      </w:r>
      <w:r>
        <w:rPr>
          <w:rFonts w:eastAsia="Times New Roman"/>
          <w:vanish/>
          <w:sz w:val="20"/>
          <w:szCs w:val="20"/>
        </w:rPr>
        <w:t>gCenterMemberkim:VillageCommonsShoppingCenterMember2020-12-31 0000879101kim:ShoppingCenterMemberkim:VillageCommonsShoppingCenterMember2020-01-012020-12-31 0000879101kim:ShoppingCenterMemberkim:MissionBellShoppingCenterMember2020-12-31 0000879101kim:Shoppin</w:t>
      </w:r>
      <w:r>
        <w:rPr>
          <w:rFonts w:eastAsia="Times New Roman"/>
          <w:vanish/>
          <w:sz w:val="20"/>
          <w:szCs w:val="20"/>
        </w:rPr>
        <w:t>gCenterMemberkim:MissionBellShoppingCenterMember2020-01-012020-12-31 0000879101kim:ShoppingCenterMemberkim:VillageCommonsSCMember2020-12-31 0000879101kim:ShoppingCenterMemberkim:VillageCommonsSCMember2020-01-012020-12-31 0000879101kim:ShoppingCenterMemberk</w:t>
      </w:r>
      <w:r>
        <w:rPr>
          <w:rFonts w:eastAsia="Times New Roman"/>
          <w:vanish/>
          <w:sz w:val="20"/>
          <w:szCs w:val="20"/>
        </w:rPr>
        <w:t>im:BelmartPlazaMember2020-12-31 0000879101kim:ShoppingCenterMemberkim:BelmartPlazaMember2020-01-012020-12-31 0000879101kim:ShoppingCenterMemberkim:MarketAtHaynesBridgeMember2020-12-31 0000879101kim:ShoppingCenterMemberkim:MarketAtHaynesBridgeMember2020-01-</w:t>
      </w:r>
      <w:r>
        <w:rPr>
          <w:rFonts w:eastAsia="Times New Roman"/>
          <w:vanish/>
          <w:sz w:val="20"/>
          <w:szCs w:val="20"/>
        </w:rPr>
        <w:t>012020-12-31 0000879101kim:ShoppingCenterMemberkim:EmbryVillageMember2020-12-31 0000879101kim:ShoppingCenterMemberkim:EmbryVillageMember2020-01-012020-12-31 0000879101kim:ShoppingCenterMemberkim:PerimeterExpoPropertyMember2020-12-31 0000879101kim:ShoppingC</w:t>
      </w:r>
      <w:r>
        <w:rPr>
          <w:rFonts w:eastAsia="Times New Roman"/>
          <w:vanish/>
          <w:sz w:val="20"/>
          <w:szCs w:val="20"/>
        </w:rPr>
        <w:t>enterMemberkim:PerimeterExpoPropertyMember2020-01-012020-12-31 0000879101kim:ShoppingCenterMemberkim:RiverwalkMarketplaceMember2020-12-31 0000879101kim:ShoppingCenterMemberkim:RiverwalkMarketplaceMember2020-01-012020-12-31 0000879101kim:ShoppingCenterMembe</w:t>
      </w:r>
      <w:r>
        <w:rPr>
          <w:rFonts w:eastAsia="Times New Roman"/>
          <w:vanish/>
          <w:sz w:val="20"/>
          <w:szCs w:val="20"/>
        </w:rPr>
        <w:t>rkim:LawrencevilleMarketMember2020-12-31 0000879101kim:ShoppingCenterMemberkim:LawrencevilleMarketMember2020-01-012020-12-31 0000879101kim:ShoppingCenterMemberkim:BraelinnVillageMember2020-12-31 0000879101kim:ShoppingCenterMemberkim:BraelinnVillageMember20</w:t>
      </w:r>
      <w:r>
        <w:rPr>
          <w:rFonts w:eastAsia="Times New Roman"/>
          <w:vanish/>
          <w:sz w:val="20"/>
          <w:szCs w:val="20"/>
        </w:rPr>
        <w:t>20-01-012020-12-31 0000879101kim:ShoppingCenterMemberkim:SavannahCenterMember2020-12-31 0000879101kim:ShoppingCenterMemberkim:SavannahCenterMember2020-01-012020-12-31 0000879101kim:ShoppingCenterMemberkim:ChathamPlazaMember2020-12-31 0000879101kim:Shopping</w:t>
      </w:r>
      <w:r>
        <w:rPr>
          <w:rFonts w:eastAsia="Times New Roman"/>
          <w:vanish/>
          <w:sz w:val="20"/>
          <w:szCs w:val="20"/>
        </w:rPr>
        <w:t>CenterMemberkim:ChathamPlazaMember2020-01-012020-12-31 0000879101kim:ShoppingCenterMemberkim:ClivePlazaMember2020-12-31 0000879101kim:ShoppingCenterMemberkim:ClivePlazaMember2020-01-012020-12-31 0000879101kim:ShoppingCenterMemberkim:PlazaDelPradoMember2020</w:t>
      </w:r>
      <w:r>
        <w:rPr>
          <w:rFonts w:eastAsia="Times New Roman"/>
          <w:vanish/>
          <w:sz w:val="20"/>
          <w:szCs w:val="20"/>
        </w:rPr>
        <w:t>-12-31 0000879101kim:ShoppingCenterMemberkim:PlazaDelPradoMember2020-01-012020-12-31 0000879101kim:ShoppingCenterMemberkim:SkokiePointeMember2020-12-31 0000879101kim:ShoppingCenterMemberkim:SkokiePointeMember2020-01-012020-12-31 0000879101kim:ShoppingCente</w:t>
      </w:r>
      <w:r>
        <w:rPr>
          <w:rFonts w:eastAsia="Times New Roman"/>
          <w:vanish/>
          <w:sz w:val="20"/>
          <w:szCs w:val="20"/>
        </w:rPr>
        <w:t>rMemberkim:HawthornHillsSquareMember2020-12-31 0000879101kim:ShoppingCenterMemberkim:HawthornHillsSquareMember2020-01-012020-12-31 0000879101kim:ShoppingCenterMemberkim:LinwoodSquareMember2020-12-31 0000879101kim:ShoppingCenterMemberkim:LinwoodSquareMember</w:t>
      </w:r>
      <w:r>
        <w:rPr>
          <w:rFonts w:eastAsia="Times New Roman"/>
          <w:vanish/>
          <w:sz w:val="20"/>
          <w:szCs w:val="20"/>
        </w:rPr>
        <w:t>2020-01-012020-12-31 0000879101kim:ShoppingCenterMemberkim:GreenwoodSCMember2020-12-31 0000879101kim:ShoppingCenterMemberkim:GreenwoodSCMember2020-01-012020-12-31 0000879101kim:ShoppingCenterMemberkim:AbingtonPlazaMember2020-12-31 0000879101kim:ShoppingCen</w:t>
      </w:r>
      <w:r>
        <w:rPr>
          <w:rFonts w:eastAsia="Times New Roman"/>
          <w:vanish/>
          <w:sz w:val="20"/>
          <w:szCs w:val="20"/>
        </w:rPr>
        <w:t>terMemberkim:AbingtonPlazaMember2020-01-012020-12-31 0000879101kim:ShoppingCenterMemberkim:WashingtonStPlazaMember2020-12-31 0000879101kim:ShoppingCenterMemberkim:WashingtonStPlazaMember2020-01-012020-12-31 0000879101kim:ShoppingCenterMemberkim:MemorialPla</w:t>
      </w:r>
      <w:r>
        <w:rPr>
          <w:rFonts w:eastAsia="Times New Roman"/>
          <w:vanish/>
          <w:sz w:val="20"/>
          <w:szCs w:val="20"/>
        </w:rPr>
        <w:t>zaMember2020-12-31 0000879101kim:ShoppingCenterMemberkim:MemorialPlazaMember2020-01-012020-12-31 0000879101kim:ShoppingCenterMemberkim:MainStPlazaMember2020-12-31 0000879101kim:ShoppingCenterMemberkim:MainStPlazaMember2020-01-012020-12-31 0000879101kim:Sho</w:t>
      </w:r>
      <w:r>
        <w:rPr>
          <w:rFonts w:eastAsia="Times New Roman"/>
          <w:vanish/>
          <w:sz w:val="20"/>
          <w:szCs w:val="20"/>
        </w:rPr>
        <w:t>ppingCenterMemberkim:MorrisseyPlazaMember2020-12-31 0000879101kim:ShoppingCenterMemberkim:MorrisseyPlazaMember2020-01-012020-12-31 0000879101kim:ShoppingCenterMemberkim:GlendaleSquareMember2020-12-31 0000879101kim:ShoppingCenterMemberkim:GlendaleSquareMemb</w:t>
      </w:r>
      <w:r>
        <w:rPr>
          <w:rFonts w:eastAsia="Times New Roman"/>
          <w:vanish/>
          <w:sz w:val="20"/>
          <w:szCs w:val="20"/>
        </w:rPr>
        <w:t>er2020-01-012020-12-31 0000879101kim:ShoppingCenterMemberkim:FalmouthPlazaMember2020-12-31 0000879101kim:ShoppingCenterMemberkim:FalmouthPlazaMember2020-01-012020-12-31 0000879101kim:ShoppingCenterMemberkim:WaverlyPlazaMember2020-12-31 0000879101kim:Shoppi</w:t>
      </w:r>
      <w:r>
        <w:rPr>
          <w:rFonts w:eastAsia="Times New Roman"/>
          <w:vanish/>
          <w:sz w:val="20"/>
          <w:szCs w:val="20"/>
        </w:rPr>
        <w:t>ngCenterMemberkim:WaverlyPlazaMember2020-01-012020-12-31 0000879101kim:ShoppingCenterMemberkim:FestivalOfHyannisSCMember2020-12-31 0000879101kim:ShoppingCenterMemberkim:FestivalOfHyannisSCMember2020-01-012020-12-31 0000879101kim:ShoppingCenterMemberkim:Fel</w:t>
      </w:r>
      <w:r>
        <w:rPr>
          <w:rFonts w:eastAsia="Times New Roman"/>
          <w:vanish/>
          <w:sz w:val="20"/>
          <w:szCs w:val="20"/>
        </w:rPr>
        <w:t>lswayPlazaMember2020-12-31 0000879101kim:ShoppingCenterMemberkim:FellswayPlazaMember2020-01-012020-12-31 0000879101kim:ShoppingCenterMemberkim:NorthQuincyPlazaMember2020-12-31 0000879101kim:ShoppingCenterMemberkim:NorthQuincyPlazaMember2020-01-012020-12-31</w:t>
      </w:r>
      <w:r>
        <w:rPr>
          <w:rFonts w:eastAsia="Times New Roman"/>
          <w:vanish/>
          <w:sz w:val="20"/>
          <w:szCs w:val="20"/>
        </w:rPr>
        <w:t xml:space="preserve"> 0000879101kim:ShoppingCenterMemberkim:AdamsPlazaMember2020-12-31 0000879101kim:ShoppingCenterMemberkim:AdamsPlazaMember2020-01-012020-12-31 0000879101kim:ShoppingCenterMemberkim:BroadwayPlazaMember2020-12-31 0000879101kim:ShoppingCenterMemberkim:BroadwayP</w:t>
      </w:r>
      <w:r>
        <w:rPr>
          <w:rFonts w:eastAsia="Times New Roman"/>
          <w:vanish/>
          <w:sz w:val="20"/>
          <w:szCs w:val="20"/>
        </w:rPr>
        <w:t>lazaMember2020-01-012020-12-31 0000879101kim:ShoppingCenterMemberkim:VinninSquarePlazaMember2020-12-31 0000879101kim:ShoppingCenterMemberkim:VinninSquarePlazaMember2020-01-012020-12-31 0000879101kim:ShoppingCenterMemberkim:ParadisePlazaMember2020-12-31 000</w:t>
      </w:r>
      <w:r>
        <w:rPr>
          <w:rFonts w:eastAsia="Times New Roman"/>
          <w:vanish/>
          <w:sz w:val="20"/>
          <w:szCs w:val="20"/>
        </w:rPr>
        <w:t>0879101kim:ShoppingCenterMemberkim:ParadisePlazaMember2020-01-012020-12-31 0000879101kim:ShoppingCenterMemberkim:BelmontPlazaMember2020-12-31 0000879101kim:ShoppingCenterMemberkim:BelmontPlazaMember2020-01-012020-12-31 0000879101kim:ShoppingCenterMemberkim</w:t>
      </w:r>
      <w:r>
        <w:rPr>
          <w:rFonts w:eastAsia="Times New Roman"/>
          <w:vanish/>
          <w:sz w:val="20"/>
          <w:szCs w:val="20"/>
        </w:rPr>
        <w:t>:VinninSquareInlineMember2020-12-31 0000879101kim:ShoppingCenterMemberkim:VinninSquareInlineMember2020-01-012020-12-31 0000879101kim:ShoppingCenterMemberkim:LindenPlazaMember2020-12-31 0000879101kim:ShoppingCenterMemberkim:LindenPlazaMember2020-01-012020-1</w:t>
      </w:r>
      <w:r>
        <w:rPr>
          <w:rFonts w:eastAsia="Times New Roman"/>
          <w:vanish/>
          <w:sz w:val="20"/>
          <w:szCs w:val="20"/>
        </w:rPr>
        <w:t>2-31 0000879101kim:ShoppingCenterMemberkim:NorthAvePlazaMember2020-12-31 0000879101kim:ShoppingCenterMemberkim:NorthAvePlazaMember2020-01-012020-12-31 0000879101kim:ShoppingCenterMemberkim:WashingtonStSCMember2020-12-31 0000879101kim:ShoppingCenterMemberki</w:t>
      </w:r>
      <w:r>
        <w:rPr>
          <w:rFonts w:eastAsia="Times New Roman"/>
          <w:vanish/>
          <w:sz w:val="20"/>
          <w:szCs w:val="20"/>
        </w:rPr>
        <w:t>m:WashingtonStSCMember2020-01-012020-12-31 0000879101kim:ShoppingCenterMemberkim:MillStPlazaMember2020-12-31 0000879101kim:ShoppingCenterMemberkim:MillStPlazaMember2020-01-012020-12-31 0000879101kim:ShoppingCenterMemberkim:FullertonPlazaMember2020-12-31 00</w:t>
      </w:r>
      <w:r>
        <w:rPr>
          <w:rFonts w:eastAsia="Times New Roman"/>
          <w:vanish/>
          <w:sz w:val="20"/>
          <w:szCs w:val="20"/>
        </w:rPr>
        <w:t>00879101kim:ShoppingCenterMemberkim:FullertonPlazaMember2020-01-012020-12-31 0000879101kim:ShoppingCenterMemberkim:GreenbrierSCMember2020-12-31 0000879101kim:ShoppingCenterMemberkim:GreenbrierSCMember2020-01-012020-12-31 0000879101kim:ShoppingCenterMemberk</w:t>
      </w:r>
      <w:r>
        <w:rPr>
          <w:rFonts w:eastAsia="Times New Roman"/>
          <w:vanish/>
          <w:sz w:val="20"/>
          <w:szCs w:val="20"/>
        </w:rPr>
        <w:t>im:InglesideSCMember2020-12-31 0000879101kim:ShoppingCenterMemberkim:InglesideSCMember2020-01-012020-12-31 0000879101kim:ShoppingCenterMemberkim:WilkensBeltwayPlazaMember2020-12-31 0000879101kim:ShoppingCenterMemberkim:WilkensBeltwayPlazaMember2020-01-0120</w:t>
      </w:r>
      <w:r>
        <w:rPr>
          <w:rFonts w:eastAsia="Times New Roman"/>
          <w:vanish/>
          <w:sz w:val="20"/>
          <w:szCs w:val="20"/>
        </w:rPr>
        <w:t>20-12-31 0000879101kim:ShoppingCenterMemberkim:YorkRoadPlazaMember2020-12-31 0000879101kim:ShoppingCenterMemberkim:YorkRoadPlazaMember2020-01-012020-12-31 0000879101kim:ShoppingCenterMemberkim:PuttyHillPlazaMember2020-12-31 0000879101kim:ShoppingCenterMemb</w:t>
      </w:r>
      <w:r>
        <w:rPr>
          <w:rFonts w:eastAsia="Times New Roman"/>
          <w:vanish/>
          <w:sz w:val="20"/>
          <w:szCs w:val="20"/>
        </w:rPr>
        <w:t>erkim:PuttyHillPlazaMember2020-01-012020-12-31 0000879101kim:ShoppingCenterMemberkim:SnowdenSquareSCMember2020-12-31 0000879101kim:ShoppingCenterMemberkim:SnowdenSquareSCMember2020-01-012020-12-31 0000879101kim:ShoppingCenterMemberkim:ColumbiaCrossingMembe</w:t>
      </w:r>
      <w:r>
        <w:rPr>
          <w:rFonts w:eastAsia="Times New Roman"/>
          <w:vanish/>
          <w:sz w:val="20"/>
          <w:szCs w:val="20"/>
        </w:rPr>
        <w:t>r2020-12-31 0000879101kim:ShoppingCenterMemberkim:ColumbiaCrossingMember2020-01-012020-12-31 0000879101kim:ShoppingCenterMemberkim:DorseysSearchVillageCenterMember2020-12-31 0000879101kim:ShoppingCenterMemberkim:DorseysSearchVillageCenterMember2020-01-0120</w:t>
      </w:r>
      <w:r>
        <w:rPr>
          <w:rFonts w:eastAsia="Times New Roman"/>
          <w:vanish/>
          <w:sz w:val="20"/>
          <w:szCs w:val="20"/>
        </w:rPr>
        <w:t>20-12-31 0000879101kim:ShoppingCenterMemberkim:HickoryRidgeMember2020-12-31 0000879101kim:ShoppingCenterMemberkim:HickoryRidgeMember2020-01-012020-12-31 0000879101kim:ShoppingCenterMemberkim:HickoryRidgeSunocoMember2020-12-31 0000879101kim:ShoppingCenterMe</w:t>
      </w:r>
      <w:r>
        <w:rPr>
          <w:rFonts w:eastAsia="Times New Roman"/>
          <w:vanish/>
          <w:sz w:val="20"/>
          <w:szCs w:val="20"/>
        </w:rPr>
        <w:t>mberkim:HickoryRidgeSunocoMember2020-01-012020-12-31 0000879101kim:ShoppingCenterMemberkim:KingsContrivanceMember2020-12-31 0000879101kim:ShoppingCenterMemberkim:KingsContrivanceMember2020-01-012020-12-31 0000879101kim:ShoppingCenterMemberkim:HarpersChoice</w:t>
      </w:r>
      <w:r>
        <w:rPr>
          <w:rFonts w:eastAsia="Times New Roman"/>
          <w:vanish/>
          <w:sz w:val="20"/>
          <w:szCs w:val="20"/>
        </w:rPr>
        <w:t>Member2020-12-31 0000879101kim:ShoppingCenterMemberkim:HarpersChoiceMember2020-01-012020-12-31 0000879101kim:ShoppingCenterMemberkim:WildeLakeMember2020-12-31 0000879101kim:ShoppingCenterMemberkim:WildeLakeMember2020-01-012020-12-31 0000879101kim:ShoppingC</w:t>
      </w:r>
      <w:r>
        <w:rPr>
          <w:rFonts w:eastAsia="Times New Roman"/>
          <w:vanish/>
          <w:sz w:val="20"/>
          <w:szCs w:val="20"/>
        </w:rPr>
        <w:t>enterMemberkim:RiverhillVillageCenterMember2020-12-31 0000879101kim:ShoppingCenterMemberkim:RiverhillVillageCenterMember2020-01-012020-12-31 0000879101kim:ShoppingCenterMemberkim:ColumbiaCrossingOutparcelsMember2020-12-31 0000879101kim:ShoppingCenterMember</w:t>
      </w:r>
      <w:r>
        <w:rPr>
          <w:rFonts w:eastAsia="Times New Roman"/>
          <w:vanish/>
          <w:sz w:val="20"/>
          <w:szCs w:val="20"/>
        </w:rPr>
        <w:t>kim:ColumbiaCrossingOutparcelsMember2020-01-012020-12-31 0000879101kim:ShoppingCenterMemberkim:ColumbiaCrossingIIShopCtrMember2020-12-31 0000879101kim:ShoppingCenterMemberkim:ColumbiaCrossingIIShopCtrMember2020-01-012020-12-31 0000879101kim:ShoppingCenterM</w:t>
      </w:r>
      <w:r>
        <w:rPr>
          <w:rFonts w:eastAsia="Times New Roman"/>
          <w:vanish/>
          <w:sz w:val="20"/>
          <w:szCs w:val="20"/>
        </w:rPr>
        <w:t>emberkim:ShopsAtDistrictHeightsMember2020-12-31 0000879101kim:ShoppingCenterMemberkim:ShopsAtDistrictHeightsMember2020-01-012020-12-31 0000879101kim:ShoppingCenterMemberkim:EnchantedForestSCMember2020-12-31 0000879101kim:ShoppingCenterMemberkim:EnchantedFo</w:t>
      </w:r>
      <w:r>
        <w:rPr>
          <w:rFonts w:eastAsia="Times New Roman"/>
          <w:vanish/>
          <w:sz w:val="20"/>
          <w:szCs w:val="20"/>
        </w:rPr>
        <w:t>restSCMember2020-01-012020-12-31 0000879101kim:ShoppingCenterMemberkim:ShoppesAtEastonMember2020-12-31 0000879101kim:ShoppingCenterMemberkim:ShoppesAtEastonMember2020-01-012020-12-31 0000879101kim:ShoppingCenterMemberkim:VillagesAtUrbanaMember2020-12-31 00</w:t>
      </w:r>
      <w:r>
        <w:rPr>
          <w:rFonts w:eastAsia="Times New Roman"/>
          <w:vanish/>
          <w:sz w:val="20"/>
          <w:szCs w:val="20"/>
        </w:rPr>
        <w:t>00879101kim:ShoppingCenterMemberkim:VillagesAtUrbanaMember2020-01-012020-12-31 0000879101kim:ShoppingCenterMemberkim:GaithersburgSCMember2020-12-31 0000879101kim:ShoppingCenterMemberkim:GaithersburgSCMember2020-01-012020-12-31 0000879101kim:ShoppingCenterM</w:t>
      </w:r>
      <w:r>
        <w:rPr>
          <w:rFonts w:eastAsia="Times New Roman"/>
          <w:vanish/>
          <w:sz w:val="20"/>
          <w:szCs w:val="20"/>
        </w:rPr>
        <w:t>emberkim:KentlandsMarketSquareMember2020-12-31 0000879101kim:ShoppingCenterMemberkim:KentlandsMarketSquareMember2020-01-012020-12-31 0000879101kim:ShoppingCenterMemberkim:ShawanPlazaMember2020-12-31 0000879101kim:ShoppingCenterMemberkim:ShawanPlazaMember20</w:t>
      </w:r>
      <w:r>
        <w:rPr>
          <w:rFonts w:eastAsia="Times New Roman"/>
          <w:vanish/>
          <w:sz w:val="20"/>
          <w:szCs w:val="20"/>
        </w:rPr>
        <w:t>20-01-012020-12-31 0000879101kim:ShoppingCenterMemberkim:LaurelPlazaMember2020-12-31 0000879101kim:ShoppingCenterMemberkim:LaurelPlazaMember2020-01-012020-12-31 0000879101kim:ShoppingCenterMemberkim:LaurelPlaza2Member2020-12-31 0000879101kim:ShoppingCenter</w:t>
      </w:r>
      <w:r>
        <w:rPr>
          <w:rFonts w:eastAsia="Times New Roman"/>
          <w:vanish/>
          <w:sz w:val="20"/>
          <w:szCs w:val="20"/>
        </w:rPr>
        <w:t>Memberkim:LaurelPlaza2Member2020-01-012020-12-31 0000879101kim:ShoppingCenterMemberkim:MillStationTheaterRestaurantsMember2020-12-31 0000879101kim:ShoppingCenterMemberkim:MillStationTheaterRestaurantsMember2020-01-012020-12-31 0000879101kim:ShoppingCenterM</w:t>
      </w:r>
      <w:r>
        <w:rPr>
          <w:rFonts w:eastAsia="Times New Roman"/>
          <w:vanish/>
          <w:sz w:val="20"/>
          <w:szCs w:val="20"/>
        </w:rPr>
        <w:t>emberkim:MillStationMember2020-12-31 0000879101kim:ShoppingCenterMemberkim:MillStationMember2020-01-012020-12-31 0000879101kim:ShoppingCenterMemberkim:CentreCourtRetailBankMember2020-12-31 0000879101kim:ShoppingCenterMemberkim:CentreCourtRetailBankMember20</w:t>
      </w:r>
      <w:r>
        <w:rPr>
          <w:rFonts w:eastAsia="Times New Roman"/>
          <w:vanish/>
          <w:sz w:val="20"/>
          <w:szCs w:val="20"/>
        </w:rPr>
        <w:t>20-01-012020-12-31 0000879101kim:ShoppingCenterMemberkim:CentreCourtGiantMember2020-12-31 0000879101kim:ShoppingCenterMemberkim:CentreCourtGiantMember2020-01-012020-12-31 0000879101kim:ShoppingCenterMemberkim:CentreCourtOldCourtCourtyardMember2020-12-31 00</w:t>
      </w:r>
      <w:r>
        <w:rPr>
          <w:rFonts w:eastAsia="Times New Roman"/>
          <w:vanish/>
          <w:sz w:val="20"/>
          <w:szCs w:val="20"/>
        </w:rPr>
        <w:t>00879101kim:ShoppingCenterMemberkim:CentreCourtOldCourtCourtyardMember2020-01-012020-12-31 0000879101kim:ShoppingCenterMemberkim:RadcliffeCenterMember2020-12-31 0000879101kim:ShoppingCenterMemberkim:RadcliffeCenterMember2020-01-012020-12-31 0000879101kim:S</w:t>
      </w:r>
      <w:r>
        <w:rPr>
          <w:rFonts w:eastAsia="Times New Roman"/>
          <w:vanish/>
          <w:sz w:val="20"/>
          <w:szCs w:val="20"/>
        </w:rPr>
        <w:t>hoppingCenterMemberkim:TimoniumCrossingMember2020-12-31 0000879101kim:ShoppingCenterMemberkim:TimoniumCrossingMember2020-01-012020-12-31 0000879101kim:ShoppingCenterMemberkim:TimoniumSquareMember2020-12-31 0000879101kim:ShoppingCenterMemberkim:TimoniumSqua</w:t>
      </w:r>
      <w:r>
        <w:rPr>
          <w:rFonts w:eastAsia="Times New Roman"/>
          <w:vanish/>
          <w:sz w:val="20"/>
          <w:szCs w:val="20"/>
        </w:rPr>
        <w:t>reMember2020-01-012020-12-31 0000879101kim:ShoppingCenterMemberkim:TowsonPlaceMember2020-12-31 0000879101kim:ShoppingCenterMemberkim:TowsonPlaceMember2020-01-012020-12-31 0000879101kim:ShoppingCenterMemberkim:CenturyPlazaMember2020-12-31 0000879101kim:Shop</w:t>
      </w:r>
      <w:r>
        <w:rPr>
          <w:rFonts w:eastAsia="Times New Roman"/>
          <w:vanish/>
          <w:sz w:val="20"/>
          <w:szCs w:val="20"/>
        </w:rPr>
        <w:t>pingCenterMemberkim:CenturyPlazaMember2020-01-012020-12-31 0000879101kim:ShoppingCenterMemberkim:TheFountainsAtArborLakesMember2020-12-31 0000879101kim:ShoppingCenterMemberkim:TheFountainsAtArborLakesMember2020-01-012020-12-31 0000879101kim:ShoppingCenterM</w:t>
      </w:r>
      <w:r>
        <w:rPr>
          <w:rFonts w:eastAsia="Times New Roman"/>
          <w:vanish/>
          <w:sz w:val="20"/>
          <w:szCs w:val="20"/>
        </w:rPr>
        <w:t>emberkim:CenterPointSCMember2020-12-31 0000879101kim:ShoppingCenterMemberkim:CenterPointSCMember2020-01-012020-12-31 0000879101kim:ShoppingCenterMemberkim:WoodlawnMarketplaceMember2020-12-31 0000879101kim:ShoppingCenterMemberkim:WoodlawnMarketplaceMember20</w:t>
      </w:r>
      <w:r>
        <w:rPr>
          <w:rFonts w:eastAsia="Times New Roman"/>
          <w:vanish/>
          <w:sz w:val="20"/>
          <w:szCs w:val="20"/>
        </w:rPr>
        <w:t>20-01-012020-12-31 0000879101kim:ShoppingCenterMemberkim:TyvolaMallMember2020-12-31 0000879101kim:ShoppingCenterMemberkim:TyvolaMallMember2020-01-012020-12-31 0000879101kim:ShoppingCenterMemberkim:CrossroadsPlazaMember2020-12-31 0000879101kim:ShoppingCente</w:t>
      </w:r>
      <w:r>
        <w:rPr>
          <w:rFonts w:eastAsia="Times New Roman"/>
          <w:vanish/>
          <w:sz w:val="20"/>
          <w:szCs w:val="20"/>
        </w:rPr>
        <w:t>rMemberkim:CrossroadsPlazaMember2020-01-012020-12-31 0000879101kim:ShoppingCenterMemberkim:JettonVillageShoppesMember2020-12-31 0000879101kim:ShoppingCenterMemberkim:JettonVillageShoppesMember2020-01-012020-12-31 0000879101kim:ShoppingCenterMemberkim:Woodl</w:t>
      </w:r>
      <w:r>
        <w:rPr>
          <w:rFonts w:eastAsia="Times New Roman"/>
          <w:vanish/>
          <w:sz w:val="20"/>
          <w:szCs w:val="20"/>
        </w:rPr>
        <w:t>awnShoppingCenterMember2020-12-31 0000879101kim:ShoppingCenterMemberkim:WoodlawnShoppingCenterMember2020-01-012020-12-31 0000879101kim:ShoppingCenterMemberkim:CrossroadsPlaza2Member2020-12-31 0000879101kim:ShoppingCenterMemberkim:CrossroadsPlaza2Member2020</w:t>
      </w:r>
      <w:r>
        <w:rPr>
          <w:rFonts w:eastAsia="Times New Roman"/>
          <w:vanish/>
          <w:sz w:val="20"/>
          <w:szCs w:val="20"/>
        </w:rPr>
        <w:t>-01-012020-12-31 0000879101kim:ShoppingCenterMemberkim:QuailCornersMember2020-12-31 0000879101kim:ShoppingCenterMemberkim:QuailCornersMember2020-01-012020-12-31 0000879101kim:ShoppingCenterMemberkim:DavidsonCommonsMember2020-12-31 0000879101kim:ShoppingCen</w:t>
      </w:r>
      <w:r>
        <w:rPr>
          <w:rFonts w:eastAsia="Times New Roman"/>
          <w:vanish/>
          <w:sz w:val="20"/>
          <w:szCs w:val="20"/>
        </w:rPr>
        <w:t>terMemberkim:DavidsonCommonsMember2020-01-012020-12-31 0000879101kim:ShoppingCenterMemberkim:ParkPlaceSCMember2020-12-31 0000879101kim:ShoppingCenterMemberkim:ParkPlaceSCMember2020-01-012020-12-31 0000879101kim:ShoppingCenterMemberkim:MooresvilleCrossingMe</w:t>
      </w:r>
      <w:r>
        <w:rPr>
          <w:rFonts w:eastAsia="Times New Roman"/>
          <w:vanish/>
          <w:sz w:val="20"/>
          <w:szCs w:val="20"/>
        </w:rPr>
        <w:t>mber2020-12-31 0000879101kim:ShoppingCenterMemberkim:MooresvilleCrossingMember2020-01-012020-12-31 0000879101kim:ShoppingCenterMemberkim:PleasantValleyPromenadeMember2020-12-31 0000879101kim:ShoppingCenterMemberkim:PleasantValleyPromenadeMember2020-01-0120</w:t>
      </w:r>
      <w:r>
        <w:rPr>
          <w:rFonts w:eastAsia="Times New Roman"/>
          <w:vanish/>
          <w:sz w:val="20"/>
          <w:szCs w:val="20"/>
        </w:rPr>
        <w:t>20-12-31 0000879101kim:ShoppingCenterMemberkim:BrennanStationMember2020-12-31 0000879101kim:ShoppingCenterMemberkim:BrennanStationMember2020-01-012020-12-31 0000879101kim:ShoppingCenterMemberkim:BrennanStationOutparcelMember2020-12-31 0000879101kim:Shoppin</w:t>
      </w:r>
      <w:r>
        <w:rPr>
          <w:rFonts w:eastAsia="Times New Roman"/>
          <w:vanish/>
          <w:sz w:val="20"/>
          <w:szCs w:val="20"/>
        </w:rPr>
        <w:t>gCenterMemberkim:BrennanStationOutparcelMember2020-01-012020-12-31 0000879101kim:ShoppingCenterMemberkim:CloverdalePlazaMember2020-12-31 0000879101kim:ShoppingCenterMemberkim:CloverdalePlazaMember2020-01-012020-12-31 0000879101kim:ShoppingCenterMemberkim:W</w:t>
      </w:r>
      <w:r>
        <w:rPr>
          <w:rFonts w:eastAsia="Times New Roman"/>
          <w:vanish/>
          <w:sz w:val="20"/>
          <w:szCs w:val="20"/>
        </w:rPr>
        <w:t>ebsterSquareMember2020-12-31 0000879101kim:ShoppingCenterMemberkim:WebsterSquareMember2020-01-012020-12-31 0000879101kim:ShoppingCenterMemberkim:WebsterSquareDSWMember2020-12-31 0000879101kim:ShoppingCenterMemberkim:WebsterSquareDSWMember2020-01-012020-12-</w:t>
      </w:r>
      <w:r>
        <w:rPr>
          <w:rFonts w:eastAsia="Times New Roman"/>
          <w:vanish/>
          <w:sz w:val="20"/>
          <w:szCs w:val="20"/>
        </w:rPr>
        <w:t>31 0000879101kim:ShoppingCenterMemberkim:WebsterSquareNorthMember2020-12-31 0000879101kim:ShoppingCenterMemberkim:WebsterSquareNorthMember2020-01-012020-12-31 0000879101kim:ShoppingCenterMemberkim:RockinghamPlazaMember2020-12-31 0000879101kim:ShoppingCente</w:t>
      </w:r>
      <w:r>
        <w:rPr>
          <w:rFonts w:eastAsia="Times New Roman"/>
          <w:vanish/>
          <w:sz w:val="20"/>
          <w:szCs w:val="20"/>
        </w:rPr>
        <w:t>rMemberkim:RockinghamPlazaMember2020-01-012020-12-31 0000879101kim:ShoppingCenterMemberkim:ShopRitePlazaMember2020-12-31 0000879101kim:ShoppingCenterMemberkim:ShopRitePlazaMember2020-01-012020-12-31 0000879101kim:ShoppingCenterMemberkim:MarltonPlazaMember2</w:t>
      </w:r>
      <w:r>
        <w:rPr>
          <w:rFonts w:eastAsia="Times New Roman"/>
          <w:vanish/>
          <w:sz w:val="20"/>
          <w:szCs w:val="20"/>
        </w:rPr>
        <w:t>020-12-31 0000879101kim:ShoppingCenterMemberkim:MarltonPlazaMember2020-01-012020-12-31 0000879101kim:ShoppingCenterMemberkim:HillviewShoppingCenterMember2020-12-31 0000879101kim:ShoppingCenterMemberkim:HillviewShoppingCenterMember2020-01-012020-12-31 00008</w:t>
      </w:r>
      <w:r>
        <w:rPr>
          <w:rFonts w:eastAsia="Times New Roman"/>
          <w:vanish/>
          <w:sz w:val="20"/>
          <w:szCs w:val="20"/>
        </w:rPr>
        <w:t>79101kim:ShoppingCenterMemberkim:GardenStatePavilionsMember2020-12-31 0000879101kim:ShoppingCenterMemberkim:GardenStatePavilionsMember2020-01-012020-12-31 0000879101kim:ShoppingCenterMemberkim:ClarkShoprite70CentralAveMember2020-12-31 0000879101kim:Shoppin</w:t>
      </w:r>
      <w:r>
        <w:rPr>
          <w:rFonts w:eastAsia="Times New Roman"/>
          <w:vanish/>
          <w:sz w:val="20"/>
          <w:szCs w:val="20"/>
        </w:rPr>
        <w:t>gCenterMemberkim:ClarkShoprite70CentralAveMember2020-01-012020-12-31 0000879101kim:ShoppingCenterMemberkim:CommerceCenterWestMember2020-12-31 0000879101kim:ShoppingCenterMemberkim:CommerceCenterWestMember2020-01-012020-12-31 0000879101kim:ShoppingCenterMem</w:t>
      </w:r>
      <w:r>
        <w:rPr>
          <w:rFonts w:eastAsia="Times New Roman"/>
          <w:vanish/>
          <w:sz w:val="20"/>
          <w:szCs w:val="20"/>
        </w:rPr>
        <w:t>berkim:CommerceCenterEastMember2020-12-31 0000879101kim:ShoppingCenterMemberkim:CommerceCenterEastMember2020-01-012020-12-31 0000879101kim:ShoppingCenterMemberkim:CentralPlazaMember2020-12-31 0000879101kim:ShoppingCenterMemberkim:CentralPlazaMember2020-01-</w:t>
      </w:r>
      <w:r>
        <w:rPr>
          <w:rFonts w:eastAsia="Times New Roman"/>
          <w:vanish/>
          <w:sz w:val="20"/>
          <w:szCs w:val="20"/>
        </w:rPr>
        <w:t>012020-12-31 0000879101kim:ShoppingCenterMemberkim:EastWindsorVillageMember2020-12-31 0000879101kim:ShoppingCenterMemberkim:EastWindsorVillageMember2020-01-012020-12-31 0000879101kim:ShoppingCenterMemberkim:HolmdelTowneCenterMember2020-12-31 0000879101kim:</w:t>
      </w:r>
      <w:r>
        <w:rPr>
          <w:rFonts w:eastAsia="Times New Roman"/>
          <w:vanish/>
          <w:sz w:val="20"/>
          <w:szCs w:val="20"/>
        </w:rPr>
        <w:t>ShoppingCenterMemberkim:HolmdelTowneCenterMember2020-01-012020-12-31 0000879101kim:ShoppingCenterMemberkim:CommonsAtHolmdelMember2020-12-31 0000879101kim:ShoppingCenterMemberkim:CommonsAtHolmdelMember2020-01-012020-12-31 0000879101kim:ShoppingCenterMemberk</w:t>
      </w:r>
      <w:r>
        <w:rPr>
          <w:rFonts w:eastAsia="Times New Roman"/>
          <w:vanish/>
          <w:sz w:val="20"/>
          <w:szCs w:val="20"/>
        </w:rPr>
        <w:t>im:PlazaAtHillsdaleMember2020-12-31 0000879101kim:ShoppingCenterMemberkim:PlazaAtHillsdaleMember2020-01-012020-12-31 0000879101kim:ShoppingCenterMemberkim:MapleShadeMember2020-12-31 0000879101kim:ShoppingCenterMemberkim:MapleShadeMember2020-01-012020-12-31</w:t>
      </w:r>
      <w:r>
        <w:rPr>
          <w:rFonts w:eastAsia="Times New Roman"/>
          <w:vanish/>
          <w:sz w:val="20"/>
          <w:szCs w:val="20"/>
        </w:rPr>
        <w:t xml:space="preserve"> 0000879101kim:ShoppingCenterMemberkim:PlazaAtShortHillsMember2020-12-31 0000879101kim:ShoppingCenterMemberkim:PlazaAtShortHillsMember2020-01-012020-12-31 0000879101kim:ShoppingCenterMemberkim:NorthBrunswickPlazaMember2020-12-31 0000879101kim:ShoppingCente</w:t>
      </w:r>
      <w:r>
        <w:rPr>
          <w:rFonts w:eastAsia="Times New Roman"/>
          <w:vanish/>
          <w:sz w:val="20"/>
          <w:szCs w:val="20"/>
        </w:rPr>
        <w:t>rMemberkim:NorthBrunswickPlazaMember2020-01-012020-12-31 0000879101kim:ShoppingCenterMemberkim:PiscatawayTownCenterMember2020-12-31 0000879101kim:ShoppingCenterMemberkim:PiscatawayTownCenterMember2020-01-012020-12-31 0000879101kim:ShoppingCenterMemberkim:R</w:t>
      </w:r>
      <w:r>
        <w:rPr>
          <w:rFonts w:eastAsia="Times New Roman"/>
          <w:vanish/>
          <w:sz w:val="20"/>
          <w:szCs w:val="20"/>
        </w:rPr>
        <w:t>idgewoodSCMember2020-12-31 0000879101kim:ShoppingCenterMemberkim:RidgewoodSCMember2020-01-012020-12-31 0000879101kim:ShoppingCenterMemberkim:UnionCrescentIIIMember2020-12-31 0000879101kim:ShoppingCenterMemberkim:UnionCrescentIIIMember2020-01-012020-12-31 0</w:t>
      </w:r>
      <w:r>
        <w:rPr>
          <w:rFonts w:eastAsia="Times New Roman"/>
          <w:vanish/>
          <w:sz w:val="20"/>
          <w:szCs w:val="20"/>
        </w:rPr>
        <w:t>000879101kim:ShoppingCenterMemberkim:WestmontPlazaMember2020-12-31 0000879101kim:ShoppingCenterMemberkim:WestmontPlazaMember2020-01-012020-12-31 0000879101kim:ShoppingCenterMemberkim:WillowbrookPlazaMember2020-12-31 0000879101kim:ShoppingCenterMemberkim:Wi</w:t>
      </w:r>
      <w:r>
        <w:rPr>
          <w:rFonts w:eastAsia="Times New Roman"/>
          <w:vanish/>
          <w:sz w:val="20"/>
          <w:szCs w:val="20"/>
        </w:rPr>
        <w:t>llowbrookPlazaMember2020-01-012020-12-31 0000879101kim:ShoppingCenterMemberkim:DelMontePlazaMember2020-12-31 0000879101kim:ShoppingCenterMemberkim:DelMontePlazaMember2020-01-012020-12-31 0000879101kim:ShoppingCenterMemberkim:DelMontePlazaAnchorParcelMember</w:t>
      </w:r>
      <w:r>
        <w:rPr>
          <w:rFonts w:eastAsia="Times New Roman"/>
          <w:vanish/>
          <w:sz w:val="20"/>
          <w:szCs w:val="20"/>
        </w:rPr>
        <w:t>2020-12-31 0000879101kim:ShoppingCenterMemberkim:DelMontePlazaAnchorParcelMember2020-01-012020-12-31 0000879101kim:ShoppingCenterMemberkim:RedfieldPromenadeMember2020-12-31 0000879101kim:ShoppingCenterMemberkim:RedfieldPromenadeMember2020-01-012020-12-31 0</w:t>
      </w:r>
      <w:r>
        <w:rPr>
          <w:rFonts w:eastAsia="Times New Roman"/>
          <w:vanish/>
          <w:sz w:val="20"/>
          <w:szCs w:val="20"/>
        </w:rPr>
        <w:t>000879101kim:ShoppingCenterMemberkim:McQueenCrossingsMember2020-12-31 0000879101kim:ShoppingCenterMemberkim:McQueenCrossingsMember2020-01-012020-12-31 0000879101kim:ShoppingCenterMemberkim:GalenaJunctionMember2020-12-31 0000879101kim:ShoppingCenterMemberki</w:t>
      </w:r>
      <w:r>
        <w:rPr>
          <w:rFonts w:eastAsia="Times New Roman"/>
          <w:vanish/>
          <w:sz w:val="20"/>
          <w:szCs w:val="20"/>
        </w:rPr>
        <w:t>m:GalenaJunctionMember2020-01-012020-12-31 0000879101kim:ShoppingCenterMemberkim:DAndreaMarketplaceMember2020-12-31 0000879101kim:ShoppingCenterMemberkim:DAndreaMarketplaceMember2020-01-012020-12-31 0000879101kim:ShoppingCenterMemberkim:SparksMercantileMem</w:t>
      </w:r>
      <w:r>
        <w:rPr>
          <w:rFonts w:eastAsia="Times New Roman"/>
          <w:vanish/>
          <w:sz w:val="20"/>
          <w:szCs w:val="20"/>
        </w:rPr>
        <w:t>ber2020-12-31 0000879101kim:ShoppingCenterMemberkim:SparksMercantileMember2020-01-012020-12-31 0000879101kim:ShoppingCenterMemberkim:BridgehamptonCommonsWESideMember2020-12-31 0000879101kim:ShoppingCenterMemberkim:BridgehamptonCommonsWESideMember2020-01-01</w:t>
      </w:r>
      <w:r>
        <w:rPr>
          <w:rFonts w:eastAsia="Times New Roman"/>
          <w:vanish/>
          <w:sz w:val="20"/>
          <w:szCs w:val="20"/>
        </w:rPr>
        <w:t>2020-12-31 0000879101kim:ShoppingCenterMemberkim:OceanPlazaMember2020-12-31 0000879101kim:ShoppingCenterMemberkim:OceanPlazaMember2020-01-012020-12-31 0000879101kim:ShoppingCenterMemberkim:KingsHighwayMember2020-12-31 0000879101kim:ShoppingCenterMemberkim:</w:t>
      </w:r>
      <w:r>
        <w:rPr>
          <w:rFonts w:eastAsia="Times New Roman"/>
          <w:vanish/>
          <w:sz w:val="20"/>
          <w:szCs w:val="20"/>
        </w:rPr>
        <w:t xml:space="preserve">KingsHighwayMember2020-01-012020-12-31 0000879101kim:ShoppingCenterMemberkim:RalphAvenuePlazaMember2020-12-31 0000879101kim:ShoppingCenterMemberkim:RalphAvenuePlazaMember2020-01-012020-12-31 0000879101kim:ShoppingCenterMemberkim:BellmoreSCMember2020-12-31 </w:t>
      </w:r>
      <w:r>
        <w:rPr>
          <w:rFonts w:eastAsia="Times New Roman"/>
          <w:vanish/>
          <w:sz w:val="20"/>
          <w:szCs w:val="20"/>
        </w:rPr>
        <w:t>0000879101kim:ShoppingCenterMemberkim:BellmoreSCMember2020-01-012020-12-31 0000879101kim:ShoppingCenterMemberkim:MarketAtBayShoreMember2020-12-31 0000879101kim:ShoppingCenterMemberkim:MarketAtBayShoreMember2020-01-012020-12-31 0000879101kim:ShoppingCenterM</w:t>
      </w:r>
      <w:r>
        <w:rPr>
          <w:rFonts w:eastAsia="Times New Roman"/>
          <w:vanish/>
          <w:sz w:val="20"/>
          <w:szCs w:val="20"/>
        </w:rPr>
        <w:t>emberkim:KeyFoodAtlanticAveMember2020-12-31 0000879101kim:ShoppingCenterMemberkim:KeyFoodAtlanticAveMember2020-01-012020-12-31 0000879101kim:ShoppingCenterMemberkim:VeteransMemorialPlazaMember2020-12-31 0000879101kim:ShoppingCenterMemberkim:VeteransMemoria</w:t>
      </w:r>
      <w:r>
        <w:rPr>
          <w:rFonts w:eastAsia="Times New Roman"/>
          <w:vanish/>
          <w:sz w:val="20"/>
          <w:szCs w:val="20"/>
        </w:rPr>
        <w:t>lPlazaMember2020-01-012020-12-31 0000879101kim:ShoppingCenterMemberkim:BirchwoodPlazaCommackMember2020-12-31 0000879101kim:ShoppingCenterMemberkim:BirchwoodPlazaCommackMember2020-01-012020-12-31 0000879101kim:ShoppingCenterMemberkim:ElmontSCMember2020-12-3</w:t>
      </w:r>
      <w:r>
        <w:rPr>
          <w:rFonts w:eastAsia="Times New Roman"/>
          <w:vanish/>
          <w:sz w:val="20"/>
          <w:szCs w:val="20"/>
        </w:rPr>
        <w:t>1 0000879101kim:ShoppingCenterMemberkim:ElmontSCMember2020-01-012020-12-31 0000879101kim:ShoppingCenterMemberkim:ElmsfordCenter1Member2020-12-31 0000879101kim:ShoppingCenterMemberkim:ElmsfordCenter1Member2020-01-012020-12-31 0000879101kim:ShoppingCenterMem</w:t>
      </w:r>
      <w:r>
        <w:rPr>
          <w:rFonts w:eastAsia="Times New Roman"/>
          <w:vanish/>
          <w:sz w:val="20"/>
          <w:szCs w:val="20"/>
        </w:rPr>
        <w:t>berkim:ElmsfordCenter2Member2020-12-31 0000879101kim:ShoppingCenterMemberkim:ElmsfordCenter2Member2020-01-012020-12-31 0000879101kim:ShoppingCenterMemberkim:FranklinSquareSCMember2020-12-31 0000879101kim:ShoppingCenterMemberkim:FranklinSquareSCMember2020-0</w:t>
      </w:r>
      <w:r>
        <w:rPr>
          <w:rFonts w:eastAsia="Times New Roman"/>
          <w:vanish/>
          <w:sz w:val="20"/>
          <w:szCs w:val="20"/>
        </w:rPr>
        <w:t>1-012020-12-31 0000879101kim:ShoppingCenterMemberkim:AirportPlazaMember2020-12-31 0000879101kim:ShoppingCenterMemberkim:AirportPlazaMember2020-01-012020-12-31 0000879101kim:ShoppingCenterMemberkim:KissenaBoulevardShoppingCtrMember2020-12-31 0000879101kim:S</w:t>
      </w:r>
      <w:r>
        <w:rPr>
          <w:rFonts w:eastAsia="Times New Roman"/>
          <w:vanish/>
          <w:sz w:val="20"/>
          <w:szCs w:val="20"/>
        </w:rPr>
        <w:t>hoppingCenterMemberkim:KissenaBoulevardShoppingCtrMember2020-01-012020-12-31 0000879101kim:ShoppingCenterMemberkim:HamptonBaysPlazaMember2020-12-31 0000879101kim:ShoppingCenterMemberkim:HamptonBaysPlazaMember2020-01-012020-12-31 0000879101kim:ShoppingCente</w:t>
      </w:r>
      <w:r>
        <w:rPr>
          <w:rFonts w:eastAsia="Times New Roman"/>
          <w:vanish/>
          <w:sz w:val="20"/>
          <w:szCs w:val="20"/>
        </w:rPr>
        <w:t>rMemberkim:HicksvillePlazaMember2020-12-31 0000879101kim:ShoppingCenterMemberkim:HicksvillePlazaMember2020-01-012020-12-31 0000879101kim:ShoppingCenterMemberkim:TurnpikePlazaMember2020-12-31 0000879101kim:ShoppingCenterMemberkim:TurnpikePlazaMember2020-01-</w:t>
      </w:r>
      <w:r>
        <w:rPr>
          <w:rFonts w:eastAsia="Times New Roman"/>
          <w:vanish/>
          <w:sz w:val="20"/>
          <w:szCs w:val="20"/>
        </w:rPr>
        <w:t>012020-12-31 0000879101kim:ShoppingCenterMemberkim:JerichoCommonsSouthMember2020-12-31 0000879101kim:ShoppingCenterMemberkim:JerichoCommonsSouthMember2020-01-012020-12-31 0000879101kim:ShoppingCenterMemberkim:NorthBroadway501Member2020-12-31 0000879101kim:</w:t>
      </w:r>
      <w:r>
        <w:rPr>
          <w:rFonts w:eastAsia="Times New Roman"/>
          <w:vanish/>
          <w:sz w:val="20"/>
          <w:szCs w:val="20"/>
        </w:rPr>
        <w:t>ShoppingCenterMemberkim:NorthBroadway501Member2020-01-012020-12-31 0000879101kim:ShoppingCenterMemberkim:MilleridgeInnMember2020-12-31 0000879101kim:ShoppingCenterMemberkim:MilleridgeInnMember2020-01-012020-12-31 0000879101kim:ShoppingCenterMemberkim:Famil</w:t>
      </w:r>
      <w:r>
        <w:rPr>
          <w:rFonts w:eastAsia="Times New Roman"/>
          <w:vanish/>
          <w:sz w:val="20"/>
          <w:szCs w:val="20"/>
        </w:rPr>
        <w:t>yDollarUnionTurnpikeMember2020-12-31 0000879101kim:ShoppingCenterMemberkim:FamilyDollarUnionTurnpikeMember2020-01-012020-12-31 0000879101kim:ShoppingCenterMemberkim:LittleNeckPlazaMember2020-12-31 0000879101kim:ShoppingCenterMemberkim:LittleNeckPlazaMember</w:t>
      </w:r>
      <w:r>
        <w:rPr>
          <w:rFonts w:eastAsia="Times New Roman"/>
          <w:vanish/>
          <w:sz w:val="20"/>
          <w:szCs w:val="20"/>
        </w:rPr>
        <w:t>2020-01-012020-12-31 0000879101kim:ShoppingCenterMemberkim:KeyFood21stStreetMember2020-12-31 0000879101kim:ShoppingCenterMemberkim:KeyFood21stStreetMember2020-01-012020-12-31 0000879101kim:ShoppingCenterMemberkim:ManhassetCenterMember2020-12-31 0000879101k</w:t>
      </w:r>
      <w:r>
        <w:rPr>
          <w:rFonts w:eastAsia="Times New Roman"/>
          <w:vanish/>
          <w:sz w:val="20"/>
          <w:szCs w:val="20"/>
        </w:rPr>
        <w:t>im:ShoppingCenterMemberkim:ManhassetCenterMember2020-01-012020-12-31 0000879101kim:ShoppingCenterMemberkim:ManhassetCenterResidentialMember2020-12-31 0000879101kim:ShoppingCenterMemberkim:ManhassetCenterResidentialMember2020-01-012020-12-31 0000879101kim:S</w:t>
      </w:r>
      <w:r>
        <w:rPr>
          <w:rFonts w:eastAsia="Times New Roman"/>
          <w:vanish/>
          <w:sz w:val="20"/>
          <w:szCs w:val="20"/>
        </w:rPr>
        <w:t>hoppingCenterMemberkim:MaspethQueensduaneReadeMember2020-12-31 0000879101kim:ShoppingCenterMemberkim:MaspethQueensduaneReadeMember2020-01-012020-12-31 0000879101kim:ShoppingCenterMemberkim:NorthMassapequaSCMember2020-12-31 0000879101kim:ShoppingCenterMembe</w:t>
      </w:r>
      <w:r>
        <w:rPr>
          <w:rFonts w:eastAsia="Times New Roman"/>
          <w:vanish/>
          <w:sz w:val="20"/>
          <w:szCs w:val="20"/>
        </w:rPr>
        <w:t>rkim:NorthMassapequaSCMember2020-01-012020-12-31 0000879101kim:ShoppingCenterMemberkim:MineolaCrossingsMember2020-12-31 0000879101kim:ShoppingCenterMemberkim:MineolaCrossingsMember2020-01-012020-12-31 0000879101kim:ShoppingCenterMemberkim:SmithtownPlazaMem</w:t>
      </w:r>
      <w:r>
        <w:rPr>
          <w:rFonts w:eastAsia="Times New Roman"/>
          <w:vanish/>
          <w:sz w:val="20"/>
          <w:szCs w:val="20"/>
        </w:rPr>
        <w:t>ber2020-12-31 0000879101kim:ShoppingCenterMemberkim:SmithtownPlazaMember2020-01-012020-12-31 0000879101kim:ShoppingCenterMemberkim:ManettoHillPlazaMember2020-12-31 0000879101kim:ShoppingCenterMemberkim:ManettoHillPlazaMember2020-01-012020-12-31 0000879101k</w:t>
      </w:r>
      <w:r>
        <w:rPr>
          <w:rFonts w:eastAsia="Times New Roman"/>
          <w:vanish/>
          <w:sz w:val="20"/>
          <w:szCs w:val="20"/>
        </w:rPr>
        <w:t>im:ShoppingCenterMemberkim:SyossetSCMember2020-12-31 0000879101kim:ShoppingCenterMemberkim:SyossetSCMember2020-01-012020-12-31 0000879101kim:ShoppingCenterMemberkim:RichmondSCMember2020-12-31 0000879101kim:ShoppingCenterMemberkim:RichmondSCMember2020-01-01</w:t>
      </w:r>
      <w:r>
        <w:rPr>
          <w:rFonts w:eastAsia="Times New Roman"/>
          <w:vanish/>
          <w:sz w:val="20"/>
          <w:szCs w:val="20"/>
        </w:rPr>
        <w:t>2020-12-31 0000879101kim:ShoppingCenterMemberkim:GreenridgePlazaMember2020-12-31 0000879101kim:ShoppingCenterMemberkim:GreenridgePlazaMember2020-01-012020-12-31 0000879101kim:ShoppingCenterMemberkim:TheBoulevardMember2020-12-31 0000879101kim:ShoppingCenter</w:t>
      </w:r>
      <w:r>
        <w:rPr>
          <w:rFonts w:eastAsia="Times New Roman"/>
          <w:vanish/>
          <w:sz w:val="20"/>
          <w:szCs w:val="20"/>
        </w:rPr>
        <w:t>Memberkim:TheBoulevardMember2020-01-012020-12-31 0000879101kim:ShoppingCenterMemberkim:ForestAvenuePlazaMember2020-12-31 0000879101kim:ShoppingCenterMemberkim:ForestAvenuePlazaMember2020-01-012020-12-31 0000879101kim:ShoppingCenterMemberkim:IndependencePla</w:t>
      </w:r>
      <w:r>
        <w:rPr>
          <w:rFonts w:eastAsia="Times New Roman"/>
          <w:vanish/>
          <w:sz w:val="20"/>
          <w:szCs w:val="20"/>
        </w:rPr>
        <w:t>zaMember2020-12-31 0000879101kim:ShoppingCenterMemberkim:IndependencePlazaMember2020-01-012020-12-31 0000879101kim:ShoppingCenterMemberkim:KeyFoodCentralAveMember2020-12-31 0000879101kim:ShoppingCenterMemberkim:KeyFoodCentralAveMember2020-01-012020-12-31 0</w:t>
      </w:r>
      <w:r>
        <w:rPr>
          <w:rFonts w:eastAsia="Times New Roman"/>
          <w:vanish/>
          <w:sz w:val="20"/>
          <w:szCs w:val="20"/>
        </w:rPr>
        <w:t>000879101kim:ShoppingCenterMemberkim:WhitePlainsSCMember2020-12-31 0000879101kim:ShoppingCenterMemberkim:WhitePlainsSCMember2020-01-012020-12-31 0000879101kim:ShoppingCenterMemberkim:ChampionFoodSupermarketMember2020-12-31 0000879101kim:ShoppingCenterMembe</w:t>
      </w:r>
      <w:r>
        <w:rPr>
          <w:rFonts w:eastAsia="Times New Roman"/>
          <w:vanish/>
          <w:sz w:val="20"/>
          <w:szCs w:val="20"/>
        </w:rPr>
        <w:t>rkim:ChampionFoodSupermarketMember2020-01-012020-12-31 0000879101kim:ShoppingCenterMemberkim:ShopriteSCMember2020-12-31 0000879101kim:ShoppingCenterMemberkim:ShopriteSCMember2020-01-012020-12-31 0000879101kim:ShoppingCenterMemberkim:RomainePlazaMember2020-</w:t>
      </w:r>
      <w:r>
        <w:rPr>
          <w:rFonts w:eastAsia="Times New Roman"/>
          <w:vanish/>
          <w:sz w:val="20"/>
          <w:szCs w:val="20"/>
        </w:rPr>
        <w:t>12-31 0000879101kim:ShoppingCenterMemberkim:RomainePlazaMember2020-01-012020-12-31 0000879101kim:ShoppingCenterMemberkim:OregonTrailCenterMember2020-12-31 0000879101kim:ShoppingCenterMemberkim:OregonTrailCenterMember2020-01-012020-12-31 0000879101kim:Shopp</w:t>
      </w:r>
      <w:r>
        <w:rPr>
          <w:rFonts w:eastAsia="Times New Roman"/>
          <w:vanish/>
          <w:sz w:val="20"/>
          <w:szCs w:val="20"/>
        </w:rPr>
        <w:t>ingCenterMemberkim:JantzenBeachCenterMember2020-12-31 0000879101kim:ShoppingCenterMemberkim:JantzenBeachCenterMember2020-01-012020-12-31 0000879101kim:ShoppingCenterMemberkim:SuburbanSquareMember2020-12-31 0000879101kim:ShoppingCenterMemberkim:SuburbanSqua</w:t>
      </w:r>
      <w:r>
        <w:rPr>
          <w:rFonts w:eastAsia="Times New Roman"/>
          <w:vanish/>
          <w:sz w:val="20"/>
          <w:szCs w:val="20"/>
        </w:rPr>
        <w:t>reMember2020-01-012020-12-31 0000879101kim:ShoppingCenterMemberkim:CenterSquareShoppingCenterMember2020-12-31 0000879101kim:ShoppingCenterMemberkim:CenterSquareShoppingCenterMember2020-01-012020-12-31 0000879101kim:ShoppingCenterMemberkim:WaynePlazaMember2</w:t>
      </w:r>
      <w:r>
        <w:rPr>
          <w:rFonts w:eastAsia="Times New Roman"/>
          <w:vanish/>
          <w:sz w:val="20"/>
          <w:szCs w:val="20"/>
        </w:rPr>
        <w:t>020-12-31 0000879101kim:ShoppingCenterMemberkim:WaynePlazaMember2020-01-012020-12-31 0000879101kim:ShoppingCenterMemberkim:DevonVillageMember2020-12-31 0000879101kim:ShoppingCenterMemberkim:DevonVillageMember2020-01-012020-12-31 0000879101kim:ShoppingCente</w:t>
      </w:r>
      <w:r>
        <w:rPr>
          <w:rFonts w:eastAsia="Times New Roman"/>
          <w:vanish/>
          <w:sz w:val="20"/>
          <w:szCs w:val="20"/>
        </w:rPr>
        <w:t>rMemberkim:PoconoPlazaMember2020-12-31 0000879101kim:ShoppingCenterMemberkim:PoconoPlazaMember2020-01-012020-12-31 0000879101kim:ShoppingCenterMemberkim:WhitelandTownCenterMember2020-12-31 0000879101kim:ShoppingCenterMemberkim:WhitelandTownCenterMember2020</w:t>
      </w:r>
      <w:r>
        <w:rPr>
          <w:rFonts w:eastAsia="Times New Roman"/>
          <w:vanish/>
          <w:sz w:val="20"/>
          <w:szCs w:val="20"/>
        </w:rPr>
        <w:t xml:space="preserve">-01-012020-12-31 0000879101kim:ShoppingCenterMemberkim:HarrisburgEastShoppingCtrMember2020-12-31 0000879101kim:ShoppingCenterMemberkim:HarrisburgEastShoppingCtrMember2020-01-012020-12-31 0000879101kim:ShoppingCenterMemberkim:TownshipLineScMember2020-12-31 </w:t>
      </w:r>
      <w:r>
        <w:rPr>
          <w:rFonts w:eastAsia="Times New Roman"/>
          <w:vanish/>
          <w:sz w:val="20"/>
          <w:szCs w:val="20"/>
        </w:rPr>
        <w:t>0000879101kim:ShoppingCenterMemberkim:TownshipLineScMember2020-01-012020-12-31 0000879101kim:ShoppingCenterMemberkim:HorshamPointMember2020-12-31 0000879101kim:ShoppingCenterMemberkim:HorshamPointMember2020-01-012020-12-31 0000879101kim:ShoppingCenterMembe</w:t>
      </w:r>
      <w:r>
        <w:rPr>
          <w:rFonts w:eastAsia="Times New Roman"/>
          <w:vanish/>
          <w:sz w:val="20"/>
          <w:szCs w:val="20"/>
        </w:rPr>
        <w:t>rkim:HolidayCenterMember2020-12-31 0000879101kim:ShoppingCenterMemberkim:HolidayCenterMember2020-01-012020-12-31 0000879101kim:ShoppingCenterMemberkim:NorritonSquareMember2020-12-31 0000879101kim:ShoppingCenterMemberkim:NorritonSquareMember2020-01-012020-1</w:t>
      </w:r>
      <w:r>
        <w:rPr>
          <w:rFonts w:eastAsia="Times New Roman"/>
          <w:vanish/>
          <w:sz w:val="20"/>
          <w:szCs w:val="20"/>
        </w:rPr>
        <w:t>2-31 0000879101kim:ShoppingCenterMemberkim:FrankfordAvenueScMember2020-12-31 0000879101kim:ShoppingCenterMemberkim:FrankfordAvenueScMember2020-01-012020-12-31 0000879101kim:ShoppingCenterMemberkim:WexfordPlazaMember2020-12-31 0000879101kim:ShoppingCenterMe</w:t>
      </w:r>
      <w:r>
        <w:rPr>
          <w:rFonts w:eastAsia="Times New Roman"/>
          <w:vanish/>
          <w:sz w:val="20"/>
          <w:szCs w:val="20"/>
        </w:rPr>
        <w:t>mberkim:WexfordPlazaMember2020-01-012020-12-31 0000879101kim:ShoppingCenterMemberkim:LincolnSquareMember2020-12-31 0000879101kim:ShoppingCenterMemberkim:LincolnSquareMember2020-01-012020-12-31 0000879101kim:ShoppingCenterMemberkim:CranberryTownshipParcel1A</w:t>
      </w:r>
      <w:r>
        <w:rPr>
          <w:rFonts w:eastAsia="Times New Roman"/>
          <w:vanish/>
          <w:sz w:val="20"/>
          <w:szCs w:val="20"/>
        </w:rPr>
        <w:t>nd2Member2020-12-31 0000879101kim:ShoppingCenterMemberkim:CranberryTownshipParcel1And2Member2020-01-012020-12-31 0000879101kim:ShoppingCenterMemberkim:CrossroadsPlaza3Member2020-12-31 0000879101kim:ShoppingCenterMemberkim:CrossroadsPlaza3Member2020-01-0120</w:t>
      </w:r>
      <w:r>
        <w:rPr>
          <w:rFonts w:eastAsia="Times New Roman"/>
          <w:vanish/>
          <w:sz w:val="20"/>
          <w:szCs w:val="20"/>
        </w:rPr>
        <w:t>20-12-31 0000879101kim:ShoppingCenterMemberkim:SpringfieldSCMember2020-12-31 0000879101kim:ShoppingCenterMemberkim:SpringfieldSCMember2020-01-012020-12-31 0000879101kim:ShoppingCenterMemberkim:ShrewsburySquareSCMember2020-12-31 0000879101kim:ShoppingCenter</w:t>
      </w:r>
      <w:r>
        <w:rPr>
          <w:rFonts w:eastAsia="Times New Roman"/>
          <w:vanish/>
          <w:sz w:val="20"/>
          <w:szCs w:val="20"/>
        </w:rPr>
        <w:t>Memberkim:ShrewsburySquareSCMember2020-01-012020-12-31 0000879101kim:ShoppingCenterMemberkim:WhitehallMallMember2020-12-31 0000879101kim:ShoppingCenterMemberkim:WhitehallMallMember2020-01-012020-12-31 0000879101kim:ShoppingCenterMemberkim:WholeFoodsAtWynne</w:t>
      </w:r>
      <w:r>
        <w:rPr>
          <w:rFonts w:eastAsia="Times New Roman"/>
          <w:vanish/>
          <w:sz w:val="20"/>
          <w:szCs w:val="20"/>
        </w:rPr>
        <w:t>woodMember2020-12-31 0000879101kim:ShoppingCenterMemberkim:WholeFoodsAtWynnewoodMember2020-01-012020-12-31 0000879101kim:ShoppingCenterMemberkim:ShoppesAtWynnewoodMember2020-12-31 0000879101kim:ShoppingCenterMemberkim:ShoppesAtWynnewoodMember2020-01-012020</w:t>
      </w:r>
      <w:r>
        <w:rPr>
          <w:rFonts w:eastAsia="Times New Roman"/>
          <w:vanish/>
          <w:sz w:val="20"/>
          <w:szCs w:val="20"/>
        </w:rPr>
        <w:t>-12-31 0000879101kim:ShoppingCenterMemberkim:RexvilleTownCenterMember2020-12-31 0000879101kim:ShoppingCenterMemberkim:RexvilleTownCenterMember2020-01-012020-12-31 0000879101kim:ShoppingCenterMemberkim:PlazaCentroCostcoMember2020-12-31 0000879101kim:Shoppin</w:t>
      </w:r>
      <w:r>
        <w:rPr>
          <w:rFonts w:eastAsia="Times New Roman"/>
          <w:vanish/>
          <w:sz w:val="20"/>
          <w:szCs w:val="20"/>
        </w:rPr>
        <w:t>gCenterMemberkim:PlazaCentroCostcoMember2020-01-012020-12-31 0000879101kim:ShoppingCenterMemberkim:PlazaCentroMallMember2020-12-31 0000879101kim:ShoppingCenterMemberkim:PlazaCentroMallMember2020-01-012020-12-31 0000879101kim:ShoppingCenterMemberkim:PlazaCe</w:t>
      </w:r>
      <w:r>
        <w:rPr>
          <w:rFonts w:eastAsia="Times New Roman"/>
          <w:vanish/>
          <w:sz w:val="20"/>
          <w:szCs w:val="20"/>
        </w:rPr>
        <w:t>ntroRetailMember2020-12-31 0000879101kim:ShoppingCenterMemberkim:PlazaCentroRetailMember2020-01-012020-12-31 0000879101kim:ShoppingCenterMemberkim:PlazaCentroSamsClubMember2020-12-31 0000879101kim:ShoppingCenterMemberkim:PlazaCentroSamsClubMember2020-01-01</w:t>
      </w:r>
      <w:r>
        <w:rPr>
          <w:rFonts w:eastAsia="Times New Roman"/>
          <w:vanish/>
          <w:sz w:val="20"/>
          <w:szCs w:val="20"/>
        </w:rPr>
        <w:t>2020-12-31 0000879101kim:ShoppingCenterMemberkim:LosColobosBuildersSquareMember2020-12-31 0000879101kim:ShoppingCenterMemberkim:LosColobosBuildersSquareMember2020-01-012020-12-31 0000879101kim:ShoppingCenterMemberkim:LosColobosKmartMember2020-12-31 0000879</w:t>
      </w:r>
      <w:r>
        <w:rPr>
          <w:rFonts w:eastAsia="Times New Roman"/>
          <w:vanish/>
          <w:sz w:val="20"/>
          <w:szCs w:val="20"/>
        </w:rPr>
        <w:t>101kim:ShoppingCenterMemberkim:LosColobosKmartMember2020-01-012020-12-31 0000879101kim:ShoppingCenterMemberkim:LosColobosIMember2020-12-31 0000879101kim:ShoppingCenterMemberkim:LosColobosIMember2020-01-012020-12-31 0000879101kim:ShoppingCenterMemberkim:Los</w:t>
      </w:r>
      <w:r>
        <w:rPr>
          <w:rFonts w:eastAsia="Times New Roman"/>
          <w:vanish/>
          <w:sz w:val="20"/>
          <w:szCs w:val="20"/>
        </w:rPr>
        <w:t>ColobosIIMember2020-12-31 0000879101kim:ShoppingCenterMemberkim:LosColobosIIMember2020-01-012020-12-31 0000879101kim:ShoppingCenterMemberkim:WesternPlazaMayaquezOneMember2020-12-31 0000879101kim:ShoppingCenterMemberkim:WesternPlazaMayaquezOneMember2020-01-</w:t>
      </w:r>
      <w:r>
        <w:rPr>
          <w:rFonts w:eastAsia="Times New Roman"/>
          <w:vanish/>
          <w:sz w:val="20"/>
          <w:szCs w:val="20"/>
        </w:rPr>
        <w:t>012020-12-31 0000879101kim:ShoppingCenterMemberkim:WesternPlazaMayaguezTwoMember2020-12-31 0000879101kim:ShoppingCenterMemberkim:WesternPlazaMayaguezTwoMember2020-01-012020-12-31 0000879101kim:ShoppingCenterMemberkim:ManatiVillaMariaSCMember2020-12-31 0000</w:t>
      </w:r>
      <w:r>
        <w:rPr>
          <w:rFonts w:eastAsia="Times New Roman"/>
          <w:vanish/>
          <w:sz w:val="20"/>
          <w:szCs w:val="20"/>
        </w:rPr>
        <w:t>879101kim:ShoppingCenterMemberkim:ManatiVillaMariaSCMember2020-01-012020-12-31 0000879101kim:ShoppingCenterMemberkim:PonceTownCenterMember2020-12-31 0000879101kim:ShoppingCenterMemberkim:PonceTownCenterMember2020-01-012020-12-31 0000879101kim:ShoppingCente</w:t>
      </w:r>
      <w:r>
        <w:rPr>
          <w:rFonts w:eastAsia="Times New Roman"/>
          <w:vanish/>
          <w:sz w:val="20"/>
          <w:szCs w:val="20"/>
        </w:rPr>
        <w:t>rMemberkim:TrujilloAltoPlazaMember2020-12-31 0000879101kim:ShoppingCenterMemberkim:TrujilloAltoPlazaMember2020-01-012020-12-31 0000879101kim:ShoppingCenterMemberkim:StAndrewsCenterMember2020-12-31 0000879101kim:ShoppingCenterMemberkim:StAndrewsCenterMember</w:t>
      </w:r>
      <w:r>
        <w:rPr>
          <w:rFonts w:eastAsia="Times New Roman"/>
          <w:vanish/>
          <w:sz w:val="20"/>
          <w:szCs w:val="20"/>
        </w:rPr>
        <w:t>2020-01-012020-12-31 0000879101kim:ShoppingCenterMemberkim:WestwoodPlazaMember2020-12-31 0000879101kim:ShoppingCenterMemberkim:WestwoodPlazaMember2020-01-012020-12-31 0000879101kim:ShoppingCenterMemberkim:WoodruffShoppingCenterMember2020-12-31 0000879101ki</w:t>
      </w:r>
      <w:r>
        <w:rPr>
          <w:rFonts w:eastAsia="Times New Roman"/>
          <w:vanish/>
          <w:sz w:val="20"/>
          <w:szCs w:val="20"/>
        </w:rPr>
        <w:t>m:ShoppingCenterMemberkim:WoodruffShoppingCenterMember2020-01-012020-12-31 0000879101kim:ShoppingCenterMemberkim:ForestParkMember2020-12-31 0000879101kim:ShoppingCenterMemberkim:ForestParkMember2020-01-012020-12-31 0000879101kim:ShoppingCenterMemberkim:Old</w:t>
      </w:r>
      <w:r>
        <w:rPr>
          <w:rFonts w:eastAsia="Times New Roman"/>
          <w:vanish/>
          <w:sz w:val="20"/>
          <w:szCs w:val="20"/>
        </w:rPr>
        <w:t>TowneVillageMember2020-12-31 0000879101kim:ShoppingCenterMemberkim:OldTowneVillageMember2020-01-012020-12-31 0000879101kim:ShoppingCenterMemberkim:CenterOfTheHillsMember2020-12-31 0000879101kim:ShoppingCenterMemberkim:CenterOfTheHillsMember2020-01-012020-1</w:t>
      </w:r>
      <w:r>
        <w:rPr>
          <w:rFonts w:eastAsia="Times New Roman"/>
          <w:vanish/>
          <w:sz w:val="20"/>
          <w:szCs w:val="20"/>
        </w:rPr>
        <w:t>2-31 0000879101kim:ShoppingCenterMemberkim:GatewayStationMember2020-12-31 0000879101kim:ShoppingCenterMemberkim:GatewayStationMember2020-01-012020-12-31 0000879101kim:ShoppingCenterMemberkim:LasTiendasPlazaMember2020-12-31 0000879101kim:ShoppingCenterMembe</w:t>
      </w:r>
      <w:r>
        <w:rPr>
          <w:rFonts w:eastAsia="Times New Roman"/>
          <w:vanish/>
          <w:sz w:val="20"/>
          <w:szCs w:val="20"/>
        </w:rPr>
        <w:t>rkim:LasTiendasPlazaMember2020-01-012020-12-31 0000879101kim:ShoppingCenterMemberkim:GatewayStationPhaseIIMember2020-12-31 0000879101kim:ShoppingCenterMemberkim:GatewayStationPhaseIIMember2020-01-012020-12-31 0000879101kim:ShoppingCenterMemberkim:ConroeMar</w:t>
      </w:r>
      <w:r>
        <w:rPr>
          <w:rFonts w:eastAsia="Times New Roman"/>
          <w:vanish/>
          <w:sz w:val="20"/>
          <w:szCs w:val="20"/>
        </w:rPr>
        <w:t>ketplaceMember2020-12-31 0000879101kim:ShoppingCenterMemberkim:ConroeMarketplaceMember2020-01-012020-12-31 0000879101kim:ShoppingCenterMemberkim:MontgomeryPlazaMember2020-12-31 0000879101kim:ShoppingCenterMemberkim:MontgomeryPlazaMember2020-01-012020-12-31</w:t>
      </w:r>
      <w:r>
        <w:rPr>
          <w:rFonts w:eastAsia="Times New Roman"/>
          <w:vanish/>
          <w:sz w:val="20"/>
          <w:szCs w:val="20"/>
        </w:rPr>
        <w:t xml:space="preserve"> 0000879101kim:ShoppingCenterMemberkim:PrestonLebanonCrossingMember2020-12-31 0000879101kim:ShoppingCenterMemberkim:PrestonLebanonCrossingMember2020-01-012020-12-31 0000879101kim:ShoppingCenterMemberkim:LakePrairieTownCrossingMember2020-12-31 0000879101kim</w:t>
      </w:r>
      <w:r>
        <w:rPr>
          <w:rFonts w:eastAsia="Times New Roman"/>
          <w:vanish/>
          <w:sz w:val="20"/>
          <w:szCs w:val="20"/>
        </w:rPr>
        <w:t>:ShoppingCenterMemberkim:LakePrairieTownCrossingMember2020-01-012020-12-31 0000879101kim:ShoppingCenterMemberkim:CenterAtBaybrookMember2020-12-31 0000879101kim:ShoppingCenterMemberkim:CenterAtBaybrookMember2020-01-012020-12-31 0000879101kim:ShoppingCenterM</w:t>
      </w:r>
      <w:r>
        <w:rPr>
          <w:rFonts w:eastAsia="Times New Roman"/>
          <w:vanish/>
          <w:sz w:val="20"/>
          <w:szCs w:val="20"/>
        </w:rPr>
        <w:t>emberkim:CypressTowneCenterMember2020-12-31 0000879101kim:ShoppingCenterMemberkim:CypressTowneCenterMember2020-01-012020-12-31 0000879101kim:ShoppingCenterMemberkim:CypressTowneCenter2Member2020-12-31 0000879101kim:ShoppingCenterMemberkim:CypressTowneCente</w:t>
      </w:r>
      <w:r>
        <w:rPr>
          <w:rFonts w:eastAsia="Times New Roman"/>
          <w:vanish/>
          <w:sz w:val="20"/>
          <w:szCs w:val="20"/>
        </w:rPr>
        <w:t>r2Member2020-01-012020-12-31 0000879101kim:ShoppingCenterMemberkim:CypressTowneCenterPhaseIIMember2020-12-31 0000879101kim:ShoppingCenterMemberkim:CypressTowneCenterPhaseIIMember2020-01-012020-12-31 0000879101kim:ShoppingCenterMemberkim:TheCentreAtCopperfi</w:t>
      </w:r>
      <w:r>
        <w:rPr>
          <w:rFonts w:eastAsia="Times New Roman"/>
          <w:vanish/>
          <w:sz w:val="20"/>
          <w:szCs w:val="20"/>
        </w:rPr>
        <w:t>eldMember2020-12-31 0000879101kim:ShoppingCenterMemberkim:TheCentreAtCopperfieldMember2020-01-012020-12-31 0000879101kim:ShoppingCenterMemberkim:CopperwoodVillageMember2020-12-31 0000879101kim:ShoppingCenterMemberkim:CopperwoodVillageMember2020-01-012020-1</w:t>
      </w:r>
      <w:r>
        <w:rPr>
          <w:rFonts w:eastAsia="Times New Roman"/>
          <w:vanish/>
          <w:sz w:val="20"/>
          <w:szCs w:val="20"/>
        </w:rPr>
        <w:t>2-31 0000879101kim:ShoppingCenterMemberkim:AtascocitaCommonsShopCtrMember2020-12-31 0000879101kim:ShoppingCenterMemberkim:AtascocitaCommonsShopCtrMember2020-01-012020-12-31 0000879101kim:ShoppingCenterMemberkim:TomballCrossingsMember2020-12-31 0000879101ki</w:t>
      </w:r>
      <w:r>
        <w:rPr>
          <w:rFonts w:eastAsia="Times New Roman"/>
          <w:vanish/>
          <w:sz w:val="20"/>
          <w:szCs w:val="20"/>
        </w:rPr>
        <w:t>m:ShoppingCenterMemberkim:TomballCrossingsMember2020-01-012020-12-31 0000879101kim:ShoppingCenterMemberkim:CopperfieldVillageShopCtrMember2020-12-31 0000879101kim:ShoppingCenterMemberkim:CopperfieldVillageShopCtrMember2020-01-012020-12-31 0000879101kim:Sho</w:t>
      </w:r>
      <w:r>
        <w:rPr>
          <w:rFonts w:eastAsia="Times New Roman"/>
          <w:vanish/>
          <w:sz w:val="20"/>
          <w:szCs w:val="20"/>
        </w:rPr>
        <w:t>ppingCenterMemberkim:KrogerPlazaMember2020-12-31 0000879101kim:ShoppingCenterMemberkim:KrogerPlazaMember2020-01-012020-12-31 0000879101kim:ShoppingCenterMemberkim:AccentPlazaMember2020-12-31 0000879101kim:ShoppingCenterMemberkim:AccentPlazaMember2020-01-01</w:t>
      </w:r>
      <w:r>
        <w:rPr>
          <w:rFonts w:eastAsia="Times New Roman"/>
          <w:vanish/>
          <w:sz w:val="20"/>
          <w:szCs w:val="20"/>
        </w:rPr>
        <w:t>2020-12-31 0000879101kim:ShoppingCenterMemberkim:WoodbridgeShoppingCenterMember2020-12-31 0000879101kim:ShoppingCenterMemberkim:WoodbridgeShoppingCenterMember2020-01-012020-12-31 0000879101kim:ShoppingCenterMemberkim:GrandParkwayMarketplaceMember2020-12-31</w:t>
      </w:r>
      <w:r>
        <w:rPr>
          <w:rFonts w:eastAsia="Times New Roman"/>
          <w:vanish/>
          <w:sz w:val="20"/>
          <w:szCs w:val="20"/>
        </w:rPr>
        <w:t xml:space="preserve"> 0000879101kim:ShoppingCenterMemberkim:GrandParkwayMarketplaceMember2020-01-012020-12-31 0000879101kim:ShoppingCenterMemberkim:GrandParkwayMarketplaceIIMember2020-12-31 0000879101kim:ShoppingCenterMemberkim:GrandParkwayMarketplaceIIMember2020-01-012020-12-</w:t>
      </w:r>
      <w:r>
        <w:rPr>
          <w:rFonts w:eastAsia="Times New Roman"/>
          <w:vanish/>
          <w:sz w:val="20"/>
          <w:szCs w:val="20"/>
        </w:rPr>
        <w:t>31 0000879101kim:ShoppingCenterMemberkim:BurkeTownPlazaMember2020-12-31 0000879101kim:ShoppingCenterMemberkim:BurkeTownPlazaMember2020-01-012020-12-31 0000879101kim:ShoppingCenterMemberkim:OldTownPlazaMember2020-12-31 0000879101kim:ShoppingCenterMemberkim:</w:t>
      </w:r>
      <w:r>
        <w:rPr>
          <w:rFonts w:eastAsia="Times New Roman"/>
          <w:vanish/>
          <w:sz w:val="20"/>
          <w:szCs w:val="20"/>
        </w:rPr>
        <w:t>OldTownPlazaMember2020-01-012020-12-31 0000879101kim:ShoppingCenterMemberkim:PotomacRunPlazaMember2020-12-31 0000879101kim:ShoppingCenterMemberkim:PotomacRunPlazaMember2020-01-012020-12-31 0000879101kim:ShoppingCenterMemberkim:DullesTownCrossingMember2020-</w:t>
      </w:r>
      <w:r>
        <w:rPr>
          <w:rFonts w:eastAsia="Times New Roman"/>
          <w:vanish/>
          <w:sz w:val="20"/>
          <w:szCs w:val="20"/>
        </w:rPr>
        <w:t>12-31 0000879101kim:ShoppingCenterMemberkim:DullesTownCrossingMember2020-01-012020-12-31 0000879101kim:ShoppingCenterMemberkim:DocstoneCommonsMember2020-12-31 0000879101kim:ShoppingCenterMemberkim:DocstoneCommonsMember2020-01-012020-12-31 0000879101kim:Sho</w:t>
      </w:r>
      <w:r>
        <w:rPr>
          <w:rFonts w:eastAsia="Times New Roman"/>
          <w:vanish/>
          <w:sz w:val="20"/>
          <w:szCs w:val="20"/>
        </w:rPr>
        <w:t>ppingCenterMemberkim:DocstoneOPStaplesMember2020-12-31 0000879101kim:ShoppingCenterMemberkim:DocstoneOPStaplesMember2020-01-012020-12-31 0000879101kim:ShoppingCenterMemberkim:StaffordMarketplaceMember2020-12-31 0000879101kim:ShoppingCenterMemberkim:Staffor</w:t>
      </w:r>
      <w:r>
        <w:rPr>
          <w:rFonts w:eastAsia="Times New Roman"/>
          <w:vanish/>
          <w:sz w:val="20"/>
          <w:szCs w:val="20"/>
        </w:rPr>
        <w:t>dMarketplaceMember2020-01-012020-12-31 0000879101kim:ShoppingCenterMemberkim:GordonPlazaMember2020-12-31 0000879101kim:ShoppingCenterMemberkim:GordonPlazaMember2020-01-012020-12-31 0000879101kim:ShoppingCenterMemberkim:AuburnNorthMember2020-12-31 000087910</w:t>
      </w:r>
      <w:r>
        <w:rPr>
          <w:rFonts w:eastAsia="Times New Roman"/>
          <w:vanish/>
          <w:sz w:val="20"/>
          <w:szCs w:val="20"/>
        </w:rPr>
        <w:t>1kim:ShoppingCenterMemberkim:AuburnNorthMember2020-01-012020-12-31 0000879101kim:ShoppingCenterMemberkim:TheMarketplaceAtFactoriaMember2020-12-31 0000879101kim:ShoppingCenterMemberkim:TheMarketplaceAtFactoriaMember2020-01-012020-12-31 0000879101kim:Shoppin</w:t>
      </w:r>
      <w:r>
        <w:rPr>
          <w:rFonts w:eastAsia="Times New Roman"/>
          <w:vanish/>
          <w:sz w:val="20"/>
          <w:szCs w:val="20"/>
        </w:rPr>
        <w:t>gCenterMemberkim:FrontierVillageShoppingCtrMember2020-12-31 0000879101kim:ShoppingCenterMemberkim:FrontierVillageShoppingCtrMember2020-01-012020-12-31 0000879101kim:ShoppingCenterMemberkim:GatewayShoppingCenterMember2020-12-31 0000879101kim:ShoppingCenterM</w:t>
      </w:r>
      <w:r>
        <w:rPr>
          <w:rFonts w:eastAsia="Times New Roman"/>
          <w:vanish/>
          <w:sz w:val="20"/>
          <w:szCs w:val="20"/>
        </w:rPr>
        <w:t>emberkim:GatewayShoppingCenterMember2020-01-012020-12-31 0000879101kim:ShoppingCenterMemberkim:OlympiaWestOutparcelMember2020-12-31 0000879101kim:ShoppingCenterMemberkim:OlympiaWestOutparcelMember2020-01-012020-12-31 0000879101kim:ShoppingCenterMemberkim:F</w:t>
      </w:r>
      <w:r>
        <w:rPr>
          <w:rFonts w:eastAsia="Times New Roman"/>
          <w:vanish/>
          <w:sz w:val="20"/>
          <w:szCs w:val="20"/>
        </w:rPr>
        <w:t>ranklinParkCommonsMember2020-12-31 0000879101kim:ShoppingCenterMemberkim:FranklinParkCommonsMember2020-01-012020-12-31 0000879101kim:ShoppingCenterMemberkim:SilverdalePlazaMember2020-12-31 0000879101kim:ShoppingCenterMemberkim:SilverdalePlazaMember2020-01-</w:t>
      </w:r>
      <w:r>
        <w:rPr>
          <w:rFonts w:eastAsia="Times New Roman"/>
          <w:vanish/>
          <w:sz w:val="20"/>
          <w:szCs w:val="20"/>
        </w:rPr>
        <w:t>012020-12-31 0000879101srt:OtherPropertyMemberkim:AsanteRetailCenterMember2020-12-31 0000879101srt:OtherPropertyMemberkim:AsanteRetailCenterMember2020-01-012020-12-31 0000879101srt:OtherPropertyMemberkim:SurpriseSpectrumMember2020-12-31 0000879101srt:Other</w:t>
      </w:r>
      <w:r>
        <w:rPr>
          <w:rFonts w:eastAsia="Times New Roman"/>
          <w:vanish/>
          <w:sz w:val="20"/>
          <w:szCs w:val="20"/>
        </w:rPr>
        <w:t>PropertyMemberkim:SurpriseSpectrumMember2020-01-012020-12-31 0000879101srt:OtherPropertyMemberkim:LakeWalesSCMember2020-12-31 0000879101srt:OtherPropertyMemberkim:LakeWalesSCMember2020-01-012020-12-31 0000879101srt:OtherPropertyMemberkim:TreasureValleyMemb</w:t>
      </w:r>
      <w:r>
        <w:rPr>
          <w:rFonts w:eastAsia="Times New Roman"/>
          <w:vanish/>
          <w:sz w:val="20"/>
          <w:szCs w:val="20"/>
        </w:rPr>
        <w:t>er2020-12-31 0000879101srt:OtherPropertyMemberkim:TreasureValleyMember2020-01-012020-12-31 0000879101srt:OtherPropertyMemberkim:LinwoodIndianapolisMember2020-12-31 0000879101srt:OtherPropertyMemberkim:LinwoodIndianapolisMember2020-01-012020-12-31 000087910</w:t>
      </w:r>
      <w:r>
        <w:rPr>
          <w:rFonts w:eastAsia="Times New Roman"/>
          <w:vanish/>
          <w:sz w:val="20"/>
          <w:szCs w:val="20"/>
        </w:rPr>
        <w:t>1srt:OtherPropertyMemberkim:FlintVacantLandMember2020-12-31 0000879101srt:OtherPropertyMemberkim:FlintVacantLandMember2020-01-012020-12-31 0000879101srt:OtherPropertyMemberkim:CharlotteSportsFitnessCTRMember2020-12-31 0000879101srt:OtherPropertyMemberkim:C</w:t>
      </w:r>
      <w:r>
        <w:rPr>
          <w:rFonts w:eastAsia="Times New Roman"/>
          <w:vanish/>
          <w:sz w:val="20"/>
          <w:szCs w:val="20"/>
        </w:rPr>
        <w:t>harlotteSportsFitnessCTRMember2020-01-012020-12-31 0000879101srt:OtherPropertyMemberkim:WakefieldCommonsIIIMember2020-12-31 0000879101srt:OtherPropertyMemberkim:WakefieldCommonsIIIMember2020-01-012020-12-31 0000879101srt:OtherPropertyMemberkim:WakefieldCro</w:t>
      </w:r>
      <w:r>
        <w:rPr>
          <w:rFonts w:eastAsia="Times New Roman"/>
          <w:vanish/>
          <w:sz w:val="20"/>
          <w:szCs w:val="20"/>
        </w:rPr>
        <w:t>ssingsMember2020-12-31 0000879101srt:OtherPropertyMemberkim:WakefieldCrossingsMember2020-01-012020-12-31 0000879101srt:OtherPropertyMemberkim:HillsboroughPromenadeMember2020-12-31 0000879101srt:OtherPropertyMemberkim:HillsboroughPromenadeMember2020-01-0120</w:t>
      </w:r>
      <w:r>
        <w:rPr>
          <w:rFonts w:eastAsia="Times New Roman"/>
          <w:vanish/>
          <w:sz w:val="20"/>
          <w:szCs w:val="20"/>
        </w:rPr>
        <w:t>20-12-31 0000879101srt:OtherPropertyMemberkim:KeyBankBuildingMember2020-12-31 0000879101srt:OtherPropertyMemberkim:KeyBankBuildingMember2020-01-012020-12-31 0000879101srt:OtherPropertyMemberkim:NorthportLandParcelMember2020-12-31 0000879101srt:OtherPropert</w:t>
      </w:r>
      <w:r>
        <w:rPr>
          <w:rFonts w:eastAsia="Times New Roman"/>
          <w:vanish/>
          <w:sz w:val="20"/>
          <w:szCs w:val="20"/>
        </w:rPr>
        <w:t>yMemberkim:NorthportLandParcelMember2020-01-012020-12-31 0000879101srt:OtherPropertyMemberkim:MerryLaneParkingLotMember2020-12-31 0000879101srt:OtherPropertyMemberkim:MerryLaneParkingLotMember2020-01-012020-12-31 0000879101srt:OtherPropertyMemberkim:Jerich</w:t>
      </w:r>
      <w:r>
        <w:rPr>
          <w:rFonts w:eastAsia="Times New Roman"/>
          <w:vanish/>
          <w:sz w:val="20"/>
          <w:szCs w:val="20"/>
        </w:rPr>
        <w:t>oAtriumMember2020-12-31 0000879101srt:OtherPropertyMemberkim:JerichoAtriumMember2020-01-012020-12-31 0000879101srt:OtherPropertyMemberkim:BirchwoodParkMember2020-12-31 0000879101srt:OtherPropertyMemberkim:BirchwoodParkMember2020-01-012020-12-31 0000879101s</w:t>
      </w:r>
      <w:r>
        <w:rPr>
          <w:rFonts w:eastAsia="Times New Roman"/>
          <w:vanish/>
          <w:sz w:val="20"/>
          <w:szCs w:val="20"/>
        </w:rPr>
        <w:t>rt:OtherPropertyMemberkim:HighParkCTRRetailMember2020-12-31 0000879101srt:OtherPropertyMemberkim:HighParkCTRRetailMember2020-01-012020-12-31 0000879101srt:OtherPropertyMemberkim:McMinnvillePlazaMember2020-12-31 0000879101srt:OtherPropertyMemberkim:McMinnvi</w:t>
      </w:r>
      <w:r>
        <w:rPr>
          <w:rFonts w:eastAsia="Times New Roman"/>
          <w:vanish/>
          <w:sz w:val="20"/>
          <w:szCs w:val="20"/>
        </w:rPr>
        <w:t>llePlazaMember2020-01-012020-12-31 0000879101srt:OtherPropertyMemberkim:CoulterAvenueParcelMember2020-12-31 0000879101srt:OtherPropertyMemberkim:CoulterAvenueParcelMember2020-01-012020-12-31 0000879101srt:OtherPropertyMemberkim:BlueRidgeMember2020-12-31 00</w:t>
      </w:r>
      <w:r>
        <w:rPr>
          <w:rFonts w:eastAsia="Times New Roman"/>
          <w:vanish/>
          <w:sz w:val="20"/>
          <w:szCs w:val="20"/>
        </w:rPr>
        <w:t>00879101srt:OtherPropertyMemberkim:BlueRidgeMember2020-01-012020-12-31 0000879101srt:OtherPropertyMemberkim:BalanceOfPortfolioMember2020-12-31 0000879101srt:OtherPropertyMemberkim:BalanceOfPortfolioMember2020-01-012020-12-31 0000879101kim:BuildingsAndBuild</w:t>
      </w:r>
      <w:r>
        <w:rPr>
          <w:rFonts w:eastAsia="Times New Roman"/>
          <w:vanish/>
          <w:sz w:val="20"/>
          <w:szCs w:val="20"/>
        </w:rPr>
        <w:t>ingImprovementsHeldForInvestmentsMembersrt:MinimumMember2020-01-012020-12-31 0000879101kim:BuildingsAndBuildingImprovementsHeldForInvestmentsMembersrt:MaximumMember2020-01-012020-12-31 0000879101kim:FixturesBuildingAndLeaseholdImprovementsIncludingCertainI</w:t>
      </w:r>
      <w:r>
        <w:rPr>
          <w:rFonts w:eastAsia="Times New Roman"/>
          <w:vanish/>
          <w:sz w:val="20"/>
          <w:szCs w:val="20"/>
        </w:rPr>
        <w:t>dentifiedIntangibleAssetsMember2020-01-012020-12-31 0000879101kim:BorrowerAMemberkim:MortgageLoansMembersrt:RetailSiteMemberkim:LasVegasNVMember2020-01-012020-12-31 0000879101kim:BorrowerAMemberkim:MortgageLoansMembersrt:RetailSiteMemberkim:LasVegasNVMembe</w:t>
      </w:r>
      <w:r>
        <w:rPr>
          <w:rFonts w:eastAsia="Times New Roman"/>
          <w:vanish/>
          <w:sz w:val="20"/>
          <w:szCs w:val="20"/>
        </w:rPr>
        <w:t>r2020-12-31 0000879101kim:BorrowerBMemberkim:MortgageLoansMembersrt:RetailSiteMemberkim:WalkerMIMember2020-01-012020-12-31 0000879101kim:BorrowerBMemberkim:MortgageLoansMembersrt:RetailSiteMemberkim:WalkerMIMember2020-12-31 0000879101kim:BorrowerCMemberkim</w:t>
      </w:r>
      <w:r>
        <w:rPr>
          <w:rFonts w:eastAsia="Times New Roman"/>
          <w:vanish/>
          <w:sz w:val="20"/>
          <w:szCs w:val="20"/>
        </w:rPr>
        <w:t>:MortgageLoansMembersrt:RetailSiteMemberkim:PompanoFLMember2020-01-012020-12-31 0000879101kim:BorrowerCMemberkim:MortgageLoansMembersrt:RetailSiteMemberkim:PompanoFLMember2020-12-31 0000879101kim:BorrowerDMemberkim:MortgageLoansMembersrt:RetailSiteMemberki</w:t>
      </w:r>
      <w:r>
        <w:rPr>
          <w:rFonts w:eastAsia="Times New Roman"/>
          <w:vanish/>
          <w:sz w:val="20"/>
          <w:szCs w:val="20"/>
        </w:rPr>
        <w:t>m:MesaAZMember2020-01-012020-12-31 0000879101kim:BorrowerDMemberkim:MortgageLoansMembersrt:RetailSiteMemberkim:MesaAZMember2020-12-31 0000879101kim:BorrowerEMemberkim:MortgageLoansMemberkim:NonretailMemberkim:CommackNYMember2020-01-012020-12-31 0000879101k</w:t>
      </w:r>
      <w:r>
        <w:rPr>
          <w:rFonts w:eastAsia="Times New Roman"/>
          <w:vanish/>
          <w:sz w:val="20"/>
          <w:szCs w:val="20"/>
        </w:rPr>
        <w:t>im:BorrowerEMemberkim:MortgageLoansMemberkim:NonretailMemberkim:CommackNYMember2020-12-31 0000879101kim:BorrowerFMemberkim:MortgageLoansMemberkim:NonretailMemberkim:MelbourneFLMember2020-01-012020-12-31 0000879101kim:BorrowerFMemberkim:MortgageLoansMemberk</w:t>
      </w:r>
      <w:r>
        <w:rPr>
          <w:rFonts w:eastAsia="Times New Roman"/>
          <w:vanish/>
          <w:sz w:val="20"/>
          <w:szCs w:val="20"/>
        </w:rPr>
        <w:t>im:NonretailMemberkim:MelbourneFLMember2020-12-31 0000879101kim:BorrowerAMemberkim:OtherFinancingLoansMemberkim:NonretailMember2020-01-012020-12-31 0000879101kim:BorrowerAMemberkim:OtherFinancingLoansMemberkim:NonretailMember2020-12-31 0000879101kim:Borrow</w:t>
      </w:r>
      <w:r>
        <w:rPr>
          <w:rFonts w:eastAsia="Times New Roman"/>
          <w:vanish/>
          <w:sz w:val="20"/>
          <w:szCs w:val="20"/>
        </w:rPr>
        <w:t>erBMemberkim:OtherFinancingLoansMemberkim:NonretailMember2020-01-012020-12-31 0000879101kim:BorrowerBMemberkim:OtherFinancingLoansMemberkim:NonretailMember2020-12-31 0000879101kim:MortgageLoansMember2020-12-31 0000879101kim:IncomeMember2020-01-012020-12-31</w:t>
      </w:r>
      <w:r>
        <w:rPr>
          <w:rFonts w:eastAsia="Times New Roman"/>
          <w:vanish/>
          <w:sz w:val="20"/>
          <w:szCs w:val="20"/>
        </w:rPr>
        <w:t xml:space="preserve"> 0000879101kim:NotesPayableMember2020-01-012020-12-31 0000879101us-gaap:UnsecuredDebtMember2020-01-012020-12-31 0000879101us-gaap:MortgagesMember2020-01-012020-12-31 0000879101kim:PreferredStockRedeemedMember2020-01-012020-12-31 </w:t>
      </w:r>
    </w:p>
    <w:p w:rsidR="00000000" w:rsidRDefault="004E30E9">
      <w:pPr>
        <w:divId w:val="1509637807"/>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divId w:val="375201880"/>
        <w:rPr>
          <w:sz w:val="20"/>
          <w:szCs w:val="20"/>
        </w:rPr>
      </w:pPr>
      <w:hyperlink w:anchor="toc" w:history="1">
        <w:r>
          <w:rPr>
            <w:rStyle w:val="a4"/>
            <w:sz w:val="20"/>
            <w:szCs w:val="20"/>
          </w:rPr>
          <w:t>Table of Contents</w:t>
        </w:r>
      </w:hyperlink>
    </w:p>
    <w:p w:rsidR="00000000" w:rsidRDefault="004E30E9">
      <w:pPr>
        <w:spacing w:before="60" w:after="60"/>
        <w:divId w:val="375201880"/>
        <w:rPr>
          <w:rFonts w:eastAsia="Times New Roman"/>
          <w:sz w:val="20"/>
          <w:szCs w:val="20"/>
        </w:rPr>
      </w:pPr>
      <w:r>
        <w:rPr>
          <w:rFonts w:eastAsia="Times New Roman"/>
          <w:sz w:val="20"/>
          <w:szCs w:val="20"/>
        </w:rPr>
        <w:pict>
          <v:rect id="_x0000_i1025" style="width:415.3pt;height:2.25pt" o:hralign="center" o:hrstd="t" o:hrnoshade="t" o:hr="t" fillcolor="black" stroked="f"/>
        </w:pict>
      </w:r>
    </w:p>
    <w:p w:rsidR="00000000" w:rsidRDefault="004E30E9">
      <w:pPr>
        <w:spacing w:after="60"/>
        <w:divId w:val="375201880"/>
        <w:rPr>
          <w:rFonts w:eastAsia="Times New Roman"/>
          <w:sz w:val="20"/>
          <w:szCs w:val="20"/>
        </w:rPr>
      </w:pPr>
      <w:r>
        <w:rPr>
          <w:rFonts w:eastAsia="Times New Roman"/>
          <w:sz w:val="20"/>
          <w:szCs w:val="20"/>
        </w:rPr>
        <w:pict>
          <v:rect id="_x0000_i1026" style="width:415.3pt;height:.75pt" o:hralign="center" o:hrstd="t" o:hrnoshade="t" o:hr="t" fillcolor="black" stroked="f"/>
        </w:pict>
      </w:r>
    </w:p>
    <w:p w:rsidR="00000000" w:rsidRDefault="004E30E9">
      <w:pPr>
        <w:pStyle w:val="a3"/>
        <w:spacing w:before="0" w:beforeAutospacing="0" w:after="0" w:afterAutospacing="0"/>
        <w:jc w:val="center"/>
        <w:divId w:val="375201880"/>
        <w:rPr>
          <w:sz w:val="20"/>
          <w:szCs w:val="20"/>
        </w:rPr>
      </w:pPr>
      <w:r>
        <w:rPr>
          <w:b/>
          <w:bCs/>
          <w:sz w:val="20"/>
          <w:szCs w:val="20"/>
        </w:rPr>
        <w:t>  </w:t>
      </w:r>
    </w:p>
    <w:p w:rsidR="00000000" w:rsidRDefault="004E30E9">
      <w:pPr>
        <w:pStyle w:val="a3"/>
        <w:spacing w:before="0" w:beforeAutospacing="0" w:after="0" w:afterAutospacing="0"/>
        <w:jc w:val="center"/>
        <w:divId w:val="375201880"/>
      </w:pPr>
      <w:r>
        <w:rPr>
          <w:b/>
          <w:bCs/>
        </w:rPr>
        <w:t xml:space="preserve">UNITED STATES </w:t>
      </w:r>
    </w:p>
    <w:p w:rsidR="00000000" w:rsidRDefault="004E30E9">
      <w:pPr>
        <w:pStyle w:val="a3"/>
        <w:spacing w:before="0" w:beforeAutospacing="0" w:after="0" w:afterAutospacing="0"/>
        <w:jc w:val="center"/>
        <w:divId w:val="375201880"/>
      </w:pPr>
      <w:r>
        <w:rPr>
          <w:b/>
          <w:bCs/>
        </w:rPr>
        <w:t>SECURITIES AND EXCHANGE COMMISSION</w:t>
      </w:r>
    </w:p>
    <w:p w:rsidR="00000000" w:rsidRDefault="004E30E9">
      <w:pPr>
        <w:pStyle w:val="a3"/>
        <w:spacing w:before="0" w:beforeAutospacing="0" w:after="0" w:afterAutospacing="0"/>
        <w:jc w:val="center"/>
        <w:divId w:val="375201880"/>
        <w:rPr>
          <w:sz w:val="20"/>
          <w:szCs w:val="20"/>
        </w:rPr>
      </w:pPr>
      <w:r>
        <w:rPr>
          <w:b/>
          <w:bCs/>
          <w:sz w:val="20"/>
          <w:szCs w:val="20"/>
        </w:rPr>
        <w:t>Washington, D.C. 20549</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pPr>
      <w:r>
        <w:rPr>
          <w:b/>
          <w:bCs/>
        </w:rPr>
        <w:t>FORM 10-K</w:t>
      </w:r>
    </w:p>
    <w:p w:rsidR="00000000" w:rsidRDefault="004E30E9">
      <w:pPr>
        <w:pStyle w:val="a3"/>
        <w:spacing w:before="0" w:beforeAutospacing="0" w:after="0" w:afterAutospacing="0"/>
        <w:divId w:val="3752018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75"/>
        <w:gridCol w:w="8031"/>
      </w:tblGrid>
      <w:tr w:rsidR="00000000">
        <w:trPr>
          <w:divId w:val="375201880"/>
          <w:tblCellSpacing w:w="0" w:type="dxa"/>
        </w:trPr>
        <w:tc>
          <w:tcPr>
            <w:tcW w:w="150" w:type="pct"/>
            <w:hideMark/>
          </w:tcPr>
          <w:p w:rsidR="00000000" w:rsidRDefault="004E30E9">
            <w:pPr>
              <w:pStyle w:val="a3"/>
              <w:spacing w:before="0" w:beforeAutospacing="0" w:after="0" w:afterAutospacing="0"/>
              <w:jc w:val="center"/>
              <w:rPr>
                <w:sz w:val="20"/>
                <w:szCs w:val="20"/>
              </w:rPr>
            </w:pPr>
            <w:r>
              <w:rPr>
                <w:rFonts w:ascii="Segoe UI Emoji" w:hAnsi="Segoe UI Emoji" w:cs="Segoe UI Emoji"/>
                <w:b/>
                <w:bCs/>
                <w:sz w:val="20"/>
                <w:szCs w:val="20"/>
              </w:rPr>
              <w:t>☑</w:t>
            </w:r>
          </w:p>
        </w:tc>
        <w:tc>
          <w:tcPr>
            <w:tcW w:w="4850" w:type="pct"/>
            <w:hideMark/>
          </w:tcPr>
          <w:p w:rsidR="00000000" w:rsidRDefault="004E30E9">
            <w:pPr>
              <w:pStyle w:val="a3"/>
              <w:spacing w:before="0" w:beforeAutospacing="0" w:after="0" w:afterAutospacing="0"/>
              <w:jc w:val="center"/>
              <w:rPr>
                <w:sz w:val="20"/>
                <w:szCs w:val="20"/>
              </w:rPr>
            </w:pPr>
            <w:r>
              <w:rPr>
                <w:b/>
                <w:bCs/>
                <w:sz w:val="20"/>
                <w:szCs w:val="20"/>
              </w:rPr>
              <w:t>ANNUAL REPORT PURSUANT T</w:t>
            </w:r>
            <w:r>
              <w:rPr>
                <w:b/>
                <w:bCs/>
                <w:sz w:val="20"/>
                <w:szCs w:val="20"/>
              </w:rPr>
              <w:t>O SECTION 13 OR 15(d) OF THE SECURITIES EXCHANGE ACT OF 1934</w:t>
            </w:r>
          </w:p>
        </w:tc>
      </w:tr>
    </w:tbl>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rPr>
          <w:sz w:val="20"/>
          <w:szCs w:val="20"/>
        </w:rPr>
      </w:pPr>
      <w:r>
        <w:rPr>
          <w:b/>
          <w:bCs/>
          <w:sz w:val="20"/>
          <w:szCs w:val="20"/>
        </w:rPr>
        <w:t>For the fiscal year ended December 31, 2020</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rPr>
          <w:sz w:val="20"/>
          <w:szCs w:val="20"/>
        </w:rPr>
      </w:pPr>
      <w:r>
        <w:rPr>
          <w:b/>
          <w:bCs/>
          <w:sz w:val="20"/>
          <w:szCs w:val="20"/>
        </w:rPr>
        <w:t>OR</w:t>
      </w:r>
    </w:p>
    <w:p w:rsidR="00000000" w:rsidRDefault="004E30E9">
      <w:pPr>
        <w:pStyle w:val="a3"/>
        <w:spacing w:before="0" w:beforeAutospacing="0" w:after="0" w:afterAutospacing="0"/>
        <w:divId w:val="3752018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
        <w:gridCol w:w="8057"/>
      </w:tblGrid>
      <w:tr w:rsidR="00000000">
        <w:trPr>
          <w:divId w:val="375201880"/>
          <w:tblCellSpacing w:w="0" w:type="dxa"/>
        </w:trPr>
        <w:tc>
          <w:tcPr>
            <w:tcW w:w="150" w:type="pct"/>
            <w:hideMark/>
          </w:tcPr>
          <w:p w:rsidR="00000000" w:rsidRDefault="004E30E9">
            <w:pPr>
              <w:pStyle w:val="a3"/>
              <w:spacing w:before="0" w:beforeAutospacing="0" w:after="0" w:afterAutospacing="0"/>
              <w:jc w:val="center"/>
              <w:rPr>
                <w:sz w:val="20"/>
                <w:szCs w:val="20"/>
              </w:rPr>
            </w:pPr>
            <w:r>
              <w:rPr>
                <w:rFonts w:ascii="Segoe UI Symbol" w:hAnsi="Segoe UI Symbol" w:cs="Segoe UI Symbol"/>
                <w:b/>
                <w:bCs/>
                <w:sz w:val="20"/>
                <w:szCs w:val="20"/>
              </w:rPr>
              <w:t>☐</w:t>
            </w:r>
          </w:p>
        </w:tc>
        <w:tc>
          <w:tcPr>
            <w:tcW w:w="4850" w:type="pct"/>
            <w:hideMark/>
          </w:tcPr>
          <w:p w:rsidR="00000000" w:rsidRDefault="004E30E9">
            <w:pPr>
              <w:pStyle w:val="a3"/>
              <w:spacing w:before="0" w:beforeAutospacing="0" w:after="0" w:afterAutospacing="0"/>
              <w:jc w:val="center"/>
              <w:rPr>
                <w:sz w:val="20"/>
                <w:szCs w:val="20"/>
              </w:rPr>
            </w:pPr>
            <w:r>
              <w:rPr>
                <w:b/>
                <w:bCs/>
                <w:sz w:val="20"/>
                <w:szCs w:val="20"/>
              </w:rPr>
              <w:t>TRANSITION REPORT PURSUANT TO SECTION 13 OR 15(d) OF THE SECURITIES EXCHANGE ACT OF 1934</w:t>
            </w:r>
          </w:p>
        </w:tc>
      </w:tr>
    </w:tbl>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rPr>
          <w:sz w:val="20"/>
          <w:szCs w:val="20"/>
        </w:rPr>
      </w:pPr>
      <w:r>
        <w:rPr>
          <w:b/>
          <w:bCs/>
          <w:sz w:val="20"/>
          <w:szCs w:val="20"/>
        </w:rPr>
        <w:t>For the transition period from __________ to __________</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rPr>
          <w:sz w:val="20"/>
          <w:szCs w:val="20"/>
        </w:rPr>
      </w:pPr>
      <w:r>
        <w:rPr>
          <w:b/>
          <w:bCs/>
          <w:sz w:val="20"/>
          <w:szCs w:val="20"/>
        </w:rPr>
        <w:t xml:space="preserve">Commission file number </w:t>
      </w:r>
      <w:r>
        <w:rPr>
          <w:b/>
          <w:bCs/>
          <w:sz w:val="20"/>
          <w:szCs w:val="20"/>
          <w:u w:val="single"/>
        </w:rPr>
        <w:t>1-10899</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rPr>
          <w:sz w:val="28"/>
          <w:szCs w:val="28"/>
        </w:rPr>
      </w:pPr>
      <w:r>
        <w:rPr>
          <w:b/>
          <w:bCs/>
          <w:sz w:val="28"/>
          <w:szCs w:val="28"/>
          <w:u w:val="single"/>
        </w:rPr>
        <w:t>Kimco Realty Corporation</w:t>
      </w:r>
    </w:p>
    <w:p w:rsidR="00000000" w:rsidRDefault="004E30E9">
      <w:pPr>
        <w:pStyle w:val="a3"/>
        <w:spacing w:before="0" w:beforeAutospacing="0" w:after="0" w:afterAutospacing="0"/>
        <w:jc w:val="center"/>
        <w:divId w:val="375201880"/>
        <w:rPr>
          <w:sz w:val="20"/>
          <w:szCs w:val="20"/>
        </w:rPr>
      </w:pPr>
      <w:r>
        <w:rPr>
          <w:sz w:val="20"/>
          <w:szCs w:val="20"/>
        </w:rPr>
        <w:t>(Exact name of registrant as specified in its ch</w:t>
      </w:r>
      <w:r>
        <w:rPr>
          <w:sz w:val="20"/>
          <w:szCs w:val="20"/>
        </w:rPr>
        <w:t>arter)</w:t>
      </w:r>
    </w:p>
    <w:p w:rsidR="00000000" w:rsidRDefault="004E30E9">
      <w:pPr>
        <w:pStyle w:val="a3"/>
        <w:spacing w:before="0" w:beforeAutospacing="0" w:after="0" w:afterAutospacing="0"/>
        <w:divId w:val="375201880"/>
        <w:rPr>
          <w:sz w:val="20"/>
          <w:szCs w:val="20"/>
        </w:rPr>
      </w:pPr>
      <w:r>
        <w:rPr>
          <w:sz w:val="20"/>
          <w:szCs w:val="20"/>
        </w:rPr>
        <w:t> </w:t>
      </w:r>
    </w:p>
    <w:tbl>
      <w:tblPr>
        <w:tblW w:w="3750" w:type="pct"/>
        <w:tblCellSpacing w:w="0" w:type="dxa"/>
        <w:tblInd w:w="12" w:type="dxa"/>
        <w:tblCellMar>
          <w:left w:w="0" w:type="dxa"/>
          <w:right w:w="0" w:type="dxa"/>
        </w:tblCellMar>
        <w:tblLook w:val="04A0" w:firstRow="1" w:lastRow="0" w:firstColumn="1" w:lastColumn="0" w:noHBand="0" w:noVBand="1"/>
      </w:tblPr>
      <w:tblGrid>
        <w:gridCol w:w="2492"/>
        <w:gridCol w:w="1246"/>
        <w:gridCol w:w="2492"/>
      </w:tblGrid>
      <w:tr w:rsidR="00000000">
        <w:trPr>
          <w:divId w:val="375201880"/>
          <w:tblCellSpacing w:w="0" w:type="dxa"/>
        </w:trPr>
        <w:tc>
          <w:tcPr>
            <w:tcW w:w="20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sz w:val="20"/>
                <w:szCs w:val="20"/>
              </w:rPr>
              <w:t>Maryland</w:t>
            </w:r>
          </w:p>
        </w:tc>
        <w:tc>
          <w:tcPr>
            <w:tcW w:w="1000" w:type="pct"/>
            <w:vAlign w:val="bottom"/>
            <w:hideMark/>
          </w:tcPr>
          <w:p w:rsidR="00000000" w:rsidRDefault="004E30E9">
            <w:pPr>
              <w:rPr>
                <w:rFonts w:eastAsia="Times New Roman"/>
                <w:sz w:val="20"/>
                <w:szCs w:val="20"/>
              </w:rPr>
            </w:pPr>
            <w:r>
              <w:rPr>
                <w:rFonts w:eastAsia="Times New Roman"/>
                <w:sz w:val="20"/>
                <w:szCs w:val="20"/>
              </w:rPr>
              <w:t> </w:t>
            </w:r>
          </w:p>
        </w:tc>
        <w:tc>
          <w:tcPr>
            <w:tcW w:w="20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sz w:val="20"/>
                <w:szCs w:val="20"/>
              </w:rPr>
              <w:t>13-2744380</w:t>
            </w:r>
          </w:p>
        </w:tc>
      </w:tr>
      <w:tr w:rsidR="00000000">
        <w:trPr>
          <w:divId w:val="375201880"/>
          <w:tblCellSpacing w:w="0" w:type="dxa"/>
        </w:trPr>
        <w:tc>
          <w:tcPr>
            <w:tcW w:w="2000" w:type="pct"/>
            <w:tcBorders>
              <w:bottom w:val="nil"/>
            </w:tcBorders>
            <w:hideMark/>
          </w:tcPr>
          <w:p w:rsidR="00000000" w:rsidRDefault="004E30E9">
            <w:pPr>
              <w:pStyle w:val="a3"/>
              <w:spacing w:before="0" w:beforeAutospacing="0" w:after="0" w:afterAutospacing="0"/>
              <w:jc w:val="center"/>
              <w:rPr>
                <w:sz w:val="20"/>
                <w:szCs w:val="20"/>
              </w:rPr>
            </w:pPr>
            <w:r>
              <w:rPr>
                <w:sz w:val="20"/>
                <w:szCs w:val="20"/>
              </w:rPr>
              <w:t>(State or other jurisdiction of</w:t>
            </w:r>
          </w:p>
          <w:p w:rsidR="00000000" w:rsidRDefault="004E30E9">
            <w:pPr>
              <w:pStyle w:val="a3"/>
              <w:spacing w:before="0" w:beforeAutospacing="0" w:after="0" w:afterAutospacing="0"/>
              <w:jc w:val="center"/>
              <w:rPr>
                <w:sz w:val="20"/>
                <w:szCs w:val="20"/>
              </w:rPr>
            </w:pPr>
            <w:r>
              <w:rPr>
                <w:sz w:val="20"/>
                <w:szCs w:val="20"/>
              </w:rPr>
              <w:t>incorporation or organization)</w:t>
            </w:r>
          </w:p>
        </w:tc>
        <w:tc>
          <w:tcPr>
            <w:tcW w:w="1000" w:type="pct"/>
            <w:vAlign w:val="bottom"/>
            <w:hideMark/>
          </w:tcPr>
          <w:p w:rsidR="00000000" w:rsidRDefault="004E30E9">
            <w:pPr>
              <w:rPr>
                <w:rFonts w:eastAsia="Times New Roman"/>
                <w:sz w:val="20"/>
                <w:szCs w:val="20"/>
              </w:rPr>
            </w:pPr>
            <w:r>
              <w:rPr>
                <w:rFonts w:eastAsia="Times New Roman"/>
                <w:sz w:val="20"/>
                <w:szCs w:val="20"/>
              </w:rPr>
              <w:t> </w:t>
            </w:r>
          </w:p>
        </w:tc>
        <w:tc>
          <w:tcPr>
            <w:tcW w:w="2000" w:type="pct"/>
            <w:tcBorders>
              <w:bottom w:val="nil"/>
            </w:tcBorders>
            <w:hideMark/>
          </w:tcPr>
          <w:p w:rsidR="00000000" w:rsidRDefault="004E30E9">
            <w:pPr>
              <w:pStyle w:val="a3"/>
              <w:spacing w:before="0" w:beforeAutospacing="0" w:after="0" w:afterAutospacing="0"/>
              <w:jc w:val="center"/>
              <w:rPr>
                <w:sz w:val="20"/>
                <w:szCs w:val="20"/>
              </w:rPr>
            </w:pPr>
            <w:r>
              <w:rPr>
                <w:sz w:val="20"/>
                <w:szCs w:val="20"/>
              </w:rPr>
              <w:t>(I.R.S. Employer Identification No.)</w:t>
            </w:r>
          </w:p>
        </w:tc>
      </w:tr>
    </w:tbl>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rPr>
          <w:sz w:val="20"/>
          <w:szCs w:val="20"/>
        </w:rPr>
      </w:pPr>
      <w:r>
        <w:rPr>
          <w:b/>
          <w:bCs/>
          <w:sz w:val="20"/>
          <w:szCs w:val="20"/>
          <w:u w:val="single"/>
        </w:rPr>
        <w:t>500 North Broadway, Suite 201, Jericho, NY 11753</w:t>
      </w:r>
    </w:p>
    <w:p w:rsidR="00000000" w:rsidRDefault="004E30E9">
      <w:pPr>
        <w:pStyle w:val="a3"/>
        <w:spacing w:before="0" w:beforeAutospacing="0" w:after="0" w:afterAutospacing="0"/>
        <w:jc w:val="center"/>
        <w:divId w:val="375201880"/>
        <w:rPr>
          <w:sz w:val="20"/>
          <w:szCs w:val="20"/>
        </w:rPr>
      </w:pPr>
      <w:r>
        <w:rPr>
          <w:sz w:val="20"/>
          <w:szCs w:val="20"/>
        </w:rPr>
        <w:t>(Address of principal executive offices)     (Zip Code)</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rPr>
          <w:sz w:val="20"/>
          <w:szCs w:val="20"/>
        </w:rPr>
      </w:pPr>
      <w:r>
        <w:rPr>
          <w:b/>
          <w:bCs/>
          <w:sz w:val="20"/>
          <w:szCs w:val="20"/>
          <w:u w:val="single"/>
        </w:rPr>
        <w:t>(516) 869-9000</w:t>
      </w:r>
    </w:p>
    <w:p w:rsidR="00000000" w:rsidRDefault="004E30E9">
      <w:pPr>
        <w:pStyle w:val="a3"/>
        <w:spacing w:before="0" w:beforeAutospacing="0" w:after="0" w:afterAutospacing="0"/>
        <w:jc w:val="center"/>
        <w:divId w:val="375201880"/>
        <w:rPr>
          <w:sz w:val="20"/>
          <w:szCs w:val="20"/>
        </w:rPr>
      </w:pPr>
      <w:r>
        <w:rPr>
          <w:sz w:val="20"/>
          <w:szCs w:val="20"/>
        </w:rPr>
        <w:t>(Registrant’s telephone number, including area code)</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rPr>
          <w:sz w:val="20"/>
          <w:szCs w:val="20"/>
        </w:rPr>
      </w:pPr>
      <w:r>
        <w:rPr>
          <w:sz w:val="20"/>
          <w:szCs w:val="20"/>
        </w:rPr>
        <w:t>Securities registered pursuant to Section 12(b) of the Act:</w:t>
      </w:r>
    </w:p>
    <w:p w:rsidR="00000000" w:rsidRDefault="004E30E9">
      <w:pPr>
        <w:pStyle w:val="a3"/>
        <w:spacing w:before="0" w:beforeAutospacing="0" w:after="0" w:afterAutospacing="0"/>
        <w:jc w:val="center"/>
        <w:divId w:val="3752018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6"/>
        <w:gridCol w:w="834"/>
        <w:gridCol w:w="2906"/>
      </w:tblGrid>
      <w:tr w:rsidR="00000000">
        <w:trPr>
          <w:divId w:val="375201880"/>
          <w:tblCellSpacing w:w="0" w:type="dxa"/>
        </w:trPr>
        <w:tc>
          <w:tcPr>
            <w:tcW w:w="2750" w:type="pct"/>
            <w:vAlign w:val="center"/>
            <w:hideMark/>
          </w:tcPr>
          <w:p w:rsidR="00000000" w:rsidRDefault="004E30E9">
            <w:pPr>
              <w:jc w:val="center"/>
              <w:rPr>
                <w:rFonts w:eastAsia="Times New Roman"/>
                <w:sz w:val="20"/>
                <w:szCs w:val="20"/>
              </w:rPr>
            </w:pPr>
            <w:r>
              <w:rPr>
                <w:rFonts w:eastAsia="Times New Roman"/>
                <w:sz w:val="20"/>
                <w:szCs w:val="20"/>
                <w:u w:val="single"/>
              </w:rPr>
              <w:t>Title of each class</w:t>
            </w:r>
          </w:p>
        </w:tc>
        <w:tc>
          <w:tcPr>
            <w:tcW w:w="500" w:type="pct"/>
            <w:hideMark/>
          </w:tcPr>
          <w:p w:rsidR="00000000" w:rsidRDefault="004E30E9">
            <w:pPr>
              <w:pStyle w:val="a3"/>
              <w:spacing w:before="0" w:beforeAutospacing="0" w:after="0" w:afterAutospacing="0"/>
              <w:jc w:val="center"/>
              <w:rPr>
                <w:sz w:val="20"/>
                <w:szCs w:val="20"/>
              </w:rPr>
            </w:pPr>
            <w:r>
              <w:rPr>
                <w:sz w:val="20"/>
                <w:szCs w:val="20"/>
                <w:u w:val="single"/>
              </w:rPr>
              <w:t>Trading</w:t>
            </w:r>
          </w:p>
          <w:p w:rsidR="00000000" w:rsidRDefault="004E30E9">
            <w:pPr>
              <w:pStyle w:val="a3"/>
              <w:spacing w:before="0" w:beforeAutospacing="0" w:after="0" w:afterAutospacing="0"/>
              <w:jc w:val="center"/>
              <w:rPr>
                <w:sz w:val="20"/>
                <w:szCs w:val="20"/>
              </w:rPr>
            </w:pPr>
            <w:r>
              <w:rPr>
                <w:sz w:val="20"/>
                <w:szCs w:val="20"/>
                <w:u w:val="single"/>
              </w:rPr>
              <w:t>Symbol(s)</w:t>
            </w:r>
          </w:p>
        </w:tc>
        <w:tc>
          <w:tcPr>
            <w:tcW w:w="1750" w:type="pct"/>
            <w:vAlign w:val="center"/>
            <w:hideMark/>
          </w:tcPr>
          <w:p w:rsidR="00000000" w:rsidRDefault="004E30E9">
            <w:pPr>
              <w:pStyle w:val="a3"/>
              <w:spacing w:before="0" w:beforeAutospacing="0" w:after="0" w:afterAutospacing="0"/>
              <w:jc w:val="center"/>
              <w:rPr>
                <w:sz w:val="20"/>
                <w:szCs w:val="20"/>
              </w:rPr>
            </w:pPr>
            <w:r>
              <w:rPr>
                <w:sz w:val="20"/>
                <w:szCs w:val="20"/>
                <w:u w:val="single"/>
              </w:rPr>
              <w:t>Name of each exchange on</w:t>
            </w:r>
          </w:p>
          <w:p w:rsidR="00000000" w:rsidRDefault="004E30E9">
            <w:pPr>
              <w:pStyle w:val="a3"/>
              <w:spacing w:before="0" w:beforeAutospacing="0" w:after="0" w:afterAutospacing="0"/>
              <w:jc w:val="center"/>
              <w:rPr>
                <w:sz w:val="20"/>
                <w:szCs w:val="20"/>
              </w:rPr>
            </w:pPr>
            <w:r>
              <w:rPr>
                <w:sz w:val="20"/>
                <w:szCs w:val="20"/>
                <w:u w:val="single"/>
              </w:rPr>
              <w:t>whi</w:t>
            </w:r>
            <w:r>
              <w:rPr>
                <w:sz w:val="20"/>
                <w:szCs w:val="20"/>
                <w:u w:val="single"/>
              </w:rPr>
              <w:t>ch registered</w:t>
            </w:r>
          </w:p>
        </w:tc>
      </w:tr>
      <w:tr w:rsidR="00000000">
        <w:trPr>
          <w:divId w:val="375201880"/>
          <w:tblCellSpacing w:w="0" w:type="dxa"/>
        </w:trPr>
        <w:tc>
          <w:tcPr>
            <w:tcW w:w="2750" w:type="pct"/>
            <w:vAlign w:val="center"/>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rPr>
                <w:rFonts w:eastAsia="Times New Roman"/>
                <w:sz w:val="20"/>
                <w:szCs w:val="20"/>
              </w:rPr>
            </w:pPr>
            <w:r>
              <w:rPr>
                <w:rFonts w:eastAsia="Times New Roman"/>
                <w:sz w:val="20"/>
                <w:szCs w:val="20"/>
              </w:rPr>
              <w:t> </w:t>
            </w:r>
          </w:p>
        </w:tc>
        <w:tc>
          <w:tcPr>
            <w:tcW w:w="1750" w:type="pct"/>
            <w:vAlign w:val="center"/>
            <w:hideMark/>
          </w:tcPr>
          <w:p w:rsidR="00000000" w:rsidRDefault="004E30E9">
            <w:pPr>
              <w:rPr>
                <w:rFonts w:eastAsia="Times New Roman"/>
                <w:sz w:val="20"/>
                <w:szCs w:val="20"/>
              </w:rPr>
            </w:pPr>
            <w:r>
              <w:rPr>
                <w:rFonts w:eastAsia="Times New Roman"/>
                <w:sz w:val="20"/>
                <w:szCs w:val="20"/>
              </w:rPr>
              <w:t> </w:t>
            </w:r>
          </w:p>
        </w:tc>
      </w:tr>
      <w:tr w:rsidR="00000000">
        <w:trPr>
          <w:divId w:val="375201880"/>
          <w:tblCellSpacing w:w="0" w:type="dxa"/>
        </w:trPr>
        <w:tc>
          <w:tcPr>
            <w:tcW w:w="2750" w:type="pct"/>
            <w:shd w:val="clear" w:color="auto" w:fill="CCEEFF"/>
            <w:vAlign w:val="center"/>
            <w:hideMark/>
          </w:tcPr>
          <w:p w:rsidR="00000000" w:rsidRDefault="004E30E9">
            <w:pPr>
              <w:pStyle w:val="a3"/>
              <w:spacing w:before="0" w:beforeAutospacing="0" w:after="0" w:afterAutospacing="0"/>
              <w:ind w:left="165" w:hanging="165"/>
              <w:rPr>
                <w:sz w:val="20"/>
                <w:szCs w:val="20"/>
              </w:rPr>
            </w:pPr>
            <w:r>
              <w:rPr>
                <w:sz w:val="20"/>
                <w:szCs w:val="20"/>
              </w:rPr>
              <w:t>Common Stock, par value $.01 per share.</w:t>
            </w:r>
          </w:p>
        </w:tc>
        <w:tc>
          <w:tcPr>
            <w:tcW w:w="50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KIM</w:t>
            </w:r>
          </w:p>
        </w:tc>
        <w:tc>
          <w:tcPr>
            <w:tcW w:w="1750" w:type="pct"/>
            <w:shd w:val="clear" w:color="auto" w:fill="CCEEFF"/>
            <w:vAlign w:val="center"/>
            <w:hideMark/>
          </w:tcPr>
          <w:p w:rsidR="00000000" w:rsidRDefault="004E30E9">
            <w:pPr>
              <w:pStyle w:val="a3"/>
              <w:spacing w:before="0" w:beforeAutospacing="0" w:after="0" w:afterAutospacing="0"/>
              <w:jc w:val="center"/>
              <w:rPr>
                <w:sz w:val="20"/>
                <w:szCs w:val="20"/>
              </w:rPr>
            </w:pPr>
            <w:r>
              <w:rPr>
                <w:sz w:val="20"/>
                <w:szCs w:val="20"/>
              </w:rPr>
              <w:t>New York Stock Exchange</w:t>
            </w:r>
          </w:p>
        </w:tc>
      </w:tr>
      <w:tr w:rsidR="00000000">
        <w:trPr>
          <w:divId w:val="375201880"/>
          <w:tblCellSpacing w:w="0" w:type="dxa"/>
        </w:trPr>
        <w:tc>
          <w:tcPr>
            <w:tcW w:w="2750" w:type="pct"/>
            <w:shd w:val="clear" w:color="auto" w:fill="FFFFFF"/>
            <w:vAlign w:val="center"/>
            <w:hideMark/>
          </w:tcPr>
          <w:p w:rsidR="00000000" w:rsidRDefault="004E30E9">
            <w:pPr>
              <w:pStyle w:val="a3"/>
              <w:spacing w:before="0" w:beforeAutospacing="0" w:after="0" w:afterAutospacing="0"/>
              <w:rPr>
                <w:sz w:val="20"/>
                <w:szCs w:val="20"/>
              </w:rPr>
            </w:pPr>
            <w:r>
              <w:rPr>
                <w:sz w:val="20"/>
                <w:szCs w:val="20"/>
              </w:rPr>
              <w:t>Depositary Shares, each representing one-thousandth of a share of 5.125% Class L Cumulative Redeemable, Preferred Stock, $1.00 par value per share.</w:t>
            </w:r>
          </w:p>
        </w:tc>
        <w:tc>
          <w:tcPr>
            <w:tcW w:w="500"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KIMprL</w:t>
            </w:r>
          </w:p>
        </w:tc>
        <w:tc>
          <w:tcPr>
            <w:tcW w:w="1750" w:type="pct"/>
            <w:shd w:val="clear" w:color="auto" w:fill="FFFFFF"/>
            <w:vAlign w:val="center"/>
            <w:hideMark/>
          </w:tcPr>
          <w:p w:rsidR="00000000" w:rsidRDefault="004E30E9">
            <w:pPr>
              <w:pStyle w:val="a3"/>
              <w:spacing w:before="0" w:beforeAutospacing="0" w:after="0" w:afterAutospacing="0"/>
              <w:jc w:val="center"/>
              <w:rPr>
                <w:sz w:val="20"/>
                <w:szCs w:val="20"/>
              </w:rPr>
            </w:pPr>
            <w:r>
              <w:rPr>
                <w:sz w:val="20"/>
                <w:szCs w:val="20"/>
              </w:rPr>
              <w:t>New York Stock Exchange</w:t>
            </w:r>
          </w:p>
        </w:tc>
      </w:tr>
      <w:tr w:rsidR="00000000">
        <w:trPr>
          <w:divId w:val="375201880"/>
          <w:tblCellSpacing w:w="0" w:type="dxa"/>
        </w:trPr>
        <w:tc>
          <w:tcPr>
            <w:tcW w:w="2750" w:type="pct"/>
            <w:shd w:val="clear" w:color="auto" w:fill="CCEEFF"/>
            <w:vAlign w:val="center"/>
            <w:hideMark/>
          </w:tcPr>
          <w:p w:rsidR="00000000" w:rsidRDefault="004E30E9">
            <w:pPr>
              <w:pStyle w:val="a3"/>
              <w:spacing w:before="0" w:beforeAutospacing="0" w:after="0" w:afterAutospacing="0"/>
              <w:rPr>
                <w:sz w:val="20"/>
                <w:szCs w:val="20"/>
              </w:rPr>
            </w:pPr>
            <w:r>
              <w:rPr>
                <w:sz w:val="20"/>
                <w:szCs w:val="20"/>
              </w:rPr>
              <w:t>Depositary Shares, each representing one-thousandth of a share of 5.250% Cla</w:t>
            </w:r>
            <w:r>
              <w:rPr>
                <w:sz w:val="20"/>
                <w:szCs w:val="20"/>
              </w:rPr>
              <w:t>ss M Cumulative Redeemable Preferred Stock, $1.00 par value per share.</w:t>
            </w:r>
          </w:p>
        </w:tc>
        <w:tc>
          <w:tcPr>
            <w:tcW w:w="50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KIMprM</w:t>
            </w:r>
          </w:p>
        </w:tc>
        <w:tc>
          <w:tcPr>
            <w:tcW w:w="1750" w:type="pct"/>
            <w:shd w:val="clear" w:color="auto" w:fill="CCEEFF"/>
            <w:vAlign w:val="center"/>
            <w:hideMark/>
          </w:tcPr>
          <w:p w:rsidR="00000000" w:rsidRDefault="004E30E9">
            <w:pPr>
              <w:pStyle w:val="a3"/>
              <w:spacing w:before="0" w:beforeAutospacing="0" w:after="0" w:afterAutospacing="0"/>
              <w:jc w:val="center"/>
              <w:rPr>
                <w:sz w:val="20"/>
                <w:szCs w:val="20"/>
              </w:rPr>
            </w:pPr>
            <w:r>
              <w:rPr>
                <w:sz w:val="20"/>
                <w:szCs w:val="20"/>
              </w:rPr>
              <w:t>New York Stock Exchange</w:t>
            </w:r>
          </w:p>
        </w:tc>
      </w:tr>
    </w:tbl>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ind w:firstLine="360"/>
        <w:divId w:val="375201880"/>
        <w:rPr>
          <w:sz w:val="20"/>
          <w:szCs w:val="20"/>
        </w:rPr>
      </w:pPr>
      <w:r>
        <w:rPr>
          <w:sz w:val="20"/>
          <w:szCs w:val="20"/>
        </w:rPr>
        <w:t>Securities registered pursuant to section 12(g) of the Act:      None</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ind w:firstLine="360"/>
        <w:divId w:val="375201880"/>
        <w:rPr>
          <w:sz w:val="20"/>
          <w:szCs w:val="20"/>
        </w:rPr>
      </w:pPr>
      <w:r>
        <w:rPr>
          <w:sz w:val="20"/>
          <w:szCs w:val="20"/>
        </w:rPr>
        <w:t xml:space="preserve">Indicate by check mark if the registrant is a well-known seasoned issuer, as defined in Rule 405 of the Securities Act.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ind w:firstLine="360"/>
        <w:divId w:val="375201880"/>
        <w:rPr>
          <w:sz w:val="20"/>
          <w:szCs w:val="20"/>
        </w:rPr>
      </w:pPr>
      <w:r>
        <w:rPr>
          <w:sz w:val="20"/>
          <w:szCs w:val="20"/>
        </w:rPr>
        <w:t>Indicate by check mark if the registrant is not required to file reports pursuant to Section 13 or Section 15(d) of the Act</w:t>
      </w:r>
      <w:r>
        <w:rPr>
          <w:sz w:val="20"/>
          <w:szCs w:val="20"/>
        </w:rPr>
        <w:t xml:space="preserve">. Yes </w:t>
      </w:r>
      <w:r>
        <w:rPr>
          <w:rFonts w:ascii="Segoe UI Symbol" w:hAnsi="Segoe UI Symbol" w:cs="Segoe UI Symbol"/>
          <w:sz w:val="20"/>
          <w:szCs w:val="20"/>
        </w:rPr>
        <w:t>☐</w:t>
      </w:r>
      <w:r>
        <w:rPr>
          <w:sz w:val="20"/>
          <w:szCs w:val="20"/>
        </w:rPr>
        <w:t xml:space="preserve"> No </w:t>
      </w:r>
      <w:r>
        <w:rPr>
          <w:rFonts w:ascii="Segoe UI Emoji" w:hAnsi="Segoe UI Emoji" w:cs="Segoe UI Emoji"/>
          <w:sz w:val="20"/>
          <w:szCs w:val="20"/>
        </w:rPr>
        <w:t>☑</w:t>
      </w:r>
    </w:p>
    <w:p w:rsidR="00000000" w:rsidRDefault="004E30E9">
      <w:pPr>
        <w:pStyle w:val="a3"/>
        <w:spacing w:before="0" w:beforeAutospacing="0" w:after="0" w:afterAutospacing="0"/>
        <w:divId w:val="375201880"/>
        <w:rPr>
          <w:sz w:val="20"/>
          <w:szCs w:val="20"/>
        </w:rPr>
      </w:pPr>
      <w:r>
        <w:rPr>
          <w:sz w:val="20"/>
          <w:szCs w:val="20"/>
        </w:rPr>
        <w:lastRenderedPageBreak/>
        <w:t> </w:t>
      </w:r>
    </w:p>
    <w:p w:rsidR="00000000" w:rsidRDefault="004E30E9">
      <w:pPr>
        <w:pStyle w:val="a3"/>
        <w:spacing w:before="0" w:beforeAutospacing="0" w:after="0" w:afterAutospacing="0"/>
        <w:ind w:firstLine="360"/>
        <w:divId w:val="375201880"/>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w:t>
      </w:r>
      <w:r>
        <w:rPr>
          <w:sz w:val="20"/>
          <w:szCs w:val="20"/>
        </w:rPr>
        <w:t xml:space="preserve">uired to file such reports), and (2) has been subject to such filing requirements for the past 90 days.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ind w:firstLine="360"/>
        <w:divId w:val="375201880"/>
        <w:rPr>
          <w:sz w:val="20"/>
          <w:szCs w:val="20"/>
        </w:rPr>
      </w:pPr>
      <w:r>
        <w:rPr>
          <w:sz w:val="20"/>
          <w:szCs w:val="20"/>
        </w:rPr>
        <w:t>Indicate by check mark whether the registrant has submitted electronically every Interactive Data File required to be submitted pursuant to</w:t>
      </w:r>
      <w:r>
        <w:rPr>
          <w:sz w:val="20"/>
          <w:szCs w:val="20"/>
        </w:rPr>
        <w:t xml:space="preserve"> Rule 405 of Regulation S-T (§ 232.405 of this chapter) during the preceding 12 months (or for such shorter period that the registrant was required to submit such files).    Yes </w:t>
      </w:r>
      <w:r>
        <w:rPr>
          <w:rFonts w:ascii="Segoe UI Emoji" w:hAnsi="Segoe UI Emoji" w:cs="Segoe UI Emoji"/>
          <w:sz w:val="20"/>
          <w:szCs w:val="20"/>
        </w:rPr>
        <w:t>☑</w:t>
      </w:r>
      <w:r>
        <w:rPr>
          <w:sz w:val="20"/>
          <w:szCs w:val="20"/>
        </w:rPr>
        <w:t xml:space="preserve"> No </w:t>
      </w:r>
      <w:r>
        <w:rPr>
          <w:rFonts w:ascii="Segoe UI Symbol" w:hAnsi="Segoe UI Symbol" w:cs="Segoe UI Symbol"/>
          <w:sz w:val="20"/>
          <w:szCs w:val="20"/>
        </w:rPr>
        <w:t>☐</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ind w:firstLine="360"/>
        <w:divId w:val="375201880"/>
        <w:rPr>
          <w:sz w:val="20"/>
          <w:szCs w:val="20"/>
        </w:rPr>
      </w:pPr>
      <w:r>
        <w:rPr>
          <w:sz w:val="20"/>
          <w:szCs w:val="20"/>
        </w:rPr>
        <w:t xml:space="preserve">Indicate by check mark whether the registrant is a large accelerated </w:t>
      </w:r>
      <w:r>
        <w:rPr>
          <w:sz w:val="20"/>
          <w:szCs w:val="20"/>
        </w:rPr>
        <w:t>filer, an accelerated filer, a non-accelerated filer, a smaller reporting company, or an emerging growth company. See the definitions of “large accelerated filer,” “accelerated filer,” “smaller reporting company,” and “emerging growth company” in Rule 12b-</w:t>
      </w:r>
      <w:r>
        <w:rPr>
          <w:sz w:val="20"/>
          <w:szCs w:val="20"/>
        </w:rPr>
        <w:t>2 of the Exchange Act.</w:t>
      </w:r>
    </w:p>
    <w:p w:rsidR="00000000" w:rsidRDefault="004E30E9">
      <w:pPr>
        <w:pStyle w:val="a3"/>
        <w:spacing w:before="0" w:beforeAutospacing="0" w:after="0" w:afterAutospacing="0"/>
        <w:divId w:val="375201880"/>
        <w:rPr>
          <w:sz w:val="20"/>
          <w:szCs w:val="20"/>
        </w:rPr>
      </w:pPr>
      <w:r>
        <w:rPr>
          <w:sz w:val="20"/>
          <w:szCs w:val="20"/>
        </w:rPr>
        <w:t> </w:t>
      </w:r>
    </w:p>
    <w:tbl>
      <w:tblPr>
        <w:tblW w:w="3000" w:type="pct"/>
        <w:tblCellSpacing w:w="0" w:type="dxa"/>
        <w:tblInd w:w="20" w:type="dxa"/>
        <w:tblCellMar>
          <w:left w:w="0" w:type="dxa"/>
          <w:right w:w="0" w:type="dxa"/>
        </w:tblCellMar>
        <w:tblLook w:val="04A0" w:firstRow="1" w:lastRow="0" w:firstColumn="1" w:lastColumn="0" w:noHBand="0" w:noVBand="1"/>
      </w:tblPr>
      <w:tblGrid>
        <w:gridCol w:w="1993"/>
        <w:gridCol w:w="748"/>
        <w:gridCol w:w="1994"/>
        <w:gridCol w:w="249"/>
      </w:tblGrid>
      <w:tr w:rsidR="00000000">
        <w:trPr>
          <w:divId w:val="375201880"/>
          <w:tblCellSpacing w:w="0" w:type="dxa"/>
        </w:trPr>
        <w:tc>
          <w:tcPr>
            <w:tcW w:w="2000" w:type="pct"/>
            <w:hideMark/>
          </w:tcPr>
          <w:p w:rsidR="00000000" w:rsidRDefault="004E30E9">
            <w:pPr>
              <w:pStyle w:val="a3"/>
              <w:spacing w:before="0" w:beforeAutospacing="0" w:after="0" w:afterAutospacing="0"/>
              <w:rPr>
                <w:sz w:val="20"/>
                <w:szCs w:val="20"/>
              </w:rPr>
            </w:pPr>
            <w:r>
              <w:rPr>
                <w:sz w:val="20"/>
                <w:szCs w:val="20"/>
              </w:rPr>
              <w:t>Large accelerated filer</w:t>
            </w:r>
          </w:p>
        </w:tc>
        <w:tc>
          <w:tcPr>
            <w:tcW w:w="750" w:type="pct"/>
            <w:hideMark/>
          </w:tcPr>
          <w:p w:rsidR="00000000" w:rsidRDefault="004E30E9">
            <w:pPr>
              <w:pStyle w:val="a3"/>
              <w:spacing w:before="0" w:beforeAutospacing="0" w:after="0" w:afterAutospacing="0"/>
              <w:rPr>
                <w:sz w:val="20"/>
                <w:szCs w:val="20"/>
              </w:rPr>
            </w:pPr>
            <w:r>
              <w:rPr>
                <w:rFonts w:ascii="Segoe UI Emoji" w:hAnsi="Segoe UI Emoji" w:cs="Segoe UI Emoji"/>
                <w:sz w:val="20"/>
                <w:szCs w:val="20"/>
              </w:rPr>
              <w:t>☑</w:t>
            </w:r>
          </w:p>
        </w:tc>
        <w:tc>
          <w:tcPr>
            <w:tcW w:w="2000" w:type="pct"/>
            <w:hideMark/>
          </w:tcPr>
          <w:p w:rsidR="00000000" w:rsidRDefault="004E30E9">
            <w:pPr>
              <w:pStyle w:val="a3"/>
              <w:spacing w:before="0" w:beforeAutospacing="0" w:after="0" w:afterAutospacing="0"/>
              <w:rPr>
                <w:sz w:val="20"/>
                <w:szCs w:val="20"/>
              </w:rPr>
            </w:pPr>
            <w:r>
              <w:rPr>
                <w:sz w:val="20"/>
                <w:szCs w:val="20"/>
              </w:rPr>
              <w:t>Accelerated filer</w:t>
            </w:r>
          </w:p>
        </w:tc>
        <w:tc>
          <w:tcPr>
            <w:tcW w:w="250" w:type="pct"/>
            <w:hideMark/>
          </w:tcPr>
          <w:p w:rsidR="00000000" w:rsidRDefault="004E30E9">
            <w:pPr>
              <w:pStyle w:val="a3"/>
              <w:spacing w:before="0" w:beforeAutospacing="0" w:after="0" w:afterAutospacing="0"/>
              <w:rPr>
                <w:sz w:val="20"/>
                <w:szCs w:val="20"/>
              </w:rPr>
            </w:pPr>
            <w:r>
              <w:rPr>
                <w:rFonts w:ascii="Segoe UI Symbol" w:hAnsi="Segoe UI Symbol" w:cs="Segoe UI Symbol"/>
                <w:sz w:val="20"/>
                <w:szCs w:val="20"/>
              </w:rPr>
              <w:t>☐</w:t>
            </w:r>
          </w:p>
        </w:tc>
      </w:tr>
      <w:tr w:rsidR="00000000">
        <w:trPr>
          <w:divId w:val="375201880"/>
          <w:tblCellSpacing w:w="0" w:type="dxa"/>
        </w:trPr>
        <w:tc>
          <w:tcPr>
            <w:tcW w:w="2000" w:type="pct"/>
            <w:hideMark/>
          </w:tcPr>
          <w:p w:rsidR="00000000" w:rsidRDefault="004E30E9">
            <w:pPr>
              <w:pStyle w:val="a3"/>
              <w:spacing w:before="0" w:beforeAutospacing="0" w:after="0" w:afterAutospacing="0"/>
              <w:rPr>
                <w:sz w:val="20"/>
                <w:szCs w:val="20"/>
              </w:rPr>
            </w:pPr>
            <w:r>
              <w:rPr>
                <w:sz w:val="20"/>
                <w:szCs w:val="20"/>
              </w:rPr>
              <w:t>Non-accelerated filer</w:t>
            </w:r>
          </w:p>
        </w:tc>
        <w:tc>
          <w:tcPr>
            <w:tcW w:w="750" w:type="pct"/>
            <w:hideMark/>
          </w:tcPr>
          <w:p w:rsidR="00000000" w:rsidRDefault="004E30E9">
            <w:pPr>
              <w:pStyle w:val="a3"/>
              <w:spacing w:before="0" w:beforeAutospacing="0" w:after="0" w:afterAutospacing="0"/>
              <w:rPr>
                <w:sz w:val="20"/>
                <w:szCs w:val="20"/>
              </w:rPr>
            </w:pPr>
            <w:r>
              <w:rPr>
                <w:rFonts w:ascii="Segoe UI Symbol" w:hAnsi="Segoe UI Symbol" w:cs="Segoe UI Symbol"/>
                <w:sz w:val="20"/>
                <w:szCs w:val="20"/>
              </w:rPr>
              <w:t>☐</w:t>
            </w:r>
          </w:p>
        </w:tc>
        <w:tc>
          <w:tcPr>
            <w:tcW w:w="2000" w:type="pct"/>
            <w:hideMark/>
          </w:tcPr>
          <w:p w:rsidR="00000000" w:rsidRDefault="004E30E9">
            <w:pPr>
              <w:pStyle w:val="a3"/>
              <w:spacing w:before="0" w:beforeAutospacing="0" w:after="0" w:afterAutospacing="0"/>
              <w:rPr>
                <w:sz w:val="20"/>
                <w:szCs w:val="20"/>
              </w:rPr>
            </w:pPr>
            <w:r>
              <w:rPr>
                <w:sz w:val="20"/>
                <w:szCs w:val="20"/>
              </w:rPr>
              <w:t>Smaller reporting company</w:t>
            </w:r>
          </w:p>
        </w:tc>
        <w:tc>
          <w:tcPr>
            <w:tcW w:w="250" w:type="pct"/>
            <w:hideMark/>
          </w:tcPr>
          <w:p w:rsidR="00000000" w:rsidRDefault="004E30E9">
            <w:pPr>
              <w:pStyle w:val="a3"/>
              <w:spacing w:before="0" w:beforeAutospacing="0" w:after="0" w:afterAutospacing="0"/>
              <w:rPr>
                <w:sz w:val="20"/>
                <w:szCs w:val="20"/>
              </w:rPr>
            </w:pPr>
            <w:r>
              <w:rPr>
                <w:rFonts w:ascii="Segoe UI Symbol" w:hAnsi="Segoe UI Symbol" w:cs="Segoe UI Symbol"/>
                <w:sz w:val="20"/>
                <w:szCs w:val="20"/>
              </w:rPr>
              <w:t>☐</w:t>
            </w:r>
          </w:p>
        </w:tc>
      </w:tr>
      <w:tr w:rsidR="00000000">
        <w:trPr>
          <w:divId w:val="375201880"/>
          <w:tblCellSpacing w:w="0" w:type="dxa"/>
        </w:trPr>
        <w:tc>
          <w:tcPr>
            <w:tcW w:w="2000" w:type="pct"/>
            <w:hideMark/>
          </w:tcPr>
          <w:p w:rsidR="00000000" w:rsidRDefault="004E30E9">
            <w:pPr>
              <w:pStyle w:val="a3"/>
              <w:spacing w:before="0" w:beforeAutospacing="0" w:after="0" w:afterAutospacing="0"/>
              <w:rPr>
                <w:sz w:val="20"/>
                <w:szCs w:val="20"/>
              </w:rPr>
            </w:pPr>
            <w:r>
              <w:rPr>
                <w:sz w:val="20"/>
                <w:szCs w:val="20"/>
              </w:rPr>
              <w:t>Emerging growth company</w:t>
            </w:r>
          </w:p>
        </w:tc>
        <w:tc>
          <w:tcPr>
            <w:tcW w:w="750" w:type="pct"/>
            <w:hideMark/>
          </w:tcPr>
          <w:p w:rsidR="00000000" w:rsidRDefault="004E30E9">
            <w:pPr>
              <w:pStyle w:val="a3"/>
              <w:spacing w:before="0" w:beforeAutospacing="0" w:after="0" w:afterAutospacing="0"/>
              <w:rPr>
                <w:sz w:val="20"/>
                <w:szCs w:val="20"/>
              </w:rPr>
            </w:pPr>
            <w:r>
              <w:rPr>
                <w:rFonts w:ascii="Segoe UI Symbol" w:hAnsi="Segoe UI Symbol" w:cs="Segoe UI Symbol"/>
                <w:sz w:val="20"/>
                <w:szCs w:val="20"/>
              </w:rPr>
              <w:t>☐</w:t>
            </w:r>
          </w:p>
        </w:tc>
        <w:tc>
          <w:tcPr>
            <w:tcW w:w="2000" w:type="pct"/>
            <w:hideMark/>
          </w:tcPr>
          <w:p w:rsidR="00000000" w:rsidRDefault="004E30E9">
            <w:pPr>
              <w:rPr>
                <w:rFonts w:eastAsia="Times New Roman"/>
                <w:sz w:val="20"/>
                <w:szCs w:val="20"/>
              </w:rPr>
            </w:pPr>
            <w:r>
              <w:rPr>
                <w:rFonts w:eastAsia="Times New Roman"/>
                <w:sz w:val="20"/>
                <w:szCs w:val="20"/>
              </w:rPr>
              <w:t> </w:t>
            </w:r>
          </w:p>
        </w:tc>
        <w:tc>
          <w:tcPr>
            <w:tcW w:w="250" w:type="pct"/>
            <w:hideMark/>
          </w:tcPr>
          <w:p w:rsidR="00000000" w:rsidRDefault="004E30E9">
            <w:pPr>
              <w:rPr>
                <w:rFonts w:eastAsia="Times New Roman"/>
                <w:sz w:val="20"/>
                <w:szCs w:val="20"/>
              </w:rPr>
            </w:pPr>
            <w:r>
              <w:rPr>
                <w:rFonts w:eastAsia="Times New Roman"/>
                <w:sz w:val="20"/>
                <w:szCs w:val="20"/>
              </w:rPr>
              <w:t> </w:t>
            </w:r>
          </w:p>
        </w:tc>
      </w:tr>
      <w:tr w:rsidR="00000000">
        <w:trPr>
          <w:divId w:val="375201880"/>
          <w:tblCellSpacing w:w="0" w:type="dxa"/>
        </w:trPr>
        <w:tc>
          <w:tcPr>
            <w:tcW w:w="2750" w:type="pct"/>
            <w:gridSpan w:val="3"/>
            <w:hideMark/>
          </w:tcPr>
          <w:p w:rsidR="00000000" w:rsidRDefault="004E30E9">
            <w:pPr>
              <w:rPr>
                <w:rFonts w:eastAsia="Times New Roman"/>
                <w:sz w:val="20"/>
                <w:szCs w:val="20"/>
              </w:rPr>
            </w:pPr>
            <w:r>
              <w:rPr>
                <w:rFonts w:eastAsia="Times New Roman"/>
                <w:sz w:val="20"/>
                <w:szCs w:val="20"/>
              </w:rPr>
              <w:t> </w:t>
            </w:r>
          </w:p>
        </w:tc>
        <w:tc>
          <w:tcPr>
            <w:tcW w:w="250" w:type="pct"/>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jc w:val="center"/>
        <w:divId w:val="1840341132"/>
        <w:rPr>
          <w:rFonts w:eastAsia="Times New Roman"/>
          <w:sz w:val="20"/>
          <w:szCs w:val="20"/>
        </w:rPr>
      </w:pPr>
      <w:r>
        <w:rPr>
          <w:rFonts w:eastAsia="Times New Roman"/>
          <w:sz w:val="20"/>
          <w:szCs w:val="20"/>
        </w:rPr>
        <w:t xml:space="preserve">  </w:t>
      </w:r>
    </w:p>
    <w:p w:rsidR="00000000" w:rsidRDefault="004E30E9">
      <w:pPr>
        <w:divId w:val="348608238"/>
        <w:rPr>
          <w:rFonts w:eastAsia="Times New Roman"/>
          <w:sz w:val="20"/>
          <w:szCs w:val="20"/>
        </w:rPr>
      </w:pPr>
      <w:r>
        <w:rPr>
          <w:rFonts w:eastAsia="Times New Roman"/>
          <w:sz w:val="20"/>
          <w:szCs w:val="20"/>
        </w:rPr>
        <w:pict>
          <v:rect id="_x0000_i1027" style="width:415.3pt;height:1.5pt" o:hralign="center" o:hrstd="t" o:hrnoshade="t" o:hr="t" fillcolor="black" stroked="f"/>
        </w:pict>
      </w:r>
    </w:p>
    <w:p w:rsidR="00000000" w:rsidRDefault="004E30E9">
      <w:pPr>
        <w:divId w:val="10863444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ind w:firstLine="360"/>
        <w:divId w:val="375201880"/>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w:t>
      </w:r>
      <w:r>
        <w:rPr>
          <w:sz w:val="20"/>
          <w:szCs w:val="20"/>
        </w:rPr>
        <w:t xml:space="preserve">to Section 13(a) of the Exchange Act. </w:t>
      </w:r>
      <w:r>
        <w:rPr>
          <w:rFonts w:ascii="Segoe UI Symbol" w:hAnsi="Segoe UI Symbol" w:cs="Segoe UI Symbol"/>
          <w:sz w:val="20"/>
          <w:szCs w:val="20"/>
        </w:rPr>
        <w:t>☐</w:t>
      </w:r>
    </w:p>
    <w:p w:rsidR="00000000" w:rsidRDefault="004E30E9">
      <w:pPr>
        <w:pStyle w:val="a3"/>
        <w:spacing w:before="0" w:beforeAutospacing="0" w:after="0" w:afterAutospacing="0"/>
        <w:ind w:firstLine="360"/>
        <w:divId w:val="375201880"/>
        <w:rPr>
          <w:sz w:val="20"/>
          <w:szCs w:val="20"/>
        </w:rPr>
      </w:pPr>
      <w:r>
        <w:rPr>
          <w:sz w:val="20"/>
          <w:szCs w:val="20"/>
        </w:rPr>
        <w:t> </w:t>
      </w:r>
    </w:p>
    <w:p w:rsidR="00000000" w:rsidRDefault="004E30E9">
      <w:pPr>
        <w:pStyle w:val="a3"/>
        <w:spacing w:before="0" w:beforeAutospacing="0" w:after="0" w:afterAutospacing="0"/>
        <w:ind w:firstLine="360"/>
        <w:divId w:val="375201880"/>
        <w:rPr>
          <w:sz w:val="20"/>
          <w:szCs w:val="20"/>
        </w:rPr>
      </w:pPr>
      <w:r>
        <w:rPr>
          <w:sz w:val="20"/>
          <w:szCs w:val="20"/>
        </w:rPr>
        <w:t>Indicate by check mark whether the registrant has filed a report on and attestation to its management’s assessment of the effectiveness of its internal control over financial reporting under Section 404(b) of the S</w:t>
      </w:r>
      <w:r>
        <w:rPr>
          <w:sz w:val="20"/>
          <w:szCs w:val="20"/>
        </w:rPr>
        <w:t xml:space="preserve">arbanes-Oxley Act (15 U.S.C. 7262(b)) by the registered public accounting firm that prepared or issued its audit report. </w:t>
      </w:r>
      <w:r>
        <w:rPr>
          <w:rFonts w:ascii="Segoe UI Emoji" w:hAnsi="Segoe UI Emoji" w:cs="Segoe UI Emoji"/>
          <w:sz w:val="20"/>
          <w:szCs w:val="20"/>
        </w:rPr>
        <w:t>☑</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ind w:firstLine="360"/>
        <w:divId w:val="375201880"/>
        <w:rPr>
          <w:sz w:val="20"/>
          <w:szCs w:val="20"/>
        </w:rPr>
      </w:pPr>
      <w:r>
        <w:rPr>
          <w:sz w:val="20"/>
          <w:szCs w:val="20"/>
        </w:rPr>
        <w:t xml:space="preserve">Indicate by check mark whether the registrant is a shell company (as defined in Rule 12b-2 of the Act). Yes </w:t>
      </w:r>
      <w:r>
        <w:rPr>
          <w:rFonts w:ascii="Segoe UI Symbol" w:hAnsi="Segoe UI Symbol" w:cs="Segoe UI Symbol"/>
          <w:sz w:val="20"/>
          <w:szCs w:val="20"/>
        </w:rPr>
        <w:t>☐</w:t>
      </w:r>
      <w:r>
        <w:rPr>
          <w:sz w:val="20"/>
          <w:szCs w:val="20"/>
        </w:rPr>
        <w:t xml:space="preserve">     No </w:t>
      </w:r>
      <w:r>
        <w:rPr>
          <w:rFonts w:ascii="Segoe UI Emoji" w:hAnsi="Segoe UI Emoji" w:cs="Segoe UI Emoji"/>
          <w:sz w:val="20"/>
          <w:szCs w:val="20"/>
        </w:rPr>
        <w:t>☑</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ind w:firstLine="360"/>
        <w:divId w:val="375201880"/>
        <w:rPr>
          <w:sz w:val="20"/>
          <w:szCs w:val="20"/>
        </w:rPr>
      </w:pPr>
      <w:r>
        <w:rPr>
          <w:sz w:val="20"/>
          <w:szCs w:val="20"/>
        </w:rPr>
        <w:t>The aggreg</w:t>
      </w:r>
      <w:r>
        <w:rPr>
          <w:sz w:val="20"/>
          <w:szCs w:val="20"/>
        </w:rPr>
        <w:t>ate market value of the voting and non-voting common equity held by non-affiliates of the registrant was approximately $5.4 billion based upon the closing price on the New York Stock Exchange for such equity on June 30, 2020.</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rPr>
          <w:sz w:val="20"/>
          <w:szCs w:val="20"/>
        </w:rPr>
      </w:pPr>
      <w:r>
        <w:rPr>
          <w:sz w:val="20"/>
          <w:szCs w:val="20"/>
        </w:rPr>
        <w:t>(APPLICABLE ONLY TO CORPORAT</w:t>
      </w:r>
      <w:r>
        <w:rPr>
          <w:sz w:val="20"/>
          <w:szCs w:val="20"/>
        </w:rPr>
        <w:t>E REGISTRANTS)</w:t>
      </w:r>
    </w:p>
    <w:p w:rsidR="00000000" w:rsidRDefault="004E30E9">
      <w:pPr>
        <w:pStyle w:val="a3"/>
        <w:spacing w:before="0" w:beforeAutospacing="0" w:after="0" w:afterAutospacing="0"/>
        <w:ind w:firstLine="360"/>
        <w:divId w:val="375201880"/>
        <w:rPr>
          <w:sz w:val="20"/>
          <w:szCs w:val="20"/>
        </w:rPr>
      </w:pPr>
      <w:r>
        <w:rPr>
          <w:sz w:val="20"/>
          <w:szCs w:val="20"/>
        </w:rPr>
        <w:t>Indicate the number of shares outstanding of each of the registrant's classes of common stock, as of the latest practicable date.</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rPr>
          <w:sz w:val="20"/>
          <w:szCs w:val="20"/>
        </w:rPr>
      </w:pPr>
      <w:r>
        <w:rPr>
          <w:sz w:val="20"/>
          <w:szCs w:val="20"/>
        </w:rPr>
        <w:t>As of February 11, 2021, the registrant had 432,439,820 shares of common stock outstanding.</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jc w:val="center"/>
        <w:divId w:val="375201880"/>
        <w:rPr>
          <w:sz w:val="20"/>
          <w:szCs w:val="20"/>
        </w:rPr>
      </w:pPr>
      <w:r>
        <w:rPr>
          <w:sz w:val="20"/>
          <w:szCs w:val="20"/>
        </w:rPr>
        <w:t>DOCUMENTS INCORPORATED BY REFERENCE</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ind w:firstLine="360"/>
        <w:divId w:val="375201880"/>
        <w:rPr>
          <w:sz w:val="20"/>
          <w:szCs w:val="20"/>
        </w:rPr>
      </w:pPr>
      <w:r>
        <w:rPr>
          <w:sz w:val="20"/>
          <w:szCs w:val="20"/>
        </w:rPr>
        <w:t>Part III incorporates certain information by reference to the Registrant's definitive proxy statement to be filed with respect to the Annual Meeting of Stockholders expected to be held on April 27, 2021.</w:t>
      </w:r>
    </w:p>
    <w:p w:rsidR="00000000" w:rsidRDefault="004E30E9">
      <w:pPr>
        <w:pStyle w:val="a3"/>
        <w:spacing w:before="0" w:beforeAutospacing="0" w:after="0" w:afterAutospacing="0"/>
        <w:divId w:val="375201880"/>
        <w:rPr>
          <w:sz w:val="20"/>
          <w:szCs w:val="20"/>
        </w:rPr>
      </w:pPr>
      <w:r>
        <w:rPr>
          <w:sz w:val="20"/>
          <w:szCs w:val="20"/>
        </w:rPr>
        <w:t> </w:t>
      </w:r>
    </w:p>
    <w:p w:rsidR="00000000" w:rsidRDefault="004E30E9">
      <w:pPr>
        <w:pStyle w:val="a3"/>
        <w:spacing w:before="0" w:beforeAutospacing="0" w:after="0" w:afterAutospacing="0"/>
        <w:ind w:firstLine="360"/>
        <w:divId w:val="375201880"/>
        <w:rPr>
          <w:sz w:val="20"/>
          <w:szCs w:val="20"/>
        </w:rPr>
      </w:pPr>
      <w:r>
        <w:rPr>
          <w:sz w:val="20"/>
          <w:szCs w:val="20"/>
        </w:rPr>
        <w:t>Index to Exh</w:t>
      </w:r>
      <w:r>
        <w:rPr>
          <w:sz w:val="20"/>
          <w:szCs w:val="20"/>
        </w:rPr>
        <w:t>ibits begins on page 46.</w:t>
      </w:r>
    </w:p>
    <w:p w:rsidR="00000000" w:rsidRDefault="004E30E9">
      <w:pPr>
        <w:pStyle w:val="a3"/>
        <w:spacing w:before="0" w:beforeAutospacing="0" w:after="0" w:afterAutospacing="0"/>
        <w:ind w:firstLine="360"/>
        <w:divId w:val="375201880"/>
        <w:rPr>
          <w:sz w:val="20"/>
          <w:szCs w:val="20"/>
        </w:rPr>
      </w:pPr>
      <w:r>
        <w:rPr>
          <w:sz w:val="20"/>
          <w:szCs w:val="20"/>
        </w:rPr>
        <w:t> </w:t>
      </w:r>
    </w:p>
    <w:p w:rsidR="00000000" w:rsidRDefault="004E30E9">
      <w:pPr>
        <w:spacing w:before="60" w:after="60"/>
        <w:divId w:val="375201880"/>
        <w:rPr>
          <w:rFonts w:eastAsia="Times New Roman"/>
          <w:sz w:val="20"/>
          <w:szCs w:val="20"/>
        </w:rPr>
      </w:pPr>
      <w:r>
        <w:rPr>
          <w:rFonts w:eastAsia="Times New Roman"/>
          <w:sz w:val="20"/>
          <w:szCs w:val="20"/>
        </w:rPr>
        <w:pict>
          <v:rect id="_x0000_i1028" style="width:415.3pt;height:.75pt" o:hralign="center" o:hrstd="t" o:hrnoshade="t" o:hr="t" fillcolor="black" stroked="f"/>
        </w:pict>
      </w:r>
    </w:p>
    <w:p w:rsidR="00000000" w:rsidRDefault="004E30E9">
      <w:pPr>
        <w:spacing w:after="60"/>
        <w:divId w:val="375201880"/>
        <w:rPr>
          <w:rFonts w:eastAsia="Times New Roman"/>
          <w:sz w:val="20"/>
          <w:szCs w:val="20"/>
        </w:rPr>
      </w:pPr>
      <w:r>
        <w:rPr>
          <w:rFonts w:eastAsia="Times New Roman"/>
          <w:sz w:val="20"/>
          <w:szCs w:val="20"/>
        </w:rPr>
        <w:pict>
          <v:rect id="_x0000_i1029" style="width:415.3pt;height:2.25pt" o:hralign="center" o:hrstd="t" o:hrnoshade="t" o:hr="t" fillcolor="black" stroked="f"/>
        </w:pict>
      </w:r>
    </w:p>
    <w:p w:rsidR="00000000" w:rsidRDefault="004E30E9">
      <w:pPr>
        <w:pStyle w:val="a3"/>
        <w:spacing w:before="0" w:beforeAutospacing="0" w:after="0" w:afterAutospacing="0"/>
        <w:divId w:val="375201880"/>
        <w:rPr>
          <w:sz w:val="20"/>
          <w:szCs w:val="20"/>
        </w:rPr>
      </w:pPr>
      <w:r>
        <w:rPr>
          <w:sz w:val="20"/>
          <w:szCs w:val="20"/>
        </w:rPr>
        <w:lastRenderedPageBreak/>
        <w:t> </w:t>
      </w:r>
    </w:p>
    <w:p w:rsidR="00000000" w:rsidRDefault="004E30E9">
      <w:pPr>
        <w:jc w:val="center"/>
        <w:divId w:val="1410536440"/>
        <w:rPr>
          <w:rFonts w:eastAsia="Times New Roman"/>
          <w:sz w:val="20"/>
          <w:szCs w:val="20"/>
        </w:rPr>
      </w:pPr>
      <w:r>
        <w:rPr>
          <w:rFonts w:eastAsia="Times New Roman"/>
          <w:sz w:val="20"/>
          <w:szCs w:val="20"/>
        </w:rPr>
        <w:t xml:space="preserve">  </w:t>
      </w:r>
    </w:p>
    <w:p w:rsidR="00000000" w:rsidRDefault="004E30E9">
      <w:pPr>
        <w:divId w:val="801072714"/>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4E30E9">
      <w:pPr>
        <w:divId w:val="124846109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divId w:val="1464077115"/>
        <w:rPr>
          <w:rFonts w:eastAsia="Times New Roman"/>
          <w:sz w:val="20"/>
          <w:szCs w:val="20"/>
        </w:rPr>
      </w:pPr>
      <w:r>
        <w:rPr>
          <w:rFonts w:eastAsia="Times New Roman"/>
          <w:sz w:val="20"/>
          <w:szCs w:val="20"/>
        </w:rPr>
        <w:t xml:space="preserve">  </w:t>
      </w:r>
    </w:p>
    <w:p w:rsidR="00000000" w:rsidRDefault="004E30E9">
      <w:pPr>
        <w:divId w:val="1366175145"/>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divId w:val="480511664"/>
        <w:rPr>
          <w:sz w:val="20"/>
          <w:szCs w:val="20"/>
        </w:rPr>
      </w:pPr>
      <w:r>
        <w:rPr>
          <w:sz w:val="20"/>
          <w:szCs w:val="20"/>
        </w:rPr>
        <w:t> </w:t>
      </w:r>
    </w:p>
    <w:p w:rsidR="00000000" w:rsidRDefault="004E30E9">
      <w:pPr>
        <w:pStyle w:val="a3"/>
        <w:spacing w:before="0" w:beforeAutospacing="0" w:after="0" w:afterAutospacing="0"/>
        <w:jc w:val="center"/>
        <w:divId w:val="480511664"/>
        <w:rPr>
          <w:sz w:val="20"/>
          <w:szCs w:val="20"/>
        </w:rPr>
      </w:pPr>
      <w:r>
        <w:rPr>
          <w:sz w:val="20"/>
          <w:szCs w:val="20"/>
        </w:rPr>
        <w:t>TABLE OF CONTENTS</w:t>
      </w:r>
    </w:p>
    <w:p w:rsidR="00000000" w:rsidRDefault="004E30E9">
      <w:pPr>
        <w:pStyle w:val="a3"/>
        <w:spacing w:before="0" w:beforeAutospacing="0" w:after="0" w:afterAutospacing="0"/>
        <w:jc w:val="center"/>
        <w:divId w:val="48051166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22"/>
        <w:gridCol w:w="984"/>
      </w:tblGrid>
      <w:tr w:rsidR="00000000">
        <w:trPr>
          <w:divId w:val="480511664"/>
          <w:tblCellSpacing w:w="0" w:type="dxa"/>
        </w:trPr>
        <w:tc>
          <w:tcPr>
            <w:tcW w:w="4500" w:type="pct"/>
            <w:vAlign w:val="bottom"/>
            <w:hideMark/>
          </w:tcPr>
          <w:p w:rsidR="00000000" w:rsidRDefault="004E30E9">
            <w:pPr>
              <w:pStyle w:val="a3"/>
              <w:spacing w:before="0" w:beforeAutospacing="0" w:after="0" w:afterAutospacing="0"/>
              <w:rPr>
                <w:sz w:val="20"/>
                <w:szCs w:val="20"/>
              </w:rPr>
            </w:pPr>
            <w:r>
              <w:rPr>
                <w:sz w:val="20"/>
                <w:szCs w:val="20"/>
                <w:u w:val="single"/>
              </w:rPr>
              <w:t>Item No</w:t>
            </w:r>
            <w:r>
              <w:rPr>
                <w:sz w:val="20"/>
                <w:szCs w:val="20"/>
              </w:rPr>
              <w:t>.</w:t>
            </w:r>
          </w:p>
        </w:tc>
        <w:tc>
          <w:tcPr>
            <w:tcW w:w="500" w:type="pct"/>
            <w:vAlign w:val="bottom"/>
            <w:hideMark/>
          </w:tcPr>
          <w:p w:rsidR="00000000" w:rsidRDefault="004E30E9">
            <w:pPr>
              <w:pStyle w:val="a3"/>
              <w:spacing w:before="0" w:beforeAutospacing="0" w:after="0" w:afterAutospacing="0"/>
              <w:jc w:val="center"/>
              <w:rPr>
                <w:sz w:val="20"/>
                <w:szCs w:val="20"/>
              </w:rPr>
            </w:pPr>
            <w:r>
              <w:rPr>
                <w:sz w:val="20"/>
                <w:szCs w:val="20"/>
              </w:rPr>
              <w:t>Form 10-K</w:t>
            </w:r>
            <w:r>
              <w:rPr>
                <w:sz w:val="20"/>
                <w:szCs w:val="20"/>
              </w:rPr>
              <w:br/>
            </w:r>
            <w:r>
              <w:rPr>
                <w:sz w:val="20"/>
                <w:szCs w:val="20"/>
                <w:u w:val="single"/>
              </w:rPr>
              <w:t>Report Page</w:t>
            </w:r>
          </w:p>
        </w:tc>
      </w:tr>
      <w:tr w:rsidR="00000000">
        <w:trPr>
          <w:divId w:val="480511664"/>
          <w:tblCellSpacing w:w="0" w:type="dxa"/>
        </w:trPr>
        <w:tc>
          <w:tcPr>
            <w:tcW w:w="4500" w:type="pct"/>
            <w:gridSpan w:val="2"/>
            <w:hideMark/>
          </w:tcPr>
          <w:p w:rsidR="00000000" w:rsidRDefault="004E30E9">
            <w:pPr>
              <w:pStyle w:val="a3"/>
              <w:spacing w:before="0" w:beforeAutospacing="0" w:after="0" w:afterAutospacing="0"/>
              <w:jc w:val="center"/>
              <w:rPr>
                <w:sz w:val="20"/>
                <w:szCs w:val="20"/>
              </w:rPr>
            </w:pPr>
            <w:r>
              <w:rPr>
                <w:sz w:val="20"/>
                <w:szCs w:val="20"/>
              </w:rPr>
              <w:t>PART I</w:t>
            </w:r>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business" w:history="1">
              <w:r>
                <w:rPr>
                  <w:rStyle w:val="a4"/>
                  <w:rFonts w:eastAsia="Times New Roman"/>
                  <w:sz w:val="20"/>
                  <w:szCs w:val="20"/>
                </w:rPr>
                <w:t>Item 1. Business</w:t>
              </w:r>
            </w:hyperlink>
          </w:p>
        </w:tc>
        <w:tc>
          <w:tcPr>
            <w:tcW w:w="500" w:type="pct"/>
            <w:hideMark/>
          </w:tcPr>
          <w:p w:rsidR="00000000" w:rsidRDefault="004E30E9">
            <w:pPr>
              <w:jc w:val="right"/>
              <w:rPr>
                <w:rFonts w:eastAsia="Times New Roman"/>
                <w:sz w:val="20"/>
                <w:szCs w:val="20"/>
              </w:rPr>
            </w:pPr>
            <w:hyperlink w:anchor="business" w:history="1">
              <w:r>
                <w:rPr>
                  <w:rStyle w:val="a4"/>
                  <w:rFonts w:eastAsia="Times New Roman"/>
                  <w:sz w:val="20"/>
                  <w:szCs w:val="20"/>
                </w:rPr>
                <w:t>3</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riskfactors" w:history="1">
              <w:r>
                <w:rPr>
                  <w:rStyle w:val="a4"/>
                  <w:rFonts w:eastAsia="Times New Roman"/>
                  <w:sz w:val="20"/>
                  <w:szCs w:val="20"/>
                </w:rPr>
                <w:t>Item 1A. Risk Factors</w:t>
              </w:r>
            </w:hyperlink>
          </w:p>
        </w:tc>
        <w:tc>
          <w:tcPr>
            <w:tcW w:w="500" w:type="pct"/>
            <w:hideMark/>
          </w:tcPr>
          <w:p w:rsidR="00000000" w:rsidRDefault="004E30E9">
            <w:pPr>
              <w:jc w:val="right"/>
              <w:rPr>
                <w:rFonts w:eastAsia="Times New Roman"/>
                <w:sz w:val="20"/>
                <w:szCs w:val="20"/>
              </w:rPr>
            </w:pPr>
            <w:hyperlink w:anchor="riskfactors" w:history="1">
              <w:r>
                <w:rPr>
                  <w:rStyle w:val="a4"/>
                  <w:rFonts w:eastAsia="Times New Roman"/>
                  <w:sz w:val="20"/>
                  <w:szCs w:val="20"/>
                </w:rPr>
                <w:t>9</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unresolved" w:history="1">
              <w:r>
                <w:rPr>
                  <w:rStyle w:val="a4"/>
                  <w:rFonts w:eastAsia="Times New Roman"/>
                  <w:sz w:val="20"/>
                  <w:szCs w:val="20"/>
                </w:rPr>
                <w:t>Item 1B. Unresolved Staff Comments</w:t>
              </w:r>
            </w:hyperlink>
          </w:p>
        </w:tc>
        <w:tc>
          <w:tcPr>
            <w:tcW w:w="500" w:type="pct"/>
            <w:hideMark/>
          </w:tcPr>
          <w:p w:rsidR="00000000" w:rsidRDefault="004E30E9">
            <w:pPr>
              <w:jc w:val="right"/>
              <w:rPr>
                <w:rFonts w:eastAsia="Times New Roman"/>
                <w:sz w:val="20"/>
                <w:szCs w:val="20"/>
              </w:rPr>
            </w:pPr>
            <w:hyperlink w:anchor="unresolved" w:history="1">
              <w:r>
                <w:rPr>
                  <w:rStyle w:val="a4"/>
                  <w:rFonts w:eastAsia="Times New Roman"/>
                  <w:sz w:val="20"/>
                  <w:szCs w:val="20"/>
                </w:rPr>
                <w:t>19</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properties" w:history="1">
              <w:r>
                <w:rPr>
                  <w:rStyle w:val="a4"/>
                  <w:rFonts w:eastAsia="Times New Roman"/>
                  <w:sz w:val="20"/>
                  <w:szCs w:val="20"/>
                </w:rPr>
                <w:t>Item 2. Properties</w:t>
              </w:r>
            </w:hyperlink>
          </w:p>
        </w:tc>
        <w:tc>
          <w:tcPr>
            <w:tcW w:w="500" w:type="pct"/>
            <w:hideMark/>
          </w:tcPr>
          <w:p w:rsidR="00000000" w:rsidRDefault="004E30E9">
            <w:pPr>
              <w:jc w:val="right"/>
              <w:rPr>
                <w:rFonts w:eastAsia="Times New Roman"/>
                <w:sz w:val="20"/>
                <w:szCs w:val="20"/>
              </w:rPr>
            </w:pPr>
            <w:hyperlink w:anchor="properties" w:history="1">
              <w:r>
                <w:rPr>
                  <w:rStyle w:val="a4"/>
                  <w:rFonts w:eastAsia="Times New Roman"/>
                  <w:sz w:val="20"/>
                  <w:szCs w:val="20"/>
                </w:rPr>
                <w:t>19</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legalproc" w:history="1">
              <w:r>
                <w:rPr>
                  <w:rStyle w:val="a4"/>
                  <w:rFonts w:eastAsia="Times New Roman"/>
                  <w:sz w:val="20"/>
                  <w:szCs w:val="20"/>
                </w:rPr>
                <w:t>Item 3. Legal Proceedings</w:t>
              </w:r>
            </w:hyperlink>
          </w:p>
        </w:tc>
        <w:tc>
          <w:tcPr>
            <w:tcW w:w="500" w:type="pct"/>
            <w:hideMark/>
          </w:tcPr>
          <w:p w:rsidR="00000000" w:rsidRDefault="004E30E9">
            <w:pPr>
              <w:jc w:val="right"/>
              <w:rPr>
                <w:rFonts w:eastAsia="Times New Roman"/>
                <w:sz w:val="20"/>
                <w:szCs w:val="20"/>
              </w:rPr>
            </w:pPr>
            <w:hyperlink w:anchor="legalproc" w:history="1">
              <w:r>
                <w:rPr>
                  <w:rStyle w:val="a4"/>
                  <w:rFonts w:eastAsia="Times New Roman"/>
                  <w:sz w:val="20"/>
                  <w:szCs w:val="20"/>
                </w:rPr>
                <w:t>20</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minesafety" w:history="1">
              <w:r>
                <w:rPr>
                  <w:rStyle w:val="a4"/>
                  <w:rFonts w:eastAsia="Times New Roman"/>
                  <w:sz w:val="20"/>
                  <w:szCs w:val="20"/>
                </w:rPr>
                <w:t>Item 4. Mine Safety Disclosures</w:t>
              </w:r>
            </w:hyperlink>
          </w:p>
        </w:tc>
        <w:tc>
          <w:tcPr>
            <w:tcW w:w="500" w:type="pct"/>
            <w:hideMark/>
          </w:tcPr>
          <w:p w:rsidR="00000000" w:rsidRDefault="004E30E9">
            <w:pPr>
              <w:jc w:val="right"/>
              <w:rPr>
                <w:rFonts w:eastAsia="Times New Roman"/>
                <w:sz w:val="20"/>
                <w:szCs w:val="20"/>
              </w:rPr>
            </w:pPr>
            <w:hyperlink w:anchor="minesafety" w:history="1">
              <w:r>
                <w:rPr>
                  <w:rStyle w:val="a4"/>
                  <w:rFonts w:eastAsia="Times New Roman"/>
                  <w:sz w:val="20"/>
                  <w:szCs w:val="20"/>
                </w:rPr>
                <w:t>20</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gridSpan w:val="2"/>
            <w:hideMark/>
          </w:tcPr>
          <w:p w:rsidR="00000000" w:rsidRDefault="004E30E9">
            <w:pPr>
              <w:jc w:val="center"/>
              <w:rPr>
                <w:rFonts w:eastAsia="Times New Roman"/>
                <w:sz w:val="20"/>
                <w:szCs w:val="20"/>
              </w:rPr>
            </w:pPr>
            <w:r>
              <w:rPr>
                <w:rFonts w:eastAsia="Times New Roman"/>
                <w:sz w:val="20"/>
                <w:szCs w:val="20"/>
              </w:rPr>
              <w:t>PART II</w:t>
            </w:r>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market" w:history="1">
              <w:r>
                <w:rPr>
                  <w:rStyle w:val="a4"/>
                  <w:rFonts w:eastAsia="Times New Roman"/>
                  <w:sz w:val="20"/>
                  <w:szCs w:val="20"/>
                </w:rPr>
                <w:t>Item 5. Market for the Registrant's Common Equity, Related Stockholder Matters and Issuer Purchases of Equity Securities</w:t>
              </w:r>
            </w:hyperlink>
          </w:p>
        </w:tc>
        <w:tc>
          <w:tcPr>
            <w:tcW w:w="500" w:type="pct"/>
            <w:hideMark/>
          </w:tcPr>
          <w:p w:rsidR="00000000" w:rsidRDefault="004E30E9">
            <w:pPr>
              <w:jc w:val="right"/>
              <w:rPr>
                <w:rFonts w:eastAsia="Times New Roman"/>
                <w:sz w:val="20"/>
                <w:szCs w:val="20"/>
              </w:rPr>
            </w:pPr>
            <w:hyperlink w:anchor="market" w:history="1">
              <w:r>
                <w:rPr>
                  <w:rStyle w:val="a4"/>
                  <w:rFonts w:eastAsia="Times New Roman"/>
                  <w:sz w:val="20"/>
                  <w:szCs w:val="20"/>
                </w:rPr>
                <w:t>21</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selectedfindata" w:history="1">
              <w:r>
                <w:rPr>
                  <w:rStyle w:val="a4"/>
                  <w:rFonts w:eastAsia="Times New Roman"/>
                  <w:sz w:val="20"/>
                  <w:szCs w:val="20"/>
                </w:rPr>
                <w:t>Item 6. Selected Financial Data</w:t>
              </w:r>
            </w:hyperlink>
          </w:p>
        </w:tc>
        <w:tc>
          <w:tcPr>
            <w:tcW w:w="500" w:type="pct"/>
            <w:hideMark/>
          </w:tcPr>
          <w:p w:rsidR="00000000" w:rsidRDefault="004E30E9">
            <w:pPr>
              <w:jc w:val="right"/>
              <w:rPr>
                <w:rFonts w:eastAsia="Times New Roman"/>
                <w:sz w:val="20"/>
                <w:szCs w:val="20"/>
              </w:rPr>
            </w:pPr>
            <w:hyperlink w:anchor="selectedfindata" w:history="1">
              <w:r>
                <w:rPr>
                  <w:rStyle w:val="a4"/>
                  <w:rFonts w:eastAsia="Times New Roman"/>
                  <w:sz w:val="20"/>
                  <w:szCs w:val="20"/>
                </w:rPr>
                <w:t>23</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mda" w:history="1">
              <w:r>
                <w:rPr>
                  <w:rStyle w:val="a4"/>
                  <w:rFonts w:eastAsia="Times New Roman"/>
                  <w:sz w:val="20"/>
                  <w:szCs w:val="20"/>
                </w:rPr>
                <w:t>Item 7. Management's Discussion and Analysis of Financial Condition and Results of Operations</w:t>
              </w:r>
            </w:hyperlink>
          </w:p>
        </w:tc>
        <w:tc>
          <w:tcPr>
            <w:tcW w:w="500" w:type="pct"/>
            <w:hideMark/>
          </w:tcPr>
          <w:p w:rsidR="00000000" w:rsidRDefault="004E30E9">
            <w:pPr>
              <w:jc w:val="right"/>
              <w:rPr>
                <w:rFonts w:eastAsia="Times New Roman"/>
                <w:sz w:val="20"/>
                <w:szCs w:val="20"/>
              </w:rPr>
            </w:pPr>
            <w:hyperlink w:anchor="mda" w:history="1">
              <w:r>
                <w:rPr>
                  <w:rStyle w:val="a4"/>
                  <w:rFonts w:eastAsia="Times New Roman"/>
                  <w:sz w:val="20"/>
                  <w:szCs w:val="20"/>
                </w:rPr>
                <w:t>24</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qandq" w:history="1">
              <w:r>
                <w:rPr>
                  <w:rStyle w:val="a4"/>
                  <w:rFonts w:eastAsia="Times New Roman"/>
                  <w:sz w:val="20"/>
                  <w:szCs w:val="20"/>
                </w:rPr>
                <w:t>Item 7A. Quantitative and Qualitative Disclosures Abo</w:t>
              </w:r>
              <w:r>
                <w:rPr>
                  <w:rStyle w:val="a4"/>
                  <w:rFonts w:eastAsia="Times New Roman"/>
                  <w:sz w:val="20"/>
                  <w:szCs w:val="20"/>
                </w:rPr>
                <w:t>ut Market Risk</w:t>
              </w:r>
            </w:hyperlink>
          </w:p>
        </w:tc>
        <w:tc>
          <w:tcPr>
            <w:tcW w:w="500" w:type="pct"/>
            <w:hideMark/>
          </w:tcPr>
          <w:p w:rsidR="00000000" w:rsidRDefault="004E30E9">
            <w:pPr>
              <w:jc w:val="right"/>
              <w:rPr>
                <w:rFonts w:eastAsia="Times New Roman"/>
                <w:sz w:val="20"/>
                <w:szCs w:val="20"/>
              </w:rPr>
            </w:pPr>
            <w:hyperlink w:anchor="qandq" w:history="1">
              <w:r>
                <w:rPr>
                  <w:rStyle w:val="a4"/>
                  <w:rFonts w:eastAsia="Times New Roman"/>
                  <w:sz w:val="20"/>
                  <w:szCs w:val="20"/>
                </w:rPr>
                <w:t>42</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finstates" w:history="1">
              <w:r>
                <w:rPr>
                  <w:rStyle w:val="a4"/>
                  <w:rFonts w:eastAsia="Times New Roman"/>
                  <w:sz w:val="20"/>
                  <w:szCs w:val="20"/>
                </w:rPr>
                <w:t>Item 8. Financial Statements and Supplementary Data</w:t>
              </w:r>
            </w:hyperlink>
          </w:p>
        </w:tc>
        <w:tc>
          <w:tcPr>
            <w:tcW w:w="500" w:type="pct"/>
            <w:hideMark/>
          </w:tcPr>
          <w:p w:rsidR="00000000" w:rsidRDefault="004E30E9">
            <w:pPr>
              <w:pStyle w:val="a3"/>
              <w:spacing w:before="0" w:beforeAutospacing="0" w:after="0" w:afterAutospacing="0"/>
              <w:jc w:val="right"/>
              <w:rPr>
                <w:sz w:val="20"/>
                <w:szCs w:val="20"/>
              </w:rPr>
            </w:pPr>
            <w:hyperlink w:anchor="finstates" w:history="1">
              <w:r>
                <w:rPr>
                  <w:rStyle w:val="a4"/>
                  <w:sz w:val="20"/>
                  <w:szCs w:val="20"/>
                </w:rPr>
                <w:t>42</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changes" w:history="1">
              <w:r>
                <w:rPr>
                  <w:rStyle w:val="a4"/>
                  <w:rFonts w:eastAsia="Times New Roman"/>
                  <w:sz w:val="20"/>
                  <w:szCs w:val="20"/>
                </w:rPr>
                <w:t>Item 9. Changes in and Disagreements With Accountants on Accounting and Financial Disclosure</w:t>
              </w:r>
            </w:hyperlink>
          </w:p>
        </w:tc>
        <w:tc>
          <w:tcPr>
            <w:tcW w:w="500" w:type="pct"/>
            <w:hideMark/>
          </w:tcPr>
          <w:p w:rsidR="00000000" w:rsidRDefault="004E30E9">
            <w:pPr>
              <w:pStyle w:val="a3"/>
              <w:spacing w:before="0" w:beforeAutospacing="0" w:after="0" w:afterAutospacing="0"/>
              <w:jc w:val="right"/>
              <w:rPr>
                <w:sz w:val="20"/>
                <w:szCs w:val="20"/>
              </w:rPr>
            </w:pPr>
            <w:hyperlink w:anchor="changes" w:history="1">
              <w:r>
                <w:rPr>
                  <w:rStyle w:val="a4"/>
                  <w:sz w:val="20"/>
                  <w:szCs w:val="20"/>
                </w:rPr>
                <w:t>43</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controlsandproc" w:history="1">
              <w:r>
                <w:rPr>
                  <w:rStyle w:val="a4"/>
                  <w:rFonts w:eastAsia="Times New Roman"/>
                  <w:sz w:val="20"/>
                  <w:szCs w:val="20"/>
                </w:rPr>
                <w:t>Item 9A. Controls and Procedures</w:t>
              </w:r>
            </w:hyperlink>
          </w:p>
        </w:tc>
        <w:tc>
          <w:tcPr>
            <w:tcW w:w="500" w:type="pct"/>
            <w:hideMark/>
          </w:tcPr>
          <w:p w:rsidR="00000000" w:rsidRDefault="004E30E9">
            <w:pPr>
              <w:pStyle w:val="a3"/>
              <w:spacing w:before="0" w:beforeAutospacing="0" w:after="0" w:afterAutospacing="0"/>
              <w:jc w:val="right"/>
              <w:rPr>
                <w:sz w:val="20"/>
                <w:szCs w:val="20"/>
              </w:rPr>
            </w:pPr>
            <w:hyperlink w:anchor="controlsandproc" w:history="1">
              <w:r>
                <w:rPr>
                  <w:rStyle w:val="a4"/>
                  <w:sz w:val="20"/>
                  <w:szCs w:val="20"/>
                </w:rPr>
                <w:t>43</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otherinfo" w:history="1">
              <w:r>
                <w:rPr>
                  <w:rStyle w:val="a4"/>
                  <w:rFonts w:eastAsia="Times New Roman"/>
                  <w:sz w:val="20"/>
                  <w:szCs w:val="20"/>
                </w:rPr>
                <w:t>Item 9B. Other Information</w:t>
              </w:r>
            </w:hyperlink>
          </w:p>
        </w:tc>
        <w:tc>
          <w:tcPr>
            <w:tcW w:w="500" w:type="pct"/>
            <w:hideMark/>
          </w:tcPr>
          <w:p w:rsidR="00000000" w:rsidRDefault="004E30E9">
            <w:pPr>
              <w:jc w:val="right"/>
              <w:rPr>
                <w:rFonts w:eastAsia="Times New Roman"/>
                <w:sz w:val="20"/>
                <w:szCs w:val="20"/>
              </w:rPr>
            </w:pPr>
            <w:hyperlink w:anchor="otherinfo" w:history="1">
              <w:r>
                <w:rPr>
                  <w:rStyle w:val="a4"/>
                  <w:rFonts w:eastAsia="Times New Roman"/>
                  <w:sz w:val="20"/>
                  <w:szCs w:val="20"/>
                </w:rPr>
                <w:t>43</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gridSpan w:val="2"/>
            <w:hideMark/>
          </w:tcPr>
          <w:p w:rsidR="00000000" w:rsidRDefault="004E30E9">
            <w:pPr>
              <w:jc w:val="center"/>
              <w:rPr>
                <w:rFonts w:eastAsia="Times New Roman"/>
                <w:sz w:val="20"/>
                <w:szCs w:val="20"/>
              </w:rPr>
            </w:pPr>
            <w:r>
              <w:rPr>
                <w:rFonts w:eastAsia="Times New Roman"/>
                <w:sz w:val="20"/>
                <w:szCs w:val="20"/>
              </w:rPr>
              <w:t>PART III</w:t>
            </w:r>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directors" w:history="1">
              <w:r>
                <w:rPr>
                  <w:rStyle w:val="a4"/>
                  <w:rFonts w:eastAsia="Times New Roman"/>
                  <w:sz w:val="20"/>
                  <w:szCs w:val="20"/>
                </w:rPr>
                <w:t>Item 10. Directors, Executive Officers and Corporate Governance</w:t>
              </w:r>
            </w:hyperlink>
          </w:p>
        </w:tc>
        <w:tc>
          <w:tcPr>
            <w:tcW w:w="500" w:type="pct"/>
            <w:hideMark/>
          </w:tcPr>
          <w:p w:rsidR="00000000" w:rsidRDefault="004E30E9">
            <w:pPr>
              <w:jc w:val="right"/>
              <w:rPr>
                <w:rFonts w:eastAsia="Times New Roman"/>
                <w:sz w:val="20"/>
                <w:szCs w:val="20"/>
              </w:rPr>
            </w:pPr>
            <w:hyperlink w:anchor="directors" w:history="1">
              <w:r>
                <w:rPr>
                  <w:rStyle w:val="a4"/>
                  <w:rFonts w:eastAsia="Times New Roman"/>
                  <w:sz w:val="20"/>
                  <w:szCs w:val="20"/>
                </w:rPr>
                <w:t>44</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execcomp" w:history="1">
              <w:r>
                <w:rPr>
                  <w:rStyle w:val="a4"/>
                  <w:rFonts w:eastAsia="Times New Roman"/>
                  <w:sz w:val="20"/>
                  <w:szCs w:val="20"/>
                </w:rPr>
                <w:t>Item 11. Executive Compensation</w:t>
              </w:r>
            </w:hyperlink>
          </w:p>
        </w:tc>
        <w:tc>
          <w:tcPr>
            <w:tcW w:w="500" w:type="pct"/>
            <w:hideMark/>
          </w:tcPr>
          <w:p w:rsidR="00000000" w:rsidRDefault="004E30E9">
            <w:pPr>
              <w:jc w:val="right"/>
              <w:rPr>
                <w:rFonts w:eastAsia="Times New Roman"/>
                <w:sz w:val="20"/>
                <w:szCs w:val="20"/>
              </w:rPr>
            </w:pPr>
            <w:hyperlink w:anchor="execcomp" w:history="1">
              <w:r>
                <w:rPr>
                  <w:rStyle w:val="a4"/>
                  <w:rFonts w:eastAsia="Times New Roman"/>
                  <w:sz w:val="20"/>
                  <w:szCs w:val="20"/>
                </w:rPr>
                <w:t>44</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secownership" w:history="1">
              <w:r>
                <w:rPr>
                  <w:rStyle w:val="a4"/>
                  <w:rFonts w:eastAsia="Times New Roman"/>
                  <w:sz w:val="20"/>
                  <w:szCs w:val="20"/>
                </w:rPr>
                <w:t>Item 12. Secu</w:t>
              </w:r>
              <w:r>
                <w:rPr>
                  <w:rStyle w:val="a4"/>
                  <w:rFonts w:eastAsia="Times New Roman"/>
                  <w:sz w:val="20"/>
                  <w:szCs w:val="20"/>
                </w:rPr>
                <w:t>rity Ownership of Certain Beneficial Owners and Management and Related Stockholder Matters</w:t>
              </w:r>
            </w:hyperlink>
          </w:p>
        </w:tc>
        <w:tc>
          <w:tcPr>
            <w:tcW w:w="500" w:type="pct"/>
            <w:hideMark/>
          </w:tcPr>
          <w:p w:rsidR="00000000" w:rsidRDefault="004E30E9">
            <w:pPr>
              <w:jc w:val="right"/>
              <w:rPr>
                <w:rFonts w:eastAsia="Times New Roman"/>
                <w:sz w:val="20"/>
                <w:szCs w:val="20"/>
              </w:rPr>
            </w:pPr>
            <w:hyperlink w:anchor="secownership" w:history="1">
              <w:r>
                <w:rPr>
                  <w:rStyle w:val="a4"/>
                  <w:rFonts w:eastAsia="Times New Roman"/>
                  <w:sz w:val="20"/>
                  <w:szCs w:val="20"/>
                </w:rPr>
                <w:t>44</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certainrelations" w:history="1">
              <w:r>
                <w:rPr>
                  <w:rStyle w:val="a4"/>
                  <w:rFonts w:eastAsia="Times New Roman"/>
                  <w:sz w:val="20"/>
                  <w:szCs w:val="20"/>
                </w:rPr>
                <w:t>Item 13. Certain Relationships and Related Transactions, and Director Independence</w:t>
              </w:r>
            </w:hyperlink>
          </w:p>
        </w:tc>
        <w:tc>
          <w:tcPr>
            <w:tcW w:w="500" w:type="pct"/>
            <w:hideMark/>
          </w:tcPr>
          <w:p w:rsidR="00000000" w:rsidRDefault="004E30E9">
            <w:pPr>
              <w:jc w:val="right"/>
              <w:rPr>
                <w:rFonts w:eastAsia="Times New Roman"/>
                <w:sz w:val="20"/>
                <w:szCs w:val="20"/>
              </w:rPr>
            </w:pPr>
            <w:hyperlink w:anchor="certainrelations" w:history="1">
              <w:r>
                <w:rPr>
                  <w:rStyle w:val="a4"/>
                  <w:rFonts w:eastAsia="Times New Roman"/>
                  <w:sz w:val="20"/>
                  <w:szCs w:val="20"/>
                </w:rPr>
                <w:t>44</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principleaccounting" w:history="1">
              <w:r>
                <w:rPr>
                  <w:rStyle w:val="a4"/>
                  <w:rFonts w:eastAsia="Times New Roman"/>
                  <w:sz w:val="20"/>
                  <w:szCs w:val="20"/>
                </w:rPr>
                <w:t>Item 14. Principal Accounting Fees and Services</w:t>
              </w:r>
            </w:hyperlink>
          </w:p>
        </w:tc>
        <w:tc>
          <w:tcPr>
            <w:tcW w:w="500" w:type="pct"/>
            <w:hideMark/>
          </w:tcPr>
          <w:p w:rsidR="00000000" w:rsidRDefault="004E30E9">
            <w:pPr>
              <w:jc w:val="right"/>
              <w:rPr>
                <w:rFonts w:eastAsia="Times New Roman"/>
                <w:sz w:val="20"/>
                <w:szCs w:val="20"/>
              </w:rPr>
            </w:pPr>
            <w:hyperlink w:anchor="principleaccounting" w:history="1">
              <w:r>
                <w:rPr>
                  <w:rStyle w:val="a4"/>
                  <w:rFonts w:eastAsia="Times New Roman"/>
                  <w:sz w:val="20"/>
                  <w:szCs w:val="20"/>
                </w:rPr>
                <w:t>44</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gridSpan w:val="2"/>
            <w:hideMark/>
          </w:tcPr>
          <w:p w:rsidR="00000000" w:rsidRDefault="004E30E9">
            <w:pPr>
              <w:jc w:val="center"/>
              <w:rPr>
                <w:rFonts w:eastAsia="Times New Roman"/>
                <w:sz w:val="20"/>
                <w:szCs w:val="20"/>
              </w:rPr>
            </w:pPr>
            <w:r>
              <w:rPr>
                <w:rFonts w:eastAsia="Times New Roman"/>
                <w:sz w:val="20"/>
                <w:szCs w:val="20"/>
              </w:rPr>
              <w:t>PART IV</w:t>
            </w:r>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lastRenderedPageBreak/>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exhibits" w:history="1">
              <w:r>
                <w:rPr>
                  <w:rStyle w:val="a4"/>
                  <w:rFonts w:eastAsia="Times New Roman"/>
                  <w:sz w:val="20"/>
                  <w:szCs w:val="20"/>
                </w:rPr>
                <w:t>Item 15. Exhibits, Financial Statement Schedules</w:t>
              </w:r>
            </w:hyperlink>
          </w:p>
        </w:tc>
        <w:tc>
          <w:tcPr>
            <w:tcW w:w="500" w:type="pct"/>
            <w:hideMark/>
          </w:tcPr>
          <w:p w:rsidR="00000000" w:rsidRDefault="004E30E9">
            <w:pPr>
              <w:jc w:val="right"/>
              <w:rPr>
                <w:rFonts w:eastAsia="Times New Roman"/>
                <w:sz w:val="20"/>
                <w:szCs w:val="20"/>
              </w:rPr>
            </w:pPr>
            <w:hyperlink w:anchor="exhibits" w:history="1">
              <w:r>
                <w:rPr>
                  <w:rStyle w:val="a4"/>
                  <w:rFonts w:eastAsia="Times New Roman"/>
                  <w:sz w:val="20"/>
                  <w:szCs w:val="20"/>
                </w:rPr>
                <w:t>45</w:t>
              </w:r>
            </w:hyperlink>
          </w:p>
        </w:tc>
      </w:tr>
      <w:tr w:rsidR="00000000">
        <w:trPr>
          <w:divId w:val="480511664"/>
          <w:tblCellSpacing w:w="0" w:type="dxa"/>
        </w:trPr>
        <w:tc>
          <w:tcPr>
            <w:tcW w:w="4500" w:type="pct"/>
            <w:hideMark/>
          </w:tcPr>
          <w:p w:rsidR="00000000" w:rsidRDefault="004E30E9">
            <w:pPr>
              <w:rPr>
                <w:rFonts w:eastAsia="Times New Roman"/>
                <w:sz w:val="20"/>
                <w:szCs w:val="20"/>
              </w:rPr>
            </w:pPr>
            <w:r>
              <w:rPr>
                <w:rFonts w:eastAsia="Times New Roman"/>
                <w:sz w:val="20"/>
                <w:szCs w:val="20"/>
              </w:rPr>
              <w:t> </w:t>
            </w:r>
          </w:p>
        </w:tc>
        <w:tc>
          <w:tcPr>
            <w:tcW w:w="500" w:type="pct"/>
            <w:hideMark/>
          </w:tcPr>
          <w:p w:rsidR="00000000" w:rsidRDefault="004E30E9">
            <w:pPr>
              <w:jc w:val="right"/>
              <w:rPr>
                <w:rFonts w:eastAsia="Times New Roman"/>
                <w:sz w:val="20"/>
                <w:szCs w:val="20"/>
              </w:rPr>
            </w:pPr>
            <w:r>
              <w:rPr>
                <w:rFonts w:eastAsia="Times New Roman"/>
                <w:sz w:val="20"/>
                <w:szCs w:val="20"/>
              </w:rPr>
              <w:t> </w:t>
            </w:r>
          </w:p>
        </w:tc>
      </w:tr>
      <w:tr w:rsidR="00000000">
        <w:trPr>
          <w:divId w:val="480511664"/>
          <w:tblCellSpacing w:w="0" w:type="dxa"/>
        </w:trPr>
        <w:tc>
          <w:tcPr>
            <w:tcW w:w="4500" w:type="pct"/>
            <w:hideMark/>
          </w:tcPr>
          <w:p w:rsidR="00000000" w:rsidRDefault="004E30E9">
            <w:pPr>
              <w:rPr>
                <w:rFonts w:eastAsia="Times New Roman"/>
                <w:sz w:val="20"/>
                <w:szCs w:val="20"/>
              </w:rPr>
            </w:pPr>
            <w:hyperlink w:anchor="a10ksummary" w:history="1">
              <w:r>
                <w:rPr>
                  <w:rStyle w:val="a4"/>
                  <w:rFonts w:eastAsia="Times New Roman"/>
                  <w:sz w:val="20"/>
                  <w:szCs w:val="20"/>
                </w:rPr>
                <w:t>Item 16. Form 10-K Summary</w:t>
              </w:r>
            </w:hyperlink>
          </w:p>
        </w:tc>
        <w:tc>
          <w:tcPr>
            <w:tcW w:w="500" w:type="pct"/>
            <w:hideMark/>
          </w:tcPr>
          <w:p w:rsidR="00000000" w:rsidRDefault="004E30E9">
            <w:pPr>
              <w:jc w:val="right"/>
              <w:rPr>
                <w:rFonts w:eastAsia="Times New Roman"/>
                <w:sz w:val="20"/>
                <w:szCs w:val="20"/>
              </w:rPr>
            </w:pPr>
            <w:hyperlink w:anchor="a10ksummary" w:history="1">
              <w:r>
                <w:rPr>
                  <w:rStyle w:val="a4"/>
                  <w:rFonts w:eastAsia="Times New Roman"/>
                  <w:sz w:val="20"/>
                  <w:szCs w:val="20"/>
                </w:rPr>
                <w:t>45</w:t>
              </w:r>
            </w:hyperlink>
          </w:p>
        </w:tc>
      </w:tr>
    </w:tbl>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191692952"/>
        <w:rPr>
          <w:rFonts w:eastAsia="Times New Roman"/>
          <w:sz w:val="20"/>
          <w:szCs w:val="20"/>
        </w:rPr>
      </w:pPr>
      <w:r>
        <w:rPr>
          <w:rFonts w:eastAsia="Times New Roman"/>
          <w:sz w:val="20"/>
          <w:szCs w:val="20"/>
        </w:rPr>
        <w:t xml:space="preserve">2 </w:t>
      </w:r>
    </w:p>
    <w:p w:rsidR="00000000" w:rsidRDefault="004E30E9">
      <w:pPr>
        <w:divId w:val="1925189055"/>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4E30E9">
      <w:pPr>
        <w:divId w:val="152509589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divId w:val="1955668775"/>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b/>
          <w:bCs/>
          <w:sz w:val="20"/>
          <w:szCs w:val="20"/>
        </w:rPr>
        <w:t>FORWARD-LOOKING STATEMENTS</w:t>
      </w:r>
    </w:p>
    <w:p w:rsidR="00000000" w:rsidRDefault="004E30E9">
      <w:pPr>
        <w:pStyle w:val="a3"/>
        <w:spacing w:before="0" w:beforeAutospacing="0" w:after="0" w:afterAutospacing="0"/>
        <w:jc w:val="center"/>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This annual report on Form 10-K (“Form 10-K”</w:t>
      </w:r>
      <w:r>
        <w:rPr>
          <w:sz w:val="20"/>
          <w:szCs w:val="20"/>
        </w:rPr>
        <w:t xml:space="preserve">), together with other statements and information publicly disseminated by Kimco Realty Corporation (the “Company”) contains certain forward-looking statements within the meaning of Section 27A of the Securities Act of 1933, as amended, and Section 21E of </w:t>
      </w:r>
      <w:r>
        <w:rPr>
          <w:sz w:val="20"/>
          <w:szCs w:val="20"/>
        </w:rPr>
        <w:t>the Securities Exchange Act of 1934, as amended. The Company intends such forward-looking statements to be covered by the safe harbor provisions for forward-looking statements contained in the Private Securities Litigation Reform Act of 1995 and includes t</w:t>
      </w:r>
      <w:r>
        <w:rPr>
          <w:sz w:val="20"/>
          <w:szCs w:val="20"/>
        </w:rPr>
        <w:t>his statement for purposes of complying with the safe harbor provisions. Forward-looking statements, which are based on certain assumptions and describe the Company’s future plans, strategies and expectations, are generally identifiable by use of the words</w:t>
      </w:r>
      <w:r>
        <w:rPr>
          <w:sz w:val="20"/>
          <w:szCs w:val="20"/>
        </w:rPr>
        <w:t xml:space="preserve"> “believe,” “expect,” “intend,” “anticipate,” “estimate,” “project,” “will,” “target,” “forecast” or similar expressions. You should not rely on forward-looking statements since they involve known and unknown risks, uncertainties and other factors which ar</w:t>
      </w:r>
      <w:r>
        <w:rPr>
          <w:sz w:val="20"/>
          <w:szCs w:val="20"/>
        </w:rPr>
        <w:t>e, in some cases, beyond the Company’s control and could materially affect actual results, performances or achievements. Factors which may cause actual results to differ materially from current expectations include, but are not limited to, (i) general adve</w:t>
      </w:r>
      <w:r>
        <w:rPr>
          <w:sz w:val="20"/>
          <w:szCs w:val="20"/>
        </w:rPr>
        <w:t>rse economic and local real estate conditions, (ii) the inability of major tenants to continue paying their rent obligations due to bankruptcy, insolvency or a general downturn in their business, (iii) financing risks, such as the inability to obtain equit</w:t>
      </w:r>
      <w:r>
        <w:rPr>
          <w:sz w:val="20"/>
          <w:szCs w:val="20"/>
        </w:rPr>
        <w:t>y, debt or other sources of financing or refinancing on favorable terms to the Company, (iv) the Company’s ability to raise capital by selling its assets, (v) changes in governmental laws and regulations and management’s ability to estimate the impact of s</w:t>
      </w:r>
      <w:r>
        <w:rPr>
          <w:sz w:val="20"/>
          <w:szCs w:val="20"/>
        </w:rPr>
        <w:t>uch changes, (vi) the level and volatility of interest rates and management’s ability to estimate the impact thereof, (vii) pandemics or other health crises, such as coronavirus disease 2019 (“COVID-19”), (viii) the availability of suitable acquisition, di</w:t>
      </w:r>
      <w:r>
        <w:rPr>
          <w:sz w:val="20"/>
          <w:szCs w:val="20"/>
        </w:rPr>
        <w:t>sposition, development and redevelopment opportunities, and risks related to acquisitions not performing in accordance with our expectations, (ix) valuation and risks related to the Company’s joint venture and preferred equity investments, (x) valuation of</w:t>
      </w:r>
      <w:r>
        <w:rPr>
          <w:sz w:val="20"/>
          <w:szCs w:val="20"/>
        </w:rPr>
        <w:t xml:space="preserve"> marketable securities and other investments including the shares of Albertsons Companies, Inc. common stock held by the Company, (xi) increases in operating costs, (xii) changes in the dividend policy for the Company’s common and preferred stock and the C</w:t>
      </w:r>
      <w:r>
        <w:rPr>
          <w:sz w:val="20"/>
          <w:szCs w:val="20"/>
        </w:rPr>
        <w:t>ompany’s ability to pay dividends at current levels, (xiii) the reduction in the Company’s income in the event of multiple lease terminations by tenants or a failure by multiple tenants to occupy their premises in a shopping center, (xiv) impairment charge</w:t>
      </w:r>
      <w:r>
        <w:rPr>
          <w:sz w:val="20"/>
          <w:szCs w:val="20"/>
        </w:rPr>
        <w:t xml:space="preserve">s, (xv) unanticipated changes in the Company’s intention or ability to prepay certain debt prior to maturity and/or hold certain securities until maturity and (xvi) the risks and uncertainties identified under Item 1A, “Risk Factors” and elsewhere in this </w:t>
      </w:r>
      <w:r>
        <w:rPr>
          <w:sz w:val="20"/>
          <w:szCs w:val="20"/>
        </w:rPr>
        <w:t>Form 10-K and in the Company’s other filings with the Securities and Exchange Commission (“SEC”). Accordingly, there is no assurance that the Company’s expectations will be realized. The Company disclaims any intention or obligation to update the forward-l</w:t>
      </w:r>
      <w:r>
        <w:rPr>
          <w:sz w:val="20"/>
          <w:szCs w:val="20"/>
        </w:rPr>
        <w:t>ooking statements, whether as a result of new information, future events or otherwise. You are advised to refer to any further disclosures the Company makes or related subjects in the Company’s quarterly reports on Form 10-Q and current reports on Form 8-K</w:t>
      </w:r>
      <w:r>
        <w:rPr>
          <w:sz w:val="20"/>
          <w:szCs w:val="20"/>
        </w:rPr>
        <w:t xml:space="preserve"> that the Company files with the SEC.</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u w:val="single"/>
        </w:rPr>
        <w:t>PART I</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1. Business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rPr>
          <w:sz w:val="20"/>
          <w:szCs w:val="20"/>
        </w:rPr>
      </w:pPr>
      <w:r>
        <w:rPr>
          <w:b/>
          <w:bCs/>
          <w:sz w:val="20"/>
          <w:szCs w:val="20"/>
          <w:u w:val="single"/>
        </w:rPr>
        <w:t>Overview</w:t>
      </w:r>
    </w:p>
    <w:p w:rsidR="00000000" w:rsidRDefault="004E30E9">
      <w:pPr>
        <w:pStyle w:val="a3"/>
        <w:spacing w:before="0" w:beforeAutospacing="0" w:after="0" w:afterAutospacing="0"/>
        <w:ind w:firstLine="360"/>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sz w:val="20"/>
          <w:szCs w:val="20"/>
        </w:rPr>
        <w:t>Kimco Realty Corporation, a Maryland corporation, is one of North America’s largest publicly traded owners and operators of open-air, grocery-anch</w:t>
      </w:r>
      <w:r>
        <w:rPr>
          <w:sz w:val="20"/>
          <w:szCs w:val="20"/>
        </w:rPr>
        <w:t xml:space="preserve">ored shopping centers and mixed-use assets in the U.S.  The terms “Kimco,” the “Company,” “we,” “our” and “us” each refer to Kimco Realty Corporation and our subsidiaries, unless the context indicates otherwise.  In statements regarding qualification as a </w:t>
      </w:r>
      <w:r>
        <w:rPr>
          <w:sz w:val="20"/>
          <w:szCs w:val="20"/>
        </w:rPr>
        <w:t xml:space="preserve">real estate investment trust (“REIT”), such terms refer solely to Kimco Realty Corporation. The </w:t>
      </w:r>
      <w:r>
        <w:rPr>
          <w:sz w:val="20"/>
          <w:szCs w:val="20"/>
        </w:rPr>
        <w:lastRenderedPageBreak/>
        <w:t>Company’s mission is to create destinations for everyday living that inspire a sense of community and deliver value to our many stakeholders.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bega</w:t>
      </w:r>
      <w:r>
        <w:rPr>
          <w:sz w:val="20"/>
          <w:szCs w:val="20"/>
        </w:rPr>
        <w:t>n operations through its predecessor, The Kimco Corporation, which was organized in 1966 upon the contribution of several shopping center properties owned by its principal stockholders. In 1973, these principals formed the Company as a Delaware corporation</w:t>
      </w:r>
      <w:r>
        <w:rPr>
          <w:sz w:val="20"/>
          <w:szCs w:val="20"/>
        </w:rPr>
        <w:t>, and, in 1985, the operations of The Kimco Corporation were merged into the Company. The Company completed its initial public stock offering (the “IPO”) in November 1991, and, commencing with its taxable year which began January 1, 1992, elected to qualif</w:t>
      </w:r>
      <w:r>
        <w:rPr>
          <w:sz w:val="20"/>
          <w:szCs w:val="20"/>
        </w:rPr>
        <w:t>y as a REIT in accordance with Sections 856 through 860 of the Internal Revenue Code of 1986, as amended (the “Code”). If, as the Company believes, it is organized and operates in such a manner so as to qualify and remain qualified as a REIT under the Code</w:t>
      </w:r>
      <w:r>
        <w:rPr>
          <w:sz w:val="20"/>
          <w:szCs w:val="20"/>
        </w:rPr>
        <w:t>, the Company generally will not be subject to U.S. federal income tax, provided that distributions to its stockholders equal at least the amount of its REIT taxable income, as defined in the Code. The Company maintains certain subsidiaries that made joint</w:t>
      </w:r>
      <w:r>
        <w:rPr>
          <w:sz w:val="20"/>
          <w:szCs w:val="20"/>
        </w:rPr>
        <w:t xml:space="preserve"> elections with the Company to be treated as taxable REIT subsidiaries (“TRSs”), that permit the Company to engage through such TRSs in certain business activities that the REIT may not conduct directly. A TRS is subject to federal and state taxes on its i</w:t>
      </w:r>
      <w:r>
        <w:rPr>
          <w:sz w:val="20"/>
          <w:szCs w:val="20"/>
        </w:rPr>
        <w:t>ncome, and the Company includes a provision for taxes in its consolidated financial statements.  In 1994, the Company reorganized as a Maryland corporation. In March 2006, the Company was added to the S&amp;P 500 Index, an index containing the stock of 500 Lar</w:t>
      </w:r>
      <w:r>
        <w:rPr>
          <w:sz w:val="20"/>
          <w:szCs w:val="20"/>
        </w:rPr>
        <w:t>ge Cap companies, most of which are U.S. corporations. The Company's common stock, Class L Depositary Shares and Class M Depositary Shares are traded on the New York Stock Exchange (“NYSE”) under the trading symbols “KIM”, “KIMprL”, and “KIMprM”, respectiv</w:t>
      </w:r>
      <w:r>
        <w:rPr>
          <w:sz w:val="20"/>
          <w:szCs w:val="20"/>
        </w:rPr>
        <w:t>ely.</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is a self-administered REIT and has not engaged, nor does it expect to retain, any REIT advisors in connection with the operation of its properties. The Company’s ownership interests in real estate consist of its consolidated portfolio a</w:t>
      </w:r>
      <w:r>
        <w:rPr>
          <w:sz w:val="20"/>
          <w:szCs w:val="20"/>
        </w:rPr>
        <w:t>nd portfolios where the Company owns an economic interest, such as properties in the Company’s investment real estate management programs, where the Company partners with institutional investors and also retains management.  </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jc w:val="center"/>
        <w:divId w:val="345638747"/>
        <w:rPr>
          <w:rFonts w:eastAsia="Times New Roman"/>
          <w:sz w:val="20"/>
          <w:szCs w:val="20"/>
        </w:rPr>
      </w:pPr>
      <w:r>
        <w:rPr>
          <w:rFonts w:eastAsia="Times New Roman"/>
          <w:sz w:val="20"/>
          <w:szCs w:val="20"/>
        </w:rPr>
        <w:t xml:space="preserve">3 </w:t>
      </w:r>
    </w:p>
    <w:p w:rsidR="00000000" w:rsidRDefault="004E30E9">
      <w:pPr>
        <w:divId w:val="1015616355"/>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4E30E9">
      <w:pPr>
        <w:divId w:val="81147980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began to expand its operations through the development of real estate and the construction of shopping centers but revised its growth strategy to focus on the acquisition and redevelopm</w:t>
      </w:r>
      <w:r>
        <w:rPr>
          <w:sz w:val="20"/>
          <w:szCs w:val="20"/>
        </w:rPr>
        <w:t>ent of existing shopping centers that include a grocery component. The Company also expanded internationally within Canada, Mexico, Chile, Brazil and Peru, but has since substantially liquidated its investments in Mexico and has completely exited Canada, C</w:t>
      </w:r>
      <w:r>
        <w:rPr>
          <w:sz w:val="20"/>
          <w:szCs w:val="20"/>
        </w:rPr>
        <w:t>hile, Brazil and Peru. More recently the Company, on a selective basis, embarked on several ground-up development and re-development projects which include residential and mixed-use components.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implemented its investment real estate managemen</w:t>
      </w:r>
      <w:r>
        <w:rPr>
          <w:sz w:val="20"/>
          <w:szCs w:val="20"/>
        </w:rPr>
        <w:t>t format through the establishment of various institutional joint venture programs, in which the Company has noncontrolling interests. The Company earns management fees, acquisition fees, disposition fees as well as promoted interests based on achieving ce</w:t>
      </w:r>
      <w:r>
        <w:rPr>
          <w:sz w:val="20"/>
          <w:szCs w:val="20"/>
        </w:rPr>
        <w:t>rtain performance metrics.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addition, the Company has capitalized on its established expertise in retail real estate by establishing other ventures in which the Company owns a smaller equity interest and provides management, leasing and operational support for those properties. Th</w:t>
      </w:r>
      <w:r>
        <w:rPr>
          <w:sz w:val="20"/>
          <w:szCs w:val="20"/>
        </w:rPr>
        <w:t>e Company has also provided preferred equity capital in the past to real estate entrepreneurs and, from time to time, provides real estate capital and management services to both healthy and distressed retailers. The Company has also made selective investm</w:t>
      </w:r>
      <w:r>
        <w:rPr>
          <w:sz w:val="20"/>
          <w:szCs w:val="20"/>
        </w:rPr>
        <w:t>ents in secondary market opportunities where a security or other investment is, in management’s judgment, priced below the value of the underlying assets, however these investments are subject to volatility within the equity and debt markets.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As of Decem</w:t>
      </w:r>
      <w:r>
        <w:rPr>
          <w:sz w:val="20"/>
          <w:szCs w:val="20"/>
        </w:rPr>
        <w:t>ber 31, 2020, the Company had interests in 400 shopping center properties (the “Combined Shopping Center Portfolio”), aggregating 70.1 million square feet of gross leasable area (“GLA”), located in 27 states. In addition, the Company had 122 other property</w:t>
      </w:r>
      <w:r>
        <w:rPr>
          <w:sz w:val="20"/>
          <w:szCs w:val="20"/>
        </w:rPr>
        <w:t xml:space="preserve"> interests, primarily through the Company’s preferred equity investments and other real estate investments, totaling 5.4 million square feet of GLA.</w:t>
      </w:r>
    </w:p>
    <w:p w:rsidR="00000000" w:rsidRDefault="004E30E9">
      <w:pPr>
        <w:pStyle w:val="a3"/>
        <w:spacing w:before="0" w:beforeAutospacing="0" w:after="0" w:afterAutospacing="0"/>
        <w:jc w:val="both"/>
        <w:rPr>
          <w:sz w:val="20"/>
          <w:szCs w:val="20"/>
        </w:rPr>
      </w:pPr>
      <w:r>
        <w:rPr>
          <w:sz w:val="20"/>
          <w:szCs w:val="20"/>
        </w:rPr>
        <w:lastRenderedPageBreak/>
        <w:t> </w:t>
      </w:r>
    </w:p>
    <w:p w:rsidR="00000000" w:rsidRDefault="004E30E9">
      <w:pPr>
        <w:pStyle w:val="a3"/>
        <w:spacing w:before="0" w:beforeAutospacing="0" w:after="0" w:afterAutospacing="0"/>
        <w:jc w:val="both"/>
        <w:rPr>
          <w:sz w:val="20"/>
          <w:szCs w:val="20"/>
        </w:rPr>
      </w:pPr>
      <w:r>
        <w:rPr>
          <w:b/>
          <w:bCs/>
          <w:sz w:val="20"/>
          <w:szCs w:val="20"/>
          <w:u w:val="single"/>
        </w:rPr>
        <w:t>COVID-19 Pandemic</w:t>
      </w:r>
      <w:r>
        <w:rPr>
          <w:sz w:val="20"/>
          <w:szCs w:val="20"/>
        </w:rPr>
        <w:t>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March 2020, COVID-19 was recognized as a pandemic by the World Health Organizatio</w:t>
      </w:r>
      <w:r>
        <w:rPr>
          <w:sz w:val="20"/>
          <w:szCs w:val="20"/>
        </w:rPr>
        <w:t>n (“WHO”) and declared a national emergency throughout the United States. The COVID-19 pandemic has resulted in a widespread health crisis that has adversely affected businesses, economies, and financial markets worldwide and has caused significant volatil</w:t>
      </w:r>
      <w:r>
        <w:rPr>
          <w:sz w:val="20"/>
          <w:szCs w:val="20"/>
        </w:rPr>
        <w:t xml:space="preserve">ity in U.S. and international debt and equity markets. The impact of COVID-19 on the retail industry for both landlords and tenants has been wide ranging, including, but not limited to, the temporary closures of many businesses, "shelter in place" orders, </w:t>
      </w:r>
      <w:r>
        <w:rPr>
          <w:sz w:val="20"/>
          <w:szCs w:val="20"/>
        </w:rPr>
        <w:t>social distancing guidelines and other governmental, business and individual actions taken in response to the COVID-19 pandemic. There has also been reduced consumer spending due to job losses, government restrictions in response to COVID-19 and other effe</w:t>
      </w:r>
      <w:r>
        <w:rPr>
          <w:sz w:val="20"/>
          <w:szCs w:val="20"/>
        </w:rPr>
        <w:t>cts attributable to COVID-19.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is aware of the critical role its shopping centers play in the communities they serve, often providing access to essential goods and services such as groceries, drug stores, and medical care. The Company’s shopp</w:t>
      </w:r>
      <w:r>
        <w:rPr>
          <w:sz w:val="20"/>
          <w:szCs w:val="20"/>
        </w:rPr>
        <w:t>ing centers have remained open throughout the COVID-19 pandemic to continue to provide access to these essential goods and services, and the Company has taken steps to protect the shoppers and tenants at its sites, following the guidance of the Centers for</w:t>
      </w:r>
      <w:r>
        <w:rPr>
          <w:sz w:val="20"/>
          <w:szCs w:val="20"/>
        </w:rPr>
        <w:t xml:space="preserve"> Disease Control and Prevention (“CDC”) and the WHO.</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COVID-19 pandemic has created significant economic uncertainty and volatility and has considerably impacted the Company’s stakeholders. The COVID-19 pandemic has impacted the Company’s financial co</w:t>
      </w:r>
      <w:r>
        <w:rPr>
          <w:sz w:val="20"/>
          <w:szCs w:val="20"/>
        </w:rPr>
        <w:t xml:space="preserve">ndition, results of operations and cash flows since its onset. The extent to which the COVID-19 pandemic will continue to impact the Company’s financial condition, results of operations and cash flows, will depend on future developments, which continue to </w:t>
      </w:r>
      <w:r>
        <w:rPr>
          <w:sz w:val="20"/>
          <w:szCs w:val="20"/>
        </w:rPr>
        <w:t>be highly uncertain and difficult to predict. The Company’s business, operations and financial results will depend on numerous evolving factors that the Company is not able to predict, including the duration and scope of the pandemic, governmental, busines</w:t>
      </w:r>
      <w:r>
        <w:rPr>
          <w:sz w:val="20"/>
          <w:szCs w:val="20"/>
        </w:rPr>
        <w:t>s and individual actions that have been and continue to be, taken in response to the pandemic, the distribution and effectiveness of vaccines, the impact on economic activity from the pandemic and actions taken in response, the effect on the Company’s tena</w:t>
      </w:r>
      <w:r>
        <w:rPr>
          <w:sz w:val="20"/>
          <w:szCs w:val="20"/>
        </w:rPr>
        <w:t>nts and their businesses, the ability of tenants to make their rental payments, additional closures of tenants’ businesses and the impact of opening and reclosing of communities in response to COVID-19. Any of these events could materially adversely impact</w:t>
      </w:r>
      <w:r>
        <w:rPr>
          <w:sz w:val="20"/>
          <w:szCs w:val="20"/>
        </w:rPr>
        <w:t xml:space="preserve"> the Company’s business, financial condition, results of operations or stock price. The Company will continue to monitor the economic, financial, and social conditions resulting from the COVID-19 pandemic and will assess its asset portfolio for any impairm</w:t>
      </w:r>
      <w:r>
        <w:rPr>
          <w:sz w:val="20"/>
          <w:szCs w:val="20"/>
        </w:rPr>
        <w:t>ent indicators. In addition, the Company will continue to monitor for any material or adverse effects resulting from the COVID-19 pandemic.</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Since the outbreak of the COVID-19 pandemic, the Company’s shopping centers have remained open; however, a substan</w:t>
      </w:r>
      <w:r>
        <w:rPr>
          <w:sz w:val="20"/>
          <w:szCs w:val="20"/>
        </w:rPr>
        <w:t>tial number of tenants had or continue to have temporarily or permanently closed their businesses. Others had, or continue to have, shortened their operating hours or offered reduced services. The Company has also had a substantial number of tenants that h</w:t>
      </w:r>
      <w:r>
        <w:rPr>
          <w:sz w:val="20"/>
          <w:szCs w:val="20"/>
        </w:rPr>
        <w:t>ave made late or partial rent payments, requested a deferral of rent payments, forgiveness of rent payments or defaulted on rent payments. Since the COVID-19 pandemic began, the Company has seen an increase in the number of tenants filing for bankruptcy, s</w:t>
      </w:r>
      <w:r>
        <w:rPr>
          <w:sz w:val="20"/>
          <w:szCs w:val="20"/>
        </w:rPr>
        <w:t>ome of which emerged from bankruptcy prior to December 31, 2020. The Company continues to evaluate the impact bankruptcy filings have or will have on collections, vacancies and future rental income.</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jc w:val="center"/>
        <w:divId w:val="1507793128"/>
        <w:rPr>
          <w:rFonts w:eastAsia="Times New Roman"/>
          <w:sz w:val="20"/>
          <w:szCs w:val="20"/>
        </w:rPr>
      </w:pPr>
      <w:r>
        <w:rPr>
          <w:rFonts w:eastAsia="Times New Roman"/>
          <w:sz w:val="20"/>
          <w:szCs w:val="20"/>
        </w:rPr>
        <w:t xml:space="preserve">4 </w:t>
      </w:r>
    </w:p>
    <w:p w:rsidR="00000000" w:rsidRDefault="004E30E9">
      <w:pPr>
        <w:divId w:val="1933589161"/>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4E30E9">
      <w:pPr>
        <w:divId w:val="204506121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b/>
          <w:bCs/>
          <w:sz w:val="20"/>
          <w:szCs w:val="20"/>
          <w:u w:val="single"/>
        </w:rPr>
        <w:t>Business Objective and Strategies</w:t>
      </w:r>
    </w:p>
    <w:p w:rsidR="00000000" w:rsidRDefault="004E30E9">
      <w:pPr>
        <w:pStyle w:val="a3"/>
        <w:spacing w:before="0" w:beforeAutospacing="0" w:after="0" w:afterAutospacing="0"/>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sz w:val="20"/>
          <w:szCs w:val="20"/>
        </w:rPr>
        <w:t>Over the past several years, the Company has transformed its portfolio, focusing on major metropolitan-area U.S. markets, predominantly on the East and West coasts and in the Sunbelt region</w:t>
      </w:r>
      <w:r>
        <w:rPr>
          <w:sz w:val="20"/>
          <w:szCs w:val="20"/>
        </w:rPr>
        <w:t>, which are supported by strong demographics, significant projected population growth, and where the Company perceives significant barriers to entry.  As a result of this transformation, the Company now owns a predominantly grocery-anchored portfolio clust</w:t>
      </w:r>
      <w:r>
        <w:rPr>
          <w:sz w:val="20"/>
          <w:szCs w:val="20"/>
        </w:rPr>
        <w:t>ered in the nation’s top markets which has positioned the Company to address many of the challenges brought upon by COVID-19. As of December 31, 2020, the Company derived 84.6% of its annualized base rent from its top major metro markets.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Company’s focus on high-quality locations has led to significant opportunities for value creation through the reinvestment in its assets to add density, replace outdated shopping center concepts, and better meet changing consumer demands. In order to a</w:t>
      </w:r>
      <w:r>
        <w:rPr>
          <w:sz w:val="20"/>
          <w:szCs w:val="20"/>
        </w:rPr>
        <w:t>dd density to existing properties, the Company has obtained multi-family entitlements for 4,984 units of which 1,266 units have been constructed as of December 31, 2020. The Company continues to place strategic emphasis on live/work/play environments and i</w:t>
      </w:r>
      <w:r>
        <w:rPr>
          <w:sz w:val="20"/>
          <w:szCs w:val="20"/>
        </w:rPr>
        <w:t>n reinvesting in its existing assets, while building shareholder value. This philosophy is exemplified by the Company’s Signature Serie</w:t>
      </w:r>
      <w:r>
        <w:rPr>
          <w:sz w:val="20"/>
          <w:szCs w:val="20"/>
        </w:rPr>
        <w:t>s</w:t>
      </w:r>
      <w:r>
        <w:rPr>
          <w:sz w:val="20"/>
          <w:szCs w:val="20"/>
          <w:vertAlign w:val="superscript"/>
        </w:rPr>
        <w:t>TM</w:t>
      </w:r>
      <w:r>
        <w:rPr>
          <w:sz w:val="20"/>
          <w:szCs w:val="20"/>
        </w:rPr>
        <w:t xml:space="preserve"> properties Dania Pointe, Grand Parkway Marketplace, Kentlands Market Square, Lincoln Square, Mill Station, Pentagon C</w:t>
      </w:r>
      <w:r>
        <w:rPr>
          <w:sz w:val="20"/>
          <w:szCs w:val="20"/>
        </w:rPr>
        <w:t>entre, Suburban Square and The Boulevard.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strength and security of the Company’s balance sheet remains central to its strategy.  The Company’s strong balance sheet and liquidity position are evidenced by its investment grade unsecured debt ratings (B</w:t>
      </w:r>
      <w:r>
        <w:rPr>
          <w:sz w:val="20"/>
          <w:szCs w:val="20"/>
        </w:rPr>
        <w:t xml:space="preserve">aa1/BBB+) by two major ratings agencies.  The Company maintains one of the longest average debt maturity profiles in the REIT industry, now at 10.9 years.  The Company expects to continue to take steps to reduce leverage, unencumber assets and improve its </w:t>
      </w:r>
      <w:r>
        <w:rPr>
          <w:sz w:val="20"/>
          <w:szCs w:val="20"/>
        </w:rPr>
        <w:t>debt coverage metrics as redevelopment and development projects continue to come online and contribute additional cash flow growth.</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jc w:val="both"/>
        <w:rPr>
          <w:sz w:val="20"/>
          <w:szCs w:val="20"/>
        </w:rPr>
      </w:pPr>
      <w:r>
        <w:rPr>
          <w:i/>
          <w:iCs/>
          <w:sz w:val="20"/>
          <w:szCs w:val="20"/>
        </w:rPr>
        <w:t>Business Objective</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450"/>
        <w:jc w:val="both"/>
        <w:rPr>
          <w:sz w:val="20"/>
          <w:szCs w:val="20"/>
        </w:rPr>
      </w:pPr>
      <w:r>
        <w:rPr>
          <w:sz w:val="20"/>
          <w:szCs w:val="20"/>
        </w:rPr>
        <w:t>The Company’</w:t>
      </w:r>
      <w:r>
        <w:rPr>
          <w:sz w:val="20"/>
          <w:szCs w:val="20"/>
        </w:rPr>
        <w:t>s primary business objective is to be the premier owner and operators of open-air, grocery-anchored shopping centers and mixed-use assets in the U.S. The Company believes it can achieve this objective by:</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increasing the value of its existing portfolio </w:t>
            </w:r>
            <w:r>
              <w:rPr>
                <w:sz w:val="20"/>
                <w:szCs w:val="20"/>
              </w:rPr>
              <w:t>of properties and generating higher levels of portfolio growth;</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increasing cash flows for reinvestment and/or for distribution to shareholders;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continuing growth in desirable demographic areas with successful retailers;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increasing capital appreciation.</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Business Strategies</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Company’s stronger transformed portfolio, over time, should enable the Company to maintain higher occupancy </w:t>
      </w:r>
      <w:r>
        <w:rPr>
          <w:sz w:val="20"/>
          <w:szCs w:val="20"/>
        </w:rPr>
        <w:t>levels, rental rates and rental growth. With the COVID-19 pandemic affecting much of the retail sector the Company further concentrated its business objectives to three main areas as follows: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The “PLUS” business encompasses investm</w:t>
      </w:r>
      <w:r>
        <w:rPr>
          <w:sz w:val="20"/>
          <w:szCs w:val="20"/>
        </w:rPr>
        <w:t>ent opportunities with retailers who have significant real estate holdings. The Company believes it can utilize its Structured Investment Program to take advantage of opportunities resulting from market dislocation in the form of preferred equity investmen</w:t>
      </w:r>
      <w:r>
        <w:rPr>
          <w:sz w:val="20"/>
          <w:szCs w:val="20"/>
        </w:rPr>
        <w:t>ts and/or mezzanine financing for qualified real estate owners in need of capital.</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To effectively execute these strategies the Company seeks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significantly increase its leasing efforts over the next several years to offset the impact of the COVID-19 pandemic;</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increase rental rates where possible through the leasing of space to new tenants;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attract a diverse and robust tenant base acr</w:t>
            </w:r>
            <w:r>
              <w:rPr>
                <w:sz w:val="20"/>
                <w:szCs w:val="20"/>
              </w:rPr>
              <w:t>oss a variety of retailers at its properties, with a focus on essential tenants such as grocers and home improvement;</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renew leases with existing tenants;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decrease vacancy levels and duration of vacancy;</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monitor operating costs and overhead;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retail re-tenanting, renovating, expanding and redeveloping existing shopping centers to obtain the highest and best use to maximize the real estate value, which could include acquiring adjacent land parcels;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selectively acquire established income-producing real estate properties and properties requiring significant re-tenanting and redevelopment, primarily in geographic regions in which the Company presently operates;</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1785690684"/>
        <w:rPr>
          <w:rFonts w:eastAsia="Times New Roman"/>
          <w:sz w:val="20"/>
          <w:szCs w:val="20"/>
        </w:rPr>
      </w:pPr>
      <w:r>
        <w:rPr>
          <w:rFonts w:eastAsia="Times New Roman"/>
          <w:sz w:val="20"/>
          <w:szCs w:val="20"/>
        </w:rPr>
        <w:t xml:space="preserve">5 </w:t>
      </w:r>
    </w:p>
    <w:p w:rsidR="00000000" w:rsidRDefault="004E30E9">
      <w:pPr>
        <w:divId w:val="646864047"/>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4E30E9">
      <w:pPr>
        <w:divId w:val="17890816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continue to assess its portfolio and dispose of certain underperforming properties;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provide unmatched tenant services deriving from decades of experience managing retail properties;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assist small shop tenants during the COVID-19 pandemic to enable them to continue to successfully operate;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provide communities with a "just ar</w:t>
            </w:r>
            <w:r>
              <w:rPr>
                <w:sz w:val="20"/>
                <w:szCs w:val="20"/>
              </w:rPr>
              <w:t>ound the corner" destination for everyday living goods and services.</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450"/>
        <w:jc w:val="both"/>
        <w:rPr>
          <w:sz w:val="20"/>
          <w:szCs w:val="20"/>
        </w:rPr>
      </w:pPr>
      <w:r>
        <w:rPr>
          <w:sz w:val="20"/>
          <w:szCs w:val="20"/>
        </w:rPr>
        <w:t>The Company has established certain areas of focus which it believes will advance the execution of its strategies over the coming years:</w:t>
      </w:r>
    </w:p>
    <w:p w:rsidR="00000000" w:rsidRDefault="004E30E9">
      <w:pPr>
        <w:pStyle w:val="a3"/>
        <w:spacing w:before="0" w:beforeAutospacing="0" w:after="0" w:afterAutospacing="0"/>
        <w:ind w:firstLine="450"/>
        <w:jc w:val="both"/>
        <w:rPr>
          <w:sz w:val="20"/>
          <w:szCs w:val="20"/>
        </w:rPr>
      </w:pPr>
      <w:r>
        <w:rPr>
          <w:sz w:val="20"/>
          <w:szCs w:val="20"/>
        </w:rPr>
        <w:t> </w:t>
      </w:r>
    </w:p>
    <w:p w:rsidR="00000000" w:rsidRDefault="004E30E9">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reduces its operating and leasing risks through diversification achieved by the geographic distribution of its properties and a large tenant base. As of December 31, 2020, no single open-air shopping center accounted for m</w:t>
      </w:r>
      <w:r>
        <w:rPr>
          <w:sz w:val="20"/>
          <w:szCs w:val="20"/>
        </w:rPr>
        <w:t xml:space="preserve">ore than 2.0% of the Company's annualized base rental revenues, including the proportionate share of base rental revenues from properties in which the Company has less than a 100% economic interest, or more than 2.0% of the Company’s total shopping center </w:t>
      </w:r>
      <w:r>
        <w:rPr>
          <w:sz w:val="20"/>
          <w:szCs w:val="20"/>
        </w:rPr>
        <w:t>GLA. Furthermore, at December 31, 2020, the Company’s single largest tenant represented only 4.0%, and the Company’s five largest tenants aggregated less than 12.6%, of the Company’s annualized base rental revenues, including the proportionate share of bas</w:t>
      </w:r>
      <w:r>
        <w:rPr>
          <w:sz w:val="20"/>
          <w:szCs w:val="20"/>
        </w:rPr>
        <w:t>e rental revenues from properties in which the Company has less than a 100% economic interest.</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As one of the original participants in the growth of the shopping center industry and one of the nation's largest owners and operators of open-air shopping cen</w:t>
      </w:r>
      <w:r>
        <w:rPr>
          <w:sz w:val="20"/>
          <w:szCs w:val="20"/>
        </w:rPr>
        <w:t>ters, the Company has established close relationships with major national and regional retailers and maintains a broad network of industry contacts. Management is associated with and/or actively participates in many shopping center and REIT industry organi</w:t>
      </w:r>
      <w:r>
        <w:rPr>
          <w:sz w:val="20"/>
          <w:szCs w:val="20"/>
        </w:rPr>
        <w:t>zations. Notwithstanding these relationships, there are numerous regional and local commercial developers, real estate companies, financial institutions and other investors who compete with the Company for the acquisition of properties and other investment</w:t>
      </w:r>
      <w:r>
        <w:rPr>
          <w:sz w:val="20"/>
          <w:szCs w:val="20"/>
        </w:rPr>
        <w:t xml:space="preserve"> opportunities and in seeking tenants who will lease space in the Company’s properties.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b/>
          <w:bCs/>
          <w:sz w:val="20"/>
          <w:szCs w:val="20"/>
          <w:u w:val="single"/>
        </w:rPr>
        <w:t>Human Capital Resources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believes that our employees are one of our strongest resources and that a variety of perspectives and experiences found in a div</w:t>
      </w:r>
      <w:r>
        <w:rPr>
          <w:sz w:val="20"/>
          <w:szCs w:val="20"/>
        </w:rPr>
        <w:t>erse workforce spark innovation and enrich company culture.  The Company is committed to diversity and inclusion best practices in all phases of the employee life cycle, including recruitment, training and development and promotion.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has been</w:t>
      </w:r>
      <w:r>
        <w:rPr>
          <w:sz w:val="20"/>
          <w:szCs w:val="20"/>
        </w:rPr>
        <w:t xml:space="preserve"> and will continue to be an equal opportunity employer committed to hiring, developing, and supporting a diverse and inclusive workplace.  To ensure full implementation of this equal employment policy, we will take steps to ensure that persons are recruite</w:t>
      </w:r>
      <w:r>
        <w:rPr>
          <w:sz w:val="20"/>
          <w:szCs w:val="20"/>
        </w:rPr>
        <w:t>d, hired, assigned and promoted without regard to race, national origin, religion, age, color, sex, sexual orientation, gender identity, disability, or protected veteran status, or any other characteristic protected by local, state, or federal laws, rules,</w:t>
      </w:r>
      <w:r>
        <w:rPr>
          <w:sz w:val="20"/>
          <w:szCs w:val="20"/>
        </w:rPr>
        <w:t xml:space="preserve"> or regulations.  All of our employees must adhere to a Code of Business Conduct and Ethics that sets standards for appropriate behavior and includes required internal training on preventing, identifying, reporting and stopping any type of discrimination.</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In order to attract and retain high performing individuals, we are committed to partnering with our employees to provide opportunities for their professional development and promote their health and well-being.  We also offer our employees a broad range </w:t>
      </w:r>
      <w:r>
        <w:rPr>
          <w:sz w:val="20"/>
          <w:szCs w:val="20"/>
        </w:rPr>
        <w:t xml:space="preserve">of company-paid benefits, and we believe our compensation package and benefits are competitive with others in our industry.  Our benefits programs include a robust offering of medical, dental, vision benefits, life, disability and other ancillary benefits </w:t>
      </w:r>
      <w:r>
        <w:rPr>
          <w:sz w:val="20"/>
          <w:szCs w:val="20"/>
        </w:rPr>
        <w:t>requiring very low employee contributions.  In addition, the Company has been recognized as a Great Place to Work® based on surveys and feedback collected from its employees.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704867936"/>
        <w:rPr>
          <w:rFonts w:eastAsia="Times New Roman"/>
          <w:sz w:val="20"/>
          <w:szCs w:val="20"/>
        </w:rPr>
      </w:pPr>
      <w:r>
        <w:rPr>
          <w:rFonts w:eastAsia="Times New Roman"/>
          <w:sz w:val="20"/>
          <w:szCs w:val="20"/>
        </w:rPr>
        <w:t xml:space="preserve">6 </w:t>
      </w:r>
    </w:p>
    <w:p w:rsidR="00000000" w:rsidRDefault="004E30E9">
      <w:pPr>
        <w:divId w:val="1650792799"/>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4E30E9">
      <w:pPr>
        <w:divId w:val="190417081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Company’s executive and management team promotes a true “open door” environment in which all feedback and suggestions are welcome.  Whether it be through regular all employee calls, department meetings, frequent training sessions, </w:t>
      </w:r>
      <w:r>
        <w:rPr>
          <w:sz w:val="20"/>
          <w:szCs w:val="20"/>
        </w:rPr>
        <w:t>Coffee Connections with the executive team, use of our BRAVO recognition program, awarding of iPads for Ideas, or participation in our flagship LABS (Leaders Advancing Business Strategy) program, associates are encouraged to be inquisitive and share ideas.</w:t>
      </w:r>
      <w:r>
        <w:rPr>
          <w:sz w:val="20"/>
          <w:szCs w:val="20"/>
        </w:rPr>
        <w:t xml:space="preserve"> Those ideas have resulted in a number of programs and benefit enhancements.</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promotes physical health, including access to a national gym membership program for associates and their family members as well as host regular wellness and nutritio</w:t>
      </w:r>
      <w:r>
        <w:rPr>
          <w:sz w:val="20"/>
          <w:szCs w:val="20"/>
        </w:rPr>
        <w:t>n seminars and health screenings.  The Company also feels it is important that our associates are engaged and active in the community.  At our headquarters and in each of our regions a Committee of employees host numerous volunteer and social activities th</w:t>
      </w:r>
      <w:r>
        <w:rPr>
          <w:sz w:val="20"/>
          <w:szCs w:val="20"/>
        </w:rPr>
        <w:t xml:space="preserve">at are derived from employee sentiment.  Whether we’re participating in walks, runs, meal servings, food drives, toy drives, or St. Jude Ride for a Reason, the Company promotes and supports associate volunteerism with two volunteer days off per year and a </w:t>
      </w:r>
      <w:r>
        <w:rPr>
          <w:sz w:val="20"/>
          <w:szCs w:val="20"/>
        </w:rPr>
        <w:t>company matching program that provide up to $500 per year in support of each associates charitable endeavors. In addition, each year, the Company provides $100,000 in education scholarships for children of our associates, which is managed by an independent</w:t>
      </w:r>
      <w:r>
        <w:rPr>
          <w:sz w:val="20"/>
          <w:szCs w:val="20"/>
        </w:rPr>
        <w:t xml:space="preserve"> third-party.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Company's executive offices are located at 500 North Broadway, Suite 201, Jericho, NY 11753, a mixed-use property that is wholly owned by the Company, and its telephone number is (516) 869-9000.  Nearly all operating functions, including leasing, legal</w:t>
      </w:r>
      <w:r>
        <w:rPr>
          <w:sz w:val="20"/>
          <w:szCs w:val="20"/>
        </w:rPr>
        <w:t>, construction, data processing, maintenance, finance and accounting are administered by the Company from its executive offices in Jericho, New York and supported by the Company’s regional offices.  As of December 31, 2020, a total of 484 persons were empl</w:t>
      </w:r>
      <w:r>
        <w:rPr>
          <w:sz w:val="20"/>
          <w:szCs w:val="20"/>
        </w:rPr>
        <w:t>oyed by the Company of which 41.5% were located in our corporate office with the remainder located in 26 offices throughout the United States. The average tenure of our employees was 10 years.</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health and safety of the Company’s employees and their fa</w:t>
      </w:r>
      <w:r>
        <w:rPr>
          <w:sz w:val="20"/>
          <w:szCs w:val="20"/>
        </w:rPr>
        <w:t xml:space="preserve">milies is a top priority. The Company always takes the necessary steps to protect its employees, especially during the COVID-19 pandemic where employees were empowered to work from home and care for their family members and children, whose lives have also </w:t>
      </w:r>
      <w:r>
        <w:rPr>
          <w:sz w:val="20"/>
          <w:szCs w:val="20"/>
        </w:rPr>
        <w:t>been impacted. The Company will continue to evaluate individual situations as they arise and adjust its approach as appropriate, with the goal of enabling its employees to be as productive as possible while offering them the flexibility they need to care f</w:t>
      </w:r>
      <w:r>
        <w:rPr>
          <w:sz w:val="20"/>
          <w:szCs w:val="20"/>
        </w:rPr>
        <w:t>or themselves and their families.  The following are steps that were taken by the Company in response to the COVID-19 pandemic:</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jc w:val="both"/>
              <w:rPr>
                <w:rFonts w:eastAsia="Times New Roman"/>
                <w:sz w:val="20"/>
                <w:szCs w:val="20"/>
              </w:rPr>
            </w:pPr>
            <w:r>
              <w:rPr>
                <w:rFonts w:eastAsia="Times New Roman"/>
                <w:sz w:val="20"/>
                <w:szCs w:val="20"/>
              </w:rPr>
              <w:t>Transitioned the entire workforce from full-time office to flexible work from home arrangement, which the Company successf</w:t>
            </w:r>
            <w:r>
              <w:rPr>
                <w:rFonts w:eastAsia="Times New Roman"/>
                <w:sz w:val="20"/>
                <w:szCs w:val="20"/>
              </w:rPr>
              <w:t>ully continued since March 2020.  This included immediate and extensive technology training on virtual meetings and remote working as well as safety protocols. </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jc w:val="both"/>
              <w:rPr>
                <w:rFonts w:eastAsia="Times New Roman"/>
                <w:sz w:val="20"/>
                <w:szCs w:val="20"/>
              </w:rPr>
            </w:pPr>
            <w:r>
              <w:rPr>
                <w:rFonts w:eastAsia="Times New Roman"/>
                <w:sz w:val="20"/>
                <w:szCs w:val="20"/>
              </w:rPr>
              <w:t>Business travel has been stopped with relatively few business-essential exceptions. </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jc w:val="both"/>
              <w:rPr>
                <w:rFonts w:eastAsia="Times New Roman"/>
                <w:sz w:val="20"/>
                <w:szCs w:val="20"/>
              </w:rPr>
            </w:pPr>
            <w:r>
              <w:rPr>
                <w:rFonts w:eastAsia="Times New Roman"/>
                <w:sz w:val="20"/>
                <w:szCs w:val="20"/>
              </w:rPr>
              <w:t>The Company has benefited from recent investments in new technology and software over the last year, as its entire team is equipped with new laptops and cellular capability to enable them to work remotely. </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jc w:val="both"/>
              <w:rPr>
                <w:rFonts w:eastAsia="Times New Roman"/>
                <w:sz w:val="20"/>
                <w:szCs w:val="20"/>
              </w:rPr>
            </w:pPr>
            <w:r>
              <w:rPr>
                <w:rFonts w:eastAsia="Times New Roman"/>
                <w:sz w:val="20"/>
                <w:szCs w:val="20"/>
              </w:rPr>
              <w:t>The Company’</w:t>
            </w:r>
            <w:r>
              <w:rPr>
                <w:rFonts w:eastAsia="Times New Roman"/>
                <w:sz w:val="20"/>
                <w:szCs w:val="20"/>
              </w:rPr>
              <w:t>s human resources and information technology teams are available to all employees to address any needs or concerns they may have. </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jc w:val="both"/>
              <w:rPr>
                <w:rFonts w:eastAsia="Times New Roman"/>
                <w:sz w:val="20"/>
                <w:szCs w:val="20"/>
              </w:rPr>
            </w:pPr>
            <w:r>
              <w:rPr>
                <w:rFonts w:eastAsia="Times New Roman"/>
                <w:sz w:val="20"/>
                <w:szCs w:val="20"/>
              </w:rPr>
              <w:t>Associates will be provided paid time off to care for themselves or family members diagnosed with COVID-19. </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jc w:val="both"/>
              <w:rPr>
                <w:rFonts w:eastAsia="Times New Roman"/>
                <w:sz w:val="20"/>
                <w:szCs w:val="20"/>
              </w:rPr>
            </w:pPr>
            <w:r>
              <w:rPr>
                <w:rFonts w:eastAsia="Times New Roman"/>
                <w:sz w:val="20"/>
                <w:szCs w:val="20"/>
              </w:rPr>
              <w:t xml:space="preserve">The </w:t>
            </w:r>
            <w:r>
              <w:rPr>
                <w:rFonts w:eastAsia="Times New Roman"/>
                <w:sz w:val="20"/>
                <w:szCs w:val="20"/>
              </w:rPr>
              <w:t>Company has increased communications at all levels and has initiated bi-weekly company-wide virtual meetings such that executives are accessible to answer any questions and transparently keep associates informed. </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b/>
          <w:bCs/>
          <w:sz w:val="20"/>
          <w:szCs w:val="20"/>
          <w:u w:val="single"/>
        </w:rPr>
        <w:t>Environment, Social and Governance (“ES</w:t>
      </w:r>
      <w:r>
        <w:rPr>
          <w:b/>
          <w:bCs/>
          <w:sz w:val="20"/>
          <w:szCs w:val="20"/>
          <w:u w:val="single"/>
        </w:rPr>
        <w:t>G”) Programs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is focused on building a thriving and viable business, one that succeeds by delivering long-term value for its stakeholders. The Company’s ESG programs are aligned with its core business strategy of creating destinations for ever</w:t>
      </w:r>
      <w:r>
        <w:rPr>
          <w:sz w:val="20"/>
          <w:szCs w:val="20"/>
        </w:rPr>
        <w:t>yday living that inspire a sense of community and deliver value to its many stakeholders.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has established five ESG Program Pillars and the corresponding objectives:</w:t>
      </w:r>
    </w:p>
    <w:p w:rsidR="00000000" w:rsidRDefault="004E30E9">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30E9">
      <w:pPr>
        <w:pStyle w:val="a3"/>
        <w:spacing w:before="0" w:beforeAutospacing="0" w:after="0" w:afterAutospacing="0"/>
        <w:jc w:val="both"/>
        <w:rPr>
          <w:sz w:val="20"/>
          <w:szCs w:val="20"/>
        </w:rPr>
      </w:pPr>
      <w:r>
        <w:rPr>
          <w:sz w:val="20"/>
          <w:szCs w:val="20"/>
        </w:rPr>
        <w:br/>
        <w:t>The Company is committed to best-in-class ESG disclosure, and has aligned its annual reporting with standards from the Global Reporting Initiative (“GRI”), Sust</w:t>
      </w:r>
      <w:r>
        <w:rPr>
          <w:sz w:val="20"/>
          <w:szCs w:val="20"/>
        </w:rPr>
        <w:t>ainability Accounting Standards Board (“SASB”) and Task Force on Climate-Related Financial Disclosures (“TCFD”).  Additional ESG information of relevance to stakeholders can be found on the Company’s website in the Corporate Responsibility Report.  This re</w:t>
      </w:r>
      <w:r>
        <w:rPr>
          <w:sz w:val="20"/>
          <w:szCs w:val="20"/>
        </w:rPr>
        <w:t>port, which is based on the GRI standard, summarizes the Company's environmental and social performance.</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1111703009"/>
        <w:rPr>
          <w:rFonts w:eastAsia="Times New Roman"/>
          <w:sz w:val="20"/>
          <w:szCs w:val="20"/>
        </w:rPr>
      </w:pPr>
      <w:r>
        <w:rPr>
          <w:rFonts w:eastAsia="Times New Roman"/>
          <w:sz w:val="20"/>
          <w:szCs w:val="20"/>
        </w:rPr>
        <w:t xml:space="preserve">7 </w:t>
      </w:r>
    </w:p>
    <w:p w:rsidR="00000000" w:rsidRDefault="004E30E9">
      <w:pPr>
        <w:divId w:val="954024096"/>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4E30E9">
      <w:pPr>
        <w:divId w:val="11090601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recognizes that climate change is one of the most</w:t>
      </w:r>
      <w:r>
        <w:rPr>
          <w:sz w:val="20"/>
          <w:szCs w:val="20"/>
        </w:rPr>
        <w:t xml:space="preserve"> significant stakeholder issues of our times, threatening the viability of economic and environmental systems globally. As a real estate portfolio owner, the Company monitors physical and transition risks as well as opportunities posed to its business by c</w:t>
      </w:r>
      <w:r>
        <w:rPr>
          <w:sz w:val="20"/>
          <w:szCs w:val="20"/>
        </w:rPr>
        <w:t>limate change and quantifies and discloses the climate impacts of its activities. The Company’s science-based emissions reduction goals are aligned with the Paris Climate Accord and put the company on pace to achieve net zero emissions by 2050.  During 202</w:t>
      </w:r>
      <w:r>
        <w:rPr>
          <w:sz w:val="20"/>
          <w:szCs w:val="20"/>
        </w:rPr>
        <w:t>0, the Company issued $500.0 million in 2.70% notes due 2030 in its inaugural green bond offering. Net proceeds from this offering are allocated to finance or refinance, in whole or in part, recently completed, existing or future eligible green projects, i</w:t>
      </w:r>
      <w:r>
        <w:rPr>
          <w:sz w:val="20"/>
          <w:szCs w:val="20"/>
        </w:rPr>
        <w:t>n alignment with the four core components of the Green Bond Principles, 2018 as administered by the International Capital Market Association. Additionally, the Company’s $2.0 billion Credit Facility (as defined below) is a green credit facility which incor</w:t>
      </w:r>
      <w:r>
        <w:rPr>
          <w:sz w:val="20"/>
          <w:szCs w:val="20"/>
        </w:rPr>
        <w:t>porates rate reductions associated with attainment of Scope 1 and 2 greenhouse gas emissions reductions.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Company’s industry leading ESG initiatives led to its 2020 listing on the Dow Jones Sustainability World Index (“DJSI World Index”), where it is </w:t>
      </w:r>
      <w:r>
        <w:rPr>
          <w:sz w:val="20"/>
          <w:szCs w:val="20"/>
        </w:rPr>
        <w:t>the only North American retail real estate owner listed. The DJSI World Index is comprised of corporate leaders in global sustainability, with companies listed on the DJSI World Index representing the top 10 percent of the largest 2,500 companies in the S&amp;</w:t>
      </w:r>
      <w:r>
        <w:rPr>
          <w:sz w:val="20"/>
          <w:szCs w:val="20"/>
        </w:rPr>
        <w:t xml:space="preserve">P Global Broad Market Index based on long-term economic and ESG factors. The Company has been the sole retail real estate owner listed on the Dow Jones Sustainability North America Index for the last six years, and the Company also is a constituent of the </w:t>
      </w:r>
      <w:r>
        <w:rPr>
          <w:sz w:val="20"/>
          <w:szCs w:val="20"/>
        </w:rPr>
        <w:t>FTSE4Good Index Series, designed to measure the performance of companies demonstrating strong ESG practices.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b/>
          <w:bCs/>
          <w:sz w:val="20"/>
          <w:szCs w:val="20"/>
          <w:u w:val="single"/>
        </w:rPr>
        <w:t>Information About Our Executive Officers</w:t>
      </w:r>
    </w:p>
    <w:p w:rsidR="00000000" w:rsidRDefault="004E30E9">
      <w:pPr>
        <w:pStyle w:val="a3"/>
        <w:spacing w:before="0" w:beforeAutospacing="0" w:after="0" w:afterAutospacing="0"/>
        <w:rPr>
          <w:sz w:val="20"/>
          <w:szCs w:val="20"/>
        </w:rPr>
      </w:pPr>
      <w:r>
        <w:rPr>
          <w:b/>
          <w:bCs/>
          <w:sz w:val="20"/>
          <w:szCs w:val="20"/>
        </w:rPr>
        <w:t> </w:t>
      </w:r>
    </w:p>
    <w:p w:rsidR="00000000" w:rsidRDefault="004E30E9">
      <w:pPr>
        <w:pStyle w:val="a3"/>
        <w:spacing w:before="0" w:beforeAutospacing="0" w:after="0" w:afterAutospacing="0"/>
        <w:rPr>
          <w:sz w:val="20"/>
          <w:szCs w:val="20"/>
        </w:rPr>
      </w:pPr>
      <w:r>
        <w:rPr>
          <w:sz w:val="20"/>
          <w:szCs w:val="20"/>
        </w:rPr>
        <w:t>The following table sets forth information with respect to the executive officers of the Company as of December 31, 2020:</w:t>
      </w:r>
    </w:p>
    <w:p w:rsidR="00000000" w:rsidRDefault="004E30E9">
      <w:pPr>
        <w:pStyle w:val="a3"/>
        <w:spacing w:before="0" w:beforeAutospacing="0" w:after="0" w:afterAutospacing="0"/>
        <w:rPr>
          <w:sz w:val="20"/>
          <w:szCs w:val="20"/>
        </w:rPr>
      </w:pPr>
      <w:r>
        <w:rPr>
          <w:b/>
          <w:bCs/>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1300"/>
        <w:gridCol w:w="1301"/>
        <w:gridCol w:w="3020"/>
        <w:gridCol w:w="1854"/>
      </w:tblGrid>
      <w:tr w:rsidR="00000000">
        <w:trPr>
          <w:tblCellSpacing w:w="0" w:type="dxa"/>
        </w:trPr>
        <w:tc>
          <w:tcPr>
            <w:tcW w:w="870" w:type="pct"/>
            <w:tcBorders>
              <w:bottom w:val="single" w:sz="6" w:space="0" w:color="000000"/>
            </w:tcBorders>
            <w:hideMark/>
          </w:tcPr>
          <w:p w:rsidR="00000000" w:rsidRDefault="004E30E9">
            <w:pPr>
              <w:pStyle w:val="a3"/>
              <w:spacing w:before="0" w:beforeAutospacing="0" w:after="0" w:afterAutospacing="0"/>
              <w:rPr>
                <w:sz w:val="20"/>
                <w:szCs w:val="20"/>
              </w:rPr>
            </w:pPr>
            <w:r>
              <w:rPr>
                <w:b/>
                <w:bCs/>
                <w:sz w:val="20"/>
                <w:szCs w:val="20"/>
              </w:rPr>
              <w:t>Name</w:t>
            </w:r>
          </w:p>
        </w:tc>
        <w:tc>
          <w:tcPr>
            <w:tcW w:w="870" w:type="pct"/>
            <w:tcBorders>
              <w:bottom w:val="single" w:sz="6" w:space="0" w:color="000000"/>
            </w:tcBorders>
            <w:hideMark/>
          </w:tcPr>
          <w:p w:rsidR="00000000" w:rsidRDefault="004E30E9">
            <w:pPr>
              <w:pStyle w:val="a3"/>
              <w:spacing w:before="0" w:beforeAutospacing="0" w:after="0" w:afterAutospacing="0"/>
              <w:jc w:val="center"/>
              <w:rPr>
                <w:sz w:val="20"/>
                <w:szCs w:val="20"/>
              </w:rPr>
            </w:pPr>
            <w:r>
              <w:rPr>
                <w:b/>
                <w:bCs/>
                <w:sz w:val="20"/>
                <w:szCs w:val="20"/>
              </w:rPr>
              <w:t>Age</w:t>
            </w:r>
          </w:p>
        </w:tc>
        <w:tc>
          <w:tcPr>
            <w:tcW w:w="2020" w:type="pct"/>
            <w:tcBorders>
              <w:bottom w:val="single" w:sz="6" w:space="0" w:color="000000"/>
            </w:tcBorders>
            <w:hideMark/>
          </w:tcPr>
          <w:p w:rsidR="00000000" w:rsidRDefault="004E30E9">
            <w:pPr>
              <w:pStyle w:val="a3"/>
              <w:spacing w:before="0" w:beforeAutospacing="0" w:after="0" w:afterAutospacing="0"/>
              <w:jc w:val="center"/>
              <w:rPr>
                <w:sz w:val="20"/>
                <w:szCs w:val="20"/>
              </w:rPr>
            </w:pPr>
            <w:r>
              <w:rPr>
                <w:b/>
                <w:bCs/>
                <w:sz w:val="20"/>
                <w:szCs w:val="20"/>
              </w:rPr>
              <w:t>Position</w:t>
            </w:r>
          </w:p>
        </w:tc>
        <w:tc>
          <w:tcPr>
            <w:tcW w:w="1240" w:type="pct"/>
            <w:tcBorders>
              <w:bottom w:val="single" w:sz="6" w:space="0" w:color="000000"/>
            </w:tcBorders>
            <w:hideMark/>
          </w:tcPr>
          <w:p w:rsidR="00000000" w:rsidRDefault="004E30E9">
            <w:pPr>
              <w:pStyle w:val="a3"/>
              <w:spacing w:before="0" w:beforeAutospacing="0" w:after="0" w:afterAutospacing="0"/>
              <w:jc w:val="center"/>
              <w:rPr>
                <w:sz w:val="20"/>
                <w:szCs w:val="20"/>
              </w:rPr>
            </w:pPr>
            <w:r>
              <w:rPr>
                <w:b/>
                <w:bCs/>
                <w:sz w:val="20"/>
                <w:szCs w:val="20"/>
              </w:rPr>
              <w:t>Joined Kimco</w:t>
            </w:r>
          </w:p>
        </w:tc>
      </w:tr>
      <w:tr w:rsidR="00000000">
        <w:trPr>
          <w:tblCellSpacing w:w="0" w:type="dxa"/>
        </w:trPr>
        <w:tc>
          <w:tcPr>
            <w:tcW w:w="870" w:type="pct"/>
            <w:tcBorders>
              <w:bottom w:val="nil"/>
            </w:tcBorders>
            <w:shd w:val="clear" w:color="auto" w:fill="CCEEFF"/>
            <w:vAlign w:val="center"/>
            <w:hideMark/>
          </w:tcPr>
          <w:p w:rsidR="00000000" w:rsidRDefault="004E30E9">
            <w:pPr>
              <w:pStyle w:val="a3"/>
              <w:spacing w:before="0" w:beforeAutospacing="0" w:after="0" w:afterAutospacing="0"/>
              <w:jc w:val="both"/>
              <w:rPr>
                <w:sz w:val="20"/>
                <w:szCs w:val="20"/>
              </w:rPr>
            </w:pPr>
            <w:r>
              <w:rPr>
                <w:sz w:val="20"/>
                <w:szCs w:val="20"/>
              </w:rPr>
              <w:t>Milton Cooper</w:t>
            </w:r>
          </w:p>
        </w:tc>
        <w:tc>
          <w:tcPr>
            <w:tcW w:w="870" w:type="pct"/>
            <w:tcBorders>
              <w:bottom w:val="nil"/>
            </w:tcBorders>
            <w:shd w:val="clear" w:color="auto" w:fill="CCEEFF"/>
            <w:vAlign w:val="center"/>
            <w:hideMark/>
          </w:tcPr>
          <w:p w:rsidR="00000000" w:rsidRDefault="004E30E9">
            <w:pPr>
              <w:pStyle w:val="a3"/>
              <w:spacing w:before="0" w:beforeAutospacing="0" w:after="0" w:afterAutospacing="0"/>
              <w:jc w:val="center"/>
              <w:rPr>
                <w:sz w:val="20"/>
                <w:szCs w:val="20"/>
              </w:rPr>
            </w:pPr>
            <w:r>
              <w:rPr>
                <w:sz w:val="20"/>
                <w:szCs w:val="20"/>
              </w:rPr>
              <w:t>91</w:t>
            </w:r>
          </w:p>
        </w:tc>
        <w:tc>
          <w:tcPr>
            <w:tcW w:w="2020" w:type="pct"/>
            <w:tcBorders>
              <w:bottom w:val="nil"/>
            </w:tcBorders>
            <w:shd w:val="clear" w:color="auto" w:fill="CCEEFF"/>
            <w:vAlign w:val="center"/>
            <w:hideMark/>
          </w:tcPr>
          <w:p w:rsidR="00000000" w:rsidRDefault="004E30E9">
            <w:pPr>
              <w:pStyle w:val="a3"/>
              <w:spacing w:before="0" w:beforeAutospacing="0" w:after="0" w:afterAutospacing="0"/>
              <w:jc w:val="center"/>
              <w:rPr>
                <w:sz w:val="20"/>
                <w:szCs w:val="20"/>
              </w:rPr>
            </w:pPr>
            <w:r>
              <w:rPr>
                <w:sz w:val="20"/>
                <w:szCs w:val="20"/>
              </w:rPr>
              <w:t>Executive Chairman of the Board of Directors</w:t>
            </w:r>
          </w:p>
        </w:tc>
        <w:tc>
          <w:tcPr>
            <w:tcW w:w="1240" w:type="pct"/>
            <w:tcBorders>
              <w:bottom w:val="nil"/>
            </w:tcBorders>
            <w:shd w:val="clear" w:color="auto" w:fill="CCEEFF"/>
            <w:vAlign w:val="center"/>
            <w:hideMark/>
          </w:tcPr>
          <w:p w:rsidR="00000000" w:rsidRDefault="004E30E9">
            <w:pPr>
              <w:pStyle w:val="a3"/>
              <w:spacing w:before="0" w:beforeAutospacing="0" w:after="0" w:afterAutospacing="0"/>
              <w:jc w:val="center"/>
              <w:rPr>
                <w:sz w:val="20"/>
                <w:szCs w:val="20"/>
              </w:rPr>
            </w:pPr>
            <w:r>
              <w:rPr>
                <w:sz w:val="20"/>
                <w:szCs w:val="20"/>
              </w:rPr>
              <w:t>Co-Founder</w:t>
            </w:r>
          </w:p>
        </w:tc>
      </w:tr>
      <w:tr w:rsidR="00000000">
        <w:trPr>
          <w:tblCellSpacing w:w="0" w:type="dxa"/>
        </w:trPr>
        <w:tc>
          <w:tcPr>
            <w:tcW w:w="870" w:type="pct"/>
            <w:shd w:val="clear" w:color="auto" w:fill="FFFFFF"/>
            <w:vAlign w:val="center"/>
            <w:hideMark/>
          </w:tcPr>
          <w:p w:rsidR="00000000" w:rsidRDefault="004E30E9">
            <w:pPr>
              <w:pStyle w:val="a3"/>
              <w:spacing w:before="0" w:beforeAutospacing="0" w:after="0" w:afterAutospacing="0"/>
              <w:jc w:val="both"/>
              <w:rPr>
                <w:sz w:val="20"/>
                <w:szCs w:val="20"/>
              </w:rPr>
            </w:pPr>
            <w:r>
              <w:rPr>
                <w:sz w:val="20"/>
                <w:szCs w:val="20"/>
              </w:rPr>
              <w:t>Conor C. Flynn</w:t>
            </w:r>
          </w:p>
        </w:tc>
        <w:tc>
          <w:tcPr>
            <w:tcW w:w="870" w:type="pct"/>
            <w:shd w:val="clear" w:color="auto" w:fill="FFFFFF"/>
            <w:vAlign w:val="center"/>
            <w:hideMark/>
          </w:tcPr>
          <w:p w:rsidR="00000000" w:rsidRDefault="004E30E9">
            <w:pPr>
              <w:pStyle w:val="a3"/>
              <w:spacing w:before="0" w:beforeAutospacing="0" w:after="0" w:afterAutospacing="0"/>
              <w:jc w:val="center"/>
              <w:rPr>
                <w:sz w:val="20"/>
                <w:szCs w:val="20"/>
              </w:rPr>
            </w:pPr>
            <w:r>
              <w:rPr>
                <w:sz w:val="20"/>
                <w:szCs w:val="20"/>
              </w:rPr>
              <w:t>40</w:t>
            </w:r>
          </w:p>
        </w:tc>
        <w:tc>
          <w:tcPr>
            <w:tcW w:w="2020" w:type="pct"/>
            <w:shd w:val="clear" w:color="auto" w:fill="FFFFFF"/>
            <w:vAlign w:val="center"/>
            <w:hideMark/>
          </w:tcPr>
          <w:p w:rsidR="00000000" w:rsidRDefault="004E30E9">
            <w:pPr>
              <w:pStyle w:val="a3"/>
              <w:spacing w:before="0" w:beforeAutospacing="0" w:after="0" w:afterAutospacing="0"/>
              <w:jc w:val="center"/>
              <w:rPr>
                <w:sz w:val="20"/>
                <w:szCs w:val="20"/>
              </w:rPr>
            </w:pPr>
            <w:r>
              <w:rPr>
                <w:sz w:val="20"/>
                <w:szCs w:val="20"/>
              </w:rPr>
              <w:t>Chief Executive Officer</w:t>
            </w:r>
          </w:p>
        </w:tc>
        <w:tc>
          <w:tcPr>
            <w:tcW w:w="1240" w:type="pct"/>
            <w:shd w:val="clear" w:color="auto" w:fill="FFFFFF"/>
            <w:vAlign w:val="center"/>
            <w:hideMark/>
          </w:tcPr>
          <w:p w:rsidR="00000000" w:rsidRDefault="004E30E9">
            <w:pPr>
              <w:pStyle w:val="a3"/>
              <w:spacing w:before="0" w:beforeAutospacing="0" w:after="0" w:afterAutospacing="0"/>
              <w:jc w:val="center"/>
              <w:rPr>
                <w:sz w:val="20"/>
                <w:szCs w:val="20"/>
              </w:rPr>
            </w:pPr>
            <w:r>
              <w:rPr>
                <w:sz w:val="20"/>
                <w:szCs w:val="20"/>
              </w:rPr>
              <w:t>2003</w:t>
            </w:r>
          </w:p>
        </w:tc>
      </w:tr>
      <w:tr w:rsidR="00000000">
        <w:trPr>
          <w:tblCellSpacing w:w="0" w:type="dxa"/>
        </w:trPr>
        <w:tc>
          <w:tcPr>
            <w:tcW w:w="870" w:type="pct"/>
            <w:shd w:val="clear" w:color="auto" w:fill="CCEEFF"/>
            <w:vAlign w:val="center"/>
            <w:hideMark/>
          </w:tcPr>
          <w:p w:rsidR="00000000" w:rsidRDefault="004E30E9">
            <w:pPr>
              <w:pStyle w:val="a3"/>
              <w:spacing w:before="0" w:beforeAutospacing="0" w:after="0" w:afterAutospacing="0"/>
              <w:jc w:val="both"/>
              <w:rPr>
                <w:sz w:val="20"/>
                <w:szCs w:val="20"/>
              </w:rPr>
            </w:pPr>
            <w:r>
              <w:rPr>
                <w:sz w:val="20"/>
                <w:szCs w:val="20"/>
              </w:rPr>
              <w:t>Ross Cooper</w:t>
            </w:r>
          </w:p>
        </w:tc>
        <w:tc>
          <w:tcPr>
            <w:tcW w:w="870" w:type="pct"/>
            <w:shd w:val="clear" w:color="auto" w:fill="CCEEFF"/>
            <w:vAlign w:val="center"/>
            <w:hideMark/>
          </w:tcPr>
          <w:p w:rsidR="00000000" w:rsidRDefault="004E30E9">
            <w:pPr>
              <w:pStyle w:val="a3"/>
              <w:spacing w:before="0" w:beforeAutospacing="0" w:after="0" w:afterAutospacing="0"/>
              <w:jc w:val="center"/>
              <w:rPr>
                <w:sz w:val="20"/>
                <w:szCs w:val="20"/>
              </w:rPr>
            </w:pPr>
            <w:r>
              <w:rPr>
                <w:sz w:val="20"/>
                <w:szCs w:val="20"/>
              </w:rPr>
              <w:t>38</w:t>
            </w:r>
          </w:p>
        </w:tc>
        <w:tc>
          <w:tcPr>
            <w:tcW w:w="2020" w:type="pct"/>
            <w:shd w:val="clear" w:color="auto" w:fill="CCEEFF"/>
            <w:vAlign w:val="center"/>
            <w:hideMark/>
          </w:tcPr>
          <w:p w:rsidR="00000000" w:rsidRDefault="004E30E9">
            <w:pPr>
              <w:pStyle w:val="a3"/>
              <w:spacing w:before="0" w:beforeAutospacing="0" w:after="0" w:afterAutospacing="0"/>
              <w:jc w:val="center"/>
              <w:rPr>
                <w:sz w:val="20"/>
                <w:szCs w:val="20"/>
              </w:rPr>
            </w:pPr>
            <w:r>
              <w:rPr>
                <w:sz w:val="20"/>
                <w:szCs w:val="20"/>
              </w:rPr>
              <w:t>President and Chief Investment Officer</w:t>
            </w:r>
          </w:p>
        </w:tc>
        <w:tc>
          <w:tcPr>
            <w:tcW w:w="1240" w:type="pct"/>
            <w:shd w:val="clear" w:color="auto" w:fill="CCEEFF"/>
            <w:vAlign w:val="center"/>
            <w:hideMark/>
          </w:tcPr>
          <w:p w:rsidR="00000000" w:rsidRDefault="004E30E9">
            <w:pPr>
              <w:pStyle w:val="a3"/>
              <w:spacing w:before="0" w:beforeAutospacing="0" w:after="0" w:afterAutospacing="0"/>
              <w:jc w:val="center"/>
              <w:rPr>
                <w:sz w:val="20"/>
                <w:szCs w:val="20"/>
              </w:rPr>
            </w:pPr>
            <w:r>
              <w:rPr>
                <w:sz w:val="20"/>
                <w:szCs w:val="20"/>
              </w:rPr>
              <w:t>2006 </w:t>
            </w:r>
          </w:p>
        </w:tc>
      </w:tr>
      <w:tr w:rsidR="00000000">
        <w:trPr>
          <w:tblCellSpacing w:w="0" w:type="dxa"/>
        </w:trPr>
        <w:tc>
          <w:tcPr>
            <w:tcW w:w="870" w:type="pct"/>
            <w:shd w:val="clear" w:color="auto" w:fill="FFFFFF"/>
            <w:vAlign w:val="center"/>
            <w:hideMark/>
          </w:tcPr>
          <w:p w:rsidR="00000000" w:rsidRDefault="004E30E9">
            <w:pPr>
              <w:pStyle w:val="a3"/>
              <w:spacing w:before="0" w:beforeAutospacing="0" w:after="0" w:afterAutospacing="0"/>
              <w:jc w:val="both"/>
              <w:rPr>
                <w:sz w:val="20"/>
                <w:szCs w:val="20"/>
              </w:rPr>
            </w:pPr>
            <w:r>
              <w:rPr>
                <w:sz w:val="20"/>
                <w:szCs w:val="20"/>
              </w:rPr>
              <w:t>Glenn G. Cohen</w:t>
            </w:r>
          </w:p>
        </w:tc>
        <w:tc>
          <w:tcPr>
            <w:tcW w:w="870" w:type="pct"/>
            <w:shd w:val="clear" w:color="auto" w:fill="FFFFFF"/>
            <w:vAlign w:val="center"/>
            <w:hideMark/>
          </w:tcPr>
          <w:p w:rsidR="00000000" w:rsidRDefault="004E30E9">
            <w:pPr>
              <w:pStyle w:val="a3"/>
              <w:spacing w:before="0" w:beforeAutospacing="0" w:after="0" w:afterAutospacing="0"/>
              <w:jc w:val="center"/>
              <w:rPr>
                <w:sz w:val="20"/>
                <w:szCs w:val="20"/>
              </w:rPr>
            </w:pPr>
            <w:r>
              <w:rPr>
                <w:sz w:val="20"/>
                <w:szCs w:val="20"/>
              </w:rPr>
              <w:t>56</w:t>
            </w:r>
          </w:p>
        </w:tc>
        <w:tc>
          <w:tcPr>
            <w:tcW w:w="2020" w:type="pct"/>
            <w:shd w:val="clear" w:color="auto" w:fill="FFFFFF"/>
            <w:vAlign w:val="center"/>
            <w:hideMark/>
          </w:tcPr>
          <w:p w:rsidR="00000000" w:rsidRDefault="004E30E9">
            <w:pPr>
              <w:pStyle w:val="a3"/>
              <w:spacing w:before="0" w:beforeAutospacing="0" w:after="0" w:afterAutospacing="0"/>
              <w:jc w:val="center"/>
              <w:rPr>
                <w:sz w:val="20"/>
                <w:szCs w:val="20"/>
              </w:rPr>
            </w:pPr>
            <w:r>
              <w:rPr>
                <w:sz w:val="20"/>
                <w:szCs w:val="20"/>
              </w:rPr>
              <w:t>Executive Vice President,</w:t>
            </w:r>
            <w:r>
              <w:rPr>
                <w:sz w:val="20"/>
                <w:szCs w:val="20"/>
              </w:rPr>
              <w:br/>
              <w:t>Chief Financial Officer and Treasurer</w:t>
            </w:r>
          </w:p>
        </w:tc>
        <w:tc>
          <w:tcPr>
            <w:tcW w:w="1240" w:type="pct"/>
            <w:shd w:val="clear" w:color="auto" w:fill="FFFFFF"/>
            <w:vAlign w:val="center"/>
            <w:hideMark/>
          </w:tcPr>
          <w:p w:rsidR="00000000" w:rsidRDefault="004E30E9">
            <w:pPr>
              <w:pStyle w:val="a3"/>
              <w:spacing w:before="0" w:beforeAutospacing="0" w:after="0" w:afterAutospacing="0"/>
              <w:jc w:val="center"/>
              <w:rPr>
                <w:sz w:val="20"/>
                <w:szCs w:val="20"/>
              </w:rPr>
            </w:pPr>
            <w:r>
              <w:rPr>
                <w:sz w:val="20"/>
                <w:szCs w:val="20"/>
              </w:rPr>
              <w:t>1995</w:t>
            </w:r>
          </w:p>
        </w:tc>
      </w:tr>
      <w:tr w:rsidR="00000000">
        <w:trPr>
          <w:tblCellSpacing w:w="0" w:type="dxa"/>
        </w:trPr>
        <w:tc>
          <w:tcPr>
            <w:tcW w:w="870" w:type="pct"/>
            <w:shd w:val="clear" w:color="auto" w:fill="CCEEFF"/>
            <w:vAlign w:val="center"/>
            <w:hideMark/>
          </w:tcPr>
          <w:p w:rsidR="00000000" w:rsidRDefault="004E30E9">
            <w:pPr>
              <w:pStyle w:val="a3"/>
              <w:spacing w:before="0" w:beforeAutospacing="0" w:after="0" w:afterAutospacing="0"/>
              <w:jc w:val="both"/>
              <w:rPr>
                <w:sz w:val="20"/>
                <w:szCs w:val="20"/>
              </w:rPr>
            </w:pPr>
            <w:r>
              <w:rPr>
                <w:sz w:val="20"/>
                <w:szCs w:val="20"/>
              </w:rPr>
              <w:t>David Jamieson</w:t>
            </w:r>
          </w:p>
        </w:tc>
        <w:tc>
          <w:tcPr>
            <w:tcW w:w="870" w:type="pct"/>
            <w:shd w:val="clear" w:color="auto" w:fill="CCEEFF"/>
            <w:vAlign w:val="center"/>
            <w:hideMark/>
          </w:tcPr>
          <w:p w:rsidR="00000000" w:rsidRDefault="004E30E9">
            <w:pPr>
              <w:pStyle w:val="a3"/>
              <w:spacing w:before="0" w:beforeAutospacing="0" w:after="0" w:afterAutospacing="0"/>
              <w:jc w:val="center"/>
              <w:rPr>
                <w:sz w:val="20"/>
                <w:szCs w:val="20"/>
              </w:rPr>
            </w:pPr>
            <w:r>
              <w:rPr>
                <w:sz w:val="20"/>
                <w:szCs w:val="20"/>
              </w:rPr>
              <w:t>40</w:t>
            </w:r>
          </w:p>
        </w:tc>
        <w:tc>
          <w:tcPr>
            <w:tcW w:w="2020" w:type="pct"/>
            <w:shd w:val="clear" w:color="auto" w:fill="CCEEFF"/>
            <w:vAlign w:val="center"/>
            <w:hideMark/>
          </w:tcPr>
          <w:p w:rsidR="00000000" w:rsidRDefault="004E30E9">
            <w:pPr>
              <w:pStyle w:val="a3"/>
              <w:spacing w:before="0" w:beforeAutospacing="0" w:after="0" w:afterAutospacing="0"/>
              <w:jc w:val="center"/>
              <w:rPr>
                <w:sz w:val="20"/>
                <w:szCs w:val="20"/>
              </w:rPr>
            </w:pPr>
            <w:r>
              <w:rPr>
                <w:sz w:val="20"/>
                <w:szCs w:val="20"/>
              </w:rPr>
              <w:t>Executive Vice President,</w:t>
            </w:r>
            <w:r>
              <w:rPr>
                <w:sz w:val="20"/>
                <w:szCs w:val="20"/>
              </w:rPr>
              <w:br/>
              <w:t>Chief Operating Officer</w:t>
            </w:r>
          </w:p>
        </w:tc>
        <w:tc>
          <w:tcPr>
            <w:tcW w:w="1240" w:type="pct"/>
            <w:shd w:val="clear" w:color="auto" w:fill="CCEEFF"/>
            <w:vAlign w:val="center"/>
            <w:hideMark/>
          </w:tcPr>
          <w:p w:rsidR="00000000" w:rsidRDefault="004E30E9">
            <w:pPr>
              <w:pStyle w:val="a3"/>
              <w:spacing w:before="0" w:beforeAutospacing="0" w:after="0" w:afterAutospacing="0"/>
              <w:jc w:val="center"/>
              <w:rPr>
                <w:sz w:val="20"/>
                <w:szCs w:val="20"/>
              </w:rPr>
            </w:pPr>
            <w:r>
              <w:rPr>
                <w:sz w:val="20"/>
                <w:szCs w:val="20"/>
              </w:rPr>
              <w:t>2007</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b/>
          <w:bCs/>
          <w:sz w:val="20"/>
          <w:szCs w:val="20"/>
          <w:u w:val="single"/>
        </w:rPr>
        <w:t>Available Information</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Company’s website is located at </w:t>
      </w:r>
      <w:r>
        <w:rPr>
          <w:i/>
          <w:iCs/>
          <w:sz w:val="20"/>
          <w:szCs w:val="20"/>
          <w:u w:val="single"/>
        </w:rPr>
        <w:t>http://www.kimcorealty.com</w:t>
      </w:r>
      <w:r>
        <w:rPr>
          <w:sz w:val="20"/>
          <w:szCs w:val="20"/>
        </w:rPr>
        <w:t xml:space="preserve">.  The information contained on our website does not constitute part of this Form 10-K.  On </w:t>
      </w:r>
      <w:r>
        <w:rPr>
          <w:sz w:val="20"/>
          <w:szCs w:val="20"/>
        </w:rPr>
        <w:t>the Company’s website you can obtain, free of charge, a copy of this Form 10-K, quarterly reports on Form 10-Q, current reports on Form 8-K and amendments to those reports filed or furnished pursuant to Section 13(a) or 15(d) of the Exchange Act of 1934, a</w:t>
      </w:r>
      <w:r>
        <w:rPr>
          <w:sz w:val="20"/>
          <w:szCs w:val="20"/>
        </w:rPr>
        <w:t xml:space="preserve">s amended, as soon as reasonably practicable, after we file such material electronically with, or furnish it to, the SEC.  The public may read and obtain a copy of any materials we file electronically with the SEC at </w:t>
      </w:r>
      <w:r>
        <w:rPr>
          <w:i/>
          <w:iCs/>
          <w:sz w:val="20"/>
          <w:szCs w:val="20"/>
          <w:u w:val="single"/>
        </w:rPr>
        <w:t>http://www.sec.gov</w:t>
      </w:r>
      <w:r>
        <w:rPr>
          <w:sz w:val="20"/>
          <w:szCs w:val="20"/>
        </w:rPr>
        <w:t>.</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416027036"/>
        <w:rPr>
          <w:rFonts w:eastAsia="Times New Roman"/>
          <w:sz w:val="20"/>
          <w:szCs w:val="20"/>
        </w:rPr>
      </w:pPr>
      <w:r>
        <w:rPr>
          <w:rFonts w:eastAsia="Times New Roman"/>
          <w:sz w:val="20"/>
          <w:szCs w:val="20"/>
        </w:rPr>
        <w:t xml:space="preserve">8 </w:t>
      </w:r>
    </w:p>
    <w:p w:rsidR="00000000" w:rsidRDefault="004E30E9">
      <w:pPr>
        <w:divId w:val="119033374"/>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4E30E9">
      <w:pPr>
        <w:divId w:val="3560085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1A. Risk Factors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rPr>
        <w:t>We are subject to certain business and legal risks including, but not limited to, the following:</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b/>
          <w:bCs/>
          <w:sz w:val="20"/>
          <w:szCs w:val="20"/>
          <w:u w:val="single"/>
        </w:rPr>
        <w:t>Risks Related to Our Business and Operations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Adverse global market and economic conditions may impede our ability to generate sufficient income and maintai</w:t>
      </w:r>
      <w:r>
        <w:rPr>
          <w:b/>
          <w:bCs/>
          <w:sz w:val="20"/>
          <w:szCs w:val="20"/>
        </w:rPr>
        <w:t xml:space="preserve">n our properties.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properties consist primarily of open-air shopping centers and other retail properties. Our performance, therefore, is generally linked to economic conditions in the market for retail space. The economic performance and value of our</w:t>
      </w:r>
      <w:r>
        <w:rPr>
          <w:sz w:val="20"/>
          <w:szCs w:val="20"/>
        </w:rPr>
        <w:t xml:space="preserve"> properties is subject to all of the risks associated with owning and operating real estate, including but not limited to:</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changes in the national, regional and local economic climate;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local conditions, including an oversupply of, or a reductio</w:t>
            </w:r>
            <w:r>
              <w:rPr>
                <w:sz w:val="20"/>
                <w:szCs w:val="20"/>
              </w:rPr>
              <w:t>n in demand for, space in properties like those that we own;</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trends toward smaller store sizes as retailers reduce inventory and develop new prototypes;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increasing use by customers of e-commerce and online store sites;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attractiveness of our properties to tenants;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market disruptions due to global pandemics;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ability of tenants to pay rent, particularly anchor tenants with leases in multiple locations;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tenants who may declare bankruptcy and/or close stores;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competition from other available properties to attract and retain tenants;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 xml:space="preserve">changes </w:t>
            </w:r>
            <w:r>
              <w:rPr>
                <w:sz w:val="20"/>
                <w:szCs w:val="20"/>
              </w:rPr>
              <w:t>in market rental rates;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need to periodically pay for costs to repair, renovate and re-let space;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ongoing consolidation in the retail sector;</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excess amount of retail space in a number of markets;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changes in operating costs, including costs for maintenance, insurance and real estate taxes;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expenses of owning and operating properties, which are not necessarily reduced when circ</w:t>
            </w:r>
            <w:r>
              <w:rPr>
                <w:sz w:val="20"/>
                <w:szCs w:val="20"/>
              </w:rPr>
              <w:t>umstances such as market factors and competition cause a reduction in income from the properties;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changes in laws and governmental regulations, including those governing usage, zoning, the environment and taxes;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acts of terrorism and war and acts of God, including physical and weather-related damage to our properties;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continued service and availability of key personnel;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risk of functional obsolescence of properties over time.</w:t>
            </w:r>
          </w:p>
        </w:tc>
      </w:tr>
    </w:tbl>
    <w:p w:rsidR="00000000" w:rsidRDefault="004E30E9">
      <w:pPr>
        <w:pStyle w:val="a3"/>
        <w:spacing w:before="0" w:beforeAutospacing="0" w:after="0" w:afterAutospacing="0"/>
        <w:ind w:firstLine="360"/>
        <w:jc w:val="both"/>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Competition</w:t>
      </w:r>
      <w:r>
        <w:rPr>
          <w:b/>
          <w:bCs/>
          <w:sz w:val="20"/>
          <w:szCs w:val="20"/>
        </w:rPr>
        <w:t xml:space="preserve"> may limit our ability to purchase new properties or generate sufficient income from tenants and may decrease the occupancy and rental rates for our properties.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Numerous commercial developers and real estate companies compete with us in seeking tenants f</w:t>
      </w:r>
      <w:r>
        <w:rPr>
          <w:sz w:val="20"/>
          <w:szCs w:val="20"/>
        </w:rPr>
        <w:t>or our existing properties and properties for acquisition. Open-air lifestyle centers or other retail shopping centers with more convenient locations or better rents may attract tenants or cause them to seek more favorable lease terms at or prior to renewa</w:t>
      </w:r>
      <w:r>
        <w:rPr>
          <w:sz w:val="20"/>
          <w:szCs w:val="20"/>
        </w:rPr>
        <w:t>l. Retailers at our properties may face increasing competition from other retailers, e-commerce, outlet malls, discount shopping clubs, direct mail, telemarketing or home shopping networks, all of which could (i) reduce rents payable to us; (ii) reduce our</w:t>
      </w:r>
      <w:r>
        <w:rPr>
          <w:sz w:val="20"/>
          <w:szCs w:val="20"/>
        </w:rPr>
        <w:t xml:space="preserve"> ability to attract and retain tenants at our properties; or (iii) lead to increased vacancy rates at our properties. We may fail to anticipate the effects of changes in consumer buying practices, particularly of growing online sales and the resulting reta</w:t>
      </w:r>
      <w:r>
        <w:rPr>
          <w:sz w:val="20"/>
          <w:szCs w:val="20"/>
        </w:rPr>
        <w:t>iling practices and space needs of our tenants or a general downturn in our tenants’ businesses, which may cause tenants to close stores or default in payment of rent.</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We face competition in the acquisition or development of real property from others engaged in real estate investment that could increase our costs associated with purchasing and maintaining assets. Some of these competitors may have greater financial resou</w:t>
      </w:r>
      <w:r>
        <w:rPr>
          <w:sz w:val="20"/>
          <w:szCs w:val="20"/>
        </w:rPr>
        <w:t>rces than we do. This could result in competition for the acquisition of properties for tenants who lease or consider leasing space in our existing and subsequently acquired properties and for other real estate investment or development opportunities.</w:t>
      </w:r>
    </w:p>
    <w:p w:rsidR="00000000" w:rsidRDefault="004E30E9">
      <w:pPr>
        <w:pStyle w:val="a3"/>
        <w:spacing w:before="0" w:beforeAutospacing="0" w:after="0" w:afterAutospacing="0"/>
        <w:ind w:firstLine="360"/>
        <w:jc w:val="both"/>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Ou</w:t>
      </w:r>
      <w:r>
        <w:rPr>
          <w:b/>
          <w:bCs/>
          <w:sz w:val="20"/>
          <w:szCs w:val="20"/>
        </w:rPr>
        <w:t>r performance depends on our ability to collect rent from tenants, including anchor tenants, our tenants’ financial condition and our tenants maintaining leases for our properties.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At any time, our tenants may experience a downturn in their business that</w:t>
      </w:r>
      <w:r>
        <w:rPr>
          <w:sz w:val="20"/>
          <w:szCs w:val="20"/>
        </w:rPr>
        <w:t xml:space="preserve"> may significantly weaken their financial condition. As a result, our tenants may delay a number of lease commencements, decline to extend or renew leases upon expiration, fail to make rental payments when due, close stores or declare bankruptcy. Any of th</w:t>
      </w:r>
      <w:r>
        <w:rPr>
          <w:sz w:val="20"/>
          <w:szCs w:val="20"/>
        </w:rPr>
        <w:t>ese actions could result in the termination of tenants’ leases and the loss of rental income attributable to these tenants’ leases. In the event of a default by a tenant, we may experience delays and costs in enforcing our rights as landlord under the term</w:t>
      </w:r>
      <w:r>
        <w:rPr>
          <w:sz w:val="20"/>
          <w:szCs w:val="20"/>
        </w:rPr>
        <w:t>s of the leases.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1118529526"/>
        <w:rPr>
          <w:rFonts w:eastAsia="Times New Roman"/>
          <w:sz w:val="20"/>
          <w:szCs w:val="20"/>
        </w:rPr>
      </w:pPr>
      <w:r>
        <w:rPr>
          <w:rFonts w:eastAsia="Times New Roman"/>
          <w:sz w:val="20"/>
          <w:szCs w:val="20"/>
        </w:rPr>
        <w:t xml:space="preserve">9 </w:t>
      </w:r>
    </w:p>
    <w:p w:rsidR="00000000" w:rsidRDefault="004E30E9">
      <w:pPr>
        <w:divId w:val="626163168"/>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4E30E9">
      <w:pPr>
        <w:divId w:val="159724643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In addition, multiple lease terminations by tenants, including anchor tenants, or a failure by multiple tenants to occupy their premises in a shopping center could result in lease terminations or significant reductions in rent by other tenants in the same </w:t>
      </w:r>
      <w:r>
        <w:rPr>
          <w:sz w:val="20"/>
          <w:szCs w:val="20"/>
        </w:rPr>
        <w:t>shopping centers under the terms of some leases. In that event, we may be unable to re-lease the vacated space at attractive rents or at all, and our rental payments from our continuing tenants could significantly decrease. The occurrence of any of the sit</w:t>
      </w:r>
      <w:r>
        <w:rPr>
          <w:sz w:val="20"/>
          <w:szCs w:val="20"/>
        </w:rPr>
        <w:t>uations described above, particularly involving a substantial tenant with leases in multiple locations, could have a material adverse effect on our financial condition, results of operations and cash flows.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 tenant that files for bankruptcy protection m</w:t>
      </w:r>
      <w:r>
        <w:rPr>
          <w:sz w:val="20"/>
          <w:szCs w:val="20"/>
        </w:rPr>
        <w:t>ay not continue to pay us rent. A bankruptcy filing by, or relating to, one of our tenants or a lease guarantor would bar all efforts by us to collect pre-bankruptcy debts from the tenant or the lease guarantor, or their property, unless the bankruptcy cou</w:t>
      </w:r>
      <w:r>
        <w:rPr>
          <w:sz w:val="20"/>
          <w:szCs w:val="20"/>
        </w:rPr>
        <w:t>rt permits us to do so. A tenant bankruptcy could delay our efforts to collect past due balances under the relevant leases and could ultimately preclude collection of these sums. If a lease is rejected by a tenant in bankruptcy, we would have only a genera</w:t>
      </w:r>
      <w:r>
        <w:rPr>
          <w:sz w:val="20"/>
          <w:szCs w:val="20"/>
        </w:rPr>
        <w:t>l unsecured claim for damages. As a result, it is likely that we would recover substantially less than the full value of any unsecured claims we hold, if at all.</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Our expenses may remain constant or increase, even if income from our Combined Shopping Cent</w:t>
      </w:r>
      <w:r>
        <w:rPr>
          <w:b/>
          <w:bCs/>
          <w:sz w:val="20"/>
          <w:szCs w:val="20"/>
        </w:rPr>
        <w:t>er Portfolio decreases, which could adversely affect our financial condition, results of operations and cash flows.</w:t>
      </w:r>
    </w:p>
    <w:p w:rsidR="00000000" w:rsidRDefault="004E30E9">
      <w:pPr>
        <w:pStyle w:val="a3"/>
        <w:spacing w:before="0" w:beforeAutospacing="0" w:after="0" w:afterAutospacing="0"/>
        <w:ind w:firstLine="360"/>
        <w:jc w:val="both"/>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sz w:val="20"/>
          <w:szCs w:val="20"/>
        </w:rPr>
        <w:t>Costs associated with our business, such as common area expenses, utilities, insurance, real estate taxes, mortgage payments, and corporat</w:t>
      </w:r>
      <w:r>
        <w:rPr>
          <w:sz w:val="20"/>
          <w:szCs w:val="20"/>
        </w:rPr>
        <w:t>e expenses are relatively inflexible and generally do not decrease in the event that a property is not fully occupied, rental rates decrease, a tenant fails to pay rent or other circumstances cause our revenues to decrease. In addition, inflation could res</w:t>
      </w:r>
      <w:r>
        <w:rPr>
          <w:sz w:val="20"/>
          <w:szCs w:val="20"/>
        </w:rPr>
        <w:t>ult in higher operating costs. If we are unable to lower our operating costs when revenues decline and/or are unable to pass along cost increases to our tenants, our financial condition, results of operations and cash flows could be adversely impacted.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W</w:t>
      </w:r>
      <w:r>
        <w:rPr>
          <w:b/>
          <w:bCs/>
          <w:sz w:val="20"/>
          <w:szCs w:val="20"/>
        </w:rPr>
        <w:t xml:space="preserve">e may be unable to sell our real estate property investments when appropriate or on terms favorable to us.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Real estate property investments are illiquid and generally cannot be disposed of quickly. The capitalization rates at which properties may be sol</w:t>
      </w:r>
      <w:r>
        <w:rPr>
          <w:sz w:val="20"/>
          <w:szCs w:val="20"/>
        </w:rPr>
        <w:t>d could be higher than historic rates, thereby reducing our potential proceeds from sale. In addition, the Code includes certain restrictions on a REIT’s ability to dispose of properties that are not applicable to other types of real estate companies. Ther</w:t>
      </w:r>
      <w:r>
        <w:rPr>
          <w:sz w:val="20"/>
          <w:szCs w:val="20"/>
        </w:rPr>
        <w:t>efore, we may not be able to vary our portfolio in response to economic or other conditions promptly or on terms favorable to us within a time frame that we would need. All of these factors reduce our ability to respond to changes in the performance of our</w:t>
      </w:r>
      <w:r>
        <w:rPr>
          <w:sz w:val="20"/>
          <w:szCs w:val="20"/>
        </w:rPr>
        <w:t xml:space="preserve"> investments and could adversely affect our business, financial condition and results of operations.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Certain properties we own have a low tax basis, which may result in a taxable gain on sale. We may utilize 1031 exchanges to mitigate taxable income; how</w:t>
      </w:r>
      <w:r>
        <w:rPr>
          <w:sz w:val="20"/>
          <w:szCs w:val="20"/>
        </w:rPr>
        <w:t>ever, there can be no assurance that we will identify properties that meet our investment objectives for acquisitions. In the event that we do not utilize 1031 exchanges, we may be required to distribute the gain proceeds to shareholders or pay income tax,</w:t>
      </w:r>
      <w:r>
        <w:rPr>
          <w:sz w:val="20"/>
          <w:szCs w:val="20"/>
        </w:rPr>
        <w:t xml:space="preserve"> which may reduce our cash flow available to fund our commitments.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We may acquire or develop properties or acquire other real estate related companies, and this may create risks.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We may acquire or develop properties or acquire other real estate related companies when we believe that an acquisition or development is consistent with our business strategies. We may not succeed in consummating desired acquisitions or in completing deve</w:t>
      </w:r>
      <w:r>
        <w:rPr>
          <w:sz w:val="20"/>
          <w:szCs w:val="20"/>
        </w:rPr>
        <w:t>lopments on time or within budget. When we do pursue a project or acquisition, we may not succeed in leasing newly developed or acquired properties at rents sufficient to cover the costs of acquisition or development and operations. Difficulties in integra</w:t>
      </w:r>
      <w:r>
        <w:rPr>
          <w:sz w:val="20"/>
          <w:szCs w:val="20"/>
        </w:rPr>
        <w:t xml:space="preserve">ting acquisitions may prove costly or time-consuming and could divert management’s attention from other activities. Acquisitions or developments in new markets or industries where we do not have the same level of market knowledge may result in poorer than </w:t>
      </w:r>
      <w:r>
        <w:rPr>
          <w:sz w:val="20"/>
          <w:szCs w:val="20"/>
        </w:rPr>
        <w:t>anticipated performance. We may also abandon acquisition or development opportunities that management has begun pursuing and consequently fail to recover expenses already incurred and will have devoted management’s time to a matter not consummated. Further</w:t>
      </w:r>
      <w:r>
        <w:rPr>
          <w:sz w:val="20"/>
          <w:szCs w:val="20"/>
        </w:rPr>
        <w:t>more, our acquisitions of new properties or companies will expose us to the liabilities of those properties or companies, some of which we may not be aware of at the time of the acquisition. In addition, development of our existing properties presents simi</w:t>
      </w:r>
      <w:r>
        <w:rPr>
          <w:sz w:val="20"/>
          <w:szCs w:val="20"/>
        </w:rPr>
        <w:t>lar risks.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Newly acquired or re-developed properties may have characteristics or deficiencies currently unknown to us that affect their value or revenue potential. It is also possible that the operating performance of these properties may decline under o</w:t>
      </w:r>
      <w:r>
        <w:rPr>
          <w:sz w:val="20"/>
          <w:szCs w:val="20"/>
        </w:rPr>
        <w:t>ur management. As we acquire additional properties, we will be subject to risks associated with managing new properties, including lease-up and tenant retention. In addition, our ability to manage our growth effectively will require us to successfully inte</w:t>
      </w:r>
      <w:r>
        <w:rPr>
          <w:sz w:val="20"/>
          <w:szCs w:val="20"/>
        </w:rPr>
        <w:t>grate our new acquisitions into our existing management structure. We may not succeed with this integration or effectively manage additional properties, particularly in secondary markets. Also, newly acquired properties may not perform as expected.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738018662"/>
        <w:rPr>
          <w:rFonts w:eastAsia="Times New Roman"/>
          <w:sz w:val="20"/>
          <w:szCs w:val="20"/>
        </w:rPr>
      </w:pPr>
      <w:r>
        <w:rPr>
          <w:rFonts w:eastAsia="Times New Roman"/>
          <w:sz w:val="20"/>
          <w:szCs w:val="20"/>
        </w:rPr>
        <w:t xml:space="preserve">10 </w:t>
      </w:r>
    </w:p>
    <w:p w:rsidR="00000000" w:rsidRDefault="004E30E9">
      <w:pPr>
        <w:divId w:val="190149156"/>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4E30E9">
      <w:pPr>
        <w:divId w:val="6503809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We face risks associated with the development of mixed-use commercial properties.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We operate, are currently developing, and may in the future develop, properties either al</w:t>
      </w:r>
      <w:r>
        <w:rPr>
          <w:sz w:val="20"/>
          <w:szCs w:val="20"/>
        </w:rPr>
        <w:t xml:space="preserve">one or through joint ventures with other persons that are known as “mixed-use” developments. This means that in addition to the development of retail space, the project may also include space for residential, office, hotel or other commercial purposes. We </w:t>
      </w:r>
      <w:r>
        <w:rPr>
          <w:sz w:val="20"/>
          <w:szCs w:val="20"/>
        </w:rPr>
        <w:t>have less experience in developing and managing non-retail real estate than we do with retail real estate. As a result, if a development project includes a non-retail use, we may seek to develop that component ourselves, sell the rights to that component t</w:t>
      </w:r>
      <w:r>
        <w:rPr>
          <w:sz w:val="20"/>
          <w:szCs w:val="20"/>
        </w:rPr>
        <w:t xml:space="preserve">o a third-party developer with experience developing properties for such use or partner with such a developer. If we do not sell the rights or partner with such a developer, or if we choose to develop the other component ourselves, we would be exposed not </w:t>
      </w:r>
      <w:r>
        <w:rPr>
          <w:sz w:val="20"/>
          <w:szCs w:val="20"/>
        </w:rPr>
        <w:t>only to those risks typically associated with the development of commercial real estate generally, but also to specific risks associated with the development and ownership of non-retail real estate. In addition, even if we sell the rights to develop the ot</w:t>
      </w:r>
      <w:r>
        <w:rPr>
          <w:sz w:val="20"/>
          <w:szCs w:val="20"/>
        </w:rPr>
        <w:t>her component or elect to participate in the development through a joint venture, we may be exposed to the risks associated with the failure of the other party to complete the development as expected. These include the risk that the other party would defau</w:t>
      </w:r>
      <w:r>
        <w:rPr>
          <w:sz w:val="20"/>
          <w:szCs w:val="20"/>
        </w:rPr>
        <w:t>lt on its obligations necessitating that we complete the other component ourselves, including providing any necessary financing. In the case of residential properties, these risks include competition for prospective residents from other operators whose pro</w:t>
      </w:r>
      <w:r>
        <w:rPr>
          <w:sz w:val="20"/>
          <w:szCs w:val="20"/>
        </w:rPr>
        <w:t>perties may be perceived to offer a better location or better amenities or whose rent may be perceived as a better value given the quality, location and amenities that the resident seeks. We will also compete against condominiums and single-family homes th</w:t>
      </w:r>
      <w:r>
        <w:rPr>
          <w:sz w:val="20"/>
          <w:szCs w:val="20"/>
        </w:rPr>
        <w:t>at are for sale or rent. In the case of office properties, the risks also include changes in space utilization by tenants due to technology, economic conditions and business culture, declines in financial condition of these tenants and competition for cred</w:t>
      </w:r>
      <w:r>
        <w:rPr>
          <w:sz w:val="20"/>
          <w:szCs w:val="20"/>
        </w:rPr>
        <w:t>it worthy office tenants. In the case of hotel properties, the risks also include increases in inflation and utilities that may not be offset by increases in room rates. We are also dependent on business and commercial travelers and tourism.  Because we ha</w:t>
      </w:r>
      <w:r>
        <w:rPr>
          <w:sz w:val="20"/>
          <w:szCs w:val="20"/>
        </w:rPr>
        <w:t>ve less experience with residential, office and hotel properties than with retail properties, we expect to retain third-parties to manage our residential and other non-retail components as deemed warranted. If we decide to not sell or participate in a join</w:t>
      </w:r>
      <w:r>
        <w:rPr>
          <w:sz w:val="20"/>
          <w:szCs w:val="20"/>
        </w:rPr>
        <w:t xml:space="preserve">t venture and instead hire a third-party manager, we would be dependent on them and their key personnel who provide services to us and we may not find a suitable replacement if the management agreement is terminated, or if key personnel leave or otherwise </w:t>
      </w:r>
      <w:r>
        <w:rPr>
          <w:sz w:val="20"/>
          <w:szCs w:val="20"/>
        </w:rPr>
        <w:t>become unavailable to us.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Construction projects are subject to risks that materially increase the costs of completion.</w:t>
      </w:r>
    </w:p>
    <w:p w:rsidR="00000000" w:rsidRDefault="004E30E9">
      <w:pPr>
        <w:pStyle w:val="a3"/>
        <w:spacing w:before="0" w:beforeAutospacing="0" w:after="0" w:afterAutospacing="0"/>
        <w:ind w:firstLine="360"/>
        <w:jc w:val="both"/>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the event that we decide to redevelop existing properties, we will be subject to risks and uncertainties associated with construc</w:t>
      </w:r>
      <w:r>
        <w:rPr>
          <w:sz w:val="20"/>
          <w:szCs w:val="20"/>
        </w:rPr>
        <w:t>tion and development. These risks include, but are not limited to, risks related to obtaining all necessary zoning, land-use, building occupancy and other governmental permits and authorizations, risks related to the environmental concerns of government en</w:t>
      </w:r>
      <w:r>
        <w:rPr>
          <w:sz w:val="20"/>
          <w:szCs w:val="20"/>
        </w:rPr>
        <w:t>tities or community groups, risks related to changes in economic and market conditions between development commencement and stabilization, risks related to construction labor disruptions, adverse weather, acts of God or shortages of materials and labor whi</w:t>
      </w:r>
      <w:r>
        <w:rPr>
          <w:sz w:val="20"/>
          <w:szCs w:val="20"/>
        </w:rPr>
        <w:t>ch could cause construction delays and risks related to increases in the cost of labor and materials which could cause construction costs to be greater than projected and adversely impact the amount of our development fees or our financial condition, resul</w:t>
      </w:r>
      <w:r>
        <w:rPr>
          <w:sz w:val="20"/>
          <w:szCs w:val="20"/>
        </w:rPr>
        <w:t>ts of operations and cash flows.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The Americans with Disabilities Act of 1990 could require us to take remedial steps with respect to existing or newly acquired properties.</w:t>
      </w:r>
    </w:p>
    <w:p w:rsidR="00000000" w:rsidRDefault="004E30E9">
      <w:pPr>
        <w:pStyle w:val="a3"/>
        <w:spacing w:before="0" w:beforeAutospacing="0" w:after="0" w:afterAutospacing="0"/>
        <w:ind w:firstLine="360"/>
        <w:jc w:val="both"/>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existing properties, as well as properties we may acquire, as commercial fac</w:t>
      </w:r>
      <w:r>
        <w:rPr>
          <w:sz w:val="20"/>
          <w:szCs w:val="20"/>
        </w:rPr>
        <w:t>ilities, are required to comply with Title III of the Americans with Disabilities Act of 1990 (the “ADA”). Investigation of a property may reveal non-compliance with this Act. The requirements of the ADA, or of other federal, state or local laws or regulat</w:t>
      </w:r>
      <w:r>
        <w:rPr>
          <w:sz w:val="20"/>
          <w:szCs w:val="20"/>
        </w:rPr>
        <w:t>ions, also may change in the future and restrict further renovations of our properties with respect to access for disabled persons. Future compliance with this Act may require expensive changes to the properties.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We do not have exclusive control over our</w:t>
      </w:r>
      <w:r>
        <w:rPr>
          <w:b/>
          <w:bCs/>
          <w:sz w:val="20"/>
          <w:szCs w:val="20"/>
        </w:rPr>
        <w:t xml:space="preserve"> joint venture and preferred equity investments, such that we are unable to ensure that our objectives will be pursued.</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We have invested in some properties as a co-venturer or a partner, instead of owning directly. In these investments, we do not have exclusive control over the development, financing, leasing, management and other aspects of these investments. As a result, </w:t>
      </w:r>
      <w:r>
        <w:rPr>
          <w:sz w:val="20"/>
          <w:szCs w:val="20"/>
        </w:rPr>
        <w:t>the co-venturer or partner might have interests or goals that are inconsistent with ours, take action contrary to our interests or otherwise impede our objectives. These investments involve risks and uncertainties. The co-venturer or partner may fail to pr</w:t>
      </w:r>
      <w:r>
        <w:rPr>
          <w:sz w:val="20"/>
          <w:szCs w:val="20"/>
        </w:rPr>
        <w:t>ovide capital or fulfill its obligations, which may result in certain liabilities to us for guarantees and other commitments. Conflicts arising between us and our partners may be difficult to manage and/or resolve and it could be difficult to manage or oth</w:t>
      </w:r>
      <w:r>
        <w:rPr>
          <w:sz w:val="20"/>
          <w:szCs w:val="20"/>
        </w:rPr>
        <w:t>erwise monitor the existing business arrangements. The co-venturer or partner also might become insolvent or bankrupt, which may result in significant losses to us.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addition, joint venture arrangements may decrease our ability to manage risk and impli</w:t>
      </w:r>
      <w:r>
        <w:rPr>
          <w:sz w:val="20"/>
          <w:szCs w:val="20"/>
        </w:rPr>
        <w:t>cate additional risks, such as:</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potentially inferior financial capacity, diverging business goals and strategies and the need for our venture partner’s continued cooperation;</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our inability to take actions with respect to the joint venture activ</w:t>
            </w:r>
            <w:r>
              <w:rPr>
                <w:sz w:val="20"/>
                <w:szCs w:val="20"/>
              </w:rPr>
              <w:t>ities that we believe are favorable to us if our joint venture partner does not agree;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our inability to control the legal entity that has title to the real estate associated with the joint venture;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our lenders may not be easily able to sell our joint venture assets and investments or may view them less favorably as collateral, which could negatively affect our liquidity and capital resources;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 xml:space="preserve">our joint venture partners can take actions that we </w:t>
            </w:r>
            <w:r>
              <w:rPr>
                <w:sz w:val="20"/>
                <w:szCs w:val="20"/>
              </w:rPr>
              <w:t>may not be able to anticipate or prevent, which could result in negative impacts on our debt and equity;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our joint venture partners’ business decisions or other actions or omissions may result in harm to our reputation or adversely affect the val</w:t>
            </w:r>
            <w:r>
              <w:rPr>
                <w:sz w:val="20"/>
                <w:szCs w:val="20"/>
              </w:rPr>
              <w:t>ue of our investments.</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1916158376"/>
        <w:rPr>
          <w:rFonts w:eastAsia="Times New Roman"/>
          <w:sz w:val="20"/>
          <w:szCs w:val="20"/>
        </w:rPr>
      </w:pPr>
      <w:r>
        <w:rPr>
          <w:rFonts w:eastAsia="Times New Roman"/>
          <w:sz w:val="20"/>
          <w:szCs w:val="20"/>
        </w:rPr>
        <w:t xml:space="preserve">11 </w:t>
      </w:r>
    </w:p>
    <w:p w:rsidR="00000000" w:rsidRDefault="004E30E9">
      <w:pPr>
        <w:divId w:val="2130318674"/>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4E30E9">
      <w:pPr>
        <w:divId w:val="164550526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joint venture and preferred equity investments generally own real estate properties for which the economic performance and value is subject</w:t>
      </w:r>
      <w:r>
        <w:rPr>
          <w:sz w:val="20"/>
          <w:szCs w:val="20"/>
        </w:rPr>
        <w:t xml:space="preserve"> to all the risks associated with owning and operating real estate as described above.</w:t>
      </w:r>
    </w:p>
    <w:p w:rsidR="00000000" w:rsidRDefault="004E30E9">
      <w:pPr>
        <w:pStyle w:val="a3"/>
        <w:spacing w:before="0" w:beforeAutospacing="0" w:after="0" w:afterAutospacing="0"/>
        <w:ind w:firstLine="360"/>
        <w:jc w:val="both"/>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We may not be able to recover our investments in marketable securities, mortgage receivables or other investments, which may result in significant losses to us.</w:t>
      </w: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See “Management’s Discussion and Analysis of Financial Condition and Results of Operations” and Footnote 9 to the Notes to the Company’s Consolidated Financial Statements included in this Form 10-K for additional discussion regarding the shares held by the</w:t>
      </w:r>
      <w:r>
        <w:rPr>
          <w:sz w:val="20"/>
          <w:szCs w:val="20"/>
        </w:rPr>
        <w:t xml:space="preserve"> Company of Albertsons Companies, Inc. (“ACI”).</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investments in marketable securities are subject to specific risks relating to the particular issuer of the securities, including the financial condition and business outlook of the issuer, which may re</w:t>
      </w:r>
      <w:r>
        <w:rPr>
          <w:sz w:val="20"/>
          <w:szCs w:val="20"/>
        </w:rPr>
        <w:t>sult in significant losses to us. Marketable securities are generally unsecured and may also be subordinated to other obligations of the issuer. As a result, investments in marketable securities are subject to risks of:</w:t>
      </w:r>
    </w:p>
    <w:p w:rsidR="00000000" w:rsidRDefault="004E30E9">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limited liquidity in the secon</w:t>
            </w:r>
            <w:r>
              <w:rPr>
                <w:sz w:val="20"/>
                <w:szCs w:val="20"/>
              </w:rPr>
              <w:t>dary trading market;</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substantial market price volatility, resulting from changes in prevailing interest rates;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subordination to the prior claims of banks and other senior lenders to the issuer;</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possibility that earnings of the issuer may be insufficient to meet its debt service and distribution obligations;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 xml:space="preserve">the declining creditworthiness and potential for insolvency of the issuer during periods of rising interest rates and economic </w:t>
            </w:r>
            <w:r>
              <w:rPr>
                <w:sz w:val="20"/>
                <w:szCs w:val="20"/>
              </w:rPr>
              <w:t>downturn.</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These risks may adversely affect the value of outstanding marketable securities and the ability of the issuers to make distribution payments.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Our investments in mortgage receivables are subject to specific risks relating to the borrower and </w:t>
      </w:r>
      <w:r>
        <w:rPr>
          <w:sz w:val="20"/>
          <w:szCs w:val="20"/>
        </w:rPr>
        <w:t>the underlying property. In the event of a default by a borrower, it may be necessary for us to foreclose our mortgage or engage in costly negotiations. Delays in liquidating defaulted mortgage loans and repossessing and selling the underlying properties c</w:t>
      </w:r>
      <w:r>
        <w:rPr>
          <w:sz w:val="20"/>
          <w:szCs w:val="20"/>
        </w:rPr>
        <w:t>ould reduce our investment returns. Furthermore, in the event of default, the actual value of the property securing the mortgage may decrease. A decline in real estate values will adversely affect the value of our loans and the value of the mortgages secur</w:t>
      </w:r>
      <w:r>
        <w:rPr>
          <w:sz w:val="20"/>
          <w:szCs w:val="20"/>
        </w:rPr>
        <w:t>ing our loans.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mortgage receivables may be or become subordinated to mechanics' or materialmen's liens or property tax liens. In these instances, we may need to protect a particular investment by making payments to maintain the current status of a pr</w:t>
      </w:r>
      <w:r>
        <w:rPr>
          <w:sz w:val="20"/>
          <w:szCs w:val="20"/>
        </w:rPr>
        <w:t>ior lien or discharge it entirely. Where that occurs, the total amount we recover may be less than our total investment, resulting in a loss. In the event of a major loan default or several loan defaults resulting in losses, our investments in mortgage rec</w:t>
      </w:r>
      <w:r>
        <w:rPr>
          <w:sz w:val="20"/>
          <w:szCs w:val="20"/>
        </w:rPr>
        <w:t>eivables would be materially and adversely affected.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economic performance and value of our other investments, which we do not control and are in retail operations, are subject to risks associated with owning and operating retail businesses, including</w:t>
      </w:r>
      <w:r>
        <w:rPr>
          <w:sz w:val="20"/>
          <w:szCs w:val="20"/>
        </w:rPr>
        <w:t>:</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changes in the national, regional and local economic climate;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adverse financial condition of some large retailing companies;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increasing use by customers of e-commerce and online store sites;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ongoing consolidation in the retail sector.</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A decline in the value of our other investments may require us to recognize an other-than-temporary impairment (“OTTI”) against such </w:t>
      </w:r>
      <w:r>
        <w:rPr>
          <w:sz w:val="20"/>
          <w:szCs w:val="20"/>
        </w:rPr>
        <w:t>assets. When the fair value of an investment is determined to be less than its amortized cost at the balance sheet date, we assess whether the decline is temporary or other-than-temporary. If we intend to sell an impaired asset, or it is more likely than n</w:t>
      </w:r>
      <w:r>
        <w:rPr>
          <w:sz w:val="20"/>
          <w:szCs w:val="20"/>
        </w:rPr>
        <w:t>ot that we will be required to sell the impaired asset before any anticipated recovery, then we must recognize an OTTI through charges to earnings equal to the entire difference between the asset’s amortized cost and its fair value at the balance sheet dat</w:t>
      </w:r>
      <w:r>
        <w:rPr>
          <w:sz w:val="20"/>
          <w:szCs w:val="20"/>
        </w:rPr>
        <w:t>e. When an OTTI is recognized through earnings, a new cost basis is established for the asset, and the new cost basis may not be adjusted through earnings for subsequent recoveries in fair value.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Our real estate assets may be subject to impairment charge</w:t>
      </w:r>
      <w:r>
        <w:rPr>
          <w:b/>
          <w:bCs/>
          <w:sz w:val="20"/>
          <w:szCs w:val="20"/>
        </w:rPr>
        <w:t>s.</w:t>
      </w:r>
    </w:p>
    <w:p w:rsidR="00000000" w:rsidRDefault="004E30E9">
      <w:pPr>
        <w:pStyle w:val="a3"/>
        <w:spacing w:before="0" w:beforeAutospacing="0" w:after="0" w:afterAutospacing="0"/>
        <w:ind w:firstLine="360"/>
        <w:jc w:val="both"/>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We periodically assess whether there are any indicators that the value of our real estate assets and other investments may be impaired. A property’s value is considered to be impaired only if the estimated aggregate future undiscounted property cash flows </w:t>
      </w:r>
      <w:r>
        <w:rPr>
          <w:sz w:val="20"/>
          <w:szCs w:val="20"/>
        </w:rPr>
        <w:t>are less than the carrying value of the property. In our estimate of cash flows, we consider factors such as trends and prospects and the effects of demand and competition on expected future operating income. If we are evaluating the potential sale of an a</w:t>
      </w:r>
      <w:r>
        <w:rPr>
          <w:sz w:val="20"/>
          <w:szCs w:val="20"/>
        </w:rPr>
        <w:t>sset or redevelopment alternatives, the undiscounted future cash flows consider the most likely course of action as of the balance sheet date based on current plans, intended holding periods and available market information. We are required to make subject</w:t>
      </w:r>
      <w:r>
        <w:rPr>
          <w:sz w:val="20"/>
          <w:szCs w:val="20"/>
        </w:rPr>
        <w:t xml:space="preserve">ive assessments as to whether there are impairments in the value of our real estate assets and other investments. Impairment charges have an immediate direct impact on our earnings. There can be no assurance that we will not take additional charges in the </w:t>
      </w:r>
      <w:r>
        <w:rPr>
          <w:sz w:val="20"/>
          <w:szCs w:val="20"/>
        </w:rPr>
        <w:t>future related to the impairment of our assets. Any future impairment could have a material adverse effect on our results of operations in the period in which the charge is taken.</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1983072730"/>
        <w:rPr>
          <w:rFonts w:eastAsia="Times New Roman"/>
          <w:sz w:val="20"/>
          <w:szCs w:val="20"/>
        </w:rPr>
      </w:pPr>
      <w:r>
        <w:rPr>
          <w:rFonts w:eastAsia="Times New Roman"/>
          <w:sz w:val="20"/>
          <w:szCs w:val="20"/>
        </w:rPr>
        <w:t xml:space="preserve">12 </w:t>
      </w:r>
    </w:p>
    <w:p w:rsidR="00000000" w:rsidRDefault="004E30E9">
      <w:pPr>
        <w:divId w:val="507335278"/>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4E30E9">
      <w:pPr>
        <w:divId w:val="1063680646"/>
        <w:rPr>
          <w:rFonts w:eastAsia="Times New Roman"/>
          <w:sz w:val="20"/>
          <w:szCs w:val="20"/>
        </w:rPr>
      </w:pPr>
      <w:hyperlink w:anchor="toc" w:history="1">
        <w:r>
          <w:rPr>
            <w:rStyle w:val="a4"/>
            <w:rFonts w:eastAsia="Times New Roman"/>
            <w:sz w:val="20"/>
            <w:szCs w:val="20"/>
          </w:rPr>
          <w:t>Table of</w:t>
        </w:r>
        <w:r>
          <w:rPr>
            <w:rStyle w:val="a4"/>
            <w:rFonts w:eastAsia="Times New Roman"/>
            <w:sz w:val="20"/>
            <w:szCs w:val="20"/>
          </w:rPr>
          <w:t xml:space="preserve">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We intend to continue to sell our lesser quality assets and may not be able to recover our investments, which may result in significant losses to us.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There can be no assurance that we will be able to recover the current carrying amount of al</w:t>
      </w:r>
      <w:r>
        <w:rPr>
          <w:sz w:val="20"/>
          <w:szCs w:val="20"/>
        </w:rPr>
        <w:t>l of our lesser quality properties and investments and those of our unconsolidated joint ventures in the future. Our failure to do so would require us to recognize impairment charges for the period in which we reached that conclusion, which could materiall</w:t>
      </w:r>
      <w:r>
        <w:rPr>
          <w:sz w:val="20"/>
          <w:szCs w:val="20"/>
        </w:rPr>
        <w:t>y and adversely affect our financial condition, results of operations and cash flows.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 xml:space="preserve">We have substantially completed our efforts to exit our investments in Mexico and have completely exited Chile, Brazil, Peru and Canada, however, we cannot predict the </w:t>
      </w:r>
      <w:r>
        <w:rPr>
          <w:b/>
          <w:bCs/>
          <w:sz w:val="20"/>
          <w:szCs w:val="20"/>
        </w:rPr>
        <w:t>impact of laws and regulations affecting these international operations, including the United States Foreign Corrupt Practices Act, or the potential that we may face regulatory sanctions.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international operations have included properties in Canada, M</w:t>
      </w:r>
      <w:r>
        <w:rPr>
          <w:sz w:val="20"/>
          <w:szCs w:val="20"/>
        </w:rPr>
        <w:t>exico, Chile, Brazil and Peru and are subject to a variety of United States and foreign laws and regulations, including the United States Foreign Corrupt Practices Act and foreign tax laws and regulations. Although we have substantially completed our effor</w:t>
      </w:r>
      <w:r>
        <w:rPr>
          <w:sz w:val="20"/>
          <w:szCs w:val="20"/>
        </w:rPr>
        <w:t>ts to exit our investments in Mexico, South America and Canada, we cannot assure you that our past or any current international operations will continue to be found to be in compliance with such laws or regulations. In addition, we cannot predict the manne</w:t>
      </w:r>
      <w:r>
        <w:rPr>
          <w:sz w:val="20"/>
          <w:szCs w:val="20"/>
        </w:rPr>
        <w:t>r in which such laws or regulations might be administered or interpreted, or when, or the potential that we may face regulatory sanctions or tax audits as a result of our international operations.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We face risks relating to cybersecurity attacks which cou</w:t>
      </w:r>
      <w:r>
        <w:rPr>
          <w:b/>
          <w:bCs/>
          <w:sz w:val="20"/>
          <w:szCs w:val="20"/>
        </w:rPr>
        <w:t xml:space="preserve">ld adversely affect our business, cause loss of confidential information and disrupt operations.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 cyber incident is considered to be any adverse event that threatens the confidentiality, integrity, or availability of our information resources. More spe</w:t>
      </w:r>
      <w:r>
        <w:rPr>
          <w:sz w:val="20"/>
          <w:szCs w:val="20"/>
        </w:rPr>
        <w:t>cifically, a cyber incident is an intentional attack or an unintentional event that can include gaining unauthorized access to systems to disrupt operations, corrupt data, or steal confidential information. We may face cyber incidents and security breaches</w:t>
      </w:r>
      <w:r>
        <w:rPr>
          <w:sz w:val="20"/>
          <w:szCs w:val="20"/>
        </w:rPr>
        <w:t xml:space="preserve"> through malware, computer viruses, ransomware, attachments to e-mails, persons inside our organization or persons with access to systems inside our organization and other significant disruptions of our IT networks and related systems. The risk of a cybers</w:t>
      </w:r>
      <w:r>
        <w:rPr>
          <w:sz w:val="20"/>
          <w:szCs w:val="20"/>
        </w:rPr>
        <w:t>ecurity breach or disruption, particularly through a cyber incident, including by computer hackers, foreign governments and cyber terrorists, has generally increased as the number, intensity and sophistication of attempted attacks and intrusions from aroun</w:t>
      </w:r>
      <w:r>
        <w:rPr>
          <w:sz w:val="20"/>
          <w:szCs w:val="20"/>
        </w:rPr>
        <w:t>d the world have increased. Our IT networks and related systems are essential to the operation of our business and our ability to perform day-to-day operations and, in some cases, may be critical to the operations of certain of our tenants. Although we mak</w:t>
      </w:r>
      <w:r>
        <w:rPr>
          <w:sz w:val="20"/>
          <w:szCs w:val="20"/>
        </w:rPr>
        <w:t>e efforts to maintain the security and integrity of these types of IT networks and related systems, and we have implemented various measures to manage the risk of a security breach or disruption, there can be no assurance that our security efforts and meas</w:t>
      </w:r>
      <w:r>
        <w:rPr>
          <w:sz w:val="20"/>
          <w:szCs w:val="20"/>
        </w:rPr>
        <w:t>ures will be effective or that attempted security breaches or disruptions would not be successful or damaging.</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As a result of the COVID-19 pandemic, employees working remotely has amplified certain risks to our business.  The number of points of potentia</w:t>
      </w:r>
      <w:r>
        <w:rPr>
          <w:sz w:val="20"/>
          <w:szCs w:val="20"/>
        </w:rPr>
        <w:t>l cyberattack, such as laptops and mobile devices have increased and any failure to effectively manage these risks, including to timely identify and appropriately respond to any cyberattacks or other disruption to our technology infrastructure, may adverse</w:t>
      </w:r>
      <w:r>
        <w:rPr>
          <w:sz w:val="20"/>
          <w:szCs w:val="20"/>
        </w:rPr>
        <w:t>ly affect our business.   Cyber criminals are targeting their attacks on individual employees, utilizing interest in pandemic related information to increase business email compromise scams designed to trick victims into transferring sensitive data or fund</w:t>
      </w:r>
      <w:r>
        <w:rPr>
          <w:sz w:val="20"/>
          <w:szCs w:val="20"/>
        </w:rPr>
        <w:t>s, or steal credentials that compromise information systems which extend to multiple platforms throughout the Company.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While we maintain some of our own critical information technology systems, we also depend on third-parties to provide important inform</w:t>
      </w:r>
      <w:r>
        <w:rPr>
          <w:sz w:val="20"/>
          <w:szCs w:val="20"/>
        </w:rPr>
        <w:t>ation technology services relating to several key business functions, such as payroll, human resources, electronic communications and certain finance functions. Our measures to prevent, detect and mitigate these threats, including password protection, fire</w:t>
      </w:r>
      <w:r>
        <w:rPr>
          <w:sz w:val="20"/>
          <w:szCs w:val="20"/>
        </w:rPr>
        <w:t>walls, backup servers, threat monitoring, log aggregation, vulnerability scanning, data encryption, periodic penetration testing and multifactor authentication, may not be successful in preventing a data breach or limiting the effects of a breach. Furtherm</w:t>
      </w:r>
      <w:r>
        <w:rPr>
          <w:sz w:val="20"/>
          <w:szCs w:val="20"/>
        </w:rPr>
        <w:t>ore, the security measures employed by third-party service providers may prove to be ineffective at preventing breaches of their systems.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primary risks that could directly result from the occurrence of a cyber incident include operational interruptio</w:t>
      </w:r>
      <w:r>
        <w:rPr>
          <w:sz w:val="20"/>
          <w:szCs w:val="20"/>
        </w:rPr>
        <w:t>n, damage to our relationship with our tenants, and private data exposure. We could be required to expend significant capital and other resources to address any data security incident or breach, which may not be covered or fully covered by our insurance an</w:t>
      </w:r>
      <w:r>
        <w:rPr>
          <w:sz w:val="20"/>
          <w:szCs w:val="20"/>
        </w:rPr>
        <w:t>d which may involve payments for investigations, forensic analyses, legal advice, public relations advice, system repair or replacement, or other services. Our financial results may be negatively impacted by such an incident or any resulting negative media</w:t>
      </w:r>
      <w:r>
        <w:rPr>
          <w:sz w:val="20"/>
          <w:szCs w:val="20"/>
        </w:rPr>
        <w:t xml:space="preserve"> attention.</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 cyber incident could:</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disrupt the proper functioning of our networks and systems and therefore our operations and/or those of certain of our tenants;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result in misstated financial reports, violations of loan covenants and/or missed reporting deadlines;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result in our</w:t>
            </w:r>
            <w:r>
              <w:rPr>
                <w:sz w:val="20"/>
                <w:szCs w:val="20"/>
              </w:rPr>
              <w:t xml:space="preserve"> inability to properly monitor our compliance with the rules and regulations regarding our qualification as a REIT;</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result in the unauthorized access to, and destruction, loss, theft, misappropriation or release of proprietary, confidential, sensitiv</w:t>
            </w:r>
            <w:r>
              <w:rPr>
                <w:sz w:val="20"/>
                <w:szCs w:val="20"/>
              </w:rPr>
              <w:t>e or otherwise valuable information of ours or others, which others could use to compete against us or for disruptive, destructive or otherwise harmful purposes and outcomes;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result in our inability to maintain the building systems relied upon by our tenants for the efficient use of their leased space;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require significant management attention and resources to remedy and damages that result;</w:t>
            </w:r>
          </w:p>
        </w:tc>
      </w:tr>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rPr>
                <w:rFonts w:eastAsia="Times New Roman"/>
                <w:sz w:val="20"/>
                <w:szCs w:val="20"/>
              </w:rPr>
            </w:pPr>
            <w:r>
              <w:rPr>
                <w:rFonts w:eastAsia="Times New Roman"/>
                <w:sz w:val="20"/>
                <w:szCs w:val="20"/>
              </w:rPr>
              <w:t>●</w:t>
            </w:r>
          </w:p>
        </w:tc>
        <w:tc>
          <w:tcPr>
            <w:tcW w:w="0" w:type="auto"/>
            <w:hideMark/>
          </w:tcPr>
          <w:p w:rsidR="00000000" w:rsidRDefault="004E30E9">
            <w:pPr>
              <w:rPr>
                <w:rFonts w:eastAsia="Times New Roman"/>
                <w:sz w:val="20"/>
                <w:szCs w:val="20"/>
              </w:rPr>
            </w:pPr>
            <w:r>
              <w:rPr>
                <w:rFonts w:eastAsia="Times New Roman"/>
                <w:sz w:val="20"/>
                <w:szCs w:val="20"/>
              </w:rPr>
              <w:t>subject us to regulatory e</w:t>
            </w:r>
            <w:r>
              <w:rPr>
                <w:rFonts w:eastAsia="Times New Roman"/>
                <w:sz w:val="20"/>
                <w:szCs w:val="20"/>
              </w:rPr>
              <w:t>nforcement;</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subject us to claims for breach of contract, damages, credits, penalties or termination of leases or other agreements; or</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damage our reputation among our tenants, investors and associates.</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1729646269"/>
        <w:rPr>
          <w:rFonts w:eastAsia="Times New Roman"/>
          <w:sz w:val="20"/>
          <w:szCs w:val="20"/>
        </w:rPr>
      </w:pPr>
      <w:r>
        <w:rPr>
          <w:rFonts w:eastAsia="Times New Roman"/>
          <w:sz w:val="20"/>
          <w:szCs w:val="20"/>
        </w:rPr>
        <w:t xml:space="preserve">13 </w:t>
      </w:r>
    </w:p>
    <w:p w:rsidR="00000000" w:rsidRDefault="004E30E9">
      <w:pPr>
        <w:divId w:val="881792308"/>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4E30E9">
      <w:pPr>
        <w:divId w:val="120494811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rPr>
        <w:t>Moreover, cyber incidents perpetrated against our tenants, including unauthorized access to custome</w:t>
      </w:r>
      <w:r>
        <w:rPr>
          <w:sz w:val="20"/>
          <w:szCs w:val="20"/>
        </w:rPr>
        <w:t>rs’ credit card data and other confidential information, could diminish consumer confidence and consumer spending and negatively impact our business.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We may be subject to liability under environmental laws, ordinances and regulations.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Under various fed</w:t>
      </w:r>
      <w:r>
        <w:rPr>
          <w:sz w:val="20"/>
          <w:szCs w:val="20"/>
        </w:rPr>
        <w:t xml:space="preserve">eral, state, and local laws, ordinances and regulations, we may be considered an owner or operator of real property and may be responsible for paying for the disposal or treatment of hazardous or toxic substances released on or in our property, as well as </w:t>
      </w:r>
      <w:r>
        <w:rPr>
          <w:sz w:val="20"/>
          <w:szCs w:val="20"/>
        </w:rPr>
        <w:t>certain other potential costs relating to hazardous or toxic substances (including governmental fines and injuries to persons and property). This liability may be imposed whether or not we knew about, or were responsible for, the presence of hazardous or t</w:t>
      </w:r>
      <w:r>
        <w:rPr>
          <w:sz w:val="20"/>
          <w:szCs w:val="20"/>
        </w:rPr>
        <w:t>oxic substances.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Natural disasters, severe weather conditions and the effects of climate change could have an adverse impact on our financial condition, results of operations and cash flows.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operations are located in areas that are subject to natur</w:t>
      </w:r>
      <w:r>
        <w:rPr>
          <w:sz w:val="20"/>
          <w:szCs w:val="20"/>
        </w:rPr>
        <w:t>al disasters and severe weather conditions such as hurricanes, tornados, earthquakes, snowstorms, floods and fires, and the frequency of these natural disasters and severe weather conditions may increase due to climate change. The occurrence of natural dis</w:t>
      </w:r>
      <w:r>
        <w:rPr>
          <w:sz w:val="20"/>
          <w:szCs w:val="20"/>
        </w:rPr>
        <w:t>asters, severe weather conditions and the effects of climate change can delay new development or redevelopment projects, increase investment costs to repair or replace damaged properties, increase operation costs, including the cost of energy at our proper</w:t>
      </w:r>
      <w:r>
        <w:rPr>
          <w:sz w:val="20"/>
          <w:szCs w:val="20"/>
        </w:rPr>
        <w:t>ties, increase costs for future property insurance, negatively impact the tenant demand for lease space and cause substantial damages or losses to our properties which could exceed any applicable insurance coverage. The incurrence of any of these losses, c</w:t>
      </w:r>
      <w:r>
        <w:rPr>
          <w:sz w:val="20"/>
          <w:szCs w:val="20"/>
        </w:rPr>
        <w:t>osts or business interruptions may adversely affect our financial condition, results of operations and cash flows.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addition, changes in government legislation and regulation on climate change could result in increased capital expenditures to improve t</w:t>
      </w:r>
      <w:r>
        <w:rPr>
          <w:sz w:val="20"/>
          <w:szCs w:val="20"/>
        </w:rPr>
        <w:t>he energy efficiency of our existing properties and could also require us to spend more on our development or redevelopment projects without a corresponding increase in revenues, which may adversely affect our financial condition, results of operations and</w:t>
      </w:r>
      <w:r>
        <w:rPr>
          <w:sz w:val="20"/>
          <w:szCs w:val="20"/>
        </w:rPr>
        <w:t xml:space="preserve"> cash flows.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Pandemics or other health crises may adversely affect our tenants’ financial condition and the profitability of our properties.</w:t>
      </w:r>
    </w:p>
    <w:p w:rsidR="00000000" w:rsidRDefault="004E30E9">
      <w:pPr>
        <w:pStyle w:val="a3"/>
        <w:spacing w:before="0" w:beforeAutospacing="0" w:after="0" w:afterAutospacing="0"/>
        <w:ind w:left="720"/>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business and the businesses of our tenants could be materially and adversely affected by the risks, or the public perception of the risks, related to a pandemic or other health crisis, such as the recent outbreak of novel coronavirus (COVID-19).</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Such</w:t>
      </w:r>
      <w:r>
        <w:rPr>
          <w:sz w:val="20"/>
          <w:szCs w:val="20"/>
        </w:rPr>
        <w:t xml:space="preserve"> events could result in the complete or partial closure of one or more of our tenants’ manufacturing facilities or distribution centers, temporary or long-term disruption in our tenants’ supply chains from local and international suppliers, and /or delays </w:t>
      </w:r>
      <w:r>
        <w:rPr>
          <w:sz w:val="20"/>
          <w:szCs w:val="20"/>
        </w:rPr>
        <w:t>in the delivery of our tenants’ inventory.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profitability of our properties depends, in part, on the willingness of customers to visit our tenants’ businesses. The risk, or public perception of the risk, of a pandemic or media coverage of infectious </w:t>
      </w:r>
      <w:r>
        <w:rPr>
          <w:sz w:val="20"/>
          <w:szCs w:val="20"/>
        </w:rPr>
        <w:t>diseases could cause employees or customers to avoid our properties, which could adversely affect foot traffic to our tenants’ businesses and our tenants’ ability to adequately staff their businesses. Such events could adversely impact tenants’ sales and/o</w:t>
      </w:r>
      <w:r>
        <w:rPr>
          <w:sz w:val="20"/>
          <w:szCs w:val="20"/>
        </w:rPr>
        <w:t>r cause the temporary closure of our tenants’ businesses, which could severely disrupt their operations and have a material adverse effect on our business, financial condition and results of operations.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The Company’s business, financial condition, result</w:t>
      </w:r>
      <w:r>
        <w:rPr>
          <w:b/>
          <w:bCs/>
          <w:sz w:val="20"/>
          <w:szCs w:val="20"/>
        </w:rPr>
        <w:t>s of operations or stock price has and may continue to be adversely impacted by the COVID-19 pandemic and such impact could be material.</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March 2020, the outbreak of COVID-19 was recognized as a pandemic by the WHO. The COVID-19 pandemic has resulted i</w:t>
      </w:r>
      <w:r>
        <w:rPr>
          <w:sz w:val="20"/>
          <w:szCs w:val="20"/>
        </w:rPr>
        <w:t>n a widespread health crisis that has had a significant adverse effect on businesses, economies and financial markets worldwide, and has caused significant volatility in U.S. and international debt and equity markets. There is significant uncertainty aroun</w:t>
      </w:r>
      <w:r>
        <w:rPr>
          <w:sz w:val="20"/>
          <w:szCs w:val="20"/>
        </w:rPr>
        <w:t>d the extent and duration of business disruptions related to COVID-19, as well as its long-term impact on the U.S. economy.</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Our business and the businesses of our tenants have been adversely affected by the COVID-19 pandemic and actions taken to contain </w:t>
      </w:r>
      <w:r>
        <w:rPr>
          <w:sz w:val="20"/>
          <w:szCs w:val="20"/>
        </w:rPr>
        <w:t>or prevent its spread. A substantial number of tenants have temporarily or permanently closed their businesses, have shortened their operating hours or offered reduced services. As a result, the Company has also had a substantial number of tenants that hav</w:t>
      </w:r>
      <w:r>
        <w:rPr>
          <w:sz w:val="20"/>
          <w:szCs w:val="20"/>
        </w:rPr>
        <w:t>e made late or partial rent payments, requested a deferral of rent payments, forgiveness of rent payments or defaulted on rent payments, and it is likely that more of our tenants will be similarly impacted in the future. Impacts of COVID-19 could also resu</w:t>
      </w:r>
      <w:r>
        <w:rPr>
          <w:sz w:val="20"/>
          <w:szCs w:val="20"/>
        </w:rPr>
        <w:t xml:space="preserve">lt in the complete or partial closure of one or more of our tenants’ manufacturing facilities or distribution centers, temporary or long-term disruption in our tenants’ supply chains from local and international suppliers, and/or delays in the delivery of </w:t>
      </w:r>
      <w:r>
        <w:rPr>
          <w:sz w:val="20"/>
          <w:szCs w:val="20"/>
        </w:rPr>
        <w:t>our tenants’ inventory.</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1889369882"/>
        <w:rPr>
          <w:rFonts w:eastAsia="Times New Roman"/>
          <w:sz w:val="20"/>
          <w:szCs w:val="20"/>
        </w:rPr>
      </w:pPr>
      <w:r>
        <w:rPr>
          <w:rFonts w:eastAsia="Times New Roman"/>
          <w:sz w:val="20"/>
          <w:szCs w:val="20"/>
        </w:rPr>
        <w:t xml:space="preserve">14 </w:t>
      </w:r>
    </w:p>
    <w:p w:rsidR="00000000" w:rsidRDefault="004E30E9">
      <w:pPr>
        <w:divId w:val="553276880"/>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4E30E9">
      <w:pPr>
        <w:divId w:val="91844048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Even after governmental restrictions are lifted, our tenants may continue to be impacted by economic conditions resulting from COVID-19 or publ</w:t>
      </w:r>
      <w:r>
        <w:rPr>
          <w:sz w:val="20"/>
          <w:szCs w:val="20"/>
        </w:rPr>
        <w:t>ic perception of the risk of COVID-19, which could adversely affect foot traffic to our tenants’ businesses and our tenants’ ability to adequately staff their businesses. Such events could severely disrupt their operations and have a material adverse effec</w:t>
      </w:r>
      <w:r>
        <w:rPr>
          <w:sz w:val="20"/>
          <w:szCs w:val="20"/>
        </w:rPr>
        <w:t xml:space="preserve">t on our business, financial condition and results of operations. A downturn in our tenants’ businesses that significantly weakens their financial condition could cause them to delay lease commencements or decline to extend or renew leases upon expiration </w:t>
      </w:r>
      <w:r>
        <w:rPr>
          <w:sz w:val="20"/>
          <w:szCs w:val="20"/>
        </w:rPr>
        <w:t>and could lead to additional failures to make rental payments when due, store closures or bankruptcies, and we may be unable to collect past due balances under relevant leases. We have received requests for rent relief from some of our tenants. We are asse</w:t>
      </w:r>
      <w:r>
        <w:rPr>
          <w:sz w:val="20"/>
          <w:szCs w:val="20"/>
        </w:rPr>
        <w:t>ssing these requests on a case-by-case basis and have agreed, and may continue to agree, to certain relief. It is likely there will be additional requests for relief in the future.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addition, like many other companies, due to government mandates, we ha</w:t>
      </w:r>
      <w:r>
        <w:rPr>
          <w:sz w:val="20"/>
          <w:szCs w:val="20"/>
        </w:rPr>
        <w:t>ve instructed our employees to work from home, which, especially if this persists for a prolonged period of time, may have an adverse impact on our employees, operations and systems. Extended periods of remote work arrangements could strain our business co</w:t>
      </w:r>
      <w:r>
        <w:rPr>
          <w:sz w:val="20"/>
          <w:szCs w:val="20"/>
        </w:rPr>
        <w:t>ntinuity plans, introduce operational risk, including but not limited to cybersecurity risks, and impair our ability to manage our business. While most of our operations can be performed remotely, there is no guarantee that we will be as effective while wo</w:t>
      </w:r>
      <w:r>
        <w:rPr>
          <w:sz w:val="20"/>
          <w:szCs w:val="20"/>
        </w:rPr>
        <w:t>rking remotely because our team is dispersed, many employees may have additional personal needs to attend to and employees may become sick themselves and be unable to work. Decreased effectiveness of our team could adversely affect our results due to our i</w:t>
      </w:r>
      <w:r>
        <w:rPr>
          <w:sz w:val="20"/>
          <w:szCs w:val="20"/>
        </w:rPr>
        <w:t>nability to meet in person with potential tenants, longer time periods to review and approve leases, longer time to respond to tenant and property issues, or other decreases in productivity that could seriously harm our business.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COVID-19 pandemic, o</w:t>
      </w:r>
      <w:r>
        <w:rPr>
          <w:sz w:val="20"/>
          <w:szCs w:val="20"/>
        </w:rPr>
        <w:t>r a future pandemic, could also have material and adverse effects on our ability to successfully operate and on our financial condition, results of operations and cash flows due to, among other factors:</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a complete or partial closure of, or other operational issues at, one or more of our properties resulting from government or tenant action;</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 xml:space="preserve">the reduced economic activity severely impacts our tenants' businesses, financial condition and liquidity and </w:t>
            </w:r>
            <w:r>
              <w:rPr>
                <w:sz w:val="20"/>
                <w:szCs w:val="20"/>
              </w:rPr>
              <w:t>may cause one or more of our tenants to be unable to meet their obligations to us in full, or in part, or to otherwise seek modifications of such obligations;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reduced economic activity could result in a prolonged recession, which could negatively</w:t>
            </w:r>
            <w:r>
              <w:rPr>
                <w:sz w:val="20"/>
                <w:szCs w:val="20"/>
              </w:rPr>
              <w:t xml:space="preserve"> impact consumer discretionary spending;</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difficulty accessing debt and equity capital on attractive terms, or at all, impacts to our credit ratings, and a prolonged severe disruption and instability in the global financial markets or deteriorations i</w:t>
            </w:r>
            <w:r>
              <w:rPr>
                <w:sz w:val="20"/>
                <w:szCs w:val="20"/>
              </w:rPr>
              <w:t>n credit and financing conditions may affect our access to capital necessary to fund business operations or address maturing liabilities on a timely basis and our tenants' ability to fund their business operations and meet their obligations to us;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w:t>
            </w:r>
            <w:r>
              <w:rPr>
                <w:sz w:val="20"/>
                <w:szCs w:val="20"/>
              </w:rPr>
              <w:t>e financial impact of the COVID-19 pandemic could negatively impact our future compliance with financial covenants of our Credit Facility and other debt agreements and result in a default and potentially an acceleration of indebtedness, which non-complianc</w:t>
            </w:r>
            <w:r>
              <w:rPr>
                <w:sz w:val="20"/>
                <w:szCs w:val="20"/>
              </w:rPr>
              <w:t>e could negatively impact our ability to make additional borrowings under our Credit Facility and pay dividends;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any impairment in value of our real estate assets that is recorded as a result of weaker economic conditions;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a continued decline in business activity and demand for real estate transactions could adversely affect our ability or desire to grow our po</w:t>
            </w:r>
            <w:r>
              <w:rPr>
                <w:sz w:val="20"/>
                <w:szCs w:val="20"/>
              </w:rPr>
              <w:t>rtfolio of properties;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a deterioration in our or our tenants' ability to operate in affected areas or delays in the supply of products or services to us or our tenants from vendors that are needed for our or our tenants' efficient operations coul</w:t>
            </w:r>
            <w:r>
              <w:rPr>
                <w:sz w:val="20"/>
                <w:szCs w:val="20"/>
              </w:rPr>
              <w:t>d adversely affect our operations and those of our tenants.</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extent to which the COVID-19 pandemic continues to impact our business, results of operations, financial condition and stock price will depend on numerous evolving factors that are highly u</w:t>
      </w:r>
      <w:r>
        <w:rPr>
          <w:sz w:val="20"/>
          <w:szCs w:val="20"/>
        </w:rPr>
        <w:t xml:space="preserve">ncertain and which we may not be able to predict, including the duration and scope of the pandemic, governmental, business and individual actions that have been and continue to be taken in response to the pandemic, the impact on economic activity from the </w:t>
      </w:r>
      <w:r>
        <w:rPr>
          <w:sz w:val="20"/>
          <w:szCs w:val="20"/>
        </w:rPr>
        <w:t>pandemic and actions taken in response, the impact on our employees and other operational disruptions or difficulties we may face, the effect on our tenants and their businesses, the ability of tenants to pay their contracted rents and any additional closu</w:t>
      </w:r>
      <w:r>
        <w:rPr>
          <w:sz w:val="20"/>
          <w:szCs w:val="20"/>
        </w:rPr>
        <w:t>res of our tenants’ businesses. These effects, individually or in the aggregate, will adversely impact our tenant’s ability to pay their contracted rent. Any of these events could materially adversely impact our business, financial condition, results of op</w:t>
      </w:r>
      <w:r>
        <w:rPr>
          <w:sz w:val="20"/>
          <w:szCs w:val="20"/>
        </w:rPr>
        <w:t>erations or stock price.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Financial disruption or a prolonged economic downturn could materially and adversely affect the Company’s business.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Worldwide financial markets have recently experienced periods of extraordinary disruption and volatility, which</w:t>
      </w:r>
      <w:r>
        <w:rPr>
          <w:sz w:val="20"/>
          <w:szCs w:val="20"/>
        </w:rPr>
        <w:t xml:space="preserve"> has been exacerbated by the COVID-19 pandemic, resulting in heightened credit risk, reduced valuation of investments and decreased economic activity. Moreover, many companies have experienced reduced liquidity and uncertainty as to their ability to raise </w:t>
      </w:r>
      <w:r>
        <w:rPr>
          <w:sz w:val="20"/>
          <w:szCs w:val="20"/>
        </w:rPr>
        <w:t>capital during such periods of market disruption and volatility. In the event that these conditions recur or result in a prolonged economic downturn, our results of operations, financial position or liquidity could be materially and adversely affected. The</w:t>
      </w:r>
      <w:r>
        <w:rPr>
          <w:sz w:val="20"/>
          <w:szCs w:val="20"/>
        </w:rPr>
        <w:t>se market conditions may affect the Company's ability to access debt and equity capital markets. In addition, as a result of recent financial events, we may face increased regulation.</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1653018962"/>
        <w:rPr>
          <w:rFonts w:eastAsia="Times New Roman"/>
          <w:sz w:val="20"/>
          <w:szCs w:val="20"/>
        </w:rPr>
      </w:pPr>
      <w:r>
        <w:rPr>
          <w:rFonts w:eastAsia="Times New Roman"/>
          <w:sz w:val="20"/>
          <w:szCs w:val="20"/>
        </w:rPr>
        <w:t xml:space="preserve">15 </w:t>
      </w:r>
    </w:p>
    <w:p w:rsidR="00000000" w:rsidRDefault="004E30E9">
      <w:pPr>
        <w:divId w:val="155728100"/>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4E30E9">
      <w:pPr>
        <w:divId w:val="6969401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 xml:space="preserve">Corporate responsibility, specifically related to ESG </w:t>
      </w:r>
      <w:r>
        <w:rPr>
          <w:b/>
          <w:bCs/>
          <w:sz w:val="20"/>
          <w:szCs w:val="20"/>
        </w:rPr>
        <w:t>factors, may impose additional costs and expose us to new risks.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importance of sustainability evaluations is becoming more broadly accepted by investors and shareholders. Certain organizations that provide corporate governance and other corporate ris</w:t>
      </w:r>
      <w:r>
        <w:rPr>
          <w:sz w:val="20"/>
          <w:szCs w:val="20"/>
        </w:rPr>
        <w:t>k information to investors and shareholders have developed scores and ratings to evaluate companies and investment funds based upon ESG or “sustainability” metrics. Many investment funds focus on positive ESG business practices and sustainability scores wh</w:t>
      </w:r>
      <w:r>
        <w:rPr>
          <w:sz w:val="20"/>
          <w:szCs w:val="20"/>
        </w:rPr>
        <w:t xml:space="preserve">en making investments and may consider a company’s sustainability score as a reputational or other factor in making an investment decision. In addition, investors, particularly institutional investors, use these scores to benchmark companies against their </w:t>
      </w:r>
      <w:r>
        <w:rPr>
          <w:sz w:val="20"/>
          <w:szCs w:val="20"/>
        </w:rPr>
        <w:t>peers and if a company is perceived as lagging, these investors may engage with companies to require improved ESG disclosure or performance. We may face reputational damage in the event our corporate responsibility procedures or standards do not meet the s</w:t>
      </w:r>
      <w:r>
        <w:rPr>
          <w:sz w:val="20"/>
          <w:szCs w:val="20"/>
        </w:rPr>
        <w:t>tandards set by various constituencies. In addition, the criteria by which companies are rated may change, which could cause us to receive lower scores than previous years. A low sustainability score could result in a negative perception of the Company, or</w:t>
      </w:r>
      <w:r>
        <w:rPr>
          <w:sz w:val="20"/>
          <w:szCs w:val="20"/>
        </w:rPr>
        <w:t xml:space="preserve"> exclusion of our common stock from consideration by certain investors who may elect to invest with our competition instead.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Our success depends largely on the continued service and availability of key personnel.</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We depend on the deep industry knowledg</w:t>
      </w:r>
      <w:r>
        <w:rPr>
          <w:sz w:val="20"/>
          <w:szCs w:val="20"/>
        </w:rPr>
        <w:t>e and efforts of key personnel, including our executive officers, to manage our day-to-day operations and strategic business direction. Our ability to attract, retain and motivate key personnel may significantly impact our future performance, and if any of</w:t>
      </w:r>
      <w:r>
        <w:rPr>
          <w:sz w:val="20"/>
          <w:szCs w:val="20"/>
        </w:rPr>
        <w:t xml:space="preserve"> our executive officers or other key personnel depart the Company, for any reason, we may not be able to easily replace such individual. The loss of the services of our executive officers and other key personnel could have a material adverse effect on our </w:t>
      </w:r>
      <w:r>
        <w:rPr>
          <w:sz w:val="20"/>
          <w:szCs w:val="20"/>
        </w:rPr>
        <w:t>financial condition, results of operations and cash flows.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b/>
          <w:bCs/>
          <w:sz w:val="20"/>
          <w:szCs w:val="20"/>
          <w:u w:val="single"/>
        </w:rPr>
        <w:t>Risks Related to Our Debt and Equity Securities</w:t>
      </w:r>
    </w:p>
    <w:p w:rsidR="00000000" w:rsidRDefault="004E30E9">
      <w:pPr>
        <w:pStyle w:val="a3"/>
        <w:spacing w:before="0" w:beforeAutospacing="0" w:after="0" w:afterAutospacing="0"/>
        <w:ind w:firstLine="360"/>
        <w:jc w:val="both"/>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 xml:space="preserve">We may be unable to obtain financing through the debt and equity markets, which would have a material adverse effect on our growth strategy, our </w:t>
      </w:r>
      <w:r>
        <w:rPr>
          <w:b/>
          <w:bCs/>
          <w:sz w:val="20"/>
          <w:szCs w:val="20"/>
        </w:rPr>
        <w:t>financial condition and our results of operations.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We cannot assure you that we will be able to access the credit and/or equity markets to obtain additional debt or equity financing or that we will be able to obtain financing on terms favorable to us. Th</w:t>
      </w:r>
      <w:r>
        <w:rPr>
          <w:sz w:val="20"/>
          <w:szCs w:val="20"/>
        </w:rPr>
        <w:t>e inability to obtain financing on a timely basis could have negative effects on our business, such as:</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we could have great difficulty acquiring or developing properties, which would materially adversely affect our investment strategy;</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our liquidity could be adversely affected;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we may be unable to repay or refinance our indebtedness;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we may need to make higher interest and principal payments or sell some of our assets on terms unfavorable to us to fund our indebtedness; or</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we may need to issue additional capital stock, which could further dilute the ownership of our existing stakeholders.</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Adverse changes in our credit ratings could impair our ability to obtain additional debt and equity financing on terms favorable to us, if at all, and could significantly reduce the market price of our publicly traded securities.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We are subject to financ</w:t>
      </w:r>
      <w:r>
        <w:rPr>
          <w:b/>
          <w:bCs/>
          <w:sz w:val="20"/>
          <w:szCs w:val="20"/>
        </w:rPr>
        <w:t>ial covenants that may restrict our operating and acquisition activities.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Credit Facility and the indentures under which our senior unsecured debt is issued contain certain financial and operating covenants, including, among other things, certain cov</w:t>
      </w:r>
      <w:r>
        <w:rPr>
          <w:sz w:val="20"/>
          <w:szCs w:val="20"/>
        </w:rPr>
        <w:t>erage ratios and limitations on our ability to incur debt, make dividend payments, sell all or substantially all of our assets and engage in mergers and consolidations and certain acquisitions. These covenants may restrict our ability to pursue certain bus</w:t>
      </w:r>
      <w:r>
        <w:rPr>
          <w:sz w:val="20"/>
          <w:szCs w:val="20"/>
        </w:rPr>
        <w:t>iness initiatives or certain acquisition transactions that might otherwise be advantageous. In addition, failure to meet any of the financial covenants could cause an event of default under our Credit Facility and the indentures and/or accelerate some or a</w:t>
      </w:r>
      <w:r>
        <w:rPr>
          <w:sz w:val="20"/>
          <w:szCs w:val="20"/>
        </w:rPr>
        <w:t>ll of our indebtedness, which would have a material adverse effect on us.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Impacts from transition away from London Inter-bank Offered Rate (“LIBOR”).</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 portion of our long-term indebtedness bears interest at fluctuating interest rates based on LIBOR fo</w:t>
      </w:r>
      <w:r>
        <w:rPr>
          <w:sz w:val="20"/>
          <w:szCs w:val="20"/>
        </w:rPr>
        <w:t>r deposits of U.S. dollars. LIBOR and certain other interest “benchmarks” may be subject to regulatory guidance and/or reform that could cause interest rates under our current or future debt agreements to perform differently than in the past or cause other</w:t>
      </w:r>
      <w:r>
        <w:rPr>
          <w:sz w:val="20"/>
          <w:szCs w:val="20"/>
        </w:rPr>
        <w:t xml:space="preserve"> unanticipated consequences. The United Kingdom’s Financial Conduct Authority, which regulates LIBOR, has announced that it intends to stop encouraging or requiring banks to submit LIBOR rates after 2021, and it is unclear if LIBOR will cease to exist or i</w:t>
      </w:r>
      <w:r>
        <w:rPr>
          <w:sz w:val="20"/>
          <w:szCs w:val="20"/>
        </w:rPr>
        <w:t>f new methods of calculating LIBOR will evolve. In November 2020, ICE Benchmark Association, the administrator of LIBOR, published a consultation regarding its intention to cease publication of U.S. dollar LIBOR after June 2023. If LIBOR ceases to exist or</w:t>
      </w:r>
      <w:r>
        <w:rPr>
          <w:sz w:val="20"/>
          <w:szCs w:val="20"/>
        </w:rPr>
        <w:t xml:space="preserve"> if the methods of calculating LIBOR change from their current form, interest rates on our current or future indebtedness may be adversely affected.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940602801"/>
        <w:rPr>
          <w:rFonts w:eastAsia="Times New Roman"/>
          <w:sz w:val="20"/>
          <w:szCs w:val="20"/>
        </w:rPr>
      </w:pPr>
      <w:r>
        <w:rPr>
          <w:rFonts w:eastAsia="Times New Roman"/>
          <w:sz w:val="20"/>
          <w:szCs w:val="20"/>
        </w:rPr>
        <w:t xml:space="preserve">16 </w:t>
      </w:r>
    </w:p>
    <w:p w:rsidR="00000000" w:rsidRDefault="004E30E9">
      <w:pPr>
        <w:divId w:val="1600790955"/>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4E30E9">
      <w:pPr>
        <w:divId w:val="54749284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Changes in market</w:t>
      </w:r>
      <w:r>
        <w:rPr>
          <w:b/>
          <w:bCs/>
          <w:sz w:val="20"/>
          <w:szCs w:val="20"/>
        </w:rPr>
        <w:t xml:space="preserve"> conditions could adversely affect the market price of our publicly traded securities.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market price of our publicly traded securities depends on various market conditions, which may change from time-to-time. Among the market conditions that may affec</w:t>
      </w:r>
      <w:r>
        <w:rPr>
          <w:sz w:val="20"/>
          <w:szCs w:val="20"/>
        </w:rPr>
        <w:t>t the market price of our publicly traded securities are the following:</w:t>
      </w:r>
    </w:p>
    <w:p w:rsidR="00000000" w:rsidRDefault="004E30E9">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extent of institutional investor interest in us;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reputation of REITs generally and the reputation of REITs with portfolios similar to ours;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attractiveness of the securities of REITs in comparison to securities issued by other entities, including securities issued by other real estate compan</w:t>
            </w:r>
            <w:r>
              <w:rPr>
                <w:sz w:val="20"/>
                <w:szCs w:val="20"/>
              </w:rPr>
              <w:t>ies;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our financial condition and performance;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market’s perception of our growth potential, potential future cash dividends and risk profile;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an increase in market interest rates, which may lead prospective investors to demand a higher distribution rate in relation to the price paid for our shares;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general economic and financial market conditions.</w:t>
            </w:r>
          </w:p>
        </w:tc>
      </w:tr>
    </w:tbl>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We may change the dividend policy for our common stock in the future.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decision to declare and pay dividends on our common stock in the future, as well as the timing, amount and composition of any s</w:t>
      </w:r>
      <w:r>
        <w:rPr>
          <w:sz w:val="20"/>
          <w:szCs w:val="20"/>
        </w:rPr>
        <w:t>uch future dividends, will be at the sole discretion of our Board of Directors and will depend on our earnings, operating cash flows, liquidity, financial condition, capital requirements, contractual prohibitions or other limitations under our indebtedness</w:t>
      </w:r>
      <w:r>
        <w:rPr>
          <w:sz w:val="20"/>
          <w:szCs w:val="20"/>
        </w:rPr>
        <w:t xml:space="preserve"> including preferred stock, the annual distribution requirements under the REIT provisions of the Code, state law and such other factors as our Board of Directors deems relevant or are requirements under the Code or state or federal laws. Any negative chan</w:t>
      </w:r>
      <w:r>
        <w:rPr>
          <w:sz w:val="20"/>
          <w:szCs w:val="20"/>
        </w:rPr>
        <w:t>ge in our dividend policy could have a material adverse effect on the market price of our common stock.</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 xml:space="preserve">Our charter and bylaws and Maryland law contain provisions that may delay, defer or prevent a change of control transaction, even if such a change in </w:t>
      </w:r>
      <w:r>
        <w:rPr>
          <w:b/>
          <w:bCs/>
          <w:sz w:val="20"/>
          <w:szCs w:val="20"/>
        </w:rPr>
        <w:t>control may be in our best interest, and as a result may depress the market price of our securities.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charter contains certain ownership limits. Our charter contains various provisions that are intended to preserve our qualification as a REIT and, sub</w:t>
      </w:r>
      <w:r>
        <w:rPr>
          <w:sz w:val="20"/>
          <w:szCs w:val="20"/>
        </w:rPr>
        <w:t>ject to certain exceptions, authorize our directors to take such actions as are necessary or appropriate to preserve our qualification as a REIT</w:t>
      </w:r>
      <w:r>
        <w:rPr>
          <w:b/>
          <w:bCs/>
          <w:sz w:val="20"/>
          <w:szCs w:val="20"/>
        </w:rPr>
        <w:t>.</w:t>
      </w:r>
      <w:r>
        <w:rPr>
          <w:sz w:val="20"/>
          <w:szCs w:val="20"/>
        </w:rPr>
        <w:t xml:space="preserve"> For example, our charter prohibits the actual, beneficial or constructive ownership by any person of more than</w:t>
      </w:r>
      <w:r>
        <w:rPr>
          <w:sz w:val="20"/>
          <w:szCs w:val="20"/>
        </w:rPr>
        <w:t xml:space="preserve"> 9.8% in value or number of shares, whichever is more restrictive, of the outstanding shares of our common stock, and more than 9.8% in value of the aggregate outstanding shares of all classes and series of our stock. Our Board of Directors, in its sole an</w:t>
      </w:r>
      <w:r>
        <w:rPr>
          <w:sz w:val="20"/>
          <w:szCs w:val="20"/>
        </w:rPr>
        <w:t>d absolute discretion, may exempt a person, prospectively or retroactively, from these ownership limits if certain conditions are satisfied. The restrictions on ownership and transfer of our stock may:</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rPr>
                <w:rFonts w:eastAsia="Times New Roman"/>
                <w:sz w:val="20"/>
                <w:szCs w:val="20"/>
              </w:rPr>
            </w:pPr>
            <w:r>
              <w:rPr>
                <w:rFonts w:eastAsia="Times New Roman"/>
                <w:sz w:val="20"/>
                <w:szCs w:val="20"/>
              </w:rPr>
              <w:t xml:space="preserve">discourage a tender offer or other transactions </w:t>
            </w:r>
            <w:r>
              <w:rPr>
                <w:rFonts w:eastAsia="Times New Roman"/>
                <w:sz w:val="20"/>
                <w:szCs w:val="20"/>
              </w:rPr>
              <w:t>or a change in management or of control that might involve a premium price for our common stock or that our stockholders otherwise believe to be in their best interests; or</w:t>
            </w:r>
          </w:p>
        </w:tc>
      </w:tr>
      <w:tr w:rsidR="00000000">
        <w:trPr>
          <w:tblCellSpacing w:w="0" w:type="dxa"/>
        </w:trPr>
        <w:tc>
          <w:tcPr>
            <w:tcW w:w="360" w:type="dxa"/>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rPr>
                <w:rFonts w:eastAsia="Times New Roman"/>
                <w:sz w:val="20"/>
                <w:szCs w:val="20"/>
              </w:rPr>
            </w:pPr>
            <w:r>
              <w:rPr>
                <w:rFonts w:eastAsia="Times New Roman"/>
                <w:sz w:val="20"/>
                <w:szCs w:val="20"/>
              </w:rPr>
              <w:t>result in the transfer of shares acquired in excess of the restrictions to a trust for the benefit of a charitable beneficiary and, as a result, the forfeiture by the acquirer of the benefits of owning the additional shares.</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b/>
          <w:bCs/>
          <w:sz w:val="20"/>
          <w:szCs w:val="20"/>
          <w:u w:val="single"/>
        </w:rPr>
        <w:t xml:space="preserve">Risks Related to Our Status </w:t>
      </w:r>
      <w:r>
        <w:rPr>
          <w:b/>
          <w:bCs/>
          <w:sz w:val="20"/>
          <w:szCs w:val="20"/>
          <w:u w:val="single"/>
        </w:rPr>
        <w:t>as a REIT and Related U.S. Federal Income Tax Matters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Loss of our tax status as a REIT or changes in U.S. federal income tax laws, regulations, administrative interpretations or court decisions relating to REITs could have significant adverse consequence</w:t>
      </w:r>
      <w:r>
        <w:rPr>
          <w:b/>
          <w:bCs/>
          <w:sz w:val="20"/>
          <w:szCs w:val="20"/>
        </w:rPr>
        <w:t>s to us and the value of our securities.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We have elected to be taxed as a REIT for U.S. federal income tax purposes under the Code. We believe that we are organized and operate in a manner that has allowed us to qualify and will allow us to remain qualif</w:t>
      </w:r>
      <w:r>
        <w:rPr>
          <w:sz w:val="20"/>
          <w:szCs w:val="20"/>
        </w:rPr>
        <w:t>ied as a REIT under the Code. However, there can be no assurance that we have qualified or will continue to qualify as a REIT for U.S. federal income tax purposes.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Qualification as a REIT involves the application of highly technical and complex Code prov</w:t>
      </w:r>
      <w:r>
        <w:rPr>
          <w:sz w:val="20"/>
          <w:szCs w:val="20"/>
        </w:rPr>
        <w:t>isions, for which there are only limited judicial and administrative interpretations. The determination of various factual matters and circumstances not entirely within our control may affect our ability to qualify as a REIT. The rules dealing with U.S. fe</w:t>
      </w:r>
      <w:r>
        <w:rPr>
          <w:sz w:val="20"/>
          <w:szCs w:val="20"/>
        </w:rPr>
        <w:t>deral income taxation are constantly under review by persons involved in the legislative process and by the U.S. Internal Revenue Service (the "IRS") and U.S. Department of the Treasury. We cannot predict how changes in the tax laws might affect our invest</w:t>
      </w:r>
      <w:r>
        <w:rPr>
          <w:sz w:val="20"/>
          <w:szCs w:val="20"/>
        </w:rPr>
        <w:t>ors or us. New legislation, regulations, administrative interpretations or court decisions could significantly and negatively change the tax laws with respect to qualification as a REIT, the U.S. federal income tax consequences of such qualification or the</w:t>
      </w:r>
      <w:r>
        <w:rPr>
          <w:sz w:val="20"/>
          <w:szCs w:val="20"/>
        </w:rPr>
        <w:t xml:space="preserve"> desirability of an investment in a REIT relative to other investments.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125861066"/>
        <w:rPr>
          <w:rFonts w:eastAsia="Times New Roman"/>
          <w:sz w:val="20"/>
          <w:szCs w:val="20"/>
        </w:rPr>
      </w:pPr>
      <w:r>
        <w:rPr>
          <w:rFonts w:eastAsia="Times New Roman"/>
          <w:sz w:val="20"/>
          <w:szCs w:val="20"/>
        </w:rPr>
        <w:t xml:space="preserve">17 </w:t>
      </w:r>
    </w:p>
    <w:p w:rsidR="00000000" w:rsidRDefault="004E30E9">
      <w:pPr>
        <w:divId w:val="829902509"/>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4E30E9">
      <w:pPr>
        <w:divId w:val="198785194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order to qualify as a REIT, we must satisfy a number of requirements, including requirements regarding the ownership of our stock, the composition of our assets and the s</w:t>
      </w:r>
      <w:r>
        <w:rPr>
          <w:sz w:val="20"/>
          <w:szCs w:val="20"/>
        </w:rPr>
        <w:t>ources of our gross income. Also, we must make distributions to stockholders aggregating annually at least 90% of our REIT taxable income, excluding net capital gains. Furthermore, we own a direct or indirect interest in certain subsidiary REITs which have</w:t>
      </w:r>
      <w:r>
        <w:rPr>
          <w:sz w:val="20"/>
          <w:szCs w:val="20"/>
        </w:rPr>
        <w:t xml:space="preserve"> elected to be taxed as REITs for U.S. federal income tax purposes under the Code. Provided that each subsidiary REIT qualifies as a REIT, our interest in such subsidiary REIT will be treated as a qualifying real estate asset for purposes of the REIT asset</w:t>
      </w:r>
      <w:r>
        <w:rPr>
          <w:sz w:val="20"/>
          <w:szCs w:val="20"/>
        </w:rPr>
        <w:t xml:space="preserve"> tests. To qualify as a REIT, the subsidiary REIT must independently satisfy all of the REIT qualification requirements. The failure of a subsidiary REIT to qualify as a REIT could have an adverse effect on our ability to comply with the REIT income and as</w:t>
      </w:r>
      <w:r>
        <w:rPr>
          <w:sz w:val="20"/>
          <w:szCs w:val="20"/>
        </w:rPr>
        <w:t>set tests, and thus our ability to qualify as a REIT.</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If we were to lose our REIT status, we would face serious tax consequences that would substantially reduce the funds available to pay dividends to stockholders for each of the years involved because:</w:t>
      </w:r>
    </w:p>
    <w:p w:rsidR="00000000" w:rsidRDefault="004E30E9">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we would not be allowed a deduction for dividends to stockholders in computing our taxable income and we would be subject to the regular U.S. federal corporate income tax;</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 xml:space="preserve">we could possibly be subject to the federal alternative minimum tax for </w:t>
            </w:r>
            <w:r>
              <w:rPr>
                <w:sz w:val="20"/>
                <w:szCs w:val="20"/>
              </w:rPr>
              <w:t>taxable years prior to 2018 or increased state and local taxes;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unless we were entitled to relief under statutory provisions, we could not elect to be taxed as a REIT for four taxable years following the year during which we were disqualified;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we would not be required to make distributions to stockholders.</w:t>
            </w:r>
          </w:p>
        </w:tc>
      </w:tr>
    </w:tbl>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failure to qualify as a REIT or new legislation or changes in U.S. federal income tax laws including with respect to qualification as a REIT or the tax consequences of such qualification, could also impair our ability to expand our business or raise c</w:t>
      </w:r>
      <w:r>
        <w:rPr>
          <w:sz w:val="20"/>
          <w:szCs w:val="20"/>
        </w:rPr>
        <w:t>apital and have a materially adverse effect on the value of our securities.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To maintain our REIT status, we may be forced to borrow funds during unfavorable market conditions, and the unavailability of such capital on favorable terms at the desired times</w:t>
      </w:r>
      <w:r>
        <w:rPr>
          <w:b/>
          <w:bCs/>
          <w:sz w:val="20"/>
          <w:szCs w:val="20"/>
        </w:rPr>
        <w:t>, or at all, may cause us to curtail our investment activities and/or to dispose of assets at inopportune times, which could adversely affect our financial condition, results of operations, cash flows and per share trading price of our common stock.</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To q</w:t>
      </w:r>
      <w:r>
        <w:rPr>
          <w:sz w:val="20"/>
          <w:szCs w:val="20"/>
        </w:rPr>
        <w:t>ualify as a REIT, we generally must distribute to our stockholders at least 90% of our REIT taxable income each year, excluding net capital gains, and we will be subject to regular U.S. federal corporate income taxes on the amount we distribute that is les</w:t>
      </w:r>
      <w:r>
        <w:rPr>
          <w:sz w:val="20"/>
          <w:szCs w:val="20"/>
        </w:rPr>
        <w:t>s than 100% of our net taxable income each year, including capital gains. In addition, we will be subject to a 4% nondeductible excise tax on the amount, if any, by which distributions paid by us in any calendar year are less than the sum of 85% of our ord</w:t>
      </w:r>
      <w:r>
        <w:rPr>
          <w:sz w:val="20"/>
          <w:szCs w:val="20"/>
        </w:rPr>
        <w:t>inary income, 95% of our capital gain net income and 100% of our undistributed income from prior years. While we have historically satisfied these distribution requirements by making cash distributions to our stockholders, a REIT is permitted to satisfy th</w:t>
      </w:r>
      <w:r>
        <w:rPr>
          <w:sz w:val="20"/>
          <w:szCs w:val="20"/>
        </w:rPr>
        <w:t>ese requirements by making distributions of cash or other property, including, in limited circumstances, its own stock. Assuming we continue to satisfy these distribution requirements with cash, we may need to borrow funds to meet the REIT distribution req</w:t>
      </w:r>
      <w:r>
        <w:rPr>
          <w:sz w:val="20"/>
          <w:szCs w:val="20"/>
        </w:rPr>
        <w:t xml:space="preserve">uirements and avoid the payment of income and excise taxes even if the then prevailing market conditions are not favorable for these borrowings. These borrowing needs could result from differences in timing between the actual receipt of cash and inclusion </w:t>
      </w:r>
      <w:r>
        <w:rPr>
          <w:sz w:val="20"/>
          <w:szCs w:val="20"/>
        </w:rPr>
        <w:t>of income for U.S. federal income tax purposes, or the effect of non-deductible capital expenditures, the creation of cash reserves or required debt or amortization payments. These sources, however, may not be available on favorable terms or at all. Our ac</w:t>
      </w:r>
      <w:r>
        <w:rPr>
          <w:sz w:val="20"/>
          <w:szCs w:val="20"/>
        </w:rPr>
        <w:t>cess to third-party sources of capital depends on a number of factors, including the market's perception of our growth potential, our current debt levels, the market price of our common stock, and our current and potential future earnings. We cannot assure</w:t>
      </w:r>
      <w:r>
        <w:rPr>
          <w:sz w:val="20"/>
          <w:szCs w:val="20"/>
        </w:rPr>
        <w:t xml:space="preserve"> you that we will have access to such capital on favorable terms at the desired times, or at all, which may cause us to curtail our investment activities and/or to dispose of assets at inopportune times, and could adversely affect our financial condition, </w:t>
      </w:r>
      <w:r>
        <w:rPr>
          <w:sz w:val="20"/>
          <w:szCs w:val="20"/>
        </w:rPr>
        <w:t>results of operations, cash flows and per share trading price of our common stock.</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jc w:val="center"/>
        <w:divId w:val="1438522594"/>
        <w:rPr>
          <w:rFonts w:eastAsia="Times New Roman"/>
          <w:sz w:val="20"/>
          <w:szCs w:val="20"/>
        </w:rPr>
      </w:pPr>
      <w:r>
        <w:rPr>
          <w:rFonts w:eastAsia="Times New Roman"/>
          <w:sz w:val="20"/>
          <w:szCs w:val="20"/>
        </w:rPr>
        <w:t xml:space="preserve">18 </w:t>
      </w:r>
    </w:p>
    <w:p w:rsidR="00000000" w:rsidRDefault="004E30E9">
      <w:pPr>
        <w:divId w:val="1698238477"/>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4E30E9">
      <w:pPr>
        <w:divId w:val="14451465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The tax imposed on REITs engaging in “prohibited transactions” may limit our abilit</w:t>
      </w:r>
      <w:r>
        <w:rPr>
          <w:b/>
          <w:bCs/>
          <w:sz w:val="20"/>
          <w:szCs w:val="20"/>
        </w:rPr>
        <w:t>y to engage in transactions which would be treated as sales for U.S. federal income tax purposes.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 REIT's net income from prohibited transactions is subject to a 100% penalty tax. In general, prohibited transactions are sales or other dispositions of property, other than foreclosure property, held primarily for sale to customers in the ordinary course</w:t>
      </w:r>
      <w:r>
        <w:rPr>
          <w:sz w:val="20"/>
          <w:szCs w:val="20"/>
        </w:rPr>
        <w:t xml:space="preserve"> of business. Although we do not intend to hold any properties that would be characterized as held for sale to customers in the ordinary course of our business, unless a sale or disposition qualifies under certain statutory safe harbors, such characterizat</w:t>
      </w:r>
      <w:r>
        <w:rPr>
          <w:sz w:val="20"/>
          <w:szCs w:val="20"/>
        </w:rPr>
        <w:t>ion is a factual determination and no guarantee can be given that the IRS would agree with our characterization of our properties or that we will always be able to make use of the available safe harbors.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b/>
          <w:bCs/>
          <w:sz w:val="20"/>
          <w:szCs w:val="20"/>
        </w:rPr>
        <w:t xml:space="preserve">Dividends payable by REITs do not qualify for the </w:t>
      </w:r>
      <w:r>
        <w:rPr>
          <w:b/>
          <w:bCs/>
          <w:sz w:val="20"/>
          <w:szCs w:val="20"/>
        </w:rPr>
        <w:t>reduced tax rates available for some dividends.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maximum tax rate applicable to “qualified dividend income” payable to U.S. stockholders that are individuals, trusts and estates is 20%. Dividends payable by REITs, however, generally are not eligible f</w:t>
      </w:r>
      <w:r>
        <w:rPr>
          <w:sz w:val="20"/>
          <w:szCs w:val="20"/>
        </w:rPr>
        <w:t>or these reduced rates. U.S. stockholders that are individuals, trusts and estates generally may deduct up to 20% of the ordinary dividends (i.e., dividends not designated as capital gain dividends or qualified dividend income) received from a REIT for tax</w:t>
      </w:r>
      <w:r>
        <w:rPr>
          <w:sz w:val="20"/>
          <w:szCs w:val="20"/>
        </w:rPr>
        <w:t>able years beginning before January 1, 2026. Although this deduction reduces the effective tax rate applicable to certain dividends paid by REITs (generally to 29.6% assuming the shareholder is subject to the 37% maximum rate), such tax rate is still highe</w:t>
      </w:r>
      <w:r>
        <w:rPr>
          <w:sz w:val="20"/>
          <w:szCs w:val="20"/>
        </w:rPr>
        <w:t>r than the tax rate applicable to corporate dividends that constitute qualified dividend income. Accordingly, investors who are individuals, trusts and estates may perceive investments in REITs to be relatively less attractive than investments in the stock</w:t>
      </w:r>
      <w:r>
        <w:rPr>
          <w:sz w:val="20"/>
          <w:szCs w:val="20"/>
        </w:rPr>
        <w:t>s of non-REIT corporations that pay dividends treated as qualified dividend income, which could materially and adversely affect the value of the shares of REITs, including the per share trading price of our common stock.</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1B. Unresolved Staff Comments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None.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2. Properties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 xml:space="preserve">Real Estate Portfolio. </w:t>
      </w:r>
      <w:r>
        <w:rPr>
          <w:sz w:val="20"/>
          <w:szCs w:val="20"/>
        </w:rPr>
        <w:t>As of December 31, 2020, the Company had interests in 400 shopping center properties aggregating 70.1 million square feet of GLA loca</w:t>
      </w:r>
      <w:r>
        <w:rPr>
          <w:sz w:val="20"/>
          <w:szCs w:val="20"/>
        </w:rPr>
        <w:t>ted in 27 states and Puerto Rico. In addition, the Company had 122 other property interests, primarily through the Company’s preferred equity investments and other real estate investments, totaling 5.4 million square feet of GLA.   Open-air shopping center</w:t>
      </w:r>
      <w:r>
        <w:rPr>
          <w:sz w:val="20"/>
          <w:szCs w:val="20"/>
        </w:rPr>
        <w:t>s comprise the primary focus of the Company's current portfolio.  As of December 31, 2020, the Company’s Combined Shopping Center Portfolio, including noncontrolling interests, was 93.9% leased.</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Company's open-air shopping center properties, which ar</w:t>
      </w:r>
      <w:r>
        <w:rPr>
          <w:sz w:val="20"/>
          <w:szCs w:val="20"/>
        </w:rPr>
        <w:t>e generally owned and operated through subsidiaries or joint ventures, had an average size of 175,302 square feet as of December 31, 2020. The Company generally retains its shopping centers for long-term investment and consequently pursues a program of reg</w:t>
      </w:r>
      <w:r>
        <w:rPr>
          <w:sz w:val="20"/>
          <w:szCs w:val="20"/>
        </w:rPr>
        <w:t>ular physical maintenance together with redevelopment, major renovations and refurbishing to preserve and increase the value of its properties. This includes renovating existing facades, installing uniform signage, resurfacing parking lots and enhancing pa</w:t>
      </w:r>
      <w:r>
        <w:rPr>
          <w:sz w:val="20"/>
          <w:szCs w:val="20"/>
        </w:rPr>
        <w:t>rking lot lighting. During 2020, the Company expended $175.7 million in connection with property redevelopments and $45.6 million related to improvements.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Company's management believes its experience in the real estate industry and its relationships </w:t>
      </w:r>
      <w:r>
        <w:rPr>
          <w:sz w:val="20"/>
          <w:szCs w:val="20"/>
        </w:rPr>
        <w:t>with numerous national and regional tenants gives it an advantage in an industry where ownership is fragmented among a large number of property owners. The Company's open-air shopping centers are usually "anchored" by a grocery store, off-price retailer, d</w:t>
      </w:r>
      <w:r>
        <w:rPr>
          <w:sz w:val="20"/>
          <w:szCs w:val="20"/>
        </w:rPr>
        <w:t>iscounter or service-oriented tenant. As one of the original participants in the growth of the shopping center industry and one of the nation's largest owners and operators of shopping centers, the Company has established close relationships with a large n</w:t>
      </w:r>
      <w:r>
        <w:rPr>
          <w:sz w:val="20"/>
          <w:szCs w:val="20"/>
        </w:rPr>
        <w:t>umber of major national and regional retailers. Some of the major national and regional companies that are tenants in the Company's shopping center properties include TJX Companies, The Home Depot, Ahold Delhaize, Albertsons Companies, Ross Stores, PetSmar</w:t>
      </w:r>
      <w:r>
        <w:rPr>
          <w:sz w:val="20"/>
          <w:szCs w:val="20"/>
        </w:rPr>
        <w:t>t, Whole Foods Market, Walmart, Burlington Stores and Bed Bath &amp; Beyond.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reduces its operating and leasing risks through diversification achieved by the geographic distribution of its properties and a large tenant base. As of December 31, 202</w:t>
      </w:r>
      <w:r>
        <w:rPr>
          <w:sz w:val="20"/>
          <w:szCs w:val="20"/>
        </w:rPr>
        <w:t>0, no single open-air shopping center accounted for more than 2.0% of the Company's annualized base rental revenues, including the proportionate share of base rental revenues from properties in which the Company has less than a 100% economic interest, or m</w:t>
      </w:r>
      <w:r>
        <w:rPr>
          <w:sz w:val="20"/>
          <w:szCs w:val="20"/>
        </w:rPr>
        <w:t xml:space="preserve">ore than 2.0% of the Company’s total shopping center GLA. At December 31, 2020, the Company’s five largest tenants were TJX Companies, The Home Depot, Ahold Delhaize, Albertsons Companies and Ross Stores, which represented 4.0%, 2.6%, 2.1%, 2.0% and 1.9%, </w:t>
      </w:r>
      <w:r>
        <w:rPr>
          <w:sz w:val="20"/>
          <w:szCs w:val="20"/>
        </w:rPr>
        <w:t>respectively, of the Company’s annualized base rental revenues, including the proportionate share of base rental revenues from properties in which the Company has less than a 100% economic interest.</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A substantial portion of the Company's income consists </w:t>
      </w:r>
      <w:r>
        <w:rPr>
          <w:sz w:val="20"/>
          <w:szCs w:val="20"/>
        </w:rPr>
        <w:t>of rent received under long-term leases. Most of the leases provide for the payment of fixed-base rentals monthly in advance and for the payment by tenants of an allocable share of the real estate taxes, insurance, utilities and common area maintenance exp</w:t>
      </w:r>
      <w:r>
        <w:rPr>
          <w:sz w:val="20"/>
          <w:szCs w:val="20"/>
        </w:rPr>
        <w:t>enses incurred in operating the shopping centers (certain of the leases provide for the payment of a fixed-rate reimbursement of these such expenses). Although many of the leases require the Company to make roof and structural repairs as needed, a number o</w:t>
      </w:r>
      <w:r>
        <w:rPr>
          <w:sz w:val="20"/>
          <w:szCs w:val="20"/>
        </w:rPr>
        <w:t>f tenant leases place that responsibility on the tenant, and the Company's standard small store lease provides for reimbursements by the tenant as part of common area maintenance. Additionally, many of the leases provide for reimbursements by the tenant of</w:t>
      </w:r>
      <w:r>
        <w:rPr>
          <w:sz w:val="20"/>
          <w:szCs w:val="20"/>
        </w:rPr>
        <w:t xml:space="preserve"> capital expenditures.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jc w:val="center"/>
        <w:divId w:val="1601717337"/>
        <w:rPr>
          <w:rFonts w:eastAsia="Times New Roman"/>
          <w:sz w:val="20"/>
          <w:szCs w:val="20"/>
        </w:rPr>
      </w:pPr>
      <w:r>
        <w:rPr>
          <w:rFonts w:eastAsia="Times New Roman"/>
          <w:sz w:val="20"/>
          <w:szCs w:val="20"/>
        </w:rPr>
        <w:t xml:space="preserve">19 </w:t>
      </w:r>
    </w:p>
    <w:p w:rsidR="00000000" w:rsidRDefault="004E30E9">
      <w:pPr>
        <w:divId w:val="621888007"/>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4E30E9">
      <w:pPr>
        <w:divId w:val="6172959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Minimum base rental revenues and operating expense reimbursements accounted for 99% and other revenues, including percentage rents, accounted for 1% of the Company's total r</w:t>
      </w:r>
      <w:r>
        <w:rPr>
          <w:sz w:val="20"/>
          <w:szCs w:val="20"/>
        </w:rPr>
        <w:t xml:space="preserve">evenues from rental properties for the year ended December 31, 2020. The Company's management believes that the base rent per leased square foot for many of the Company's existing leases is generally lower than the prevailing market-rate base rents in the </w:t>
      </w:r>
      <w:r>
        <w:rPr>
          <w:sz w:val="20"/>
          <w:szCs w:val="20"/>
        </w:rPr>
        <w:t>geographic regions where the Company operates, reflecting the potential for future growth. Additionally, a majority of the Company’s leases have provisions requiring contractual rent increases. The Company’s leases may also include escalation clauses, whic</w:t>
      </w:r>
      <w:r>
        <w:rPr>
          <w:sz w:val="20"/>
          <w:szCs w:val="20"/>
        </w:rPr>
        <w:t>h provide for increases based upon changes in the consumer price index or similar inflation indices.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As of December 31, 2020, the Company’s consolidated operating portfolio, comprised of 311 shopping center properties aggregating 51.0 million square feet</w:t>
      </w:r>
      <w:r>
        <w:rPr>
          <w:sz w:val="20"/>
          <w:szCs w:val="20"/>
        </w:rPr>
        <w:t xml:space="preserve"> of GLA, was 93.9% leased. The consolidated operating portfolio consists entirely of properties located in the U.S., inclusive of Puerto Rico  For the period January 1, 2020 to December 31, 2020, the Company increased the average base rent per leased squar</w:t>
      </w:r>
      <w:r>
        <w:rPr>
          <w:sz w:val="20"/>
          <w:szCs w:val="20"/>
        </w:rPr>
        <w:t>e foot, which includes the impact of tenant concessions, in its consolidated portfolio of open-air shopping centers from $17.96 to $18.16, an increase of $0.20.  This increase primarily consists of (i) an $0.18 increase relating to rent step-ups within the</w:t>
      </w:r>
      <w:r>
        <w:rPr>
          <w:sz w:val="20"/>
          <w:szCs w:val="20"/>
        </w:rPr>
        <w:t xml:space="preserve"> portfolio and new leases signed net of leases vacated and (ii) a $0.02 increase relating to dispositions.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has a total of 5,277 leases in the consolidated operating portfolio. The following table sets forth the aggregate lease expirations for</w:t>
      </w:r>
      <w:r>
        <w:rPr>
          <w:sz w:val="20"/>
          <w:szCs w:val="20"/>
        </w:rPr>
        <w:t xml:space="preserve"> each of the next ten years, assuming no renewal options are exercised. For purposes of the table, the Total Annual Base Rent Expiring represents annualized rental revenue, excluding the impact of straight-line rent, for each lease that expires during the </w:t>
      </w:r>
      <w:r>
        <w:rPr>
          <w:sz w:val="20"/>
          <w:szCs w:val="20"/>
        </w:rPr>
        <w:t>respective year. Amounts in thousands, except for number of leases data:</w:t>
      </w:r>
    </w:p>
    <w:p w:rsidR="00000000" w:rsidRDefault="004E30E9">
      <w:pPr>
        <w:pStyle w:val="a3"/>
        <w:spacing w:before="0" w:beforeAutospacing="0" w:after="0" w:afterAutospacing="0"/>
        <w:ind w:firstLine="360"/>
        <w:jc w:val="both"/>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1194"/>
        <w:gridCol w:w="96"/>
        <w:gridCol w:w="96"/>
        <w:gridCol w:w="96"/>
        <w:gridCol w:w="1194"/>
        <w:gridCol w:w="96"/>
        <w:gridCol w:w="96"/>
        <w:gridCol w:w="96"/>
        <w:gridCol w:w="1194"/>
        <w:gridCol w:w="96"/>
        <w:gridCol w:w="96"/>
        <w:gridCol w:w="277"/>
        <w:gridCol w:w="1195"/>
        <w:gridCol w:w="97"/>
        <w:gridCol w:w="97"/>
        <w:gridCol w:w="97"/>
        <w:gridCol w:w="1195"/>
        <w:gridCol w:w="167"/>
      </w:tblGrid>
      <w:tr w:rsidR="00000000">
        <w:trPr>
          <w:tblCellSpacing w:w="0" w:type="dxa"/>
        </w:trPr>
        <w:tc>
          <w:tcPr>
            <w:tcW w:w="0" w:type="auto"/>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Ending</w:t>
            </w:r>
            <w:r>
              <w:rPr>
                <w:b/>
                <w:bCs/>
                <w:sz w:val="20"/>
                <w:szCs w:val="20"/>
              </w:rPr>
              <w:br/>
              <w:t>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Number of</w:t>
            </w:r>
            <w:r>
              <w:rPr>
                <w:b/>
                <w:bCs/>
                <w:sz w:val="20"/>
                <w:szCs w:val="20"/>
              </w:rPr>
              <w:br/>
              <w:t>Leases</w:t>
            </w:r>
          </w:p>
          <w:p w:rsidR="00000000" w:rsidRDefault="004E30E9">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Square Feet </w:t>
            </w:r>
          </w:p>
          <w:p w:rsidR="00000000" w:rsidRDefault="004E30E9">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Total Annual Base</w:t>
            </w:r>
            <w:r>
              <w:rPr>
                <w:b/>
                <w:bCs/>
                <w:sz w:val="20"/>
                <w:szCs w:val="20"/>
              </w:rPr>
              <w:br/>
              <w:t>Rent Expiring</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of Gross</w:t>
            </w:r>
          </w:p>
          <w:p w:rsidR="00000000" w:rsidRDefault="004E30E9">
            <w:pPr>
              <w:pStyle w:val="a3"/>
              <w:spacing w:before="0" w:beforeAutospacing="0" w:after="0" w:afterAutospacing="0"/>
              <w:jc w:val="center"/>
              <w:rPr>
                <w:sz w:val="20"/>
                <w:szCs w:val="20"/>
              </w:rPr>
            </w:pPr>
            <w:r>
              <w:rPr>
                <w:b/>
                <w:bCs/>
                <w:sz w:val="20"/>
                <w:szCs w:val="20"/>
              </w:rPr>
              <w:t>Annual Rent</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50" w:type="pct"/>
            <w:shd w:val="clear" w:color="auto" w:fill="CCEEFF"/>
            <w:vAlign w:val="bottom"/>
            <w:hideMark/>
          </w:tcPr>
          <w:p w:rsidR="00000000" w:rsidRDefault="004E30E9">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170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489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ind w:left="176"/>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10,931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tcBorders>
              <w:bottom w:val="nil"/>
            </w:tcBorders>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1.3</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52" w:hanging="176"/>
              <w:jc w:val="center"/>
              <w:rPr>
                <w:sz w:val="20"/>
                <w:szCs w:val="20"/>
              </w:rPr>
            </w:pPr>
            <w:r>
              <w:rPr>
                <w:sz w:val="20"/>
                <w:szCs w:val="20"/>
              </w:rPr>
              <w:t>2021</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612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3,930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64,045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7.9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52" w:hanging="176"/>
              <w:jc w:val="center"/>
              <w:rPr>
                <w:sz w:val="20"/>
                <w:szCs w:val="20"/>
              </w:rPr>
            </w:pPr>
            <w:r>
              <w:rPr>
                <w:sz w:val="20"/>
                <w:szCs w:val="20"/>
              </w:rPr>
              <w:t>2022</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814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5,684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98,680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12.2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52" w:hanging="176"/>
              <w:jc w:val="center"/>
              <w:rPr>
                <w:sz w:val="20"/>
                <w:szCs w:val="20"/>
              </w:rPr>
            </w:pPr>
            <w:r>
              <w:rPr>
                <w:sz w:val="20"/>
                <w:szCs w:val="20"/>
              </w:rPr>
              <w:t>2023</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737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5,770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98,264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12.1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52" w:hanging="176"/>
              <w:jc w:val="center"/>
              <w:rPr>
                <w:sz w:val="20"/>
                <w:szCs w:val="20"/>
              </w:rPr>
            </w:pPr>
            <w:r>
              <w:rPr>
                <w:sz w:val="20"/>
                <w:szCs w:val="20"/>
              </w:rPr>
              <w:t>2024</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660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5,094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93,610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11.6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52" w:hanging="176"/>
              <w:jc w:val="center"/>
              <w:rPr>
                <w:sz w:val="20"/>
                <w:szCs w:val="20"/>
              </w:rPr>
            </w:pPr>
            <w:r>
              <w:rPr>
                <w:sz w:val="20"/>
                <w:szCs w:val="20"/>
              </w:rPr>
              <w:t>2025</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612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5,245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92,695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11.4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52" w:hanging="176"/>
              <w:jc w:val="center"/>
              <w:rPr>
                <w:sz w:val="20"/>
                <w:szCs w:val="20"/>
              </w:rPr>
            </w:pPr>
            <w:r>
              <w:rPr>
                <w:sz w:val="20"/>
                <w:szCs w:val="20"/>
              </w:rPr>
              <w:t>2026</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400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5,311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76,080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9.4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52" w:hanging="176"/>
              <w:jc w:val="center"/>
              <w:rPr>
                <w:sz w:val="20"/>
                <w:szCs w:val="20"/>
              </w:rPr>
            </w:pPr>
            <w:r>
              <w:rPr>
                <w:sz w:val="20"/>
                <w:szCs w:val="20"/>
              </w:rPr>
              <w:t>2027</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255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3,269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51,477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6.4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52" w:hanging="176"/>
              <w:jc w:val="center"/>
              <w:rPr>
                <w:sz w:val="20"/>
                <w:szCs w:val="20"/>
              </w:rPr>
            </w:pPr>
            <w:r>
              <w:rPr>
                <w:sz w:val="20"/>
                <w:szCs w:val="20"/>
              </w:rPr>
              <w:t>2028</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314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3,398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61,161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7.6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52" w:hanging="176"/>
              <w:jc w:val="center"/>
              <w:rPr>
                <w:sz w:val="20"/>
                <w:szCs w:val="20"/>
              </w:rPr>
            </w:pPr>
            <w:r>
              <w:rPr>
                <w:sz w:val="20"/>
                <w:szCs w:val="20"/>
              </w:rPr>
              <w:t>2029</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247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2,601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ind w:left="176"/>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45,274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ind w:left="176"/>
              <w:jc w:val="right"/>
              <w:rPr>
                <w:rFonts w:eastAsia="Times New Roman"/>
                <w:sz w:val="20"/>
                <w:szCs w:val="20"/>
              </w:rPr>
            </w:pPr>
            <w:r>
              <w:rPr>
                <w:rFonts w:eastAsia="Times New Roman"/>
                <w:sz w:val="20"/>
                <w:szCs w:val="20"/>
              </w:rPr>
              <w:t>5.6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52" w:hanging="176"/>
              <w:jc w:val="center"/>
              <w:rPr>
                <w:sz w:val="20"/>
                <w:szCs w:val="20"/>
              </w:rPr>
            </w:pPr>
            <w:r>
              <w:rPr>
                <w:sz w:val="20"/>
                <w:szCs w:val="20"/>
              </w:rPr>
              <w:t>2030</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204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1,704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ind w:left="176"/>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32,698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ind w:left="176"/>
              <w:jc w:val="right"/>
              <w:rPr>
                <w:rFonts w:eastAsia="Times New Roman"/>
                <w:sz w:val="20"/>
                <w:szCs w:val="20"/>
              </w:rPr>
            </w:pPr>
            <w:r>
              <w:rPr>
                <w:rFonts w:eastAsia="Times New Roman"/>
                <w:sz w:val="20"/>
                <w:szCs w:val="20"/>
              </w:rPr>
              <w:t>4.0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bl>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(1)</w:t>
            </w:r>
          </w:p>
        </w:tc>
        <w:tc>
          <w:tcPr>
            <w:tcW w:w="0" w:type="auto"/>
            <w:hideMark/>
          </w:tcPr>
          <w:p w:rsidR="00000000" w:rsidRDefault="004E30E9">
            <w:pPr>
              <w:pStyle w:val="a3"/>
              <w:spacing w:before="0" w:beforeAutospacing="0" w:after="0" w:afterAutospacing="0"/>
              <w:rPr>
                <w:sz w:val="20"/>
                <w:szCs w:val="20"/>
              </w:rPr>
            </w:pPr>
            <w:r>
              <w:rPr>
                <w:sz w:val="20"/>
                <w:szCs w:val="20"/>
              </w:rPr>
              <w:t>Leases currently under a month to month lease or in process of renewal.</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During 2020, the Company executed 761 leases totaling over 5.3 million square feet in the Company’s consolidated operating portfolio comprised of 204 new leases and 557 renewals and options. The leasing costs associated with these new leases are estimated </w:t>
      </w:r>
      <w:r>
        <w:rPr>
          <w:sz w:val="20"/>
          <w:szCs w:val="20"/>
        </w:rPr>
        <w:t>to aggregate $39.1 million or $31.11 per square foot. These costs include $30.4 million of tenant improvements and $8.7 million of external leasing commissions. The average rent per square foot for (i) new leases was $19.10 and (ii) renewals and options wa</w:t>
      </w:r>
      <w:r>
        <w:rPr>
          <w:sz w:val="20"/>
          <w:szCs w:val="20"/>
        </w:rPr>
        <w:t>s $18.33. The Company will seek to obtain rents that are higher than amounts within its expiring leases, however, there are many variables and uncertainties which can significantly affect the leasing market at any time; as such, the Company cannot guarante</w:t>
      </w:r>
      <w:r>
        <w:rPr>
          <w:sz w:val="20"/>
          <w:szCs w:val="20"/>
        </w:rPr>
        <w:t>e that future leases will continue to be signed for rents that are equal to or higher than current amounts.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Ground-Leased Properties</w:t>
      </w:r>
      <w:r>
        <w:rPr>
          <w:sz w:val="20"/>
          <w:szCs w:val="20"/>
        </w:rPr>
        <w:t>. The Company has interests in 30 consolidated shopping center properties that are subject to long-term ground leases wher</w:t>
      </w:r>
      <w:r>
        <w:rPr>
          <w:sz w:val="20"/>
          <w:szCs w:val="20"/>
        </w:rPr>
        <w:t>e a third-party owns and has leased the underlying land to the Company to construct and/or operate a shopping center. The Company pays rent for the use of the land and generally is responsible for all costs and expenses associated with the building and imp</w:t>
      </w:r>
      <w:r>
        <w:rPr>
          <w:sz w:val="20"/>
          <w:szCs w:val="20"/>
        </w:rPr>
        <w:t>rovements. At the end of these long-term leases, unless extended, the land together with all improvements reverts to the landowner.</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More specific information with respect to each of the Company's property interests is set forth in Exhibit 99.1, which is </w:t>
      </w:r>
      <w:r>
        <w:rPr>
          <w:sz w:val="20"/>
          <w:szCs w:val="20"/>
        </w:rPr>
        <w:t>incorporated herein by reference.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3. Legal Proceedings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is not presently involved in any litigation nor, to its knowledge, is any litigation threatened against the Company or its subsidiaries that, in management's opinion, would result in any material effect on the Company's ownership, management or</w:t>
      </w:r>
      <w:r>
        <w:rPr>
          <w:sz w:val="20"/>
          <w:szCs w:val="20"/>
        </w:rPr>
        <w:t xml:space="preserve"> operation of its properties taken as a whole, or which is not covered by the Company's liability insurance.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4. Mine Safety Disclosures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rPr>
        <w:t>Not applicable.</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jc w:val="center"/>
        <w:divId w:val="1987854478"/>
        <w:rPr>
          <w:rFonts w:eastAsia="Times New Roman"/>
          <w:sz w:val="20"/>
          <w:szCs w:val="20"/>
        </w:rPr>
      </w:pPr>
      <w:r>
        <w:rPr>
          <w:rFonts w:eastAsia="Times New Roman"/>
          <w:sz w:val="20"/>
          <w:szCs w:val="20"/>
        </w:rPr>
        <w:t xml:space="preserve">20 </w:t>
      </w:r>
    </w:p>
    <w:p w:rsidR="00000000" w:rsidRDefault="004E30E9">
      <w:pPr>
        <w:divId w:val="714156849"/>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4E30E9">
      <w:pPr>
        <w:divId w:val="31372885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PART II</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5. Market for the Registrant's Common Equity, Related Stockholder Matters and Issuer Purchases of Equity Securities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Market Information:</w:t>
      </w:r>
      <w:r>
        <w:rPr>
          <w:sz w:val="20"/>
          <w:szCs w:val="20"/>
        </w:rPr>
        <w:t xml:space="preserve"> The Company’s common stock is traded on the NYSE under the trading symbol "KIM".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u w:val="single"/>
        </w:rPr>
        <w:t>Holders:</w:t>
      </w:r>
      <w:r>
        <w:rPr>
          <w:sz w:val="20"/>
          <w:szCs w:val="20"/>
        </w:rPr>
        <w:t xml:space="preserve"> The number of hold</w:t>
      </w:r>
      <w:r>
        <w:rPr>
          <w:sz w:val="20"/>
          <w:szCs w:val="20"/>
        </w:rPr>
        <w:t>ers of record of the Company's common stock, par value $0.01 per share, was 1,944 as of February 1, 2021.</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u w:val="single"/>
        </w:rPr>
        <w:t>Dividends:</w:t>
      </w:r>
      <w:r>
        <w:rPr>
          <w:sz w:val="20"/>
          <w:szCs w:val="20"/>
        </w:rPr>
        <w:t xml:space="preserve"> Since the IPO, the Company has paid regular quarterly cash dividends to its stockholders. While the Company intends to continue paying re</w:t>
      </w:r>
      <w:r>
        <w:rPr>
          <w:sz w:val="20"/>
          <w:szCs w:val="20"/>
        </w:rPr>
        <w:t>gular quarterly cash dividends, future dividend declarations will be paid at the discretion of the Board of Directors and will depend on the actual cash flows of the Company, its financial condition, capital requirements, the annual distribution requiremen</w:t>
      </w:r>
      <w:r>
        <w:rPr>
          <w:sz w:val="20"/>
          <w:szCs w:val="20"/>
        </w:rPr>
        <w:t>ts under the REIT provisions of the Code and such other factors as the Board of Directors deems relevant. The Company’s Board of Directors will continue to evaluate the Company’s dividend policy on a quarterly basis as they monitor sources of capital and e</w:t>
      </w:r>
      <w:r>
        <w:rPr>
          <w:sz w:val="20"/>
          <w:szCs w:val="20"/>
        </w:rPr>
        <w:t>valuate operating fundamentals. The Company is required by the Code to distribute at least 90% of its REIT taxable income. The actual cash flow available to pay dividends will be affected by a number of factors, including the revenues received from operati</w:t>
      </w:r>
      <w:r>
        <w:rPr>
          <w:sz w:val="20"/>
          <w:szCs w:val="20"/>
        </w:rPr>
        <w:t>ng properties, the operating expenses of the Company, the interest expense on its borrowings, the ability of lessees to meet their obligations to the Company, the ability to refinance near-term debt maturities and any unanticipated capital expenditures.</w:t>
      </w:r>
    </w:p>
    <w:p w:rsidR="00000000" w:rsidRDefault="004E30E9">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467"/>
        <w:gridCol w:w="50"/>
        <w:gridCol w:w="100"/>
        <w:gridCol w:w="979"/>
        <w:gridCol w:w="167"/>
        <w:gridCol w:w="50"/>
        <w:gridCol w:w="100"/>
        <w:gridCol w:w="980"/>
        <w:gridCol w:w="1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Dividend paid per share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0.82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Capital gains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Return of capital</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addition to common stock offerings, the Company has capitalized on the growth in its business through the issuance of unsecured fixed and floating-rate medium-term notes, underwritten bonds, unsecured bank debt, mortgage debt and construction loans, con</w:t>
      </w:r>
      <w:r>
        <w:rPr>
          <w:sz w:val="20"/>
          <w:szCs w:val="20"/>
        </w:rPr>
        <w:t>vertible preferred stock and perpetual preferred stock. Borrowings under the Company's Credit Facility have also been an interim source of funds to both finance the purchase of properties and other investments and meet any short-term working capital requir</w:t>
      </w:r>
      <w:r>
        <w:rPr>
          <w:sz w:val="20"/>
          <w:szCs w:val="20"/>
        </w:rPr>
        <w:t>ements. The various instruments governing the Company's issuance of its unsecured public debt, bank debt, mortgage debt and preferred stock impose certain restrictions on the Company regarding dividends, voting, liquidation and other preferential rights av</w:t>
      </w:r>
      <w:r>
        <w:rPr>
          <w:sz w:val="20"/>
          <w:szCs w:val="20"/>
        </w:rPr>
        <w:t>ailable to the holders of such instruments. See "Management's Discussion and Analysis of Financial Condition and Results of Operations" and Footnotes 13, 14 and 17 of the Notes to Consolidated Financial Statements included in this Form 10-K.</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 </w:t>
      </w:r>
      <w:r>
        <w:rPr>
          <w:sz w:val="20"/>
          <w:szCs w:val="20"/>
        </w:rPr>
        <w:t xml:space="preserve">does not believe that the preferential rights available to the holders of its Class L Preferred Stock and Class M Preferred Stock, the financial covenants contained in its public bond indentures, as amended, or the credit agreement for its Credit Facility </w:t>
      </w:r>
      <w:r>
        <w:rPr>
          <w:sz w:val="20"/>
          <w:szCs w:val="20"/>
        </w:rPr>
        <w:t>will have an adverse impact on the Company's ability to pay dividends in the normal course to its common stockholders or to distribute amounts necessary to maintain its qualification as a REIT.</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maintains a dividend reinvestment and direct sto</w:t>
      </w:r>
      <w:r>
        <w:rPr>
          <w:sz w:val="20"/>
          <w:szCs w:val="20"/>
        </w:rPr>
        <w:t>ck purchase plan (the "Plan") pursuant to which common and preferred stockholders and other interested investors may elect to automatically reinvest their dividends to purchase shares of the Company’s common stock or, through optional cash payments, purcha</w:t>
      </w:r>
      <w:r>
        <w:rPr>
          <w:sz w:val="20"/>
          <w:szCs w:val="20"/>
        </w:rPr>
        <w:t>se shares of the Company’s common stock. The Company may, from time-to-time, either (i) purchase shares of its common stock in the open market or (ii) issue new shares of its common stock for the purpose of fulfilling its obligations under the Plan.</w:t>
      </w:r>
    </w:p>
    <w:p w:rsidR="00000000" w:rsidRDefault="004E30E9">
      <w:pPr>
        <w:pStyle w:val="a3"/>
        <w:spacing w:before="0" w:beforeAutospacing="0" w:after="0" w:afterAutospacing="0"/>
        <w:jc w:val="center"/>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Rece</w:t>
      </w:r>
      <w:r>
        <w:rPr>
          <w:sz w:val="20"/>
          <w:szCs w:val="20"/>
          <w:u w:val="single"/>
        </w:rPr>
        <w:t>nt Sales of Unregistered Securities:</w:t>
      </w:r>
      <w:r>
        <w:rPr>
          <w:sz w:val="20"/>
          <w:szCs w:val="20"/>
        </w:rPr>
        <w:t xml:space="preserve"> None.</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u w:val="single"/>
        </w:rPr>
        <w:t>Issuer Purchases of Equity Securities:</w:t>
      </w:r>
      <w:r>
        <w:rPr>
          <w:sz w:val="20"/>
          <w:szCs w:val="20"/>
        </w:rPr>
        <w:t xml:space="preserve"> During the year ended December 31, 2020, the Company repurchased 294,346 shares for an aggregate purchase price of $5.4 million (weighted average price of $18.27 per share)</w:t>
      </w:r>
      <w:r>
        <w:rPr>
          <w:sz w:val="20"/>
          <w:szCs w:val="20"/>
        </w:rPr>
        <w:t xml:space="preserve"> in connection with common shares surrendered or deemed surrendered to the Company to satisfy statutory minimum tax withholding obligations in connection with the vesting of restricted stock awards under the Company’s equity-based compensation plans. In ad</w:t>
      </w:r>
      <w:r>
        <w:rPr>
          <w:sz w:val="20"/>
          <w:szCs w:val="20"/>
        </w:rPr>
        <w:t>dition, during February 2020, the Company extended its share repurchase program for a term of two years, which will expire in February 2022, pursuant to which the Company may repurchase shares of its common stock, par value $0.01 per share, with an aggrega</w:t>
      </w:r>
      <w:r>
        <w:rPr>
          <w:sz w:val="20"/>
          <w:szCs w:val="20"/>
        </w:rPr>
        <w:t>te gross purchase price of up to $300.0 million. The Company did not make any repurchases under this common share repurchase program during 2020. As of December 31, 2020, the Company had $224.9 million available under this common share repurchase program.</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779300537"/>
        <w:rPr>
          <w:rFonts w:eastAsia="Times New Roman"/>
          <w:sz w:val="20"/>
          <w:szCs w:val="20"/>
        </w:rPr>
      </w:pPr>
      <w:r>
        <w:rPr>
          <w:rFonts w:eastAsia="Times New Roman"/>
          <w:sz w:val="20"/>
          <w:szCs w:val="20"/>
        </w:rPr>
        <w:t xml:space="preserve">21 </w:t>
      </w:r>
    </w:p>
    <w:p w:rsidR="00000000" w:rsidRDefault="004E30E9">
      <w:pPr>
        <w:divId w:val="1695308533"/>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4E30E9">
      <w:pPr>
        <w:divId w:val="20249384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2521"/>
        <w:gridCol w:w="76"/>
        <w:gridCol w:w="76"/>
        <w:gridCol w:w="1102"/>
        <w:gridCol w:w="76"/>
        <w:gridCol w:w="76"/>
        <w:gridCol w:w="101"/>
        <w:gridCol w:w="1102"/>
        <w:gridCol w:w="76"/>
        <w:gridCol w:w="76"/>
        <w:gridCol w:w="76"/>
        <w:gridCol w:w="1102"/>
        <w:gridCol w:w="76"/>
        <w:gridCol w:w="76"/>
        <w:gridCol w:w="101"/>
        <w:gridCol w:w="1102"/>
        <w:gridCol w:w="76"/>
      </w:tblGrid>
      <w:tr w:rsidR="00000000">
        <w:trPr>
          <w:tblCellSpacing w:w="0" w:type="dxa"/>
        </w:trPr>
        <w:tc>
          <w:tcPr>
            <w:tcW w:w="16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Period</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Total</w:t>
            </w:r>
          </w:p>
          <w:p w:rsidR="00000000" w:rsidRDefault="004E30E9">
            <w:pPr>
              <w:pStyle w:val="a3"/>
              <w:spacing w:before="0" w:beforeAutospacing="0" w:after="0" w:afterAutospacing="0"/>
              <w:jc w:val="center"/>
              <w:rPr>
                <w:sz w:val="20"/>
                <w:szCs w:val="20"/>
              </w:rPr>
            </w:pPr>
            <w:r>
              <w:rPr>
                <w:b/>
                <w:bCs/>
                <w:sz w:val="20"/>
                <w:szCs w:val="20"/>
              </w:rPr>
              <w:t>Number of</w:t>
            </w:r>
          </w:p>
          <w:p w:rsidR="00000000" w:rsidRDefault="004E30E9">
            <w:pPr>
              <w:pStyle w:val="a3"/>
              <w:spacing w:before="0" w:beforeAutospacing="0" w:after="0" w:afterAutospacing="0"/>
              <w:jc w:val="center"/>
              <w:rPr>
                <w:sz w:val="20"/>
                <w:szCs w:val="20"/>
              </w:rPr>
            </w:pPr>
            <w:r>
              <w:rPr>
                <w:b/>
                <w:bCs/>
                <w:sz w:val="20"/>
                <w:szCs w:val="20"/>
              </w:rPr>
              <w:t>Shares</w:t>
            </w:r>
          </w:p>
          <w:p w:rsidR="00000000" w:rsidRDefault="004E30E9">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Average</w:t>
            </w:r>
          </w:p>
          <w:p w:rsidR="00000000" w:rsidRDefault="004E30E9">
            <w:pPr>
              <w:pStyle w:val="a3"/>
              <w:spacing w:before="0" w:beforeAutospacing="0" w:after="0" w:afterAutospacing="0"/>
              <w:jc w:val="center"/>
              <w:rPr>
                <w:sz w:val="20"/>
                <w:szCs w:val="20"/>
              </w:rPr>
            </w:pPr>
            <w:r>
              <w:rPr>
                <w:b/>
                <w:bCs/>
                <w:sz w:val="20"/>
                <w:szCs w:val="20"/>
              </w:rPr>
              <w:t>Price</w:t>
            </w:r>
          </w:p>
          <w:p w:rsidR="00000000" w:rsidRDefault="004E30E9">
            <w:pPr>
              <w:pStyle w:val="a3"/>
              <w:spacing w:before="0" w:beforeAutospacing="0" w:after="0" w:afterAutospacing="0"/>
              <w:jc w:val="center"/>
              <w:rPr>
                <w:sz w:val="20"/>
                <w:szCs w:val="20"/>
              </w:rPr>
            </w:pPr>
            <w:r>
              <w:rPr>
                <w:b/>
                <w:bCs/>
                <w:sz w:val="20"/>
                <w:szCs w:val="20"/>
              </w:rPr>
              <w:t>Paid per</w:t>
            </w:r>
          </w:p>
          <w:p w:rsidR="00000000" w:rsidRDefault="004E30E9">
            <w:pPr>
              <w:pStyle w:val="a3"/>
              <w:spacing w:before="0" w:beforeAutospacing="0" w:after="0" w:afterAutospacing="0"/>
              <w:jc w:val="center"/>
              <w:rPr>
                <w:sz w:val="20"/>
                <w:szCs w:val="20"/>
              </w:rPr>
            </w:pPr>
            <w:r>
              <w:rPr>
                <w:b/>
                <w:bCs/>
                <w:sz w:val="20"/>
                <w:szCs w:val="20"/>
              </w:rPr>
              <w:t>Share</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Total Number of</w:t>
            </w:r>
            <w:r>
              <w:rPr>
                <w:b/>
                <w:bCs/>
                <w:sz w:val="20"/>
                <w:szCs w:val="20"/>
              </w:rPr>
              <w:br/>
              <w:t>Shares Purchased</w:t>
            </w:r>
            <w:r>
              <w:rPr>
                <w:b/>
                <w:bCs/>
                <w:sz w:val="20"/>
                <w:szCs w:val="20"/>
              </w:rPr>
              <w:br/>
              <w:t>as Part of Publicly</w:t>
            </w:r>
            <w:r>
              <w:rPr>
                <w:b/>
                <w:bCs/>
                <w:sz w:val="20"/>
                <w:szCs w:val="20"/>
              </w:rPr>
              <w:br/>
              <w:t>Announced Plans</w:t>
            </w:r>
            <w:r>
              <w:rPr>
                <w:b/>
                <w:bCs/>
                <w:sz w:val="20"/>
                <w:szCs w:val="20"/>
              </w:rPr>
              <w:br/>
              <w:t>or Programs</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Approximate Dollar</w:t>
            </w:r>
            <w:r>
              <w:rPr>
                <w:b/>
                <w:bCs/>
                <w:sz w:val="20"/>
                <w:szCs w:val="20"/>
              </w:rPr>
              <w:br/>
              <w:t>Value of Shares that</w:t>
            </w:r>
            <w:r>
              <w:rPr>
                <w:b/>
                <w:bCs/>
                <w:sz w:val="20"/>
                <w:szCs w:val="20"/>
              </w:rPr>
              <w:br/>
              <w:t>May Yet Be Purchased</w:t>
            </w:r>
            <w:r>
              <w:rPr>
                <w:b/>
                <w:bCs/>
                <w:sz w:val="20"/>
                <w:szCs w:val="20"/>
              </w:rPr>
              <w:br/>
              <w:t>Under the Plans or</w:t>
            </w:r>
            <w:r>
              <w:rPr>
                <w:b/>
                <w:bCs/>
                <w:sz w:val="20"/>
                <w:szCs w:val="20"/>
              </w:rPr>
              <w:br/>
              <w:t>Programs</w:t>
            </w:r>
          </w:p>
          <w:p w:rsidR="00000000" w:rsidRDefault="004E30E9">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January 1, 2020 – January 31, 2020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30,631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20.63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February 1, 2020 – February 29, 2020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238,412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18.82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March 1, 2020 – March 31, 2020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1,665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17.76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April 1, 2020 – April 30, 2020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May 1, 2020 – May 31, 2020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17,157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8.76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June 1, 2020 – June 30, 2020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12.72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July 1, 2020 – July 31, 2020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August 1, 2020 – August 31, 2020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 xml:space="preserve">September 1, 2020 – </w:t>
            </w:r>
            <w:r>
              <w:rPr>
                <w:sz w:val="20"/>
                <w:szCs w:val="20"/>
              </w:rPr>
              <w:t>September 30, 2020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October 1, 2020 – October 31, 2020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3,155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November 1, 2020 – November 30, 2020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2,306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12.80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 xml:space="preserve">December 1, 2020 – </w:t>
            </w:r>
            <w:r>
              <w:rPr>
                <w:sz w:val="20"/>
                <w:szCs w:val="20"/>
              </w:rPr>
              <w:t>December 31, 2020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294,346</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18.27</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u w:val="single"/>
        </w:rPr>
        <w:t>Total Stockholder Return Performance:</w:t>
      </w:r>
      <w:r>
        <w:rPr>
          <w:sz w:val="20"/>
          <w:szCs w:val="20"/>
        </w:rPr>
        <w:t xml:space="preserve"> </w:t>
      </w:r>
      <w:r>
        <w:rPr>
          <w:sz w:val="20"/>
          <w:szCs w:val="20"/>
        </w:rPr>
        <w:t>The following performance chart compares, over the five years ended December 31, 2020, the cumulative total stockholder return on the Company’s common stock with the cumulative total return of the S&amp;P 500 Index and the cumulative total return of the NAREIT</w:t>
      </w:r>
      <w:r>
        <w:rPr>
          <w:sz w:val="20"/>
          <w:szCs w:val="20"/>
        </w:rPr>
        <w:t xml:space="preserve"> Equity REITs Index (the “NAREIT Equity REITs”) prepared and published by the National Association of Real Estate Investment Trusts (“NAREIT”). The NAREIT Equity REITs Index is a free-float adjusted, market capitalization-weighted index of U.S. equity REIT</w:t>
      </w:r>
      <w:r>
        <w:rPr>
          <w:sz w:val="20"/>
          <w:szCs w:val="20"/>
        </w:rPr>
        <w:t>s. Constituents of the index include all tax-qualified REITs with more than 50% of total assets in qualifying real estate assets other than mortgages secured by real property.</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Stockholder return performance, presented annually for the five years ended De</w:t>
      </w:r>
      <w:r>
        <w:rPr>
          <w:sz w:val="20"/>
          <w:szCs w:val="20"/>
        </w:rPr>
        <w:t>cember 31, 2020, is not necessarily indicative of future results. All stockholder return performance assumes the reinvestment of dividends. The information in this paragraph and the following performance chart are deemed to be furnished, not filed.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30E9">
      <w:pPr>
        <w:pStyle w:val="a3"/>
        <w:spacing w:before="0" w:beforeAutospacing="0" w:after="0" w:afterAutospacing="0"/>
        <w:ind w:firstLine="360"/>
        <w:jc w:val="center"/>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1543"/>
        <w:gridCol w:w="61"/>
        <w:gridCol w:w="100"/>
        <w:gridCol w:w="696"/>
        <w:gridCol w:w="61"/>
        <w:gridCol w:w="61"/>
        <w:gridCol w:w="100"/>
        <w:gridCol w:w="696"/>
        <w:gridCol w:w="61"/>
        <w:gridCol w:w="61"/>
        <w:gridCol w:w="100"/>
        <w:gridCol w:w="696"/>
        <w:gridCol w:w="61"/>
        <w:gridCol w:w="62"/>
        <w:gridCol w:w="100"/>
        <w:gridCol w:w="697"/>
        <w:gridCol w:w="62"/>
        <w:gridCol w:w="62"/>
        <w:gridCol w:w="100"/>
        <w:gridCol w:w="697"/>
        <w:gridCol w:w="62"/>
        <w:gridCol w:w="62"/>
        <w:gridCol w:w="100"/>
        <w:gridCol w:w="697"/>
        <w:gridCol w:w="62"/>
      </w:tblGrid>
      <w:tr w:rsidR="00000000">
        <w:trPr>
          <w:tblCellSpacing w:w="0" w:type="dxa"/>
        </w:trPr>
        <w:tc>
          <w:tcPr>
            <w:tcW w:w="4450" w:type="pct"/>
            <w:gridSpan w:val="24"/>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Comparison of 5 year cumulative total return data points</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10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Dec-15</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Dec-16</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Dec-17</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Dec-18</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Dec-19</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100" w:type="pct"/>
            <w:tcBorders>
              <w:bottom w:val="nil"/>
            </w:tcBorders>
            <w:shd w:val="clear" w:color="auto" w:fill="CCEEFF"/>
            <w:vAlign w:val="bottom"/>
            <w:hideMark/>
          </w:tcPr>
          <w:p w:rsidR="00000000" w:rsidRDefault="004E30E9">
            <w:pPr>
              <w:pStyle w:val="a3"/>
              <w:spacing w:before="0" w:beforeAutospacing="0" w:after="0" w:afterAutospacing="0"/>
              <w:rPr>
                <w:sz w:val="20"/>
                <w:szCs w:val="20"/>
              </w:rPr>
            </w:pPr>
            <w:r>
              <w:rPr>
                <w:sz w:val="20"/>
                <w:szCs w:val="20"/>
              </w:rPr>
              <w:t>Kimco Realty Corporation</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1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S&amp;P 500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171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203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1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NAREIT Equity REITs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137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693456455"/>
        <w:rPr>
          <w:rFonts w:eastAsia="Times New Roman"/>
          <w:sz w:val="20"/>
          <w:szCs w:val="20"/>
        </w:rPr>
      </w:pPr>
      <w:r>
        <w:rPr>
          <w:rFonts w:eastAsia="Times New Roman"/>
          <w:sz w:val="20"/>
          <w:szCs w:val="20"/>
        </w:rPr>
        <w:t xml:space="preserve">22 </w:t>
      </w:r>
    </w:p>
    <w:p w:rsidR="00000000" w:rsidRDefault="004E30E9">
      <w:pPr>
        <w:divId w:val="771969613"/>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4E30E9">
      <w:pPr>
        <w:divId w:val="46373740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6. Selected Financial Data</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following table sets forth selected, historical, consolidated financial data for the Company and should be read in conjunction with the Consolidated Financial Statements of the Company and Notes thereto and "Management’s Discussion and Analysis of Fina</w:t>
      </w:r>
      <w:r>
        <w:rPr>
          <w:sz w:val="20"/>
          <w:szCs w:val="20"/>
        </w:rPr>
        <w:t>ncial Condition and Results of Operations" included in this Form 10-K.</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 believes that the book value of its real estate assets, which reflects the historical costs of such real estate assets less accumulated depreciation, is not indicative of </w:t>
      </w:r>
      <w:r>
        <w:rPr>
          <w:sz w:val="20"/>
          <w:szCs w:val="20"/>
        </w:rPr>
        <w:t>the current market value of its properties. Historical operating results are not necessarily indicative of future operating performance.</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21"/>
        <w:gridCol w:w="50"/>
        <w:gridCol w:w="100"/>
        <w:gridCol w:w="800"/>
        <w:gridCol w:w="67"/>
        <w:gridCol w:w="50"/>
        <w:gridCol w:w="100"/>
        <w:gridCol w:w="800"/>
        <w:gridCol w:w="67"/>
        <w:gridCol w:w="50"/>
        <w:gridCol w:w="100"/>
        <w:gridCol w:w="800"/>
        <w:gridCol w:w="67"/>
        <w:gridCol w:w="50"/>
        <w:gridCol w:w="100"/>
        <w:gridCol w:w="800"/>
        <w:gridCol w:w="67"/>
        <w:gridCol w:w="50"/>
        <w:gridCol w:w="100"/>
        <w:gridCol w:w="800"/>
        <w:gridCol w:w="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8"/>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2016</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8"/>
            <w:vAlign w:val="bottom"/>
            <w:hideMark/>
          </w:tcPr>
          <w:p w:rsidR="00000000" w:rsidRDefault="004E30E9">
            <w:pPr>
              <w:pStyle w:val="a3"/>
              <w:spacing w:before="0" w:beforeAutospacing="0" w:after="0" w:afterAutospacing="0"/>
              <w:jc w:val="center"/>
              <w:rPr>
                <w:sz w:val="20"/>
                <w:szCs w:val="20"/>
              </w:rPr>
            </w:pPr>
            <w:r>
              <w:rPr>
                <w:sz w:val="20"/>
                <w:szCs w:val="20"/>
              </w:rPr>
              <w:t>(in thousands, except per share data)</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000" w:type="pct"/>
            <w:vAlign w:val="bottom"/>
            <w:hideMark/>
          </w:tcPr>
          <w:p w:rsidR="00000000" w:rsidRDefault="004E30E9">
            <w:pPr>
              <w:pStyle w:val="a3"/>
              <w:spacing w:before="0" w:beforeAutospacing="0" w:after="0" w:afterAutospacing="0"/>
              <w:rPr>
                <w:sz w:val="20"/>
                <w:szCs w:val="20"/>
              </w:rPr>
            </w:pPr>
            <w:r>
              <w:rPr>
                <w:sz w:val="20"/>
                <w:szCs w:val="20"/>
              </w:rPr>
              <w:t>Operating Data:</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Revenues from rental properties,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1,044,888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1,142,334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1,149,603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1,183,785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1,152,401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Impairment charges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(6,624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(48,743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(79,207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(67,331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(93,266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Depreciation and amortization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(288,955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(277,879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(310,380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(360,811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(355,320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Gain on sale of properties/change in control of interests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6,484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79,218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229,840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93,538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92,823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Gain/(loss) on marketable securities, net (1) (2)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594,753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829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(3,487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Interest expense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(186,904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(177,395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(183,339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(191,956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(192,549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Early extinguishment of debt charges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(7,538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(12,762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(45,674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(Provision)/benefit for income taxes,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(978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3,317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(1,600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880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(78,583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1,002,877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413,561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498,463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439,671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386,138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Net income attributable to the Company</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1,000,833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410,605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497,795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426,075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378,850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975,417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339,988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439,604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372,461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332,630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Earnings per common share:</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Net income available to the Company’s common shareholders: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Basic</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0.80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0.87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0.79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Diluted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0.80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0.87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0.79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Weighted average shares of common stock:</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Basic</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429,950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420,370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420,641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423,614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418,402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Diluted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431,633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421,799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421,379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424,019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419,709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Cash dividends declared per common share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0.540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1.090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1.035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Cash flow provided by operations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589,913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583,628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637,936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614,181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592,096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Cash flow (used for)/provided by investing activities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(33,273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(120,421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253,645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(294,280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165,383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Cash flow used for financing activities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(387,399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(482,841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(986,513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(223,874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(804,527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bl>
    <w:p w:rsidR="00000000" w:rsidRDefault="004E30E9">
      <w:pPr>
        <w:pStyle w:val="a3"/>
        <w:spacing w:before="0" w:beforeAutospacing="0" w:after="0" w:afterAutospacing="0"/>
        <w:ind w:firstLine="36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2391"/>
        <w:gridCol w:w="50"/>
        <w:gridCol w:w="100"/>
        <w:gridCol w:w="900"/>
        <w:gridCol w:w="50"/>
        <w:gridCol w:w="50"/>
        <w:gridCol w:w="100"/>
        <w:gridCol w:w="900"/>
        <w:gridCol w:w="50"/>
        <w:gridCol w:w="50"/>
        <w:gridCol w:w="100"/>
        <w:gridCol w:w="900"/>
        <w:gridCol w:w="50"/>
        <w:gridCol w:w="50"/>
        <w:gridCol w:w="100"/>
        <w:gridCol w:w="900"/>
        <w:gridCol w:w="50"/>
        <w:gridCol w:w="50"/>
        <w:gridCol w:w="100"/>
        <w:gridCol w:w="900"/>
        <w:gridCol w:w="50"/>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8"/>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2017</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2016</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8"/>
            <w:vAlign w:val="bottom"/>
            <w:hideMark/>
          </w:tcPr>
          <w:p w:rsidR="00000000" w:rsidRDefault="004E30E9">
            <w:pPr>
              <w:pStyle w:val="a3"/>
              <w:spacing w:before="0" w:beforeAutospacing="0" w:after="0" w:afterAutospacing="0"/>
              <w:jc w:val="center"/>
              <w:rPr>
                <w:sz w:val="20"/>
                <w:szCs w:val="20"/>
              </w:rPr>
            </w:pPr>
            <w:r>
              <w:rPr>
                <w:sz w:val="20"/>
                <w:szCs w:val="20"/>
              </w:rPr>
              <w:t>(in thousands)</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7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Balance Sheet Data:</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Real estate, before accumulated depreciation</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12,068,827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11,929,276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11,877,190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12,653,446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12,008,075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assets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11,614,498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10,997,867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10,999,100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11,763,726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11,230,600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debt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5,355,480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5,315,767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4,873,872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5,478,927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5,066,368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stockholders' equity</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5,608,044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4,864,892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5,333,804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5,394,244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5,256,139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(1)</w:t>
            </w:r>
          </w:p>
        </w:tc>
        <w:tc>
          <w:tcPr>
            <w:tcW w:w="0" w:type="auto"/>
            <w:hideMark/>
          </w:tcPr>
          <w:p w:rsidR="00000000" w:rsidRDefault="004E30E9">
            <w:pPr>
              <w:pStyle w:val="a3"/>
              <w:spacing w:before="0" w:beforeAutospacing="0" w:after="0" w:afterAutospacing="0"/>
              <w:rPr>
                <w:sz w:val="20"/>
                <w:szCs w:val="20"/>
              </w:rPr>
            </w:pPr>
            <w:r>
              <w:rPr>
                <w:sz w:val="20"/>
                <w:szCs w:val="20"/>
              </w:rPr>
              <w:t>Amounts exclude noncontrolling interests.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(2)</w:t>
            </w:r>
          </w:p>
        </w:tc>
        <w:tc>
          <w:tcPr>
            <w:tcW w:w="0" w:type="auto"/>
            <w:hideMark/>
          </w:tcPr>
          <w:p w:rsidR="00000000" w:rsidRDefault="004E30E9">
            <w:pPr>
              <w:pStyle w:val="a3"/>
              <w:spacing w:before="0" w:beforeAutospacing="0" w:after="0" w:afterAutospacing="0"/>
              <w:rPr>
                <w:sz w:val="20"/>
                <w:szCs w:val="20"/>
              </w:rPr>
            </w:pPr>
            <w:r>
              <w:rPr>
                <w:sz w:val="20"/>
                <w:szCs w:val="20"/>
              </w:rPr>
              <w:t>On January 1, 2018, the Company adopted ASU 2016-01,</w:t>
            </w:r>
            <w:r>
              <w:rPr>
                <w:i/>
                <w:iCs/>
                <w:sz w:val="20"/>
                <w:szCs w:val="20"/>
              </w:rPr>
              <w:t xml:space="preserve"> Financial Instruments—</w:t>
            </w:r>
            <w:r>
              <w:rPr>
                <w:i/>
                <w:iCs/>
                <w:sz w:val="20"/>
                <w:szCs w:val="20"/>
              </w:rPr>
              <w:t xml:space="preserve">Overall (Subtopic 825-10): Recognition and Measurement of Financial Assets and Financial Liabilities </w:t>
            </w:r>
            <w:r>
              <w:rPr>
                <w:sz w:val="20"/>
                <w:szCs w:val="20"/>
              </w:rPr>
              <w:t>(“ASU 2016-01”). In accordance with the adoption of ASU 2016-01, the Company recognizes changes in the fair value of equity investments with readily determ</w:t>
            </w:r>
            <w:r>
              <w:rPr>
                <w:sz w:val="20"/>
                <w:szCs w:val="20"/>
              </w:rPr>
              <w:t>inable fair values in net income. Previously, changes in fair value of the Company’s available-for-sale marketable securities were recognized in accumulated other comprehensive income.</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109056594"/>
        <w:rPr>
          <w:rFonts w:eastAsia="Times New Roman"/>
          <w:sz w:val="20"/>
          <w:szCs w:val="20"/>
        </w:rPr>
      </w:pPr>
      <w:r>
        <w:rPr>
          <w:rFonts w:eastAsia="Times New Roman"/>
          <w:sz w:val="20"/>
          <w:szCs w:val="20"/>
        </w:rPr>
        <w:t xml:space="preserve">23 </w:t>
      </w:r>
    </w:p>
    <w:p w:rsidR="00000000" w:rsidRDefault="004E30E9">
      <w:pPr>
        <w:divId w:val="971330042"/>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4E30E9">
      <w:pPr>
        <w:divId w:val="1736778305"/>
        <w:rPr>
          <w:rFonts w:eastAsia="Times New Roman"/>
          <w:sz w:val="20"/>
          <w:szCs w:val="20"/>
        </w:rPr>
      </w:pPr>
      <w:hyperlink w:anchor="toc" w:history="1">
        <w:r>
          <w:rPr>
            <w:rStyle w:val="a4"/>
            <w:rFonts w:eastAsia="Times New Roman"/>
            <w:sz w:val="20"/>
            <w:szCs w:val="20"/>
          </w:rPr>
          <w:t>Ta</w:t>
        </w:r>
        <w:r>
          <w:rPr>
            <w:rStyle w:val="a4"/>
            <w:rFonts w:eastAsia="Times New Roman"/>
            <w:sz w:val="20"/>
            <w:szCs w:val="20"/>
          </w:rPr>
          <w:t>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7. Management's Discussion and Analysis of Financial Condition and Results of Operations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following discussion should be read in conjunction with the Consolidated Financial Statements and Notes thereto</w:t>
      </w:r>
      <w:r>
        <w:rPr>
          <w:sz w:val="20"/>
          <w:szCs w:val="20"/>
        </w:rPr>
        <w:t xml:space="preserve"> included in this Form 10-K. Historical results and percentage relationships set forth in the Consolidated Statements of Income contained in the Consolidated Financial Statements, including trends, should not be taken as indicative of future operations.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u w:val="single"/>
        </w:rPr>
        <w:t>Critical Accounting Policies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Consolidated Financial Statements of the Company include the accounts of the Company, its wholly owned subsidiaries and all entities in which the Company has a controlling interest, including where the Company has been de</w:t>
      </w:r>
      <w:r>
        <w:rPr>
          <w:sz w:val="20"/>
          <w:szCs w:val="20"/>
        </w:rPr>
        <w:t>termined to be a primary beneficiary of a variable interest entity in accordance with the consolidation guidance of the FASB Accounting Standards Codification. The Company applies these provisions to each of its joint venture investments to determine wheth</w:t>
      </w:r>
      <w:r>
        <w:rPr>
          <w:sz w:val="20"/>
          <w:szCs w:val="20"/>
        </w:rPr>
        <w:t>er the cost, equity or consolidation method of accounting is appropriate. The Company evaluates performance on a property specific or transactional basis and does not distinguish its principal business or group its operations on a geographical basis for pu</w:t>
      </w:r>
      <w:r>
        <w:rPr>
          <w:sz w:val="20"/>
          <w:szCs w:val="20"/>
        </w:rPr>
        <w:t>rposes of measuring performance. Accordingly, the Company believes it has a single reportable segment for disclosure purposes in accordance with accounting principles generally accepted in the United States of America (“GAAP”). The preparation of financial</w:t>
      </w:r>
      <w:r>
        <w:rPr>
          <w:sz w:val="20"/>
          <w:szCs w:val="20"/>
        </w:rPr>
        <w:t xml:space="preserve"> statements in conformity with GAAP requires management to make estimates and assumptions in certain circumstances that affect amounts reported in the accompanying Consolidated Financial Statements and related notes. In preparing these financial statements</w:t>
      </w:r>
      <w:r>
        <w:rPr>
          <w:sz w:val="20"/>
          <w:szCs w:val="20"/>
        </w:rPr>
        <w:t>, management has made its best estimates and assumptions that affect the reported amounts of assets and liabilities. These estimates are based on, but not limited to, historical results, industry standards and current economic conditions, giving due consid</w:t>
      </w:r>
      <w:r>
        <w:rPr>
          <w:sz w:val="20"/>
          <w:szCs w:val="20"/>
        </w:rPr>
        <w:t xml:space="preserve">eration to materiality. The most significant assumptions and estimates relate to revenue recognition and the recoverability of trade accounts receivable, depreciable lives, valuation of real estate and intangible assets and liabilities, valuation of joint </w:t>
      </w:r>
      <w:r>
        <w:rPr>
          <w:sz w:val="20"/>
          <w:szCs w:val="20"/>
        </w:rPr>
        <w:t>venture investments and other investments, and realizability of deferred tax assets and uncertain tax positions. Application of these assumptions requires the exercise of judgment as to future uncertainties, and, as a result, actual results could materiall</w:t>
      </w:r>
      <w:r>
        <w:rPr>
          <w:sz w:val="20"/>
          <w:szCs w:val="20"/>
        </w:rPr>
        <w:t>y differ from these estimates.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is required to make subjective assessments as to whether there are impairments in the value of its real estate properties, investments in joint ventures and other investments. The Company’s reported net earnings</w:t>
      </w:r>
      <w:r>
        <w:rPr>
          <w:sz w:val="20"/>
          <w:szCs w:val="20"/>
        </w:rPr>
        <w:t xml:space="preserve"> are directly affected by management’s estimate of impairments.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Revenue Recognition and Recoverability of Trade Accounts Receivable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Revenues from rental properties, net are comprised of minimum base rent, percentage rent, lease termination fee income, </w:t>
      </w:r>
      <w:r>
        <w:rPr>
          <w:sz w:val="20"/>
          <w:szCs w:val="20"/>
        </w:rPr>
        <w:t>amortization of above-market and below-market rent adjustments and straight-line rent adjustments. Upon the adoption of ASU 2016-02,</w:t>
      </w:r>
      <w:r>
        <w:rPr>
          <w:i/>
          <w:iCs/>
          <w:sz w:val="20"/>
          <w:szCs w:val="20"/>
        </w:rPr>
        <w:t xml:space="preserve"> Leases (Topic 842)</w:t>
      </w:r>
      <w:r>
        <w:rPr>
          <w:sz w:val="20"/>
          <w:szCs w:val="20"/>
        </w:rPr>
        <w:t xml:space="preserve"> (“ASU 2016-02”), the Company elected the lessor practical expedient to combine the lease and non-lease c</w:t>
      </w:r>
      <w:r>
        <w:rPr>
          <w:sz w:val="20"/>
          <w:szCs w:val="20"/>
        </w:rPr>
        <w:t>omponents, determined the lease component was the predominant component and as a result, accounted for the combined components under Topic 842. Non-lease components include reimbursements paid to the Company from tenants for common area maintenance costs a</w:t>
      </w:r>
      <w:r>
        <w:rPr>
          <w:sz w:val="20"/>
          <w:szCs w:val="20"/>
        </w:rPr>
        <w:t>nd other operating expenses. The combined components are included in Revenues from rental properties, net on the Company’s Consolidated Statements of Income.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Base rental revenues from rental properties are recognized on a straight-line basis over the ter</w:t>
      </w:r>
      <w:r>
        <w:rPr>
          <w:sz w:val="20"/>
          <w:szCs w:val="20"/>
        </w:rPr>
        <w:t>ms of the related leases. Certain of these leases also provide for percentage rents based upon the level of sales achieved by the lessee.  These percentage rents are recognized once the required sales level is achieved.  Rental income may also include paym</w:t>
      </w:r>
      <w:r>
        <w:rPr>
          <w:sz w:val="20"/>
          <w:szCs w:val="20"/>
        </w:rPr>
        <w:t>ents received in connection with lease termination agreements.  Lease termination fee income is recognized when the lessee provides consideration in order to terminate an existing lease agreement and has vacated the leased space. If the lessee continues to</w:t>
      </w:r>
      <w:r>
        <w:rPr>
          <w:sz w:val="20"/>
          <w:szCs w:val="20"/>
        </w:rPr>
        <w:t xml:space="preserve"> occupy the leased space for a period of time after the lease termination is agreed upon, the termination fee is accounted for as a lease modification based on the modified lease term. Upon acquisition of real estate operating properties, the Company estim</w:t>
      </w:r>
      <w:r>
        <w:rPr>
          <w:sz w:val="20"/>
          <w:szCs w:val="20"/>
        </w:rPr>
        <w:t>ates the fair value of identified intangible assets and liabilities (including above-market and below-market leases, where applicable). The capitalized above-market or below-market intangible asset or liability is amortized to rental income over the estima</w:t>
      </w:r>
      <w:r>
        <w:rPr>
          <w:sz w:val="20"/>
          <w:szCs w:val="20"/>
        </w:rPr>
        <w:t>ted remaining term of the respective leases, which includes the expected renewal option period for below-market leases.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Also included in Revenues from rental properties, net are ancillary income and tax increment financing (“TIF”) income. Ancillary incom</w:t>
      </w:r>
      <w:r>
        <w:rPr>
          <w:sz w:val="20"/>
          <w:szCs w:val="20"/>
        </w:rPr>
        <w:t>e is derived through various agreements relating to parking lots, clothing bins, temporary storage, vending machines, ATMs, trash bins and trash collections, seasonal leases, etc. The majority of the revenue derived from these sources is through lease agre</w:t>
      </w:r>
      <w:r>
        <w:rPr>
          <w:sz w:val="20"/>
          <w:szCs w:val="20"/>
        </w:rPr>
        <w:t>ements/arrangements and is recognized in accordance with the lease terms described in the lease. The Company has TIF agreements with certain municipalities and receives payments in accordance with the agreements. TIF reimbursement income is recognized on a</w:t>
      </w:r>
      <w:r>
        <w:rPr>
          <w:sz w:val="20"/>
          <w:szCs w:val="20"/>
        </w:rPr>
        <w:t xml:space="preserve"> cash-basis when received.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288628050"/>
        <w:rPr>
          <w:rFonts w:eastAsia="Times New Roman"/>
          <w:sz w:val="20"/>
          <w:szCs w:val="20"/>
        </w:rPr>
      </w:pPr>
      <w:r>
        <w:rPr>
          <w:rFonts w:eastAsia="Times New Roman"/>
          <w:sz w:val="20"/>
          <w:szCs w:val="20"/>
        </w:rPr>
        <w:t xml:space="preserve">24 </w:t>
      </w:r>
    </w:p>
    <w:p w:rsidR="00000000" w:rsidRDefault="004E30E9">
      <w:pPr>
        <w:divId w:val="994382775"/>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4E30E9">
      <w:pPr>
        <w:divId w:val="163355515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u w:val="single"/>
        </w:rPr>
        <w:t>Trade accounts receivable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reviews its trade accounts receivable, including its straight-line rent receivable, related to base</w:t>
      </w:r>
      <w:r>
        <w:rPr>
          <w:sz w:val="20"/>
          <w:szCs w:val="20"/>
        </w:rPr>
        <w:t xml:space="preserve"> rents, straight-line rent, expense reimbursements and other revenues for collectability. When evaluating the probability of the collection of the lessee’s total accounts receivable, including the corresponding straight-line rent receivable balance on a le</w:t>
      </w:r>
      <w:r>
        <w:rPr>
          <w:sz w:val="20"/>
          <w:szCs w:val="20"/>
        </w:rPr>
        <w:t>ase-by-lease basis, the Company considered the effects COVID-19 has had on its tenants, including the corresponding straight-line rent receivable. The Company’s analysis of its accounts receivable included (i) customer credit worthiness, (ii) assessment of</w:t>
      </w:r>
      <w:r>
        <w:rPr>
          <w:sz w:val="20"/>
          <w:szCs w:val="20"/>
        </w:rPr>
        <w:t xml:space="preserve"> risk associated with the tenant, and (iii) current economic trends. In addition, tenants in bankruptcy are analyzed and considerations are made in connection with the expected recovery of pre-petition and post-petition bankruptcy claims. Effective January</w:t>
      </w:r>
      <w:r>
        <w:rPr>
          <w:sz w:val="20"/>
          <w:szCs w:val="20"/>
        </w:rPr>
        <w:t xml:space="preserve"> 1, 2019, in accordance with the adoption of Topic 842, the Company includes provision for doubtful accounts in Revenues from rental properties, net. If a lessee’s accounts receivable balance is considered uncollectible, the Company will write-off the rece</w:t>
      </w:r>
      <w:r>
        <w:rPr>
          <w:sz w:val="20"/>
          <w:szCs w:val="20"/>
        </w:rPr>
        <w:t>ivable balances associated with the lease and will only recognize lease income on a cash basis. In addition to the lease-specific collectability assessment performed under Topic 842, the analysis also recognizes a general reserve, as a reduction to Revenue</w:t>
      </w:r>
      <w:r>
        <w:rPr>
          <w:sz w:val="20"/>
          <w:szCs w:val="20"/>
        </w:rPr>
        <w:t xml:space="preserve">s from rental properties, for its portfolio of operating lease receivables which are not expected to be fully collectible based on the Company’s historical and current collection experience and the potential for settlement of arrears. Although the Company </w:t>
      </w:r>
      <w:r>
        <w:rPr>
          <w:sz w:val="20"/>
          <w:szCs w:val="20"/>
        </w:rPr>
        <w:t>estimates uncollectible receivables and provides for them through charges against revenues from rental properties, actual results may differ from those estimates. If the Company subsequently determines that it is probable it will collect the remaining less</w:t>
      </w:r>
      <w:r>
        <w:rPr>
          <w:sz w:val="20"/>
          <w:szCs w:val="20"/>
        </w:rPr>
        <w:t xml:space="preserve">ee’s lease payments under the lease term, the Company will then reinstate the straight-line balance and the lease income will then be limited to the lesser of (i) the straight-line rental income or (ii) the lease payments that have been collected from the </w:t>
      </w:r>
      <w:r>
        <w:rPr>
          <w:sz w:val="20"/>
          <w:szCs w:val="20"/>
        </w:rPr>
        <w:t>lessee.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Real Estate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u w:val="single"/>
        </w:rPr>
        <w:t>Depreciable Lives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w:t>
      </w:r>
      <w:r>
        <w:rPr>
          <w:sz w:val="20"/>
          <w:szCs w:val="20"/>
        </w:rPr>
        <w:t>s investments in real estate properties are stated at cost, less accumulated depreciation and amortization. Expenditures for maintenance and repairs are charged to operations as incurred. Significant renovations and replacements, which improve and extend t</w:t>
      </w:r>
      <w:r>
        <w:rPr>
          <w:sz w:val="20"/>
          <w:szCs w:val="20"/>
        </w:rPr>
        <w:t>he life of the asset, are capitalized.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 capitalizes acquisition costs related to real estate operating properties, which qualify as asset acquisitions. Also, upon acquisition of real estate operating properties, the Company estimates the fair </w:t>
      </w:r>
      <w:r>
        <w:rPr>
          <w:sz w:val="20"/>
          <w:szCs w:val="20"/>
        </w:rPr>
        <w:t xml:space="preserve">value of acquired tangible assets (consisting of land, building, building improvements and tenant improvements) and identified intangible assets and liabilities (consisting of above and below-market leases, in-place leases, and tenant relationships, where </w:t>
      </w:r>
      <w:r>
        <w:rPr>
          <w:sz w:val="20"/>
          <w:szCs w:val="20"/>
        </w:rPr>
        <w:t>applicable), assumed debt and redeemable units issued at the date of acquisition, based on evaluation of information and estimates available at that date. Fair value is determined based on a market approach, which contemplates the price that would be recei</w:t>
      </w:r>
      <w:r>
        <w:rPr>
          <w:sz w:val="20"/>
          <w:szCs w:val="20"/>
        </w:rPr>
        <w:t>ved to sell an asset or paid to transfer a liability in an orderly transaction between market participants at the measurement date.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Depreciation and amortization are provided on the straight-line method over the estimated useful lives of the assets, as f</w:t>
      </w:r>
      <w:r>
        <w:rPr>
          <w:sz w:val="20"/>
          <w:szCs w:val="20"/>
        </w:rPr>
        <w:t>ollows:</w:t>
      </w:r>
    </w:p>
    <w:p w:rsidR="00000000" w:rsidRDefault="004E30E9">
      <w:pPr>
        <w:pStyle w:val="a3"/>
        <w:spacing w:before="0" w:beforeAutospacing="0" w:after="0" w:afterAutospacing="0"/>
        <w:ind w:firstLine="36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6266"/>
        <w:gridCol w:w="76"/>
        <w:gridCol w:w="1057"/>
        <w:gridCol w:w="76"/>
      </w:tblGrid>
      <w:tr w:rsidR="00000000">
        <w:trPr>
          <w:tblCellSpacing w:w="0" w:type="dxa"/>
        </w:trPr>
        <w:tc>
          <w:tcPr>
            <w:tcW w:w="41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Buildings and building improvements (in years)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rPr>
                <w:rFonts w:eastAsia="Times New Roman"/>
                <w:sz w:val="20"/>
                <w:szCs w:val="20"/>
              </w:rPr>
            </w:pPr>
            <w:r>
              <w:rPr>
                <w:rFonts w:eastAsia="Times New Roman"/>
                <w:sz w:val="20"/>
                <w:szCs w:val="20"/>
              </w:rPr>
              <w:t>5 to 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150" w:type="pct"/>
            <w:shd w:val="clear" w:color="auto" w:fill="FFFFFF"/>
            <w:hideMark/>
          </w:tcPr>
          <w:p w:rsidR="00000000" w:rsidRDefault="004E30E9">
            <w:pPr>
              <w:rPr>
                <w:rFonts w:eastAsia="Times New Roman"/>
                <w:sz w:val="20"/>
                <w:szCs w:val="20"/>
              </w:rPr>
            </w:pPr>
            <w:r>
              <w:rPr>
                <w:rFonts w:eastAsia="Times New Roman"/>
                <w:sz w:val="20"/>
                <w:szCs w:val="20"/>
              </w:rPr>
              <w:t>Fixtures, leasehold and tenant improvements (including certain identified intangible assets)</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Terms of leases or useful lives, whichever is shorter</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 is required to make subjective assessments as to the useful lives of its properties for purposes of determining the amount of depreciation to reflect on an annual basis with respect to </w:t>
      </w:r>
      <w:r>
        <w:rPr>
          <w:sz w:val="20"/>
          <w:szCs w:val="20"/>
        </w:rPr>
        <w:t>those properties. These assessments have a direct impact on the Company’s net earnings.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u w:val="single"/>
        </w:rPr>
        <w:t>Valuation of Real Estate, and Intangible Assets and Liabilities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On a continuous basis, management assesses whether there are any indicators, including property oper</w:t>
      </w:r>
      <w:r>
        <w:rPr>
          <w:sz w:val="20"/>
          <w:szCs w:val="20"/>
        </w:rPr>
        <w:t>ating performance, changes in anticipated holding period, general market conditions and delays of development, that the value of the real estate properties (including any related amortizable intangible assets or liabilities) may be impaired. A property val</w:t>
      </w:r>
      <w:r>
        <w:rPr>
          <w:sz w:val="20"/>
          <w:szCs w:val="20"/>
        </w:rPr>
        <w:t>ue is considered impaired only if management’s estimate of current and projected operating cash flows, net of anticipated construction and leasing costs (undiscounted and unleveraged), of the property over its anticipated hold period is less than the net c</w:t>
      </w:r>
      <w:r>
        <w:rPr>
          <w:sz w:val="20"/>
          <w:szCs w:val="20"/>
        </w:rPr>
        <w:t>arrying value of the property. Such cash flow projections consider factors such as expected future costs of materials and labor, operating income, trends and prospects, as well as the effects of demand, competition and other factors. To the extent impairme</w:t>
      </w:r>
      <w:r>
        <w:rPr>
          <w:sz w:val="20"/>
          <w:szCs w:val="20"/>
        </w:rPr>
        <w:t>nt has occurred, the carrying value of the property would be adjusted to reflect the estimated fair value of the property. The Company’s estimated fair values are primarily based upon estimated sales prices from signed contracts or letters of intent from t</w:t>
      </w:r>
      <w:r>
        <w:rPr>
          <w:sz w:val="20"/>
          <w:szCs w:val="20"/>
        </w:rPr>
        <w:t>hird-parties, discounted cash flow models or third-party appraisals. Estimated fair values that are based on discounted cash flow models include all estimated cash inflows and outflows over a specified holding period. Capitalization rates and discount rate</w:t>
      </w:r>
      <w:r>
        <w:rPr>
          <w:sz w:val="20"/>
          <w:szCs w:val="20"/>
        </w:rPr>
        <w:t>s utilized in these models are based upon unobservable rates that the Company believes to be within a reasonable range of current market rates.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When a real estate asset is identified by management as held-for-sale, the Company ceases depreciation of the </w:t>
      </w:r>
      <w:r>
        <w:rPr>
          <w:sz w:val="20"/>
          <w:szCs w:val="20"/>
        </w:rPr>
        <w:t>asset and estimates the sales price of such asset net of selling costs. If, in management’s opinion, the net sales price of the asset is less than the net book value of such asset, an adjustment to the carrying value would be recorded to reflect the estima</w:t>
      </w:r>
      <w:r>
        <w:rPr>
          <w:sz w:val="20"/>
          <w:szCs w:val="20"/>
        </w:rPr>
        <w:t>ted fair value of the property.</w:t>
      </w:r>
    </w:p>
    <w:p w:rsidR="00000000" w:rsidRDefault="004E30E9">
      <w:pPr>
        <w:pStyle w:val="a3"/>
        <w:spacing w:before="0" w:beforeAutospacing="0" w:after="0" w:afterAutospacing="0"/>
        <w:ind w:firstLine="360"/>
        <w:rPr>
          <w:sz w:val="20"/>
          <w:szCs w:val="20"/>
        </w:rPr>
      </w:pPr>
      <w:r>
        <w:rPr>
          <w:i/>
          <w:iCs/>
          <w:sz w:val="20"/>
          <w:szCs w:val="20"/>
        </w:rPr>
        <w:t> </w:t>
      </w:r>
    </w:p>
    <w:p w:rsidR="00000000" w:rsidRDefault="004E30E9">
      <w:pPr>
        <w:jc w:val="center"/>
        <w:divId w:val="1143694823"/>
        <w:rPr>
          <w:rFonts w:eastAsia="Times New Roman"/>
          <w:sz w:val="20"/>
          <w:szCs w:val="20"/>
        </w:rPr>
      </w:pPr>
      <w:r>
        <w:rPr>
          <w:rFonts w:eastAsia="Times New Roman"/>
          <w:sz w:val="20"/>
          <w:szCs w:val="20"/>
        </w:rPr>
        <w:t xml:space="preserve">25 </w:t>
      </w:r>
    </w:p>
    <w:p w:rsidR="00000000" w:rsidRDefault="004E30E9">
      <w:pPr>
        <w:divId w:val="337388207"/>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4E30E9">
      <w:pPr>
        <w:divId w:val="4680717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Valuation of Joint Venture Investments and Other Investments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accounts for its investments in unconsolidated joint venture</w:t>
      </w:r>
      <w:r>
        <w:rPr>
          <w:sz w:val="20"/>
          <w:szCs w:val="20"/>
        </w:rPr>
        <w:t xml:space="preserve">s under the equity method of accounting as the Company exercises significant influence, but does not control, these entities. These investments are recorded initially at cost and are subsequently adjusted for cash contributions and distributions. Earnings </w:t>
      </w:r>
      <w:r>
        <w:rPr>
          <w:sz w:val="20"/>
          <w:szCs w:val="20"/>
        </w:rPr>
        <w:t>for each investment are recognized in accordance with each respective investment agreement and, where applicable, are based upon an allocation of the investment’s net assets at book value as if the investment was hypothetically liquidated at the end of eac</w:t>
      </w:r>
      <w:r>
        <w:rPr>
          <w:sz w:val="20"/>
          <w:szCs w:val="20"/>
        </w:rPr>
        <w:t>h reporting period.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w:t>
      </w:r>
      <w:r>
        <w:rPr>
          <w:sz w:val="20"/>
          <w:szCs w:val="20"/>
        </w:rPr>
        <w:t>s joint ventures and other real estate investments primarily consist of co-investments with institutional and other joint venture partners in open-air shopping center properties, consistent with its core business. These joint ventures typically obtain non-</w:t>
      </w:r>
      <w:r>
        <w:rPr>
          <w:sz w:val="20"/>
          <w:szCs w:val="20"/>
        </w:rPr>
        <w:t xml:space="preserve">recourse third-party financing on their property investments, thus contractually limiting the Company’s exposure to losses to the amount of its equity investment, and, due to the lender’s exposure to losses, a lender typically will require a minimum level </w:t>
      </w:r>
      <w:r>
        <w:rPr>
          <w:sz w:val="20"/>
          <w:szCs w:val="20"/>
        </w:rPr>
        <w:t xml:space="preserve">of equity in order to mitigate its risk. From time to time the joint ventures will obtain unsecured debt, which may be guaranteed by the joint venture. The Company’s exposure to losses associated with its unconsolidated joint ventures is primarily limited </w:t>
      </w:r>
      <w:r>
        <w:rPr>
          <w:sz w:val="20"/>
          <w:szCs w:val="20"/>
        </w:rPr>
        <w:t>to its carrying value in these investments.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On a continuous basis, management assesses whether there are any indicators, including property operating performance and general market conditions, that the value of the Company’s investments in unconsolidated</w:t>
      </w:r>
      <w:r>
        <w:rPr>
          <w:sz w:val="20"/>
          <w:szCs w:val="20"/>
        </w:rPr>
        <w:t xml:space="preserve"> joint ventures may be impaired. An investment’s value is impaired only if management’s estimate of the fair value of the investment is less than the carrying value of the investment and such difference is deemed to be other-than-temporary. To the extent i</w:t>
      </w:r>
      <w:r>
        <w:rPr>
          <w:sz w:val="20"/>
          <w:szCs w:val="20"/>
        </w:rPr>
        <w:t>mpairment has occurred, the loss will be measured as the excess of the carrying amount of the investment over the estimated fair value of the investment. Estimated fair values which are based on discounted cash flow models include all estimated cash inflow</w:t>
      </w:r>
      <w:r>
        <w:rPr>
          <w:sz w:val="20"/>
          <w:szCs w:val="20"/>
        </w:rPr>
        <w:t>s and outflows over a specified holding period, capitalization rates and discount rates utilized in these models are based upon unobservable rates that the Company believes to be within a reasonable range of current market rates.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Realizability of Deferre</w:t>
      </w:r>
      <w:r>
        <w:rPr>
          <w:i/>
          <w:iCs/>
          <w:sz w:val="20"/>
          <w:szCs w:val="20"/>
        </w:rPr>
        <w:t>d Tax Assets and Uncertain Tax Positions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is subject to U.S. federal, state and local income taxes on the income from its activities relating to its TRSs and subject to local taxes on certain non-U.S. investments. The Company accounts for inco</w:t>
      </w:r>
      <w:r>
        <w:rPr>
          <w:sz w:val="20"/>
          <w:szCs w:val="20"/>
        </w:rPr>
        <w:t>me taxes using the asset and liability method, which requires that deferred tax assets and liabilities be recognized based on future tax consequences of temporary differences between the financial statement carrying amounts of existing assets and liabiliti</w:t>
      </w:r>
      <w:r>
        <w:rPr>
          <w:sz w:val="20"/>
          <w:szCs w:val="20"/>
        </w:rPr>
        <w:t>es and their respective tax basis. Deferred tax assets and liabilities are measured using enacted tax rates expected to apply in the years in which temporary differences are expected to be recovered or settled. The effect on deferred tax assets and liabili</w:t>
      </w:r>
      <w:r>
        <w:rPr>
          <w:sz w:val="20"/>
          <w:szCs w:val="20"/>
        </w:rPr>
        <w:t>ties of a change in tax rates is recognized in earnings in the period when the changes are enacted.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 reduction of the carrying amounts of deferred tax assets by a valuation allowance is required if, based on the evidence available, it is more likely tha</w:t>
      </w:r>
      <w:r>
        <w:rPr>
          <w:sz w:val="20"/>
          <w:szCs w:val="20"/>
        </w:rPr>
        <w:t>n not (i.e., a likelihood of more than 50 percent) that some portion or all of the deferred tax assets will not be realized. The valuation allowance, which requires significant judgement from management, should be sufficient to reduce the deferred tax asse</w:t>
      </w:r>
      <w:r>
        <w:rPr>
          <w:sz w:val="20"/>
          <w:szCs w:val="20"/>
        </w:rPr>
        <w:t>t to the amount that is more likely than not to be realized. The Company’s reported net earnings are directly affected by management’s judgement in determining a valuation allowance.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recognizes and measures benefits for uncertain tax position</w:t>
      </w:r>
      <w:r>
        <w:rPr>
          <w:sz w:val="20"/>
          <w:szCs w:val="20"/>
        </w:rPr>
        <w:t>s, which requires significant judgment from management. Although the Company believes it has adequately reserved for any uncertain tax positions, no assurance can be given that the final tax outcome of these matters will not be different. The Company adjus</w:t>
      </w:r>
      <w:r>
        <w:rPr>
          <w:sz w:val="20"/>
          <w:szCs w:val="20"/>
        </w:rPr>
        <w:t>ts these reserves in light of changing facts and circumstances, such as the closing of a tax audit or the refinement of an estimate. Changes in the recognition or measurement of uncertain tax positions could result in material increases or decreases in the</w:t>
      </w:r>
      <w:r>
        <w:rPr>
          <w:sz w:val="20"/>
          <w:szCs w:val="20"/>
        </w:rPr>
        <w:t xml:space="preserve"> Company’s income tax expense in the period in which a change is made, which could have a material impact on operating results (see Footnote 22 of the Notes to Consolidated Financial Statements included in this Form 10-K).</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Executive Overview</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Kimco Realty Corporation is one of North America’s largest publicly traded owners and operators of open-air, grocery-anchored shopping centers and mixed-use assets. The executive officers are engaged in the day-to-day management and operation of real estat</w:t>
      </w:r>
      <w:r>
        <w:rPr>
          <w:sz w:val="20"/>
          <w:szCs w:val="20"/>
        </w:rPr>
        <w:t>e exclusively with the Company, with nearly all operating functions, including leasing, asset management, maintenance, construction, legal, finance and accounting, administered by the Company.</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749077977"/>
        <w:rPr>
          <w:rFonts w:eastAsia="Times New Roman"/>
          <w:sz w:val="20"/>
          <w:szCs w:val="20"/>
        </w:rPr>
      </w:pPr>
      <w:r>
        <w:rPr>
          <w:rFonts w:eastAsia="Times New Roman"/>
          <w:sz w:val="20"/>
          <w:szCs w:val="20"/>
        </w:rPr>
        <w:t xml:space="preserve">26 </w:t>
      </w:r>
    </w:p>
    <w:p w:rsidR="00000000" w:rsidRDefault="004E30E9">
      <w:pPr>
        <w:divId w:val="1165363656"/>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4E30E9">
      <w:pPr>
        <w:divId w:val="145270197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i/>
          <w:iCs/>
          <w:sz w:val="20"/>
          <w:szCs w:val="20"/>
        </w:rPr>
        <w:t>COVID-19 Pandemic</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COVID-19 pandemic has resulted in a widespread health crisis that has adversely affected businesses, economies and financial markets worldwide, and has caused significant volatility in U.S. and international debt and equity markets. The COVID-19 pandem</w:t>
      </w:r>
      <w:r>
        <w:rPr>
          <w:sz w:val="20"/>
          <w:szCs w:val="20"/>
        </w:rPr>
        <w:t>ic has significantly impacted the retail sector in which the Company operates and, if the effects of the pandemic are prolonged, it could continue to have a significant adverse impact on the underlying industries of many of the Company’s tenants. The major</w:t>
      </w:r>
      <w:r>
        <w:rPr>
          <w:sz w:val="20"/>
          <w:szCs w:val="20"/>
        </w:rPr>
        <w:t>ity of the Company’s tenants and their operations have been impacted, and may continue to be impacted, affecting their ability to pay rent.  Through the duration of the pandemic a substantial number of tenants have had to temporarily or permanently close t</w:t>
      </w:r>
      <w:r>
        <w:rPr>
          <w:sz w:val="20"/>
          <w:szCs w:val="20"/>
        </w:rPr>
        <w:t>heir business, shortened their operating hours or offer reduced services for some period of time.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As a result of the current economic uncertainty and the impact to many of the Company’s tenants, the Company has taken important steps to offer its support,</w:t>
      </w:r>
      <w:r>
        <w:rPr>
          <w:sz w:val="20"/>
          <w:szCs w:val="20"/>
        </w:rPr>
        <w:t xml:space="preserve"> including:</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The Company has worked, and continues to work, with these tenants to grant rent deferrals or rent waivers on a lease by lease basis.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The Company established a Tenant Assistance Program to assist small business tenants in identifying a</w:t>
            </w:r>
            <w:r>
              <w:rPr>
                <w:sz w:val="20"/>
                <w:szCs w:val="20"/>
              </w:rPr>
              <w:t>nd applying for federal and state aid to help support their businesses during the COVID-19 pandemic. In partnership with advisory firms the Company provides assistance with the application process at the Company’s expense. These firms assist tenants in ide</w:t>
            </w:r>
            <w:r>
              <w:rPr>
                <w:sz w:val="20"/>
                <w:szCs w:val="20"/>
              </w:rPr>
              <w:t>ntifying suitable loan programs, identifying potential lending institutions, and preparing and submitting applications.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The Company is closely monitoring recommendations and mandates of federal, state and local governments, and health authorities.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At the onset of the COVID-19 pandemic in the U.S., the Company immediately increased the frequency and intensity of its janitorial services to help prevent the spread of the virus. Areas such as public bathrooms, interior concourses and hallways, vest</w:t>
            </w:r>
            <w:r>
              <w:rPr>
                <w:sz w:val="20"/>
                <w:szCs w:val="20"/>
              </w:rPr>
              <w:t>ibules and shared doors, and elevators and escalators are being sanitized multiple times per day.</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The Company’s teams worked to provide additional assistance in the communities where it operates, finding creative ways to use its conveniently located </w:t>
            </w:r>
            <w:r>
              <w:rPr>
                <w:sz w:val="20"/>
                <w:szCs w:val="20"/>
              </w:rPr>
              <w:t>shopping centers during this difficult time. The Company fast-tracked the approval of drive-thru testing centers, blood-drive locations, and school lunch pick-ups.</w:t>
            </w:r>
          </w:p>
        </w:tc>
      </w:tr>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rPr>
                <w:rFonts w:eastAsia="Times New Roman"/>
                <w:sz w:val="20"/>
                <w:szCs w:val="20"/>
              </w:rPr>
            </w:pPr>
            <w:r>
              <w:rPr>
                <w:rFonts w:eastAsia="Times New Roman"/>
                <w:sz w:val="20"/>
                <w:szCs w:val="20"/>
              </w:rPr>
              <w:t>●</w:t>
            </w:r>
          </w:p>
        </w:tc>
        <w:tc>
          <w:tcPr>
            <w:tcW w:w="0" w:type="auto"/>
            <w:hideMark/>
          </w:tcPr>
          <w:p w:rsidR="00000000" w:rsidRDefault="004E30E9">
            <w:pPr>
              <w:rPr>
                <w:rFonts w:eastAsia="Times New Roman"/>
                <w:sz w:val="20"/>
                <w:szCs w:val="20"/>
              </w:rPr>
            </w:pPr>
            <w:r>
              <w:rPr>
                <w:rFonts w:eastAsia="Times New Roman"/>
                <w:sz w:val="20"/>
                <w:szCs w:val="20"/>
              </w:rPr>
              <w:t>The Company launched the Kimco Curbside Pickup™ program designating dedicated parking s</w:t>
            </w:r>
            <w:r>
              <w:rPr>
                <w:rFonts w:eastAsia="Times New Roman"/>
                <w:sz w:val="20"/>
                <w:szCs w:val="20"/>
              </w:rPr>
              <w:t>pots for curbside merchandise pickup at its shopping centers for use by all tenants and their customers.</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As of December 31, 2020, mandated or voluntary tenant closures represented 2.7% of annual base rent for all of the Company's wholly owned locations </w:t>
      </w:r>
      <w:r>
        <w:rPr>
          <w:sz w:val="20"/>
          <w:szCs w:val="20"/>
        </w:rPr>
        <w:t>and the Company's share of ownership in joint ventures (collectively, the "pro-rata annual base rent"). As a result, the Company has also had a substantial number of tenants that have made late or partial rent payments, requested a deferral of rent payment</w:t>
      </w:r>
      <w:r>
        <w:rPr>
          <w:sz w:val="20"/>
          <w:szCs w:val="20"/>
        </w:rPr>
        <w:t xml:space="preserve">s, forgiveness of rent payments or defaulted on rent payments, and it is likely that more of the Company’s tenants will be similarly impacted in the future. From the onset of the COVID-19 pandemic, the Company granted selective deferrals for approximately </w:t>
      </w:r>
      <w:r>
        <w:rPr>
          <w:sz w:val="20"/>
          <w:szCs w:val="20"/>
        </w:rPr>
        <w:t>9%, of its pro-rata annual base rent, forgave rental payments aggregating $13.7 million of pro-rata rents. Collection rates have steadily increased from 74% of its pro-rata annual base rent for second quarter ended June 30, 2020 to 92% for the fourth quart</w:t>
      </w:r>
      <w:r>
        <w:rPr>
          <w:sz w:val="20"/>
          <w:szCs w:val="20"/>
        </w:rPr>
        <w:t>er ended December 31, 2020, with rates increasing each quarter. The Company continues to negotiate for the payment of the remaining rents not yet collected as well as work with tenants to grant rent waivers on a lease by lease basis. The deferrals generall</w:t>
      </w:r>
      <w:r>
        <w:rPr>
          <w:sz w:val="20"/>
          <w:szCs w:val="20"/>
        </w:rPr>
        <w:t>y have a repayment period of six to 18 months. The Company has also collected 91% of the pro-rata annual base rent for the month of January 2021.</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considered the impacts COVID-19 has had on its tenants when evaluating the adequacy of the collectability of the lessee’s total accounts receivable balance, including the corresponding straight-line rent receivable. During the year ended Decemb</w:t>
      </w:r>
      <w:r>
        <w:rPr>
          <w:sz w:val="20"/>
          <w:szCs w:val="20"/>
        </w:rPr>
        <w:t>er 31, 2020, the Company’s revenue was reduced by $81.0 million associated with potentially uncollectible revenues including revenues from tenants that are being accounted for on a cash basis, which includes $15.2 million for straight-line rent receivables</w:t>
      </w:r>
      <w:r>
        <w:rPr>
          <w:sz w:val="20"/>
          <w:szCs w:val="20"/>
        </w:rPr>
        <w:t>, primarily attributable to the COVID-19 pandemic. Since the COVID-19 pandemic began, the Company has seen an increase in the number of tenants filing for bankruptcy, some of which emerged from bankruptcy prior to December 31, 2020. As of December 31, 2020</w:t>
      </w:r>
      <w:r>
        <w:rPr>
          <w:sz w:val="20"/>
          <w:szCs w:val="20"/>
        </w:rPr>
        <w:t xml:space="preserve">, there were 38 leases or 0.7% of pro-rata annual base rent, within the Company’s portfolio associated with tenants in bankruptcy. The Company continues to evaluate the impact these bankruptcy filings have or will have on collections, vacancies and future </w:t>
      </w:r>
      <w:r>
        <w:rPr>
          <w:sz w:val="20"/>
          <w:szCs w:val="20"/>
        </w:rPr>
        <w:t>rental income. Management’s estimate of the collectability of accrued rents and accounts receivable is based on the best information available to management at the time of evaluation. The Company will continue to monitor the economic, financial, and social</w:t>
      </w:r>
      <w:r>
        <w:rPr>
          <w:sz w:val="20"/>
          <w:szCs w:val="20"/>
        </w:rPr>
        <w:t xml:space="preserve"> conditions resulting from the COVID-19 pandemic and will continue to assess the collectability of its tenant accounts receivables. As such, the Company may determine that further adjustments to its accounts receivable may be required in the future, and su</w:t>
      </w:r>
      <w:r>
        <w:rPr>
          <w:sz w:val="20"/>
          <w:szCs w:val="20"/>
        </w:rPr>
        <w:t>ch amounts may be material.</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impact of COVID-19 on the Company’s future results could be significant and will largely depend on future developments, which are highly uncertain and cannot be predicted, including new information that may emerge concerni</w:t>
      </w:r>
      <w:r>
        <w:rPr>
          <w:sz w:val="20"/>
          <w:szCs w:val="20"/>
        </w:rPr>
        <w:t>ng the severity of COVID-19, the success of governmental, business and individual actions that have been and continue to be taken in response to COVID-19, the impact of COVID-19 on economic activity, the effect of COVID-19 on the Company’s tenants and thei</w:t>
      </w:r>
      <w:r>
        <w:rPr>
          <w:sz w:val="20"/>
          <w:szCs w:val="20"/>
        </w:rPr>
        <w:t>r businesses, the ability of tenants to make their rental payments and any additional closures of tenants’ businesses.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continues to monitor the impact of COVID-19 on the Company’s business, tenants and industry as a whole.  The magnitude and</w:t>
      </w:r>
      <w:r>
        <w:rPr>
          <w:sz w:val="20"/>
          <w:szCs w:val="20"/>
        </w:rPr>
        <w:t xml:space="preserve"> duration of the COVID-19 pandemic and its impact on the Company’s operations and liquidity remains uncertain as this pandemic continues to evolve globally and within the United States. Management cannot, at this point, estimate ultimate losses related to </w:t>
      </w:r>
      <w:r>
        <w:rPr>
          <w:sz w:val="20"/>
          <w:szCs w:val="20"/>
        </w:rPr>
        <w:t>the COVID-19 pandemic. The Company will continue to monitor the economic, financial, and social conditions resulting from the COVID-19 pandemic and will assess its asset portfolio for any impairment indicators. If the Company determines that any of its ass</w:t>
      </w:r>
      <w:r>
        <w:rPr>
          <w:sz w:val="20"/>
          <w:szCs w:val="20"/>
        </w:rPr>
        <w:t>ets are impaired, the Company would be required to take impairment charges, and such amounts could be material. See Footnote 6 to the Notes to the Company’s Consolidated Financial Statements for additional discussion regarding impairment charges.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236939721"/>
        <w:rPr>
          <w:rFonts w:eastAsia="Times New Roman"/>
          <w:sz w:val="20"/>
          <w:szCs w:val="20"/>
        </w:rPr>
      </w:pPr>
      <w:r>
        <w:rPr>
          <w:rFonts w:eastAsia="Times New Roman"/>
          <w:sz w:val="20"/>
          <w:szCs w:val="20"/>
        </w:rPr>
        <w:t xml:space="preserve">27 </w:t>
      </w:r>
    </w:p>
    <w:p w:rsidR="00000000" w:rsidRDefault="004E30E9">
      <w:pPr>
        <w:divId w:val="911738802"/>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4E30E9">
      <w:pPr>
        <w:divId w:val="19117718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following highlights the Company’s significant transactions, events and results that occurred during the year ended December 31, 2020:</w:t>
      </w:r>
    </w:p>
    <w:p w:rsidR="00000000" w:rsidRDefault="004E30E9">
      <w:pPr>
        <w:pStyle w:val="a3"/>
        <w:spacing w:before="0" w:beforeAutospacing="0" w:after="0" w:afterAutospacing="0"/>
        <w:jc w:val="center"/>
        <w:rPr>
          <w:sz w:val="20"/>
          <w:szCs w:val="20"/>
        </w:rPr>
      </w:pPr>
      <w:r>
        <w:rPr>
          <w:sz w:val="20"/>
          <w:szCs w:val="20"/>
        </w:rPr>
        <w:t> </w:t>
      </w:r>
    </w:p>
    <w:p w:rsidR="00000000" w:rsidRDefault="004E30E9">
      <w:pPr>
        <w:pStyle w:val="a3"/>
        <w:spacing w:before="0" w:beforeAutospacing="0" w:after="0" w:afterAutospacing="0"/>
        <w:rPr>
          <w:sz w:val="20"/>
          <w:szCs w:val="20"/>
        </w:rPr>
      </w:pPr>
      <w:r>
        <w:rPr>
          <w:i/>
          <w:iCs/>
          <w:sz w:val="20"/>
          <w:szCs w:val="20"/>
        </w:rPr>
        <w:t>Financial and Portfolio Informatio</w:t>
      </w:r>
      <w:r>
        <w:rPr>
          <w:i/>
          <w:iCs/>
          <w:sz w:val="20"/>
          <w:szCs w:val="20"/>
        </w:rPr>
        <w:t>n:</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Net income available to the Company’s common shareholders was $975.4 million, or $2.25 per diluted share, for the year ended December 31, 2020 as compared to $340.0 million, or $0.80 per diluted share, for the year ended December 31, 2019.</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Funds from operations (“FFO”) was $503.7 million, or $1.17 per diluted share, for the year ended December 31, 2020, as compared to $608.4 million, or $1.44 per diluted share, for the corresponding period in 2019 (see additional disclosure on FFO beginning </w:t>
            </w:r>
            <w:r>
              <w:rPr>
                <w:sz w:val="20"/>
                <w:szCs w:val="20"/>
              </w:rPr>
              <w:t>on page 40).</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Same property net operating income (“Same property NOI”) was $784.5 million for the year ended December 31, 2020, as compared to $852.5 million the corresponding period in 2019 (see additional disclosure on Same property NOI beginning on</w:t>
            </w:r>
            <w:r>
              <w:rPr>
                <w:sz w:val="20"/>
                <w:szCs w:val="20"/>
              </w:rPr>
              <w:t xml:space="preserve"> page 41).</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Increased collections of pro-rata base rent from 74% in the second quarter ended June 30, 2020 to 92% in the fourth quarter ended December 31, 2020. Executed 761 new leases, renewals and options totaling approximately 5.4 million square fe</w:t>
            </w:r>
            <w:r>
              <w:rPr>
                <w:sz w:val="20"/>
                <w:szCs w:val="20"/>
              </w:rPr>
              <w:t>et in the consolidated operating portfolio.</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The Company’s consolidated operating portfolio occupancy at December 31, 2020 was 93.9% as compared to 96.2% at December 31, 2019.</w:t>
            </w:r>
          </w:p>
        </w:tc>
      </w:tr>
    </w:tbl>
    <w:p w:rsidR="00000000" w:rsidRDefault="004E30E9">
      <w:pPr>
        <w:pStyle w:val="a3"/>
        <w:spacing w:before="0" w:beforeAutospacing="0" w:after="0" w:afterAutospacing="0"/>
        <w:ind w:left="720"/>
        <w:rPr>
          <w:sz w:val="20"/>
          <w:szCs w:val="20"/>
        </w:rPr>
      </w:pPr>
      <w:r>
        <w:rPr>
          <w:sz w:val="20"/>
          <w:szCs w:val="20"/>
        </w:rPr>
        <w:t> </w:t>
      </w:r>
    </w:p>
    <w:p w:rsidR="00000000" w:rsidRDefault="004E30E9">
      <w:pPr>
        <w:pStyle w:val="a3"/>
        <w:spacing w:before="0" w:beforeAutospacing="0" w:after="0" w:afterAutospacing="0"/>
        <w:rPr>
          <w:sz w:val="20"/>
          <w:szCs w:val="20"/>
        </w:rPr>
      </w:pPr>
      <w:r>
        <w:rPr>
          <w:i/>
          <w:iCs/>
          <w:sz w:val="20"/>
          <w:szCs w:val="20"/>
        </w:rPr>
        <w:t xml:space="preserve">Acquisition Disposition and Other Activity (see Footnotes 3, 5 and 9 of </w:t>
      </w:r>
      <w:r>
        <w:rPr>
          <w:i/>
          <w:iCs/>
          <w:sz w:val="20"/>
          <w:szCs w:val="20"/>
        </w:rPr>
        <w:t>the Notes to Consolidated Financial Statements included in this Form 10-K):</w:t>
      </w:r>
    </w:p>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Acquired a land parcel located in Peoria, AZ next to an existing shopping center, for a purchase price of $7.1 million.</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Disposed of three operating properties and four parcels, in separate transactions, for an aggregate sales price of $31.8 million. Certain of these transactions resulted in aggregate gains of $6.5 million.</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Monetized $227.3 million from the Company’s A</w:t>
            </w:r>
            <w:r>
              <w:rPr>
                <w:sz w:val="20"/>
                <w:szCs w:val="20"/>
              </w:rPr>
              <w:t>CI investment, which resulted in a gain of $190.8 million. The Company now holds 39.8 million shares of ACI.</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Development Activity</w:t>
      </w:r>
      <w:r>
        <w:rPr>
          <w:sz w:val="20"/>
          <w:szCs w:val="20"/>
        </w:rPr>
        <w:t xml:space="preserve"> </w:t>
      </w:r>
      <w:r>
        <w:rPr>
          <w:i/>
          <w:iCs/>
          <w:sz w:val="20"/>
          <w:szCs w:val="20"/>
        </w:rPr>
        <w:t>(see Footnote 4</w:t>
      </w:r>
      <w:r>
        <w:rPr>
          <w:sz w:val="20"/>
          <w:szCs w:val="20"/>
        </w:rPr>
        <w:t xml:space="preserve"> </w:t>
      </w:r>
      <w:r>
        <w:rPr>
          <w:i/>
          <w:iCs/>
          <w:sz w:val="20"/>
          <w:szCs w:val="20"/>
        </w:rPr>
        <w:t>of the Notes to Consolidated Financial Statements included in this Form 10-K):</w:t>
      </w:r>
    </w:p>
    <w:p w:rsidR="00000000" w:rsidRDefault="004E30E9">
      <w:pPr>
        <w:pStyle w:val="a3"/>
        <w:spacing w:before="0" w:beforeAutospacing="0" w:after="0" w:afterAutospacing="0"/>
        <w:jc w:val="both"/>
        <w:rPr>
          <w:sz w:val="20"/>
          <w:szCs w:val="20"/>
        </w:rPr>
      </w:pPr>
      <w:r>
        <w:rPr>
          <w:i/>
          <w:i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Placed in service Dani</w:t>
            </w:r>
            <w:r>
              <w:rPr>
                <w:sz w:val="20"/>
                <w:szCs w:val="20"/>
              </w:rPr>
              <w:t>a Pointe Phase II, a Signature Serie</w:t>
            </w:r>
            <w:r>
              <w:rPr>
                <w:sz w:val="20"/>
                <w:szCs w:val="20"/>
              </w:rPr>
              <w:t>s</w:t>
            </w:r>
            <w:r>
              <w:rPr>
                <w:sz w:val="20"/>
                <w:szCs w:val="20"/>
                <w:vertAlign w:val="superscript"/>
              </w:rPr>
              <w:t>TM</w:t>
            </w:r>
            <w:r>
              <w:rPr>
                <w:sz w:val="20"/>
                <w:szCs w:val="20"/>
              </w:rPr>
              <w:t xml:space="preserve"> development project located in Dania Beach, FL.</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rPr>
          <w:sz w:val="20"/>
          <w:szCs w:val="20"/>
        </w:rPr>
      </w:pPr>
      <w:r>
        <w:rPr>
          <w:i/>
          <w:iCs/>
          <w:sz w:val="20"/>
          <w:szCs w:val="20"/>
        </w:rPr>
        <w:t>Capital Activity (for additional details see Liquidity and Capital Resources below):</w:t>
      </w:r>
    </w:p>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Obtained a new $2.0 billion revolving Credit Facility, scheduled to mature in March 2024, with two additional six-month options to extend, which accrues interest at </w:t>
            </w:r>
            <w:r>
              <w:rPr>
                <w:sz w:val="20"/>
                <w:szCs w:val="20"/>
              </w:rPr>
              <w:t>a rate of LIBOR plus 76.5 basis points.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Issued $400.0 million of 1.90% notes maturing March 2028.</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Issued $500.0 million of 2.70% unsecured Green Bond maturing in October 2030 (the "Green Bond").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Redeemed all its 3.20% senior unsecured not</w:t>
            </w:r>
            <w:r>
              <w:rPr>
                <w:sz w:val="20"/>
                <w:szCs w:val="20"/>
              </w:rPr>
              <w:t>es due 2021 totaling $484.9 million, the Company incurred aggregate prepayment charges of $7.5 million.</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Entered into a term loan with total borrowing capacity of $590.0 million in April 2020, at a rate of LIBOR plus 140 basis points (the "Term Loan"), which was terminated and fully repaid in July 2020.</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Repaid $159.0 million of mortgage and construction</w:t>
            </w:r>
            <w:r>
              <w:rPr>
                <w:sz w:val="20"/>
                <w:szCs w:val="20"/>
              </w:rPr>
              <w:t xml:space="preserve"> debt that encumbered 5 properties.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As of December 31, 2020, had $2.3 billion in immediate liquidity, including $293.2 million in cash.</w:t>
            </w:r>
          </w:p>
        </w:tc>
      </w:tr>
    </w:tbl>
    <w:p w:rsidR="00000000" w:rsidRDefault="004E30E9">
      <w:pPr>
        <w:pStyle w:val="a3"/>
        <w:spacing w:before="0" w:beforeAutospacing="0" w:after="0" w:afterAutospacing="0"/>
        <w:ind w:left="720"/>
        <w:jc w:val="both"/>
        <w:rPr>
          <w:sz w:val="20"/>
          <w:szCs w:val="20"/>
        </w:rPr>
      </w:pPr>
      <w:r>
        <w:rPr>
          <w:sz w:val="20"/>
          <w:szCs w:val="20"/>
        </w:rPr>
        <w:t> </w:t>
      </w:r>
    </w:p>
    <w:p w:rsidR="00000000" w:rsidRDefault="004E30E9">
      <w:pPr>
        <w:jc w:val="center"/>
        <w:divId w:val="1460611531"/>
        <w:rPr>
          <w:rFonts w:eastAsia="Times New Roman"/>
          <w:sz w:val="20"/>
          <w:szCs w:val="20"/>
        </w:rPr>
      </w:pPr>
      <w:r>
        <w:rPr>
          <w:rFonts w:eastAsia="Times New Roman"/>
          <w:sz w:val="20"/>
          <w:szCs w:val="20"/>
        </w:rPr>
        <w:t xml:space="preserve">28 </w:t>
      </w:r>
    </w:p>
    <w:p w:rsidR="00000000" w:rsidRDefault="004E30E9">
      <w:pPr>
        <w:divId w:val="1006440540"/>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4E30E9">
      <w:pPr>
        <w:divId w:val="168316177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720"/>
        <w:rPr>
          <w:sz w:val="20"/>
          <w:szCs w:val="20"/>
        </w:rPr>
      </w:pPr>
      <w:r>
        <w:rPr>
          <w:sz w:val="20"/>
          <w:szCs w:val="20"/>
        </w:rPr>
        <w:t>As a result of the above debt activity, the Company’s consolidated debt maturity profile, including extension options, is as follows:</w:t>
      </w:r>
    </w:p>
    <w:p w:rsidR="00000000" w:rsidRDefault="004E30E9">
      <w:pPr>
        <w:pStyle w:val="a3"/>
        <w:spacing w:before="0" w:beforeAutospacing="0" w:after="0" w:afterAutospacing="0"/>
        <w:ind w:left="720"/>
        <w:rPr>
          <w:sz w:val="20"/>
          <w:szCs w:val="20"/>
        </w:rPr>
      </w:pPr>
      <w:r>
        <w:rPr>
          <w:sz w:val="20"/>
          <w:szCs w:val="20"/>
        </w:rPr>
        <w:t> </w:t>
      </w:r>
    </w:p>
    <w:p w:rsidR="00000000" w:rsidRDefault="004E30E9">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As of December 31, 2020, the weighted average interest rate was 3.41% and the weighted average maturi</w:t>
            </w:r>
            <w:r>
              <w:rPr>
                <w:sz w:val="20"/>
                <w:szCs w:val="20"/>
              </w:rPr>
              <w:t>ty profile was 10.9 years related to the Company’s consolidated debt.</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faces external factors which may influence its future results from operations. The convenience and availability of e-commerce has continued to impact the retail sector, wh</w:t>
      </w:r>
      <w:r>
        <w:rPr>
          <w:sz w:val="20"/>
          <w:szCs w:val="20"/>
        </w:rPr>
        <w:t>ich could affect our ability to increase or maintain rental rates and our ability to renew expiring leases and/or lease available space. To mitigate the effect of e-commerce on its business, the Company’s strategy has been to attract local area customers t</w:t>
      </w:r>
      <w:r>
        <w:rPr>
          <w:sz w:val="20"/>
          <w:szCs w:val="20"/>
        </w:rPr>
        <w:t>o its properties by providing a diverse and robust tenant base across a variety of retailers, including grocery stores, off-price retailers, discounters or service-oriented tenants, which offer buy online and pick up in store, off-price merchandise and day</w:t>
      </w:r>
      <w:r>
        <w:rPr>
          <w:sz w:val="20"/>
          <w:szCs w:val="20"/>
        </w:rPr>
        <w:t>-to-day necessities rather than high-priced luxury items.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Over the past several years, the Company has transformed its portfolio, focusing on major metropolitan-area U.S. markets, predominantly on the East and West coasts and in the Sunbelt region, which</w:t>
      </w:r>
      <w:r>
        <w:rPr>
          <w:sz w:val="20"/>
          <w:szCs w:val="20"/>
        </w:rPr>
        <w:t xml:space="preserve"> are supported by strong demographics, significant projected population growth, and where the Company perceives significant barriers to entry.  Given this significant transformation successfully executed over the last several years, the Company now owns a </w:t>
      </w:r>
      <w:r>
        <w:rPr>
          <w:sz w:val="20"/>
          <w:szCs w:val="20"/>
        </w:rPr>
        <w:t xml:space="preserve">predominantly grocery-anchored portfolio clustered in the nation’s top markets which positioned the Company to overcome many of the challenges brought upon by COVID-19. The Company believes that this transformed portfolio will enable it to maintain higher </w:t>
      </w:r>
      <w:r>
        <w:rPr>
          <w:sz w:val="20"/>
          <w:szCs w:val="20"/>
        </w:rPr>
        <w:t>occupancy levels, rental rates and rental growth. In addition, the Company, on a selective basis, has developed or redeveloped projects which include residential and mixed-use components.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As part of the Company’s investment strategy, each property is eva</w:t>
      </w:r>
      <w:r>
        <w:rPr>
          <w:sz w:val="20"/>
          <w:szCs w:val="20"/>
        </w:rPr>
        <w:t>luated for its highest and best use, which may include residential and mixed-use components. In addition, the Company may consider other opportunistic investments related to retailer controlled real estate, such as, repositioning underperforming retail loc</w:t>
      </w:r>
      <w:r>
        <w:rPr>
          <w:sz w:val="20"/>
          <w:szCs w:val="20"/>
        </w:rPr>
        <w:t>ations, retail real estate financing and bankruptcy transaction support. The Company may continue to dispose of certain properties. If the estimated fair value for any of these assets is less than their net carrying values, the Company would be required to</w:t>
      </w:r>
      <w:r>
        <w:rPr>
          <w:sz w:val="20"/>
          <w:szCs w:val="20"/>
        </w:rPr>
        <w:t xml:space="preserve"> take impairment charges and such amounts could be material. For a further discussion of these and other factors that could impact our future results, performance or transactions, see Item 1A. “Risk Factors.”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641663721"/>
        <w:rPr>
          <w:rFonts w:eastAsia="Times New Roman"/>
          <w:sz w:val="20"/>
          <w:szCs w:val="20"/>
        </w:rPr>
      </w:pPr>
      <w:r>
        <w:rPr>
          <w:rFonts w:eastAsia="Times New Roman"/>
          <w:sz w:val="20"/>
          <w:szCs w:val="20"/>
        </w:rPr>
        <w:t xml:space="preserve">29 </w:t>
      </w:r>
    </w:p>
    <w:p w:rsidR="00000000" w:rsidRDefault="004E30E9">
      <w:pPr>
        <w:divId w:val="600991512"/>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4E30E9">
      <w:pPr>
        <w:divId w:val="89878595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Results of Operations</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i/>
          <w:iCs/>
          <w:sz w:val="20"/>
          <w:szCs w:val="20"/>
        </w:rPr>
        <w:t>Comparison of the years ended December 31, 2020 and 2019</w:t>
      </w:r>
    </w:p>
    <w:p w:rsidR="00000000" w:rsidRDefault="004E30E9">
      <w:pPr>
        <w:pStyle w:val="a3"/>
        <w:spacing w:before="0" w:beforeAutospacing="0" w:after="0" w:afterAutospacing="0"/>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following table presents the comparative results from the Company’s Consolidated Statements of Income for the year ended D</w:t>
      </w:r>
      <w:r>
        <w:rPr>
          <w:sz w:val="20"/>
          <w:szCs w:val="20"/>
        </w:rPr>
        <w:t>ecember 31, 2020, as compared to the corresponding period in 2019 (in thousands, except per share data):</w:t>
      </w:r>
    </w:p>
    <w:p w:rsidR="00000000" w:rsidRDefault="004E30E9">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4096"/>
        <w:gridCol w:w="72"/>
        <w:gridCol w:w="100"/>
        <w:gridCol w:w="1019"/>
        <w:gridCol w:w="72"/>
        <w:gridCol w:w="72"/>
        <w:gridCol w:w="100"/>
        <w:gridCol w:w="1020"/>
        <w:gridCol w:w="73"/>
        <w:gridCol w:w="73"/>
        <w:gridCol w:w="101"/>
        <w:gridCol w:w="1020"/>
        <w:gridCol w:w="73"/>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Change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Revenues from rental properties,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1,044,888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1,142,334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(97,446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Management and other fee income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13,005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16,550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(3,545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Rent (1)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(11,270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(11,311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Real estate taxes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(157,661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(153,659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(4,002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Operating and maintenance (2)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(174,038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(171,981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(2,057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General and administrative (3)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(93,217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(96,942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3,725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Impairment charges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(6,624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(48,743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42,119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Depreciation and amortization</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(288,955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(277,879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(11,076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6,484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79,218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(72,734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Other income,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4,119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10,985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(6,866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Gain on marketable securities,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594,753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829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593,924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Gain on sale of cost method investment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Interest expense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(186,904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(177,395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(9,509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Early extinguishment of debt charges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(7,538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(7,538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(Provision)/benefit for income taxes,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(978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3,317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(4,295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Equity in income of joint ventures,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47,353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72,162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(24,809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Equity in income of other real estate investments,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28,628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26,076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2,552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Net income attributable to noncontrolling interests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(2,044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(2,956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912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Preferred stock redemption charges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(18,528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18,528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Preferred dividends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(25,416</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(52,089</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26,673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975,417</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339,988</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635,429</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Diluted per share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2.25</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0.80</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1.45</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E30E9">
            <w:pPr>
              <w:rPr>
                <w:rFonts w:eastAsia="Times New Roman"/>
              </w:rPr>
            </w:pPr>
            <w:r>
              <w:rPr>
                <w:rFonts w:eastAsia="Times New Roman"/>
              </w:rPr>
              <w:t> </w:t>
            </w:r>
          </w:p>
        </w:tc>
        <w:tc>
          <w:tcPr>
            <w:tcW w:w="360" w:type="dxa"/>
            <w:hideMark/>
          </w:tcPr>
          <w:p w:rsidR="00000000" w:rsidRDefault="004E30E9">
            <w:pPr>
              <w:pStyle w:val="a3"/>
              <w:spacing w:before="0" w:beforeAutospacing="0" w:after="0" w:afterAutospacing="0"/>
              <w:rPr>
                <w:sz w:val="20"/>
                <w:szCs w:val="20"/>
              </w:rPr>
            </w:pPr>
            <w:r>
              <w:rPr>
                <w:sz w:val="20"/>
                <w:szCs w:val="20"/>
              </w:rPr>
              <w:t>(1)</w:t>
            </w:r>
          </w:p>
        </w:tc>
        <w:tc>
          <w:tcPr>
            <w:tcW w:w="0" w:type="auto"/>
            <w:hideMark/>
          </w:tcPr>
          <w:p w:rsidR="00000000" w:rsidRDefault="004E30E9">
            <w:pPr>
              <w:pStyle w:val="a3"/>
              <w:spacing w:before="0" w:beforeAutospacing="0" w:after="0" w:afterAutospacing="0"/>
              <w:rPr>
                <w:sz w:val="20"/>
                <w:szCs w:val="20"/>
              </w:rPr>
            </w:pPr>
            <w:r>
              <w:rPr>
                <w:sz w:val="20"/>
                <w:szCs w:val="20"/>
              </w:rPr>
              <w:t>Rent expense relates to ground lease payments for which the Company is the lessee.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E30E9">
            <w:pPr>
              <w:rPr>
                <w:rFonts w:eastAsia="Times New Roman"/>
              </w:rPr>
            </w:pPr>
            <w:r>
              <w:rPr>
                <w:rFonts w:eastAsia="Times New Roman"/>
              </w:rPr>
              <w:t> </w:t>
            </w:r>
          </w:p>
        </w:tc>
        <w:tc>
          <w:tcPr>
            <w:tcW w:w="360" w:type="dxa"/>
            <w:hideMark/>
          </w:tcPr>
          <w:p w:rsidR="00000000" w:rsidRDefault="004E30E9">
            <w:pPr>
              <w:pStyle w:val="a3"/>
              <w:spacing w:before="0" w:beforeAutospacing="0" w:after="0" w:afterAutospacing="0"/>
              <w:rPr>
                <w:sz w:val="20"/>
                <w:szCs w:val="20"/>
              </w:rPr>
            </w:pPr>
            <w:r>
              <w:rPr>
                <w:sz w:val="20"/>
                <w:szCs w:val="20"/>
              </w:rPr>
              <w:t>(2)</w:t>
            </w:r>
          </w:p>
        </w:tc>
        <w:tc>
          <w:tcPr>
            <w:tcW w:w="0" w:type="auto"/>
            <w:hideMark/>
          </w:tcPr>
          <w:p w:rsidR="00000000" w:rsidRDefault="004E30E9">
            <w:pPr>
              <w:pStyle w:val="a3"/>
              <w:spacing w:before="0" w:beforeAutospacing="0" w:after="0" w:afterAutospacing="0"/>
              <w:rPr>
                <w:sz w:val="20"/>
                <w:szCs w:val="20"/>
              </w:rPr>
            </w:pPr>
            <w:r>
              <w:rPr>
                <w:sz w:val="20"/>
                <w:szCs w:val="20"/>
              </w:rPr>
              <w:t>Operating and maintenance expense consists of property related costs including repairs and maintenance costs, roof repair, landscaping, parking lot repair, snow remo</w:t>
            </w:r>
            <w:r>
              <w:rPr>
                <w:sz w:val="20"/>
                <w:szCs w:val="20"/>
              </w:rPr>
              <w:t>val, utilities, property insurance costs, security and various other property related expenses.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E30E9">
            <w:pPr>
              <w:rPr>
                <w:rFonts w:eastAsia="Times New Roman"/>
              </w:rPr>
            </w:pPr>
            <w:r>
              <w:rPr>
                <w:rFonts w:eastAsia="Times New Roman"/>
              </w:rPr>
              <w:t> </w:t>
            </w:r>
          </w:p>
        </w:tc>
        <w:tc>
          <w:tcPr>
            <w:tcW w:w="360" w:type="dxa"/>
            <w:hideMark/>
          </w:tcPr>
          <w:p w:rsidR="00000000" w:rsidRDefault="004E30E9">
            <w:pPr>
              <w:pStyle w:val="a3"/>
              <w:spacing w:before="0" w:beforeAutospacing="0" w:after="0" w:afterAutospacing="0"/>
              <w:rPr>
                <w:sz w:val="20"/>
                <w:szCs w:val="20"/>
              </w:rPr>
            </w:pPr>
            <w:r>
              <w:rPr>
                <w:sz w:val="20"/>
                <w:szCs w:val="20"/>
              </w:rPr>
              <w:t>(3)</w:t>
            </w:r>
          </w:p>
        </w:tc>
        <w:tc>
          <w:tcPr>
            <w:tcW w:w="0" w:type="auto"/>
            <w:hideMark/>
          </w:tcPr>
          <w:p w:rsidR="00000000" w:rsidRDefault="004E30E9">
            <w:pPr>
              <w:pStyle w:val="a3"/>
              <w:spacing w:before="0" w:beforeAutospacing="0" w:after="0" w:afterAutospacing="0"/>
              <w:rPr>
                <w:sz w:val="20"/>
                <w:szCs w:val="20"/>
              </w:rPr>
            </w:pPr>
            <w:r>
              <w:rPr>
                <w:sz w:val="20"/>
                <w:szCs w:val="20"/>
              </w:rPr>
              <w:t>General and administrative expense includes employee-related expenses (including salaries, bonuses, equity awards, benefits, severance costs and payroll</w:t>
            </w:r>
            <w:r>
              <w:rPr>
                <w:sz w:val="20"/>
                <w:szCs w:val="20"/>
              </w:rPr>
              <w:t xml:space="preserve"> taxes), professional fees, office rent, travel expense and other company-specific expenses.</w:t>
            </w:r>
          </w:p>
        </w:tc>
      </w:tr>
    </w:tbl>
    <w:p w:rsidR="00000000" w:rsidRDefault="004E30E9">
      <w:pPr>
        <w:pStyle w:val="a3"/>
        <w:spacing w:before="0" w:beforeAutospacing="0" w:after="0" w:afterAutospacing="0"/>
        <w:ind w:right="72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Net income available to the Company’s common shareholders was $975.4 million for the year ended December 31, 2020, as compared to $340.0 million for the compara</w:t>
      </w:r>
      <w:r>
        <w:rPr>
          <w:sz w:val="20"/>
          <w:szCs w:val="20"/>
        </w:rPr>
        <w:t>ble period in 2019. On a diluted per share basis, net income available to the Company’s common shareholders for the year ended December 31, 2020, was $2.25 as compared to $0.80 for the comparable period in 2019. For additional disclosure, see Footnote 24 o</w:t>
      </w:r>
      <w:r>
        <w:rPr>
          <w:sz w:val="20"/>
          <w:szCs w:val="20"/>
        </w:rPr>
        <w:t>f the Notes to Consolidated Financial Statements included in this Form 10-K.</w:t>
      </w:r>
    </w:p>
    <w:p w:rsidR="00000000" w:rsidRDefault="004E30E9">
      <w:pPr>
        <w:pStyle w:val="a3"/>
        <w:spacing w:before="0" w:beforeAutospacing="0" w:after="0" w:afterAutospacing="0"/>
        <w:ind w:right="72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following describes the changes of certain line items included on the Company’s Consolidated Statements of Income, that the Company believes changed significantly and affect</w:t>
      </w:r>
      <w:r>
        <w:rPr>
          <w:sz w:val="20"/>
          <w:szCs w:val="20"/>
        </w:rPr>
        <w:t>ed Net income available to the Company’s common shareholders during the year ended December 31, 2020, as compared to the corresponding period in 2019:</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Revenue from rental properties, net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decrease in Revenues from rental properties, net of $97.4 million is primarily from (i) an increase of $80.0 million in adjustments associated with potentially uncollectible revenues, including revenues from tenants that are being accounted for on a ca</w:t>
      </w:r>
      <w:r>
        <w:rPr>
          <w:sz w:val="20"/>
          <w:szCs w:val="20"/>
        </w:rPr>
        <w:t>sh basis and straight-line rent receivables, primarily due to the COVID-19 pandemic, for the year ended December 31, 2020, as compared to the corresponding period in 2019 and (ii) a decrease in revenues of $30.6 million due to properties sold during 2020 a</w:t>
      </w:r>
      <w:r>
        <w:rPr>
          <w:sz w:val="20"/>
          <w:szCs w:val="20"/>
        </w:rPr>
        <w:t>nd 2019, partially offset by (iii) the completion of certain redevelopment and development projects included in the Company’s Signature Series™, acquisitions, tenant buyouts and net growth in the current portfolio, which provided incremental revenues for t</w:t>
      </w:r>
      <w:r>
        <w:rPr>
          <w:sz w:val="20"/>
          <w:szCs w:val="20"/>
        </w:rPr>
        <w:t>he year ended December 31, 2020 of $13.2 million, as compared to the corresponding period in 2019.</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Management and other fee income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decrease in Management and other fee income of $3.5 million is primarily due to lower cash receipts for the year en</w:t>
      </w:r>
      <w:r>
        <w:rPr>
          <w:sz w:val="20"/>
          <w:szCs w:val="20"/>
        </w:rPr>
        <w:t>ded December 31, 2020, as compared to the corresponding period in 2019, related to (i) the deferral of rent payments, rent relief provided, late or partial rent payments or defaulted rent payments as a result of the COVID-19 pandemic and (ii) the sale of p</w:t>
      </w:r>
      <w:r>
        <w:rPr>
          <w:sz w:val="20"/>
          <w:szCs w:val="20"/>
        </w:rPr>
        <w:t>roperties and change of ownership interest within various joint venture investments during the year ended December 31, 2020, as compared to the corresponding period in 2019.</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jc w:val="center"/>
        <w:divId w:val="1386028045"/>
        <w:rPr>
          <w:rFonts w:eastAsia="Times New Roman"/>
          <w:sz w:val="20"/>
          <w:szCs w:val="20"/>
        </w:rPr>
      </w:pPr>
      <w:r>
        <w:rPr>
          <w:rFonts w:eastAsia="Times New Roman"/>
          <w:sz w:val="20"/>
          <w:szCs w:val="20"/>
        </w:rPr>
        <w:t xml:space="preserve">30 </w:t>
      </w:r>
    </w:p>
    <w:p w:rsidR="00000000" w:rsidRDefault="004E30E9">
      <w:pPr>
        <w:divId w:val="1691373991"/>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4E30E9">
      <w:pPr>
        <w:divId w:val="525217114"/>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Real estate taxes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increase in Real estate taxes of $4.0 million is primarily due to (i) an increase of $8.4 million related to the completion of certain redevelopment and development projects and an overall increase in assessed values in the</w:t>
      </w:r>
      <w:r>
        <w:rPr>
          <w:sz w:val="20"/>
          <w:szCs w:val="20"/>
        </w:rPr>
        <w:t xml:space="preserve"> current portfolio during the year ended December 31, 2020, as compared to the corresponding period in 2019, partially offset by (ii) a decrease of $4.4 million due to properties sold during 2020 and 2019.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General and administrative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decrease i</w:t>
      </w:r>
      <w:r>
        <w:rPr>
          <w:sz w:val="20"/>
          <w:szCs w:val="20"/>
        </w:rPr>
        <w:t>n General and administrative expense of $3.7 million is primarily due to (i) a reduction in travel and entertainment and convention costs of $2.9 million due to fewer business related trips as a result of the COVID-19 pandemic, (ii) a decrease in employee-</w:t>
      </w:r>
      <w:r>
        <w:rPr>
          <w:sz w:val="20"/>
          <w:szCs w:val="20"/>
        </w:rPr>
        <w:t>related expenses of $2.3 million, (iii) a reduction in office rent expense of $1.4 million, due to the relocation of the Company’s headquarters to Company-owned office space, (iv) a decrease of $0.9 million primarily due to the fluctuations in value of var</w:t>
      </w:r>
      <w:r>
        <w:rPr>
          <w:sz w:val="20"/>
          <w:szCs w:val="20"/>
        </w:rPr>
        <w:t xml:space="preserve">ious directors’ deferred stock, (v) a decrease in professional fees of $0.9 million and (vi) a decrease in information technology costs of $0.7 million for the year ended December 31, 2020, as compared to the corresponding period in 2019, partially offset </w:t>
      </w:r>
      <w:r>
        <w:rPr>
          <w:sz w:val="20"/>
          <w:szCs w:val="20"/>
        </w:rPr>
        <w:t>by (vii) an increase in severance charges related to employee retirement and terminations of $5.5 million during the year ended December 31, 2020, as compared to the corresponding period in 2019.</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 xml:space="preserve">Impairment charges – </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During the years ended December 31</w:t>
      </w:r>
      <w:r>
        <w:rPr>
          <w:sz w:val="20"/>
          <w:szCs w:val="20"/>
        </w:rPr>
        <w:t>, 2020 and 2019, the Company recognized impairment charges related to adjustments to property carrying values of $6.6 million and $48.7 million, respectively, for which the Company’s estimated fair values were primarily based upon (i) signed contracts or l</w:t>
      </w:r>
      <w:r>
        <w:rPr>
          <w:sz w:val="20"/>
          <w:szCs w:val="20"/>
        </w:rPr>
        <w:t>etters of intent from third-party offers or (ii) discounted cash flow models. These adjustments to property carrying values were recognized in connection with the Company’s efforts to market certain properties and management’s assessment as to the likeliho</w:t>
      </w:r>
      <w:r>
        <w:rPr>
          <w:sz w:val="20"/>
          <w:szCs w:val="20"/>
        </w:rPr>
        <w:t>od and timing of such potential transactions. Certain of the calculations to determine fair value utilized unobservable inputs and, as such, were classified as Level 3 of the fair value hierarchy. For additional disclosure, see Footnotes 6 and 16 of the No</w:t>
      </w:r>
      <w:r>
        <w:rPr>
          <w:sz w:val="20"/>
          <w:szCs w:val="20"/>
        </w:rPr>
        <w:t>tes to Consolidated Financial Statements included in this Form 10-K.</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 xml:space="preserve">Depreciation and amortization – </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increase in Depreciation and amortization of $11.1 million is primarily due to (i) an increase of $17.3 million in write-offs of depreciable assets primarily due to tenant vacates during the year ended December 31, 2020, as compared to the correspondin</w:t>
      </w:r>
      <w:r>
        <w:rPr>
          <w:sz w:val="20"/>
          <w:szCs w:val="20"/>
        </w:rPr>
        <w:t xml:space="preserve">g period in 2019 and (ii) an increase of $6.0 million primarily related to the completion of certain development and redevelopment projects being placed into service during 2020 and 2019, partially offset by (iii) a decrease of $6.2 million resulting from </w:t>
      </w:r>
      <w:r>
        <w:rPr>
          <w:sz w:val="20"/>
          <w:szCs w:val="20"/>
        </w:rPr>
        <w:t>property dispositions in 2020 and 2019 and (iv) a decrease of $6.0 million related to fully depreciated assets during the year ended December 31, 2020, as compared to the corresponding period in 2019.</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Gain on sale of properties/change in control of inter</w:t>
      </w:r>
      <w:r>
        <w:rPr>
          <w:i/>
          <w:iCs/>
          <w:sz w:val="20"/>
          <w:szCs w:val="20"/>
        </w:rPr>
        <w:t xml:space="preserve">ests – </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During 2020, the Company disposed of three operating properties and four parcels, in separate transactions, for an aggregate sales price of $31.8 million, for which certain of the transactions resulted in aggregate gains of $6.5 million. During 2019, the C</w:t>
      </w:r>
      <w:r>
        <w:rPr>
          <w:sz w:val="20"/>
          <w:szCs w:val="20"/>
        </w:rPr>
        <w:t>ompany disposed of 20 operating properties and nine parcels, in separate transactions, for an aggregate sales price of $344.7 million, for which certain of the transactions resulted in aggregate gains of $79.2 million.</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 xml:space="preserve">Other income, net – </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decrease</w:t>
      </w:r>
      <w:r>
        <w:rPr>
          <w:sz w:val="20"/>
          <w:szCs w:val="20"/>
        </w:rPr>
        <w:t xml:space="preserve"> in Other income, net of $6.9 million is primarily due to (i) a net decrease in settlement proceeds of $2.8 million related to property condemnations during the year ended December 31, 2020, as compared to the corresponding period in 2019, (ii) a gain on f</w:t>
      </w:r>
      <w:r>
        <w:rPr>
          <w:sz w:val="20"/>
          <w:szCs w:val="20"/>
        </w:rPr>
        <w:t>orgiveness of debt of $2.8 million related to property disposed through a deed in lieu transaction during 2019, (iii) a decrease of $1.6 million related to the recognition of income from the Company’s Puerto Rico properties, resulting from the receipt of c</w:t>
      </w:r>
      <w:r>
        <w:rPr>
          <w:sz w:val="20"/>
          <w:szCs w:val="20"/>
        </w:rPr>
        <w:t>asualty insurance claims in excess of the value of the assets written-off during the year ended December 31, 2020, as compared to the corresponding period in 2019, (iv) an increase in environmental remediation costs of $1.3 million for the year ended Decem</w:t>
      </w:r>
      <w:r>
        <w:rPr>
          <w:sz w:val="20"/>
          <w:szCs w:val="20"/>
        </w:rPr>
        <w:t xml:space="preserve">ber 31, 2020, as compared to the corresponding period in 2019, and (v) a decrease in mortgage financing income of $0.8 million, partially offset by (vi) a net increase in interest, dividends and other income of $2.9 million, primarily related to dividends </w:t>
      </w:r>
      <w:r>
        <w:rPr>
          <w:sz w:val="20"/>
          <w:szCs w:val="20"/>
        </w:rPr>
        <w:t>received on the Company’s ACI shares during the year ended December 31, 2020, as compared to the corresponding period in 2019.</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200169043"/>
        <w:rPr>
          <w:rFonts w:eastAsia="Times New Roman"/>
          <w:sz w:val="20"/>
          <w:szCs w:val="20"/>
        </w:rPr>
      </w:pPr>
      <w:r>
        <w:rPr>
          <w:rFonts w:eastAsia="Times New Roman"/>
          <w:sz w:val="20"/>
          <w:szCs w:val="20"/>
        </w:rPr>
        <w:t xml:space="preserve">31 </w:t>
      </w:r>
    </w:p>
    <w:p w:rsidR="00000000" w:rsidRDefault="004E30E9">
      <w:pPr>
        <w:divId w:val="2139179499"/>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4E30E9">
      <w:pPr>
        <w:divId w:val="109755954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 xml:space="preserve">Gain on marketable securities, net – </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increase in Gain on marketable securities, net of $593.9 million is primarily the result of the mark-to-market fluctuations of the Company’s ACI investment, which launched its IPO in June 2020. This offering resulted in the Company changing the classi</w:t>
      </w:r>
      <w:r>
        <w:rPr>
          <w:sz w:val="20"/>
          <w:szCs w:val="20"/>
        </w:rPr>
        <w:t>fication of its ACI investment from a cost method investment to a marketable security.</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 xml:space="preserve">Gain on sale of cost method investment –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June 2020, the Company recognized an aggregate gain of $190.8 million related to (i) a $131.6 million gain resulting fro</w:t>
      </w:r>
      <w:r>
        <w:rPr>
          <w:sz w:val="20"/>
          <w:szCs w:val="20"/>
        </w:rPr>
        <w:t xml:space="preserve">m ACI’s partial repurchase of its common stock from existing shareholders in conjunction with its issuance of convertible preferred stock and (ii) a gain of $59.2 million in connection with the partial sale of the Company’s investment in ACI through ACI’s </w:t>
      </w:r>
      <w:r>
        <w:rPr>
          <w:sz w:val="20"/>
          <w:szCs w:val="20"/>
        </w:rPr>
        <w:t>IPO.</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jc w:val="both"/>
        <w:rPr>
          <w:sz w:val="20"/>
          <w:szCs w:val="20"/>
        </w:rPr>
      </w:pPr>
      <w:r>
        <w:rPr>
          <w:i/>
          <w:iCs/>
          <w:sz w:val="20"/>
          <w:szCs w:val="20"/>
        </w:rPr>
        <w:t xml:space="preserve">Interest expense – </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increase in Interest expense of $9.5 million is primarily due to higher levels of borrowings during 2020, as compared to 2019.</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Early extinguishment of debt charges –</w:t>
      </w:r>
    </w:p>
    <w:p w:rsidR="00000000" w:rsidRDefault="004E30E9">
      <w:pPr>
        <w:pStyle w:val="a3"/>
        <w:spacing w:before="0" w:beforeAutospacing="0" w:after="0" w:afterAutospacing="0"/>
        <w:ind w:firstLine="36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During the year ended December 31, 2020, the Company fully redeemed $484.9 million</w:t>
      </w:r>
      <w:r>
        <w:rPr>
          <w:sz w:val="20"/>
          <w:szCs w:val="20"/>
        </w:rPr>
        <w:t xml:space="preserve"> of its outstanding 3.20% senior unsecured notes, which were scheduled to mature in May 2021. As a result, the Company incurred a prepayment charge of $7.5 million for the year ended December 31, 2020.</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(Provision)/benefit for income taxes, net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ch</w:t>
      </w:r>
      <w:r>
        <w:rPr>
          <w:sz w:val="20"/>
          <w:szCs w:val="20"/>
        </w:rPr>
        <w:t>ange in (Provision)/benefit for income taxes, net of $4.3 million is primarily due to release of a deferred tax asset valuation allowance relating to Alternative Minimum Tax credits during 2019.</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 xml:space="preserve">Equity in income of joint ventures, net – </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decrease i</w:t>
      </w:r>
      <w:r>
        <w:rPr>
          <w:sz w:val="20"/>
          <w:szCs w:val="20"/>
        </w:rPr>
        <w:t>n Equity in income of joint ventures, net of $24.8 million is primarily due to (i) the recognition of net gains of $16.0 million resulting from the sale of properties within various joint venture investments during 2019 and (ii) lower equity in income of $</w:t>
      </w:r>
      <w:r>
        <w:rPr>
          <w:sz w:val="20"/>
          <w:szCs w:val="20"/>
        </w:rPr>
        <w:t>13.6 million within various joint venture investments during the year ended December 31, 2020, as compared to the corresponding period in 2019, primarily resulting from the sale of properties within various joint venture investments during 2019 and an incr</w:t>
      </w:r>
      <w:r>
        <w:rPr>
          <w:sz w:val="20"/>
          <w:szCs w:val="20"/>
        </w:rPr>
        <w:t>ease in adjustments of trade account receivable and straight-line receivable balances associated with the leases accounted for on a cash basis due to the impact from the COVID-19 pandemic during 2020, partially offset by (iii) a decrease in impairment char</w:t>
      </w:r>
      <w:r>
        <w:rPr>
          <w:sz w:val="20"/>
          <w:szCs w:val="20"/>
        </w:rPr>
        <w:t>ges of $4.8 million recognized during the year ended December 31, 2020, as compared to the corresponding period in 2019.</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jc w:val="both"/>
        <w:rPr>
          <w:sz w:val="20"/>
          <w:szCs w:val="20"/>
        </w:rPr>
      </w:pPr>
      <w:r>
        <w:rPr>
          <w:i/>
          <w:iCs/>
          <w:sz w:val="20"/>
          <w:szCs w:val="20"/>
        </w:rPr>
        <w:t xml:space="preserve">Preferred stock redemption charges – </w:t>
      </w:r>
    </w:p>
    <w:p w:rsidR="00000000" w:rsidRDefault="004E30E9">
      <w:pPr>
        <w:pStyle w:val="a3"/>
        <w:spacing w:before="0" w:beforeAutospacing="0" w:after="0" w:afterAutospacing="0"/>
        <w:ind w:firstLine="36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During 2019, the Company redeemed all its outstanding Class I Preferred Stock, Class J Prefer</w:t>
      </w:r>
      <w:r>
        <w:rPr>
          <w:sz w:val="20"/>
          <w:szCs w:val="20"/>
        </w:rPr>
        <w:t>red Stock and Class K Preferred Stock and, as a result, the Company recorded a redemption charge of $18.5 million. This charge was subtracted from net income attributable to the Company to arrive at net income available to the Company’s common shareholders</w:t>
      </w:r>
      <w:r>
        <w:rPr>
          <w:sz w:val="20"/>
          <w:szCs w:val="20"/>
        </w:rPr>
        <w:t xml:space="preserve"> and used in the calculation of earnings per share for the year ended December 31, 2019.</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 xml:space="preserve">Preferred dividends – </w:t>
      </w:r>
    </w:p>
    <w:p w:rsidR="00000000" w:rsidRDefault="004E30E9">
      <w:pPr>
        <w:pStyle w:val="a3"/>
        <w:spacing w:before="0" w:beforeAutospacing="0" w:after="0" w:afterAutospacing="0"/>
        <w:ind w:firstLine="36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decrease in Preferred dividends of $26.7 million is primarily due to the redemption of all the Company's outstanding Class I Preferred S</w:t>
      </w:r>
      <w:r>
        <w:rPr>
          <w:sz w:val="20"/>
          <w:szCs w:val="20"/>
        </w:rPr>
        <w:t>tock, Class J Preferred Stock and Class K Preferred Stock during 2019 as discussed above.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Comparison of the years ended December 31, 2019 and 2018</w:t>
      </w:r>
    </w:p>
    <w:p w:rsidR="00000000" w:rsidRDefault="004E30E9">
      <w:pPr>
        <w:pStyle w:val="a3"/>
        <w:spacing w:before="0" w:beforeAutospacing="0" w:after="0" w:afterAutospacing="0"/>
        <w:jc w:val="both"/>
        <w:rPr>
          <w:sz w:val="20"/>
          <w:szCs w:val="20"/>
        </w:rPr>
      </w:pPr>
      <w:r>
        <w:rPr>
          <w:b/>
          <w:bCs/>
          <w:sz w:val="20"/>
          <w:szCs w:val="20"/>
        </w:rPr>
        <w:t> </w:t>
      </w:r>
    </w:p>
    <w:p w:rsidR="00000000" w:rsidRDefault="004E30E9">
      <w:pPr>
        <w:pStyle w:val="a3"/>
        <w:spacing w:before="0" w:beforeAutospacing="0" w:after="0" w:afterAutospacing="0"/>
        <w:ind w:firstLine="360"/>
        <w:jc w:val="both"/>
        <w:rPr>
          <w:sz w:val="20"/>
          <w:szCs w:val="20"/>
        </w:rPr>
      </w:pPr>
      <w:r>
        <w:rPr>
          <w:sz w:val="20"/>
          <w:szCs w:val="20"/>
        </w:rPr>
        <w:t>Information pertaining to fiscal year 2018 was included in the Company’s Annual Report on Form 10-K for t</w:t>
      </w:r>
      <w:r>
        <w:rPr>
          <w:sz w:val="20"/>
          <w:szCs w:val="20"/>
        </w:rPr>
        <w:t>he year ended December 31, 2019 under Part II, Item 7, “Management’s Discussion and Analysis of Financial Condition and Results of Operations,” which was filed with the SEC on February 25, 2020.</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Liquidity and Capital Resources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Company’s capital resources include accessing the public debt and equity capital markets, mortgage and construction loan financing, and immediate access to an unsecured revolving credit facility (the “Credit Facility”)</w:t>
      </w:r>
      <w:r>
        <w:rPr>
          <w:sz w:val="20"/>
          <w:szCs w:val="20"/>
        </w:rPr>
        <w:t xml:space="preserve"> with bank commitments of $2.0 billion which can be increased to $2.75 billion through an accordion feature. In addition, the Company holds 39.8 million shares of ACI, which are subject to certain contractual lock-up provisions.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jc w:val="center"/>
        <w:divId w:val="1636374071"/>
        <w:rPr>
          <w:rFonts w:eastAsia="Times New Roman"/>
          <w:sz w:val="20"/>
          <w:szCs w:val="20"/>
        </w:rPr>
      </w:pPr>
      <w:r>
        <w:rPr>
          <w:rFonts w:eastAsia="Times New Roman"/>
          <w:sz w:val="20"/>
          <w:szCs w:val="20"/>
        </w:rPr>
        <w:t xml:space="preserve">32 </w:t>
      </w:r>
    </w:p>
    <w:p w:rsidR="00000000" w:rsidRDefault="004E30E9">
      <w:pPr>
        <w:divId w:val="1098064525"/>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4E30E9">
      <w:pPr>
        <w:divId w:val="150111791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Company’s cash flow activities are summarized as follows (in thousands):</w:t>
      </w:r>
    </w:p>
    <w:p w:rsidR="00000000" w:rsidRDefault="004E30E9">
      <w:pPr>
        <w:pStyle w:val="a3"/>
        <w:spacing w:before="0" w:beforeAutospacing="0" w:after="0" w:afterAutospacing="0"/>
        <w:ind w:firstLine="36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8"/>
        <w:gridCol w:w="61"/>
        <w:gridCol w:w="100"/>
        <w:gridCol w:w="1049"/>
        <w:gridCol w:w="67"/>
        <w:gridCol w:w="57"/>
        <w:gridCol w:w="100"/>
        <w:gridCol w:w="1051"/>
        <w:gridCol w:w="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Cash and cash equivalents, beginning of year</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143,581</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Net cash flow provided by operating activities</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nil"/>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589,913</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nil"/>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583,628</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Net cash flow used for investing activities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(33,273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(120,421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Net cash flow used for financing activities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(387,399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(482,841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Net change in cash and cash equivalents</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169,241</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(19,634</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Cash and cash equivalents, end of year</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293,188</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123,947</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Operating Activities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anticipates that cash on hand, net cash flow provided by operating activities, borrowings under its Credit Facility and the issuance of equity and public debt, as well as other debt and equity alternatives, will provide the necessary capital re</w:t>
      </w:r>
      <w:r>
        <w:rPr>
          <w:sz w:val="20"/>
          <w:szCs w:val="20"/>
        </w:rPr>
        <w:t>quired by the Company. The Company will continue to evaluate its capital requirements for both its short-term and long-term liquidity needs, which could be affected by various risks and uncertainties, including, but not limited to, the effects of the COVID</w:t>
      </w:r>
      <w:r>
        <w:rPr>
          <w:sz w:val="20"/>
          <w:szCs w:val="20"/>
        </w:rPr>
        <w:t>-19 pandemic and other risks detailed in Part I, Item 1A. Risk Factors. See further discussion relating to the effects of the COVID-19 pandemic in the “COVID-19 Pandemic” and “Financing Activities” sections within this Item 7.</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Cash flows provided by oper</w:t>
      </w:r>
      <w:r>
        <w:rPr>
          <w:sz w:val="20"/>
          <w:szCs w:val="20"/>
        </w:rPr>
        <w:t>ating activities for the year ended December 31, 2020, were $589.9 million, as compared to $583.6 million for the comparable period in 2019. The increase of $6.3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an increase in distributions from the Company’s join</w:t>
            </w:r>
            <w:r>
              <w:rPr>
                <w:sz w:val="20"/>
                <w:szCs w:val="20"/>
              </w:rPr>
              <w:t>t venture programs;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changes in accounts payable, accrued expenses, operating assets and liabilities, net due to timing of receipts and payments;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new leasing, expansion and re-tenanting of core portfolio properties;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the acquisition of an operating property duri</w:t>
            </w:r>
            <w:r>
              <w:rPr>
                <w:sz w:val="20"/>
                <w:szCs w:val="20"/>
              </w:rPr>
              <w:t>ng 2020; partially offset by</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an increase in tenants on cash basis, tenant vacates and rent relief provided as a result of the COVID-19 pandemic;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the disposition of operating properties in 2020 and 2019.</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Due to the current economic uncertainty resulting from the COVID-19 pandemic, the Company has worked, and continues to work, with its tenants to grant rent deferrals or rent waivers on a lease by</w:t>
      </w:r>
      <w:r>
        <w:rPr>
          <w:sz w:val="20"/>
          <w:szCs w:val="20"/>
        </w:rPr>
        <w:t xml:space="preserve"> lease basis. The deferrals are generally anticipated to be paid within six to 18 months.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Investing Activities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Cash flows used for investing activities were $33.3 million for 2020, as compared to $120.4 million for 2019.</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Investing activities during 2</w:t>
      </w:r>
      <w:r>
        <w:rPr>
          <w:sz w:val="20"/>
          <w:szCs w:val="20"/>
        </w:rPr>
        <w:t>020 consisted primarily of:</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$227.3 million in proceeds from the partial sale of the Company’s ACI cost method investment prior to its IPO and the sale of 4.7 million shares of ACI common stock during its IPO;</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$30.5 million in proceeds from the sale of three operating properties and four parcels;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$17.9 million in reimbursements of investments in and advances to real estate joint ventures and reimbursements of investments in and advances to other real estat</w:t>
            </w:r>
            <w:r>
              <w:rPr>
                <w:sz w:val="20"/>
                <w:szCs w:val="20"/>
              </w:rPr>
              <w:t>e investments, primarily related to the sale of properties within the joint venture portfolio and the Company’s Preferred Equity Program;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$2.5 million in proceeds from insurance casualty claims.</w:t>
            </w:r>
          </w:p>
        </w:tc>
      </w:tr>
    </w:tbl>
    <w:p w:rsidR="00000000" w:rsidRDefault="004E30E9">
      <w:pPr>
        <w:pStyle w:val="a3"/>
        <w:spacing w:before="0" w:beforeAutospacing="0" w:after="0" w:afterAutospacing="0"/>
        <w:ind w:firstLine="540"/>
        <w:jc w:val="both"/>
        <w:rPr>
          <w:sz w:val="20"/>
          <w:szCs w:val="20"/>
        </w:rPr>
      </w:pPr>
      <w:r>
        <w:rPr>
          <w:i/>
          <w:iCs/>
          <w:sz w:val="20"/>
          <w:szCs w:val="20"/>
        </w:rPr>
        <w:t> </w:t>
      </w:r>
    </w:p>
    <w:p w:rsidR="00000000" w:rsidRDefault="004E30E9">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$243.6 million for improvemen</w:t>
            </w:r>
            <w:r>
              <w:rPr>
                <w:sz w:val="20"/>
                <w:szCs w:val="20"/>
              </w:rPr>
              <w:t>ts to operating real estate primarily related to the Company’s active redevelopment pipeline and improvements to real estate under development;</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$30.8 million for investments in and advances to real estate joint ventures, primarily related to a redevelopment project and the repayment of a mortgage within the Company’s joint venture portfolio, and investments in other real estate investments, primar</w:t>
            </w:r>
            <w:r>
              <w:rPr>
                <w:sz w:val="20"/>
                <w:szCs w:val="20"/>
              </w:rPr>
              <w:t>ily related to an investment in a new preferred equity investment and the repayment of mortgages within the Company’s Preferred Equity Program;</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$25.0 million for investment in other financing receivable;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$12.6 million for the acquisition of</w:t>
            </w:r>
            <w:r>
              <w:rPr>
                <w:sz w:val="20"/>
                <w:szCs w:val="20"/>
              </w:rPr>
              <w:t xml:space="preserve"> operating real estate.</w:t>
            </w:r>
          </w:p>
        </w:tc>
      </w:tr>
    </w:tbl>
    <w:p w:rsidR="00000000" w:rsidRDefault="004E30E9">
      <w:pPr>
        <w:pStyle w:val="a3"/>
        <w:spacing w:before="0" w:beforeAutospacing="0" w:after="0" w:afterAutospacing="0"/>
        <w:ind w:left="720"/>
        <w:jc w:val="both"/>
        <w:rPr>
          <w:sz w:val="20"/>
          <w:szCs w:val="20"/>
        </w:rPr>
      </w:pPr>
      <w:r>
        <w:rPr>
          <w:sz w:val="20"/>
          <w:szCs w:val="20"/>
        </w:rPr>
        <w:t> </w:t>
      </w:r>
    </w:p>
    <w:p w:rsidR="00000000" w:rsidRDefault="004E30E9">
      <w:pPr>
        <w:jc w:val="center"/>
        <w:divId w:val="384763465"/>
        <w:rPr>
          <w:rFonts w:eastAsia="Times New Roman"/>
          <w:sz w:val="20"/>
          <w:szCs w:val="20"/>
        </w:rPr>
      </w:pPr>
      <w:r>
        <w:rPr>
          <w:rFonts w:eastAsia="Times New Roman"/>
          <w:sz w:val="20"/>
          <w:szCs w:val="20"/>
        </w:rPr>
        <w:t xml:space="preserve">33 </w:t>
      </w:r>
    </w:p>
    <w:p w:rsidR="00000000" w:rsidRDefault="004E30E9">
      <w:pPr>
        <w:divId w:val="2113744525"/>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4E30E9">
      <w:pPr>
        <w:divId w:val="66991600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Investing activities during 2019 consisted primarily of:</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$324.3 million in proceeds from the sale of 20 consolidated operating properties and nine parcels;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$27.7 million in reimbursements of investments in and advances to real estate joint ventures and reimbursements of investments in and advances to other</w:t>
            </w:r>
            <w:r>
              <w:rPr>
                <w:sz w:val="20"/>
                <w:szCs w:val="20"/>
              </w:rPr>
              <w:t xml:space="preserve"> real estate investments, primarily related to the sale of properties within the joint venture portfolio and the Company’s Preferred Equity Program;</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$10.4 million in collection of mortgage loans receivable;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$4.0 million in proceeds from insurance casualty claims;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$2.0 million in proceeds from sale of marketable securities.</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$443.7 million for improvements to operating real estate primarily related to the Company’s active redevel</w:t>
            </w:r>
            <w:r>
              <w:rPr>
                <w:sz w:val="20"/>
                <w:szCs w:val="20"/>
              </w:rPr>
              <w:t>opment pipeline and improvements to real estate under development;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$40.5 million for investments in and advances to real estate joint ventures, primarily related to a redevelopment project within the Company’s joint venture portfolio, and investm</w:t>
            </w:r>
            <w:r>
              <w:rPr>
                <w:sz w:val="20"/>
                <w:szCs w:val="20"/>
              </w:rPr>
              <w:t>ents in other real estate investments, primarily related to repayment of a mortgage within the Company’s Preferred Equity Program.</w:t>
            </w:r>
          </w:p>
        </w:tc>
      </w:tr>
    </w:tbl>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Acquisitions of Operating Real Estate and Other Related Net Assets</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720"/>
        <w:jc w:val="both"/>
        <w:rPr>
          <w:sz w:val="20"/>
          <w:szCs w:val="20"/>
        </w:rPr>
      </w:pPr>
      <w:r>
        <w:rPr>
          <w:sz w:val="20"/>
          <w:szCs w:val="20"/>
        </w:rPr>
        <w:t>During the years ended December 31, 2020 and 2019, the Company expended $12.6 million and $2.0 million, respectively, (net of Internal Revenue Code 26 U.S.C. §1031 proceeds) towards the acquisition of operating real estate properties. The Company anticipat</w:t>
      </w:r>
      <w:r>
        <w:rPr>
          <w:sz w:val="20"/>
          <w:szCs w:val="20"/>
        </w:rPr>
        <w:t>es spending approximately $75.0 million to $100.0 million towards the acquisition of operating properties during 2021. The Company intends to fund these acquisitions with cash flow from operating activities, proceeds from property dispositions and availabi</w:t>
      </w:r>
      <w:r>
        <w:rPr>
          <w:sz w:val="20"/>
          <w:szCs w:val="20"/>
        </w:rPr>
        <w:t>lity under its Credit Facility.</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Improvements to Operating Real Estate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During the years ended December 31, 2020 and 2019, the Company expended $221.3 million and $324.8 million, respectively, towards improvements to operating real estate. These amounts </w:t>
      </w:r>
      <w:r>
        <w:rPr>
          <w:sz w:val="20"/>
          <w:szCs w:val="20"/>
        </w:rPr>
        <w:t>consist of the following (in thousands):</w:t>
      </w:r>
    </w:p>
    <w:p w:rsidR="00000000" w:rsidRDefault="004E30E9">
      <w:pPr>
        <w:pStyle w:val="a3"/>
        <w:spacing w:before="0" w:beforeAutospacing="0" w:after="0" w:afterAutospacing="0"/>
        <w:ind w:firstLine="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Redevelopment and renovations</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175,661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265,954</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45,617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58,867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221,278</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324,821</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(1)</w:t>
            </w:r>
          </w:p>
        </w:tc>
        <w:tc>
          <w:tcPr>
            <w:tcW w:w="0" w:type="auto"/>
            <w:hideMark/>
          </w:tcPr>
          <w:p w:rsidR="00000000" w:rsidRDefault="004E30E9">
            <w:pPr>
              <w:pStyle w:val="a3"/>
              <w:spacing w:before="0" w:beforeAutospacing="0" w:after="0" w:afterAutospacing="0"/>
              <w:jc w:val="both"/>
              <w:rPr>
                <w:sz w:val="20"/>
                <w:szCs w:val="20"/>
              </w:rPr>
            </w:pPr>
            <w:r>
              <w:rPr>
                <w:sz w:val="20"/>
                <w:szCs w:val="20"/>
              </w:rPr>
              <w:t>During the year ended December 31, 2020 and 2019, the Company capitalized payroll of $9.4 million and $7.9 million, respectively, and capitalized interest of $9.7 million and $6.3 million, respectively, in connection with the Company’s improvements to oper</w:t>
            </w:r>
            <w:r>
              <w:rPr>
                <w:sz w:val="20"/>
                <w:szCs w:val="20"/>
              </w:rPr>
              <w:t>ating real estate.</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 portfolio which it believes w</w:t>
      </w:r>
      <w:r>
        <w:rPr>
          <w:sz w:val="20"/>
          <w:szCs w:val="20"/>
        </w:rPr>
        <w:t>ill increase the overall value by bringing in new tenants and improving the assets’ value. The Company has identified three categories of redevelopment: (i) large scale redevelopment, which involves demolishing and building new square footage, including sq</w:t>
      </w:r>
      <w:r>
        <w:rPr>
          <w:sz w:val="20"/>
          <w:szCs w:val="20"/>
        </w:rPr>
        <w:t>uare footage for mixed-use, (ii) value creation redevelopment, which includes the subdivision of large anchor spaces into multiple tenant layouts, and (iii) creation of out-parcels and pads located in the front of the shopping center properties.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w:t>
      </w:r>
      <w:r>
        <w:rPr>
          <w:sz w:val="20"/>
          <w:szCs w:val="20"/>
        </w:rPr>
        <w:t>any anticipates its capital commitment toward these redevelopment projects and re-tenanting efforts for 2021 will be approximately $75.0 million to $150.0 million. The funding of these capital requirements will be provided by proceeds from property disposi</w:t>
      </w:r>
      <w:r>
        <w:rPr>
          <w:sz w:val="20"/>
          <w:szCs w:val="20"/>
        </w:rPr>
        <w:t>tions, net cash flow provided by operating activities and availability under the Company’s Credit Facility.</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Financing Activities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Cash flows used for financing activities were $387.4 million for 2020, as compared to $482.8 million for 2019.</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Financing </w:t>
      </w:r>
      <w:r>
        <w:rPr>
          <w:sz w:val="20"/>
          <w:szCs w:val="20"/>
        </w:rPr>
        <w:t>activities during 2020 primarily consisted of the following:</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$900.0 million in proceeds from issuance of unsecured notes comprised of (i) $500.0 million of the Company’s unsecured 2.700% Green Bond due 2030 and (ii) $400.0 million of the Company’s unsecured 1.90% Notes due 2028;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$590.0 million in proceeds from issuance of the Term Loan.</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1427769865"/>
        <w:rPr>
          <w:rFonts w:eastAsia="Times New Roman"/>
          <w:sz w:val="20"/>
          <w:szCs w:val="20"/>
        </w:rPr>
      </w:pPr>
      <w:r>
        <w:rPr>
          <w:rFonts w:eastAsia="Times New Roman"/>
          <w:sz w:val="20"/>
          <w:szCs w:val="20"/>
        </w:rPr>
        <w:t xml:space="preserve">34 </w:t>
      </w:r>
    </w:p>
    <w:p w:rsidR="00000000" w:rsidRDefault="004E30E9">
      <w:pPr>
        <w:divId w:val="779448063"/>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4E30E9">
      <w:pPr>
        <w:divId w:val="24171700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$590.0 million in repayments of the Term Loan;</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$484.9 million in early redemption </w:t>
            </w:r>
            <w:r>
              <w:rPr>
                <w:sz w:val="20"/>
                <w:szCs w:val="20"/>
              </w:rPr>
              <w:t>of the Company’s 3.20% senior unsecured notes due 2021;</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$379.9 million of dividends paid;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$200.0 million in repayments under the Credit Facility, net;</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$169.2 million in principal payment on debt (related to the repayment of debt on four encumbered properties), including normal amortization of rental property debt;</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$23.3 million for the redemption/distribution of noncontrolling interests, primarily </w:t>
            </w:r>
            <w:r>
              <w:rPr>
                <w:sz w:val="20"/>
                <w:szCs w:val="20"/>
              </w:rPr>
              <w:t>related to the redemption of certain partnership interests by consolidated subsidiaries;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$18.0 million for financing origination costs, primarily related to the Credit Facility, Term Loan, Green Bond and senior unsecured notes;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$7.5 million in payment of early extinguishment of debt charges;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$5.6 million in other financing rela</w:t>
            </w:r>
            <w:r>
              <w:rPr>
                <w:sz w:val="20"/>
                <w:szCs w:val="20"/>
              </w:rPr>
              <w:t>ted costs.</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Financing activities during 2019 primarily consisted of the following:</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$350.0 million in proceeds from the issuance of unsecured notes;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$204.0 million in proceeds from the issuance of stock, net, primarily through the Company’s at-the-market continuous offering program (the "ATM program");</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$100.0 million in proceeds from the Company’s Credit Facility, net;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$16.0 million in </w:t>
            </w:r>
            <w:r>
              <w:rPr>
                <w:sz w:val="20"/>
                <w:szCs w:val="20"/>
              </w:rPr>
              <w:t>proceeds from construction loan financing for one development project.</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$575.0 million for the redemption of the Company’s Class I, Class J and Class K Preferred Stock;</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$531.6 million of dividends paid;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$18.8 million for principal payments on debt (related to the repayment of debt on two encumbered properties), including normal amortization on rental property debt;</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$15.1 million for the redemption/distribution</w:t>
            </w:r>
            <w:r>
              <w:rPr>
                <w:sz w:val="20"/>
                <w:szCs w:val="20"/>
              </w:rPr>
              <w:t xml:space="preserve"> of noncontrolling interests, primarily related to the redemption of certain partnership interests by consolidated subsidiaries; and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$7.7 million for financing origination cost, primarily related to the issuance of senior unsecured notes.</w:t>
            </w:r>
          </w:p>
        </w:tc>
      </w:tr>
    </w:tbl>
    <w:p w:rsidR="00000000" w:rsidRDefault="004E30E9">
      <w:pPr>
        <w:pStyle w:val="a3"/>
        <w:spacing w:before="0" w:beforeAutospacing="0" w:after="0" w:afterAutospacing="0"/>
        <w:ind w:left="72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continually evaluates its debt maturities, and, based on management’s current assessment, believes it has viable financing and refinancing alternatives that will not materially adversely impact its expected financial results. The Company contin</w:t>
      </w:r>
      <w:r>
        <w:rPr>
          <w:sz w:val="20"/>
          <w:szCs w:val="20"/>
        </w:rPr>
        <w:t>ues to pursue borrowing opportunities with large commercial U.S. and global banks, select life insurance companies and certain regional and local banks.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Debt maturities for 2021 consist of: $139.4 million of consolidated debt; $138.0 million of unconso</w:t>
      </w:r>
      <w:r>
        <w:rPr>
          <w:sz w:val="20"/>
          <w:szCs w:val="20"/>
        </w:rPr>
        <w:t xml:space="preserve">lidated joint venture debt and $19.9 million of debt included in the Company’s Preferred Equity Program, assuming the utilization of extension options where available.  The 2021 consolidated debt maturities are anticipated to be repaid with operating cash </w:t>
      </w:r>
      <w:r>
        <w:rPr>
          <w:sz w:val="20"/>
          <w:szCs w:val="20"/>
        </w:rPr>
        <w:t>flows and borrowings from the Credit Facility.  The 2021 debt maturities on properties in the Company’s unconsolidated joint ventures and Preferred Equity Program are anticipated to be repaid through operating cash flows, debt refinancing, unsecured credit</w:t>
      </w:r>
      <w:r>
        <w:rPr>
          <w:sz w:val="20"/>
          <w:szCs w:val="20"/>
        </w:rPr>
        <w:t xml:space="preserve"> facilities, proceeds from sales and partner capital contributions, as deemed appropriate.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intends to maintain strong debt service coverage and fixed charge coverage ratios as part of its commitment to maintain or obtain an upgrade on its inv</w:t>
      </w:r>
      <w:r>
        <w:rPr>
          <w:sz w:val="20"/>
          <w:szCs w:val="20"/>
        </w:rPr>
        <w:t>estment-grade senior, unsecured debt ratings.  The Company may, from time to time, seek to obtain funds through additional common and preferred equity offerings, unsecured debt financings and/or mortgage/construction loan financings and other capital alter</w:t>
      </w:r>
      <w:r>
        <w:rPr>
          <w:sz w:val="20"/>
          <w:szCs w:val="20"/>
        </w:rPr>
        <w:t>natives.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Since the completion of the Company’s IPO in 1991, the Company has utilized the public debt and equity markets as its principal source of capital for its expansion needs. Since the IPO, the Company has completed additional offerings of its publi</w:t>
      </w:r>
      <w:r>
        <w:rPr>
          <w:sz w:val="20"/>
          <w:szCs w:val="20"/>
        </w:rPr>
        <w:t>c unsecured debt and equity, raising in the aggregate over $15.6 billion.  Proceeds from public capital market activities have been used for the purposes of, among other things, repaying indebtedness, acquiring interests in open-air shopping centers, fundi</w:t>
      </w:r>
      <w:r>
        <w:rPr>
          <w:sz w:val="20"/>
          <w:szCs w:val="20"/>
        </w:rPr>
        <w:t>ng real estate under development projects, expanding and improving properties in the portfolio and other investments.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During February 2018, the Company filed a shelf registration statement on Form S-3, which is effective for a term of three years, for fu</w:t>
      </w:r>
      <w:r>
        <w:rPr>
          <w:sz w:val="20"/>
          <w:szCs w:val="20"/>
        </w:rPr>
        <w:t>ture unlimited offerings, from time-to-time, of debt securities, preferred stock, depositary shares, common stock and common stock warrants. The Company, pursuant to this shelf registration statement may, or a new shelf registration statement filed to repl</w:t>
      </w:r>
      <w:r>
        <w:rPr>
          <w:sz w:val="20"/>
          <w:szCs w:val="20"/>
        </w:rPr>
        <w:t>ace the existing shelf registration statement, from time to time, offer for sale its senior unsecured debt for any general corporate purposes, including (i) funding specific liquidity requirements in its business, including property acquisitions, developme</w:t>
      </w:r>
      <w:r>
        <w:rPr>
          <w:sz w:val="20"/>
          <w:szCs w:val="20"/>
        </w:rPr>
        <w:t>nt and redevelopment costs and (ii) managing the Company’s debt maturities.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753821691"/>
        <w:rPr>
          <w:rFonts w:eastAsia="Times New Roman"/>
          <w:sz w:val="20"/>
          <w:szCs w:val="20"/>
        </w:rPr>
      </w:pPr>
      <w:r>
        <w:rPr>
          <w:rFonts w:eastAsia="Times New Roman"/>
          <w:sz w:val="20"/>
          <w:szCs w:val="20"/>
        </w:rPr>
        <w:t xml:space="preserve">35 </w:t>
      </w:r>
    </w:p>
    <w:p w:rsidR="00000000" w:rsidRDefault="004E30E9">
      <w:pPr>
        <w:divId w:val="1107000332"/>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4E30E9">
      <w:pPr>
        <w:divId w:val="102780154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During May 2020, the Company filed a registration statement on Form S-8 for its 2020 Equity</w:t>
      </w:r>
      <w:r>
        <w:rPr>
          <w:sz w:val="20"/>
          <w:szCs w:val="20"/>
        </w:rPr>
        <w:t xml:space="preserve"> Participation Plan (the “2020 Plan”), which was approved by the Company’s stockholders and is a successor to the Restated Kimco Realty Corporation 2010 Equity Participation Plan that expired in March 2020.  The 2020 Plan provides for a maximum of 10,000,0</w:t>
      </w:r>
      <w:r>
        <w:rPr>
          <w:sz w:val="20"/>
          <w:szCs w:val="20"/>
        </w:rPr>
        <w:t xml:space="preserve">00 shares of the Company’s common stock to be reserved for the issuance of stock options, stock appreciation rights, restricted stock, restricted stock units, performance awards, dividend equivalents, stock payments and deferred stock awards.  At December </w:t>
      </w:r>
      <w:r>
        <w:rPr>
          <w:sz w:val="20"/>
          <w:szCs w:val="20"/>
        </w:rPr>
        <w:t>31, 2020, the Company had 9.98 million shares of common stock available for issuance under the 2020 Plan. (See Footnote 21 of the Notes to Consolidated Financial Statements included in this Form 10-K).</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Preferred Stock –</w:t>
      </w:r>
    </w:p>
    <w:p w:rsidR="00000000" w:rsidRDefault="004E30E9">
      <w:pPr>
        <w:pStyle w:val="a3"/>
        <w:spacing w:before="0" w:beforeAutospacing="0" w:after="0" w:afterAutospacing="0"/>
        <w:ind w:firstLine="360"/>
        <w:jc w:val="both"/>
        <w:rPr>
          <w:sz w:val="20"/>
          <w:szCs w:val="20"/>
        </w:rPr>
      </w:pPr>
      <w:r>
        <w:rPr>
          <w:i/>
          <w:iCs/>
          <w:sz w:val="20"/>
          <w:szCs w:val="20"/>
        </w:rPr>
        <w:t> </w:t>
      </w:r>
    </w:p>
    <w:p w:rsidR="00000000" w:rsidRDefault="004E30E9">
      <w:pPr>
        <w:pStyle w:val="a3"/>
        <w:spacing w:before="0" w:beforeAutospacing="0" w:after="0" w:afterAutospacing="0"/>
        <w:ind w:left="360"/>
        <w:jc w:val="both"/>
        <w:rPr>
          <w:sz w:val="20"/>
          <w:szCs w:val="20"/>
        </w:rPr>
      </w:pPr>
      <w:r>
        <w:rPr>
          <w:sz w:val="20"/>
          <w:szCs w:val="20"/>
        </w:rPr>
        <w:t>The following Preferred Stock cl</w:t>
      </w:r>
      <w:r>
        <w:rPr>
          <w:sz w:val="20"/>
          <w:szCs w:val="20"/>
        </w:rPr>
        <w:t>asses were redeemed during the year ended December 31, 2019:</w:t>
      </w:r>
    </w:p>
    <w:p w:rsidR="00000000" w:rsidRDefault="004E30E9">
      <w:pPr>
        <w:pStyle w:val="a3"/>
        <w:spacing w:before="0" w:beforeAutospacing="0" w:after="0" w:afterAutospacing="0"/>
        <w:ind w:left="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905"/>
        <w:gridCol w:w="1045"/>
        <w:gridCol w:w="50"/>
        <w:gridCol w:w="60"/>
        <w:gridCol w:w="719"/>
        <w:gridCol w:w="167"/>
        <w:gridCol w:w="50"/>
        <w:gridCol w:w="72"/>
        <w:gridCol w:w="862"/>
        <w:gridCol w:w="50"/>
        <w:gridCol w:w="50"/>
        <w:gridCol w:w="101"/>
        <w:gridCol w:w="964"/>
        <w:gridCol w:w="50"/>
        <w:gridCol w:w="50"/>
        <w:gridCol w:w="101"/>
        <w:gridCol w:w="964"/>
        <w:gridCol w:w="50"/>
        <w:gridCol w:w="50"/>
        <w:gridCol w:w="101"/>
        <w:gridCol w:w="964"/>
        <w:gridCol w:w="50"/>
      </w:tblGrid>
      <w:tr w:rsidR="00000000">
        <w:trPr>
          <w:tblCellSpacing w:w="0" w:type="dxa"/>
        </w:trPr>
        <w:tc>
          <w:tcPr>
            <w:tcW w:w="82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Class of</w:t>
            </w:r>
            <w:r>
              <w:rPr>
                <w:b/>
                <w:bCs/>
                <w:sz w:val="20"/>
                <w:szCs w:val="20"/>
              </w:rPr>
              <w:br/>
              <w:t>Preferred</w:t>
            </w:r>
            <w:r>
              <w:rPr>
                <w:b/>
                <w:bCs/>
                <w:sz w:val="20"/>
                <w:szCs w:val="20"/>
              </w:rPr>
              <w:br/>
              <w:t>Stock</w:t>
            </w:r>
          </w:p>
        </w:tc>
        <w:tc>
          <w:tcPr>
            <w:tcW w:w="43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Redemption</w:t>
            </w:r>
            <w:r>
              <w:rPr>
                <w:b/>
                <w:bCs/>
                <w:sz w:val="20"/>
                <w:szCs w:val="20"/>
              </w:rPr>
              <w:br/>
              <w:t>Date</w:t>
            </w:r>
          </w:p>
        </w:tc>
        <w:tc>
          <w:tcPr>
            <w:tcW w:w="0" w:type="auto"/>
            <w:tcBorders>
              <w:bottom w:val="single" w:sz="6" w:space="0" w:color="000000"/>
            </w:tcBorders>
            <w:vAlign w:val="bottom"/>
            <w:hideMark/>
          </w:tcPr>
          <w:p w:rsidR="00000000" w:rsidRDefault="004E30E9">
            <w:pPr>
              <w:jc w:val="cente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Dividend</w:t>
            </w:r>
            <w:r>
              <w:rPr>
                <w:b/>
                <w:bCs/>
                <w:sz w:val="20"/>
                <w:szCs w:val="20"/>
              </w:rPr>
              <w:br/>
              <w:t>Rate</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Depositary</w:t>
            </w:r>
            <w:r>
              <w:rPr>
                <w:b/>
                <w:bCs/>
                <w:sz w:val="20"/>
                <w:szCs w:val="20"/>
              </w:rPr>
              <w:br/>
              <w:t>Shares</w:t>
            </w:r>
            <w:r>
              <w:rPr>
                <w:b/>
                <w:bCs/>
                <w:sz w:val="20"/>
                <w:szCs w:val="20"/>
              </w:rPr>
              <w:br/>
              <w:t>Redeemed</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Redemption</w:t>
            </w:r>
            <w:r>
              <w:rPr>
                <w:b/>
                <w:bCs/>
                <w:sz w:val="20"/>
                <w:szCs w:val="20"/>
              </w:rPr>
              <w:br/>
              <w:t>Price per Depositary Share</w:t>
            </w:r>
          </w:p>
        </w:tc>
        <w:tc>
          <w:tcPr>
            <w:tcW w:w="0" w:type="auto"/>
            <w:tcBorders>
              <w:bottom w:val="single" w:sz="6" w:space="0" w:color="000000"/>
            </w:tcBorders>
            <w:vAlign w:val="bottom"/>
            <w:hideMark/>
          </w:tcPr>
          <w:p w:rsidR="00000000" w:rsidRDefault="004E30E9">
            <w:pPr>
              <w:jc w:val="cente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jc w:val="cente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Redemption</w:t>
            </w:r>
          </w:p>
          <w:p w:rsidR="00000000" w:rsidRDefault="004E30E9">
            <w:pPr>
              <w:pStyle w:val="a3"/>
              <w:spacing w:before="0" w:beforeAutospacing="0" w:after="0" w:afterAutospacing="0"/>
              <w:jc w:val="center"/>
              <w:rPr>
                <w:sz w:val="20"/>
                <w:szCs w:val="20"/>
              </w:rPr>
            </w:pPr>
            <w:r>
              <w:rPr>
                <w:b/>
                <w:bCs/>
                <w:sz w:val="20"/>
                <w:szCs w:val="20"/>
              </w:rPr>
              <w:t>Amount</w:t>
            </w:r>
          </w:p>
          <w:p w:rsidR="00000000" w:rsidRDefault="004E30E9">
            <w:pPr>
              <w:pStyle w:val="a3"/>
              <w:spacing w:before="0" w:beforeAutospacing="0" w:after="0" w:afterAutospacing="0"/>
              <w:jc w:val="center"/>
              <w:rPr>
                <w:sz w:val="20"/>
                <w:szCs w:val="20"/>
              </w:rPr>
            </w:pPr>
            <w:r>
              <w:rPr>
                <w:b/>
                <w:bCs/>
                <w:sz w:val="20"/>
                <w:szCs w:val="20"/>
              </w:rPr>
              <w:t>(in millions)</w:t>
            </w:r>
          </w:p>
        </w:tc>
        <w:tc>
          <w:tcPr>
            <w:tcW w:w="0" w:type="auto"/>
            <w:tcBorders>
              <w:bottom w:val="single" w:sz="6" w:space="0" w:color="000000"/>
            </w:tcBorders>
            <w:vAlign w:val="bottom"/>
            <w:hideMark/>
          </w:tcPr>
          <w:p w:rsidR="00000000" w:rsidRDefault="004E30E9">
            <w:pPr>
              <w:jc w:val="cente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jc w:val="cente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Redemption</w:t>
            </w:r>
            <w:r>
              <w:rPr>
                <w:b/>
                <w:bCs/>
                <w:sz w:val="20"/>
                <w:szCs w:val="20"/>
              </w:rPr>
              <w:br/>
              <w:t>Charges (1)</w:t>
            </w:r>
          </w:p>
          <w:p w:rsidR="00000000" w:rsidRDefault="004E30E9">
            <w:pPr>
              <w:pStyle w:val="a3"/>
              <w:spacing w:before="0" w:beforeAutospacing="0" w:after="0" w:afterAutospacing="0"/>
              <w:jc w:val="center"/>
              <w:rPr>
                <w:sz w:val="20"/>
                <w:szCs w:val="20"/>
              </w:rPr>
            </w:pPr>
            <w:r>
              <w:rPr>
                <w:b/>
                <w:bCs/>
                <w:sz w:val="20"/>
                <w:szCs w:val="20"/>
              </w:rPr>
              <w:t>(in millions)</w:t>
            </w:r>
          </w:p>
        </w:tc>
        <w:tc>
          <w:tcPr>
            <w:tcW w:w="0" w:type="auto"/>
            <w:tcMar>
              <w:top w:w="0" w:type="dxa"/>
              <w:left w:w="0" w:type="dxa"/>
              <w:bottom w:w="15" w:type="dxa"/>
              <w:right w:w="0" w:type="dxa"/>
            </w:tcMar>
            <w:vAlign w:val="bottom"/>
            <w:hideMark/>
          </w:tcPr>
          <w:p w:rsidR="00000000" w:rsidRDefault="004E30E9">
            <w:pPr>
              <w:jc w:val="center"/>
              <w:rPr>
                <w:rFonts w:eastAsia="Times New Roman"/>
                <w:sz w:val="20"/>
                <w:szCs w:val="20"/>
              </w:rPr>
            </w:pPr>
            <w:r>
              <w:rPr>
                <w:rFonts w:eastAsia="Times New Roman"/>
                <w:sz w:val="20"/>
                <w:szCs w:val="20"/>
              </w:rPr>
              <w:t> </w:t>
            </w:r>
          </w:p>
        </w:tc>
      </w:tr>
      <w:tr w:rsidR="00000000">
        <w:trPr>
          <w:tblCellSpacing w:w="0" w:type="dxa"/>
        </w:trPr>
        <w:tc>
          <w:tcPr>
            <w:tcW w:w="0" w:type="auto"/>
            <w:tcBorders>
              <w:bottom w:val="nil"/>
            </w:tcBorders>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Class I</w:t>
            </w:r>
          </w:p>
        </w:tc>
        <w:tc>
          <w:tcPr>
            <w:tcW w:w="0" w:type="auto"/>
            <w:tcBorders>
              <w:bottom w:val="nil"/>
            </w:tcBorders>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9/14/2019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7,000,000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175.0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5.5</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Class K</w:t>
            </w:r>
          </w:p>
        </w:tc>
        <w:tc>
          <w:tcPr>
            <w:tcW w:w="0" w:type="auto"/>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9/14/2019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5.625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7,000,000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175.0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5.9</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Class J</w:t>
            </w:r>
          </w:p>
        </w:tc>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12/31/2019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9,000,000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7.1</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(1)</w:t>
            </w:r>
          </w:p>
        </w:tc>
        <w:tc>
          <w:tcPr>
            <w:tcW w:w="0" w:type="auto"/>
            <w:hideMark/>
          </w:tcPr>
          <w:p w:rsidR="00000000" w:rsidRDefault="004E30E9">
            <w:pPr>
              <w:pStyle w:val="a3"/>
              <w:spacing w:before="0" w:beforeAutospacing="0" w:after="0" w:afterAutospacing="0"/>
              <w:jc w:val="both"/>
              <w:rPr>
                <w:sz w:val="20"/>
                <w:szCs w:val="20"/>
              </w:rPr>
            </w:pPr>
            <w:r>
              <w:rPr>
                <w:sz w:val="20"/>
                <w:szCs w:val="20"/>
              </w:rPr>
              <w:t>Redemption charges resulting from the difference between the redemption amount and the carrying amount of the respective preferred stock class on the Company’s Consolidated Balance Sheets are accounted for in accordance with the FASB’s guidance on Distingu</w:t>
            </w:r>
            <w:r>
              <w:rPr>
                <w:sz w:val="20"/>
                <w:szCs w:val="20"/>
              </w:rPr>
              <w:t>ishing Liabilities from Equity. These charges were subtracted from net income attributable to the Company to arrive at net income available to the Company’s common shareholders and used in the calculation of earnings per share.</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ATM Program</w:t>
      </w:r>
    </w:p>
    <w:p w:rsidR="00000000" w:rsidRDefault="004E30E9">
      <w:pPr>
        <w:pStyle w:val="a3"/>
        <w:spacing w:before="0" w:beforeAutospacing="0" w:after="0" w:afterAutospacing="0"/>
        <w:ind w:firstLine="36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During Sept</w:t>
      </w:r>
      <w:r>
        <w:rPr>
          <w:sz w:val="20"/>
          <w:szCs w:val="20"/>
        </w:rPr>
        <w:t>ember 2019, the Company established an ATM program pursuant to which the Company may offer and sell from time to time shares of its common stock, par value $0.01 per share, with an aggregate gross sales price of up to $500.0 million through a consortium of</w:t>
      </w:r>
      <w:r>
        <w:rPr>
          <w:sz w:val="20"/>
          <w:szCs w:val="20"/>
        </w:rPr>
        <w:t xml:space="preserve"> banks acting as sales agents. Sales of the shares of common stock may be made, as needed, from time to time in “at the market” offerings as defined in Rule 415 of the Securities Act of 1933, including by means of ordinary brokers’ transactions on the New </w:t>
      </w:r>
      <w:r>
        <w:rPr>
          <w:sz w:val="20"/>
          <w:szCs w:val="20"/>
        </w:rPr>
        <w:t>York Stock Exchange or otherwise (i) at market prices prevailing at the time of sale, (ii) at prices related to prevailing market prices or (iii) as otherwise agreed to with the applicable sales agent. During 2019, the Company issued 9,514,544 shares and r</w:t>
      </w:r>
      <w:r>
        <w:rPr>
          <w:sz w:val="20"/>
          <w:szCs w:val="20"/>
        </w:rPr>
        <w:t>eceived proceeds of $200.1 million, net of commissions and fees of $1.8 million. The Company did not offer for sale any shares of common stock under the ATM program during 2020. As of December 31, 2020, the Company had $298.1 million available under this A</w:t>
      </w:r>
      <w:r>
        <w:rPr>
          <w:sz w:val="20"/>
          <w:szCs w:val="20"/>
        </w:rPr>
        <w:t>TM program.</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Share Repurchase Program –</w:t>
      </w:r>
    </w:p>
    <w:p w:rsidR="00000000" w:rsidRDefault="004E30E9">
      <w:pPr>
        <w:pStyle w:val="a3"/>
        <w:spacing w:before="0" w:beforeAutospacing="0" w:after="0" w:afterAutospacing="0"/>
        <w:ind w:firstLine="36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During February 2020, the Company extended its share repurchase program, for a term of two years, which is scheduled to expire February 29, 2022. Under this program, the Company may repurchase shares of its common stock, par value $0.01 per share, with an </w:t>
      </w:r>
      <w:r>
        <w:rPr>
          <w:sz w:val="20"/>
          <w:szCs w:val="20"/>
        </w:rPr>
        <w:t>aggregate gross purchase price of up to $300.0 million. The Company did not repurchase any shares under the share repurchase program during the year ended December 31, 2020. As of December 31, 2020, the Company had $224.9 million available under this commo</w:t>
      </w:r>
      <w:r>
        <w:rPr>
          <w:sz w:val="20"/>
          <w:szCs w:val="20"/>
        </w:rPr>
        <w:t>n share repurchase program.</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Senior Notes –</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During the year ended December 31, 2020, the Company issued the following senior unsecured notes (dollars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2114"/>
        <w:gridCol w:w="2396"/>
        <w:gridCol w:w="67"/>
        <w:gridCol w:w="101"/>
        <w:gridCol w:w="1055"/>
        <w:gridCol w:w="67"/>
        <w:gridCol w:w="68"/>
        <w:gridCol w:w="68"/>
        <w:gridCol w:w="1056"/>
        <w:gridCol w:w="68"/>
      </w:tblGrid>
      <w:tr w:rsidR="00000000">
        <w:trPr>
          <w:tblCellSpacing w:w="0" w:type="dxa"/>
        </w:trPr>
        <w:tc>
          <w:tcPr>
            <w:tcW w:w="15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Date Issued</w:t>
            </w:r>
          </w:p>
        </w:tc>
        <w:tc>
          <w:tcPr>
            <w:tcW w:w="17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Maturity Date</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Amount Issued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Interest Rate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Aug-2020</w:t>
            </w:r>
          </w:p>
        </w:tc>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Mar-2028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center"/>
              <w:rPr>
                <w:rFonts w:eastAsia="Times New Roman"/>
                <w:sz w:val="20"/>
                <w:szCs w:val="20"/>
              </w:rPr>
            </w:pPr>
            <w:r>
              <w:rPr>
                <w:rFonts w:eastAsia="Times New Roman"/>
                <w:sz w:val="20"/>
                <w:szCs w:val="20"/>
              </w:rPr>
              <w:t>1.90%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Jul-2020 (1)</w:t>
            </w:r>
          </w:p>
        </w:tc>
        <w:tc>
          <w:tcPr>
            <w:tcW w:w="0" w:type="auto"/>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Oct-2030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center"/>
              <w:rPr>
                <w:rFonts w:eastAsia="Times New Roman"/>
                <w:sz w:val="20"/>
                <w:szCs w:val="20"/>
              </w:rPr>
            </w:pPr>
            <w:r>
              <w:rPr>
                <w:rFonts w:eastAsia="Times New Roman"/>
                <w:sz w:val="20"/>
                <w:szCs w:val="20"/>
              </w:rPr>
              <w:t>2.70%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
        <w:gridCol w:w="360"/>
        <w:gridCol w:w="7766"/>
      </w:tblGrid>
      <w:tr w:rsidR="00000000">
        <w:trPr>
          <w:tblCellSpacing w:w="0" w:type="dxa"/>
        </w:trPr>
        <w:tc>
          <w:tcPr>
            <w:tcW w:w="18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(1)</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In July 2020, the Company issued unsecured Green Bond, of which the net proceeds from this offering are allocated to finance or refinance, in whole or in part, recently completed, existing or future Eligible Green Projects, in alignment with the four core </w:t>
            </w:r>
            <w:r>
              <w:rPr>
                <w:sz w:val="20"/>
                <w:szCs w:val="20"/>
              </w:rPr>
              <w:t>components of the Green Bond Principles, 2018 as administered by the International Capital Market Association. Eligible Green Projects include projects with disbursements made in the three years preceding the issue date of the notes. The Company intends to</w:t>
            </w:r>
            <w:r>
              <w:rPr>
                <w:sz w:val="20"/>
                <w:szCs w:val="20"/>
              </w:rPr>
              <w:t xml:space="preserve"> spend the remaining net proceeds from the offering during the life of the notes.</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1308701287"/>
        <w:rPr>
          <w:rFonts w:eastAsia="Times New Roman"/>
          <w:sz w:val="20"/>
          <w:szCs w:val="20"/>
        </w:rPr>
      </w:pPr>
      <w:r>
        <w:rPr>
          <w:rFonts w:eastAsia="Times New Roman"/>
          <w:sz w:val="20"/>
          <w:szCs w:val="20"/>
        </w:rPr>
        <w:t xml:space="preserve">36 </w:t>
      </w:r>
    </w:p>
    <w:p w:rsidR="00000000" w:rsidRDefault="004E30E9">
      <w:pPr>
        <w:divId w:val="1364936696"/>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4E30E9">
      <w:pPr>
        <w:divId w:val="6387256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During the year ended December 31, 2020, the Company repaid the following senior unsecured notes (dollars in millions):</w:t>
      </w:r>
    </w:p>
    <w:p w:rsidR="00000000" w:rsidRDefault="004E30E9">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2114"/>
        <w:gridCol w:w="2396"/>
        <w:gridCol w:w="67"/>
        <w:gridCol w:w="101"/>
        <w:gridCol w:w="1055"/>
        <w:gridCol w:w="67"/>
        <w:gridCol w:w="68"/>
        <w:gridCol w:w="68"/>
        <w:gridCol w:w="1056"/>
        <w:gridCol w:w="68"/>
      </w:tblGrid>
      <w:tr w:rsidR="00000000">
        <w:trPr>
          <w:tblCellSpacing w:w="0" w:type="dxa"/>
        </w:trPr>
        <w:tc>
          <w:tcPr>
            <w:tcW w:w="15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Date Paid</w:t>
            </w:r>
          </w:p>
        </w:tc>
        <w:tc>
          <w:tcPr>
            <w:tcW w:w="17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Maturity Date</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Amount Repaid</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Intere</w:t>
            </w:r>
            <w:r>
              <w:rPr>
                <w:b/>
                <w:bCs/>
                <w:sz w:val="20"/>
                <w:szCs w:val="20"/>
              </w:rPr>
              <w:t>st Rate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Jul-2020 &amp; Aug-2020 (1)</w:t>
            </w:r>
          </w:p>
        </w:tc>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May-2021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484.9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center"/>
              <w:rPr>
                <w:rFonts w:eastAsia="Times New Roman"/>
                <w:sz w:val="20"/>
                <w:szCs w:val="20"/>
              </w:rPr>
            </w:pPr>
            <w:r>
              <w:rPr>
                <w:rFonts w:eastAsia="Times New Roman"/>
                <w:sz w:val="20"/>
                <w:szCs w:val="20"/>
              </w:rPr>
              <w:t>3.20%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(1)</w:t>
            </w:r>
          </w:p>
        </w:tc>
        <w:tc>
          <w:tcPr>
            <w:tcW w:w="0" w:type="auto"/>
            <w:hideMark/>
          </w:tcPr>
          <w:p w:rsidR="00000000" w:rsidRDefault="004E30E9">
            <w:pPr>
              <w:pStyle w:val="a3"/>
              <w:spacing w:before="0" w:beforeAutospacing="0" w:after="0" w:afterAutospacing="0"/>
              <w:jc w:val="both"/>
              <w:rPr>
                <w:sz w:val="20"/>
                <w:szCs w:val="20"/>
              </w:rPr>
            </w:pPr>
            <w:r>
              <w:rPr>
                <w:sz w:val="20"/>
                <w:szCs w:val="20"/>
              </w:rPr>
              <w:t>The Company incurred a prepayment charge of $7.5 million, which is included in Early extinguishment of debt charges on the Company’s Consolidated Statements of Income.</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Company’s supplemental indenture governing its senior notes contains the followin</w:t>
      </w:r>
      <w:r>
        <w:rPr>
          <w:sz w:val="20"/>
          <w:szCs w:val="20"/>
        </w:rPr>
        <w:t>g covenants, all of which the Company is compliant with:</w:t>
      </w:r>
    </w:p>
    <w:p w:rsidR="00000000" w:rsidRDefault="004E30E9">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399"/>
        <w:gridCol w:w="83"/>
        <w:gridCol w:w="1329"/>
        <w:gridCol w:w="83"/>
        <w:gridCol w:w="1329"/>
        <w:gridCol w:w="83"/>
      </w:tblGrid>
      <w:tr w:rsidR="00000000">
        <w:trPr>
          <w:tblCellSpacing w:w="0" w:type="dxa"/>
        </w:trPr>
        <w:tc>
          <w:tcPr>
            <w:tcW w:w="325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Covenant</w:t>
            </w:r>
          </w:p>
        </w:tc>
        <w:tc>
          <w:tcPr>
            <w:tcW w:w="50" w:type="pct"/>
            <w:vAlign w:val="bottom"/>
            <w:hideMark/>
          </w:tcPr>
          <w:p w:rsidR="00000000" w:rsidRDefault="004E30E9">
            <w:pPr>
              <w:jc w:val="cente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Must Be</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As of December 31, 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50" w:type="pct"/>
            <w:tcBorders>
              <w:bottom w:val="nil"/>
            </w:tcBorders>
            <w:shd w:val="clear" w:color="auto" w:fill="CCEEFF"/>
            <w:vAlign w:val="bottom"/>
            <w:hideMark/>
          </w:tcPr>
          <w:p w:rsidR="00000000" w:rsidRDefault="004E30E9">
            <w:pPr>
              <w:pStyle w:val="a3"/>
              <w:spacing w:before="0" w:beforeAutospacing="0" w:after="0" w:afterAutospacing="0"/>
              <w:rPr>
                <w:sz w:val="20"/>
                <w:szCs w:val="20"/>
              </w:rPr>
            </w:pPr>
            <w:r>
              <w:rPr>
                <w:sz w:val="20"/>
                <w:szCs w:val="20"/>
              </w:rPr>
              <w:t>Consolidated Indebtedness to Total Assets</w:t>
            </w:r>
          </w:p>
        </w:tc>
        <w:tc>
          <w:tcPr>
            <w:tcW w:w="50" w:type="pct"/>
            <w:tcBorders>
              <w:bottom w:val="nil"/>
            </w:tcBorders>
            <w:shd w:val="clear" w:color="auto" w:fill="CCEEFF"/>
            <w:vAlign w:val="bottom"/>
            <w:hideMark/>
          </w:tcPr>
          <w:p w:rsidR="00000000" w:rsidRDefault="004E30E9">
            <w:pPr>
              <w:jc w:val="cente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&lt;65%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rsidR="00000000" w:rsidRDefault="004E30E9">
            <w:pPr>
              <w:jc w:val="center"/>
              <w:rPr>
                <w:rFonts w:eastAsia="Times New Roman"/>
                <w:sz w:val="20"/>
                <w:szCs w:val="20"/>
              </w:rPr>
            </w:pPr>
            <w:r>
              <w:rPr>
                <w:rFonts w:eastAsia="Times New Roman"/>
                <w:sz w:val="20"/>
                <w:szCs w:val="20"/>
              </w:rPr>
              <w:t>39%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Consolidated Secured Indebtedness to Total Assets</w:t>
            </w:r>
          </w:p>
        </w:tc>
        <w:tc>
          <w:tcPr>
            <w:tcW w:w="50" w:type="pct"/>
            <w:shd w:val="clear" w:color="auto" w:fill="FFFFFF"/>
            <w:vAlign w:val="bottom"/>
            <w:hideMark/>
          </w:tcPr>
          <w:p w:rsidR="00000000" w:rsidRDefault="004E30E9">
            <w:pPr>
              <w:jc w:val="cente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&lt;40%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jc w:val="center"/>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Consolidated Income Available for Debt Service to Maximum Annual Service Charge</w:t>
            </w:r>
          </w:p>
        </w:tc>
        <w:tc>
          <w:tcPr>
            <w:tcW w:w="50" w:type="pct"/>
            <w:shd w:val="clear" w:color="auto" w:fill="CCEEFF"/>
            <w:vAlign w:val="bottom"/>
            <w:hideMark/>
          </w:tcPr>
          <w:p w:rsidR="00000000" w:rsidRDefault="004E30E9">
            <w:pPr>
              <w:jc w:val="cente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&gt;1.50x</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7.9x</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Unencumbered Total Asset Value to Consolidated Unsecured Indebtedness</w:t>
            </w:r>
          </w:p>
        </w:tc>
        <w:tc>
          <w:tcPr>
            <w:tcW w:w="50" w:type="pct"/>
            <w:shd w:val="clear" w:color="auto" w:fill="FFFFFF"/>
            <w:vAlign w:val="bottom"/>
            <w:hideMark/>
          </w:tcPr>
          <w:p w:rsidR="00000000" w:rsidRDefault="004E30E9">
            <w:pPr>
              <w:jc w:val="cente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2.6x</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For a full description of the various indenture covenants refer to the Indenture dated September 1, 1993; the First Supplemental Indenture dated August 4, 1994; the Second Supplemental Indenture dated April 7, 1995; the Third Supplemental Indenture dated J</w:t>
      </w:r>
      <w:r>
        <w:rPr>
          <w:sz w:val="20"/>
          <w:szCs w:val="20"/>
        </w:rPr>
        <w:t>une 2, 2006; the Fourth Supplemental Indenture dated April 26, 2007; the Fifth Supplemental Indenture dated as of September 24, 2009; the Sixth Supplemental Indenture dated as of May 23, 2013; and the Seventh Supplemental Indenture dated as of April 24, 20</w:t>
      </w:r>
      <w:r>
        <w:rPr>
          <w:sz w:val="20"/>
          <w:szCs w:val="20"/>
        </w:rPr>
        <w:t>14, each as filed with the SEC. See the Exhibits Index for specific filing information.</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Credit Facility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February 2020, the Company obtained a new $2.0 billion Credit Facility with a group of banks, which replaced the Company’s existing $2.25 billion unsecured revolving credit facility. The Credit Facility is scheduled to expire in March 2024, with two add</w:t>
      </w:r>
      <w:r>
        <w:rPr>
          <w:sz w:val="20"/>
          <w:szCs w:val="20"/>
        </w:rPr>
        <w:t>itional six-month options to extend the maturity date, at the Company’s discretion, to March 2025. The Credit Facility is a green credit facility tied to sustainability metric targets, as described in the agreement. The Company achieved such targets, which</w:t>
      </w:r>
      <w:r>
        <w:rPr>
          <w:sz w:val="20"/>
          <w:szCs w:val="20"/>
        </w:rPr>
        <w:t xml:space="preserve"> effectively reduced the rate on the Credit Facility by one basis point. The Credit Facility, which accrues interest at a rate of LIBOR plus 76.5 basis points (0.91% as of December 31, 2020), can be increased to $2.75 billion through an accordion feature. </w:t>
      </w:r>
      <w:r>
        <w:rPr>
          <w:sz w:val="20"/>
          <w:szCs w:val="20"/>
        </w:rPr>
        <w:t>Pursuant to the terms of the Credit Facility, the Company, among other things, is subject to covenants requiring the maintenance of (i) maximum indebtedness ratios and (ii) minimum interest and fixed charge coverage ratios. As of December 31, 2020, the Cre</w:t>
      </w:r>
      <w:r>
        <w:rPr>
          <w:sz w:val="20"/>
          <w:szCs w:val="20"/>
        </w:rPr>
        <w:t>dit Facility had no outstanding balance and $0.3 million appropriated for letters of credit and the Company was in compliance with its covenants.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Pursuant to the terms of the Credit Facility, the Company is subject to maintenance of various covenants. Th</w:t>
      </w:r>
      <w:r>
        <w:rPr>
          <w:sz w:val="20"/>
          <w:szCs w:val="20"/>
        </w:rPr>
        <w:t>e Company is currently in compliance with these covenants. The financial covenants for the Credit Facility are as follows:</w:t>
      </w:r>
    </w:p>
    <w:p w:rsidR="00000000" w:rsidRDefault="004E30E9">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399"/>
        <w:gridCol w:w="83"/>
        <w:gridCol w:w="1329"/>
        <w:gridCol w:w="83"/>
        <w:gridCol w:w="1329"/>
        <w:gridCol w:w="83"/>
      </w:tblGrid>
      <w:tr w:rsidR="00000000">
        <w:trPr>
          <w:tblCellSpacing w:w="0" w:type="dxa"/>
        </w:trPr>
        <w:tc>
          <w:tcPr>
            <w:tcW w:w="325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Covenant</w:t>
            </w:r>
          </w:p>
        </w:tc>
        <w:tc>
          <w:tcPr>
            <w:tcW w:w="50" w:type="pct"/>
            <w:vAlign w:val="bottom"/>
            <w:hideMark/>
          </w:tcPr>
          <w:p w:rsidR="00000000" w:rsidRDefault="004E30E9">
            <w:pPr>
              <w:jc w:val="cente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Must Be</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As of December 31, 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50" w:type="pct"/>
            <w:tcBorders>
              <w:bottom w:val="nil"/>
            </w:tcBorders>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Indebtedness to Gross Asset Value (“GAV”)</w:t>
            </w:r>
          </w:p>
        </w:tc>
        <w:tc>
          <w:tcPr>
            <w:tcW w:w="50" w:type="pct"/>
            <w:tcBorders>
              <w:bottom w:val="nil"/>
            </w:tcBorders>
            <w:shd w:val="clear" w:color="auto" w:fill="CCEEFF"/>
            <w:vAlign w:val="bottom"/>
            <w:hideMark/>
          </w:tcPr>
          <w:p w:rsidR="00000000" w:rsidRDefault="004E30E9">
            <w:pPr>
              <w:jc w:val="cente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&lt;60%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rsidR="00000000" w:rsidRDefault="004E30E9">
            <w:pPr>
              <w:jc w:val="center"/>
              <w:rPr>
                <w:rFonts w:eastAsia="Times New Roman"/>
                <w:sz w:val="20"/>
                <w:szCs w:val="20"/>
              </w:rPr>
            </w:pPr>
            <w:r>
              <w:rPr>
                <w:rFonts w:eastAsia="Times New Roman"/>
                <w:sz w:val="20"/>
                <w:szCs w:val="20"/>
              </w:rPr>
              <w:t>45%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Priority Indebtedness to GAV</w:t>
            </w:r>
          </w:p>
        </w:tc>
        <w:tc>
          <w:tcPr>
            <w:tcW w:w="50" w:type="pct"/>
            <w:shd w:val="clear" w:color="auto" w:fill="FFFFFF"/>
            <w:vAlign w:val="bottom"/>
            <w:hideMark/>
          </w:tcPr>
          <w:p w:rsidR="00000000" w:rsidRDefault="004E30E9">
            <w:pPr>
              <w:jc w:val="cente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&lt;35%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jc w:val="center"/>
              <w:rPr>
                <w:rFonts w:eastAsia="Times New Roman"/>
                <w:sz w:val="20"/>
                <w:szCs w:val="20"/>
              </w:rPr>
            </w:pPr>
            <w:r>
              <w:rPr>
                <w:rFonts w:eastAsia="Times New Roman"/>
                <w:sz w:val="20"/>
                <w:szCs w:val="20"/>
              </w:rPr>
              <w:t>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Unencumbered Asset Net Operating Income to Total Unsecured Interest Expense</w:t>
            </w:r>
          </w:p>
        </w:tc>
        <w:tc>
          <w:tcPr>
            <w:tcW w:w="50" w:type="pct"/>
            <w:shd w:val="clear" w:color="auto" w:fill="CCEEFF"/>
            <w:vAlign w:val="bottom"/>
            <w:hideMark/>
          </w:tcPr>
          <w:p w:rsidR="00000000" w:rsidRDefault="004E30E9">
            <w:pPr>
              <w:jc w:val="cente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&gt;1.75x</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3.6x</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Fixed Charge Total Adjusted EBITDA to Total Debt Service</w:t>
            </w:r>
          </w:p>
        </w:tc>
        <w:tc>
          <w:tcPr>
            <w:tcW w:w="50" w:type="pct"/>
            <w:shd w:val="clear" w:color="auto" w:fill="FFFFFF"/>
            <w:vAlign w:val="bottom"/>
            <w:hideMark/>
          </w:tcPr>
          <w:p w:rsidR="00000000" w:rsidRDefault="004E30E9">
            <w:pPr>
              <w:jc w:val="cente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3.3x</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For a full description of the Credit Facility’s covenants refer to the Amended and Restated Credit Agreement dated as of February 27, 2020, filed as Exhibit 10.1 to the Company’s Current Report on Form 8-K dated February 28, 2020.</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Term Loan –</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On April </w:t>
      </w:r>
      <w:r>
        <w:rPr>
          <w:sz w:val="20"/>
          <w:szCs w:val="20"/>
        </w:rPr>
        <w:t>1, 2020, the Company entered into the Term Loan with total outstanding borrowings of $590.0 million pursuant to a credit agreement with a group of banks. The Term Loan was scheduled to mature in April 2021, with a one-year extension option to extend the ma</w:t>
      </w:r>
      <w:r>
        <w:rPr>
          <w:sz w:val="20"/>
          <w:szCs w:val="20"/>
        </w:rPr>
        <w:t>turity date, at the Company’s discretion, to April 2022. The Term Loan accrued interest at a rate of LIBOR plus 140 basis points or, at the Company’s option, a spread of 40 basis points to the base rate defined in the Term Loan, that in each case fluctuate</w:t>
      </w:r>
      <w:r>
        <w:rPr>
          <w:sz w:val="20"/>
          <w:szCs w:val="20"/>
        </w:rPr>
        <w:t>d in accordance with changes in the Company’s senior debt ratings. The Term Loan could be increased by an additional $750.0 million through an accordion feature. Pursuant to the terms of the Term Loan, the Company was subject to covenants that were substan</w:t>
      </w:r>
      <w:r>
        <w:rPr>
          <w:sz w:val="20"/>
          <w:szCs w:val="20"/>
        </w:rPr>
        <w:t>tially the same as those in the Credit Facility. During July 2020, the Term Loan was fully repaid and the facility was terminated.</w:t>
      </w:r>
    </w:p>
    <w:p w:rsidR="00000000" w:rsidRDefault="004E30E9">
      <w:pPr>
        <w:pStyle w:val="a3"/>
        <w:spacing w:before="0" w:beforeAutospacing="0" w:after="0" w:afterAutospacing="0"/>
        <w:jc w:val="both"/>
        <w:rPr>
          <w:sz w:val="20"/>
          <w:szCs w:val="20"/>
        </w:rPr>
      </w:pPr>
      <w:r>
        <w:rPr>
          <w:i/>
          <w:iCs/>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Mortgages and Construction Loan Payable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During 2020, the Company repaid $92.0 million of mortgage debt (including fair </w:t>
      </w:r>
      <w:r>
        <w:rPr>
          <w:sz w:val="20"/>
          <w:szCs w:val="20"/>
        </w:rPr>
        <w:t>market value adjustment of $0.4 million) that encumbered four operating properties.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August 2018, the Company closed on a construction loan commitment of $67.0 million relating to one development property. This loan commitment was scheduled to mature i</w:t>
      </w:r>
      <w:r>
        <w:rPr>
          <w:sz w:val="20"/>
          <w:szCs w:val="20"/>
        </w:rPr>
        <w:t>n August 2020, with six additional six-month options to extend the maturity date to August 2023 and bore interest at a rate of LIBOR plus 180 basis points. This construction loan was fully repaid in January 2020.</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1563250554"/>
        <w:rPr>
          <w:rFonts w:eastAsia="Times New Roman"/>
          <w:sz w:val="20"/>
          <w:szCs w:val="20"/>
        </w:rPr>
      </w:pPr>
      <w:r>
        <w:rPr>
          <w:rFonts w:eastAsia="Times New Roman"/>
          <w:sz w:val="20"/>
          <w:szCs w:val="20"/>
        </w:rPr>
        <w:t xml:space="preserve">37 </w:t>
      </w:r>
    </w:p>
    <w:p w:rsidR="00000000" w:rsidRDefault="004E30E9">
      <w:pPr>
        <w:divId w:val="1807621907"/>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4E30E9">
      <w:pPr>
        <w:divId w:val="41872200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In addition to the public equity and debt markets as capital sources, the Company may, from time to time, obtain mortgage financing on selected properties and construction loans to partially fund the capital</w:t>
      </w:r>
      <w:r>
        <w:rPr>
          <w:sz w:val="20"/>
          <w:szCs w:val="20"/>
        </w:rPr>
        <w:t xml:space="preserve"> needs of its real estate under development projects. As of December 31, 2020, the Company had over 325 unencumbered property interests in its portfolio.</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COVID-19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As the COVID-19 pandemic continues to evolve, an uncertainty remains in relation to the</w:t>
      </w:r>
      <w:r>
        <w:rPr>
          <w:sz w:val="20"/>
          <w:szCs w:val="20"/>
        </w:rPr>
        <w:t xml:space="preserve"> long-term economic impact it will have. As a result, the Company has focused on creating a strong liquidity position by: (i) maintaining availability under its $2.0 billion ($2.75 billion with the accordion feature) Credit Facility; (ii) issuing a $500.0 </w:t>
      </w:r>
      <w:r>
        <w:rPr>
          <w:sz w:val="20"/>
          <w:szCs w:val="20"/>
        </w:rPr>
        <w:t>million Green Bond, (iii) issuing $400.0 million of 1.90% unsecured senior notes due 2028; (iv) paying down and terminating its Term Loan; (v) repaying $484.9 million of senior unsecured notes due 2021 which extended the Company’s weighted average debt mat</w:t>
      </w:r>
      <w:r>
        <w:rPr>
          <w:sz w:val="20"/>
          <w:szCs w:val="20"/>
        </w:rPr>
        <w:t>urity profile to 10.9 years, (vi) holding $293.2 million of cash and cash equivalents on hand at December 31, 2020; and (vii) having access to over 325 unencumbered property interests.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continues to monitor the impact of COVID-19 on the Compan</w:t>
      </w:r>
      <w:r>
        <w:rPr>
          <w:sz w:val="20"/>
          <w:szCs w:val="20"/>
        </w:rPr>
        <w:t>y’s business, tenants and industry as a whole. The magnitude and duration of the COVID-19 pandemic and its impact on the Company’s operations and liquidity remains uncertain as this pandemic continues to evolve globally and within the United States. The co</w:t>
      </w:r>
      <w:r>
        <w:rPr>
          <w:sz w:val="20"/>
          <w:szCs w:val="20"/>
        </w:rPr>
        <w:t>ntinued impact of COVID-19 could materially disrupt the Company’s business operations and materially adversely affect the Company’s liquidity. Management cannot, at this point, fully estimate ultimate losses related to the COVID-19 pandemic.</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Dividends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In connection with its intention to continue to qualify as a REIT for U.S. federal income tax purposes, the Company expects to continue paying regular dividends to its stockholders. These dividends will be paid from operating cash flows. The </w:t>
      </w:r>
      <w:r>
        <w:rPr>
          <w:sz w:val="20"/>
          <w:szCs w:val="20"/>
        </w:rPr>
        <w:t>Company’s Board of Directors will continue to evaluate the Company’s dividend policy on a quarterly basis as the Board of Directors monitors sources of capital and evaluates the impact of the economy and capital markets availability on operating fundamenta</w:t>
      </w:r>
      <w:r>
        <w:rPr>
          <w:sz w:val="20"/>
          <w:szCs w:val="20"/>
        </w:rPr>
        <w:t>ls.  Since cash used to pay dividends reduces amounts available for capital investment, the Company generally intends to maintain a dividend payout ratio which reserves such amounts as it considers necessary for the expansion and renovation of shopping cen</w:t>
      </w:r>
      <w:r>
        <w:rPr>
          <w:sz w:val="20"/>
          <w:szCs w:val="20"/>
        </w:rPr>
        <w:t>ters in its portfolio, debt reduction, the acquisition of interests in new properties and other investments as suitable opportunities arise and such other factors as the Board of Directors considers appropriate.  Cash dividends paid were $379.9 million, $5</w:t>
      </w:r>
      <w:r>
        <w:rPr>
          <w:sz w:val="20"/>
          <w:szCs w:val="20"/>
        </w:rPr>
        <w:t>31.6 million and $529.8 million in 2020, 2019 and 2018 respectively.</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Although the Company receives substantially all of its rental payments on a monthly basis, it generally intends to continue paying dividends quarterly.  Amounts accumulated in advance o</w:t>
      </w:r>
      <w:r>
        <w:rPr>
          <w:sz w:val="20"/>
          <w:szCs w:val="20"/>
        </w:rPr>
        <w:t>f each quarterly distribution will be invested by the Company in short-term money market or other suitable instruments.  The Company’s Board of Directors will continue to monitor the impact the COVID-19 pandemic has on the Company's financial performance a</w:t>
      </w:r>
      <w:r>
        <w:rPr>
          <w:sz w:val="20"/>
          <w:szCs w:val="20"/>
        </w:rPr>
        <w:t>nd economic outlook.  The Company’s objective is to establish a dividend level which maintains compliance with the Company’s REIT taxable income distribution requirements.  On February 22, 2021, the Company’s Board of Directors declared a quarterly cash di</w:t>
      </w:r>
      <w:r>
        <w:rPr>
          <w:sz w:val="20"/>
          <w:szCs w:val="20"/>
        </w:rPr>
        <w:t>vidend of $0.17 per common share payable to shareholders of record on March 10, 2021, which is scheduled to be paid on March 24, 2021.</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Company’s Board of Directors declared a quarterly dividend with respect to the Company’s classes of cumulative rede</w:t>
      </w:r>
      <w:r>
        <w:rPr>
          <w:sz w:val="20"/>
          <w:szCs w:val="20"/>
        </w:rPr>
        <w:t>emable preferred shares (Classes L and M) which are scheduled to be paid on April 15, 2021, to shareholders of record on April 1, 2021.</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Other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is subject to taxes on activities in Puerto Rico, Canada, and Mexico.  In general, under local c</w:t>
      </w:r>
      <w:r>
        <w:rPr>
          <w:sz w:val="20"/>
          <w:szCs w:val="20"/>
        </w:rPr>
        <w:t>ountry law applicable to the structures the Company has in place and applicable treaties, the repatriation of cash to the Company from its subsidiaries and joint ventures in Puerto Rico, Canada and Mexico generally are not subject to withholding tax. The C</w:t>
      </w:r>
      <w:r>
        <w:rPr>
          <w:sz w:val="20"/>
          <w:szCs w:val="20"/>
        </w:rPr>
        <w:t>ompany is subject to and also includes in its tax provision non-U.S. income taxes on certain investments located in jurisdictions outside the U.S. These investments are held by the Company at the REIT level and not in the Company’s taxable REIT subsidiary.</w:t>
      </w:r>
      <w:r>
        <w:rPr>
          <w:sz w:val="20"/>
          <w:szCs w:val="20"/>
        </w:rPr>
        <w:t xml:space="preserve"> Accordingly, the Company does not expect a U.S. income tax impact associated with the repatriation of undistributed earnings from the Company’s foreign subsidiaries.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436751254"/>
        <w:rPr>
          <w:rFonts w:eastAsia="Times New Roman"/>
          <w:sz w:val="20"/>
          <w:szCs w:val="20"/>
        </w:rPr>
      </w:pPr>
      <w:r>
        <w:rPr>
          <w:rFonts w:eastAsia="Times New Roman"/>
          <w:sz w:val="20"/>
          <w:szCs w:val="20"/>
        </w:rPr>
        <w:t xml:space="preserve">38 </w:t>
      </w:r>
    </w:p>
    <w:p w:rsidR="00000000" w:rsidRDefault="004E30E9">
      <w:pPr>
        <w:divId w:val="836270614"/>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4E30E9">
      <w:pPr>
        <w:divId w:val="13276285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Contractual Obligations and Other Commitments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 has debt obligations relating to its Credit Facility, unsecured senior notes and mortgages with maturities ranging from four months to 28 years. As of December 31, 2020, the Company’s total debt </w:t>
      </w:r>
      <w:r>
        <w:rPr>
          <w:sz w:val="20"/>
          <w:szCs w:val="20"/>
        </w:rPr>
        <w:t>had a weighted average term to maturity of 10.9 years. In addition, the Company has non-cancelable operating leases pertaining to its shopping center portfolio. As of December 31, 2020, the Company had 30 consolidated shopping center properties that are su</w:t>
      </w:r>
      <w:r>
        <w:rPr>
          <w:sz w:val="20"/>
          <w:szCs w:val="20"/>
        </w:rPr>
        <w:t>bject to long-term ground leases where a third-party owns and has leased the underlying land to the Company to construct and/or operate a shopping center. The following table summarizes the Company’s debt maturities (excluding extension options, unamortize</w:t>
      </w:r>
      <w:r>
        <w:rPr>
          <w:sz w:val="20"/>
          <w:szCs w:val="20"/>
        </w:rPr>
        <w:t>d debt issuance costs of $56.4 million and fair market value of debt adjustments aggregating $3.5 million) and obligations under non-cancelable operating leases as of December 31, 2020:</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73"/>
        <w:gridCol w:w="64"/>
        <w:gridCol w:w="100"/>
        <w:gridCol w:w="562"/>
        <w:gridCol w:w="64"/>
        <w:gridCol w:w="64"/>
        <w:gridCol w:w="100"/>
        <w:gridCol w:w="562"/>
        <w:gridCol w:w="64"/>
        <w:gridCol w:w="64"/>
        <w:gridCol w:w="100"/>
        <w:gridCol w:w="562"/>
        <w:gridCol w:w="64"/>
        <w:gridCol w:w="64"/>
        <w:gridCol w:w="100"/>
        <w:gridCol w:w="562"/>
        <w:gridCol w:w="64"/>
        <w:gridCol w:w="64"/>
        <w:gridCol w:w="100"/>
        <w:gridCol w:w="562"/>
        <w:gridCol w:w="65"/>
        <w:gridCol w:w="65"/>
        <w:gridCol w:w="116"/>
        <w:gridCol w:w="806"/>
        <w:gridCol w:w="65"/>
        <w:gridCol w:w="65"/>
        <w:gridCol w:w="100"/>
        <w:gridCol w:w="600"/>
        <w:gridCol w:w="65"/>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Payments due by period (in millions)</w:t>
            </w:r>
          </w:p>
        </w:tc>
        <w:tc>
          <w:tcPr>
            <w:tcW w:w="0" w:type="auto"/>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b/>
                <w:bCs/>
                <w:sz w:val="20"/>
                <w:szCs w:val="20"/>
              </w:rPr>
              <w:t> </w:t>
            </w:r>
          </w:p>
        </w:tc>
        <w:tc>
          <w:tcPr>
            <w:tcW w:w="0" w:type="auto"/>
            <w:tcBorders>
              <w:bottom w:val="single" w:sz="6" w:space="0" w:color="000000"/>
            </w:tcBorders>
            <w:vAlign w:val="bottom"/>
            <w:hideMark/>
          </w:tcPr>
          <w:p w:rsidR="00000000" w:rsidRDefault="004E30E9">
            <w:pPr>
              <w:jc w:val="center"/>
              <w:rPr>
                <w:rFonts w:eastAsia="Times New Roman"/>
                <w:sz w:val="20"/>
                <w:szCs w:val="20"/>
              </w:rPr>
            </w:pPr>
            <w:r>
              <w:rPr>
                <w:rFonts w:eastAsia="Times New Roman"/>
                <w:b/>
                <w:bCs/>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b/>
                <w:bCs/>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2021</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2022</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2023</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2024</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2025</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Thereafter</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4E30E9">
        <w:trPr>
          <w:tblCellSpacing w:w="0" w:type="dxa"/>
        </w:trPr>
        <w:tc>
          <w:tcPr>
            <w:tcW w:w="15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Long-Term Debt:</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4E30E9">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Principal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144.9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644.4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365.1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401.7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500.6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3,351.7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5,408.4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4E30E9">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Interest (2)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183.0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170.4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146.9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133.0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116.0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1,466.3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2,215.6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4E30E9">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4E30E9">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Non-cancelable operating leases (3)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128.8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180.3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(1)</w:t>
            </w:r>
          </w:p>
        </w:tc>
        <w:tc>
          <w:tcPr>
            <w:tcW w:w="0" w:type="auto"/>
            <w:hideMark/>
          </w:tcPr>
          <w:p w:rsidR="00000000" w:rsidRDefault="004E30E9">
            <w:pPr>
              <w:pStyle w:val="a3"/>
              <w:spacing w:before="0" w:beforeAutospacing="0" w:after="0" w:afterAutospacing="0"/>
              <w:rPr>
                <w:sz w:val="20"/>
                <w:szCs w:val="20"/>
              </w:rPr>
            </w:pPr>
            <w:r>
              <w:rPr>
                <w:sz w:val="20"/>
                <w:szCs w:val="20"/>
              </w:rPr>
              <w:t>Maturities utilized do not reflect extension options, which range from six months to one year.</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(2)</w:t>
            </w:r>
          </w:p>
        </w:tc>
        <w:tc>
          <w:tcPr>
            <w:tcW w:w="0" w:type="auto"/>
            <w:hideMark/>
          </w:tcPr>
          <w:p w:rsidR="00000000" w:rsidRDefault="004E30E9">
            <w:pPr>
              <w:pStyle w:val="a3"/>
              <w:spacing w:before="0" w:beforeAutospacing="0" w:after="0" w:afterAutospacing="0"/>
              <w:rPr>
                <w:sz w:val="20"/>
                <w:szCs w:val="20"/>
              </w:rPr>
            </w:pPr>
            <w:r>
              <w:rPr>
                <w:sz w:val="20"/>
                <w:szCs w:val="20"/>
              </w:rPr>
              <w:t>For loans which have interest at floating rates, future interest expense was calculated using the rate as of December 31, 2020.</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rPr>
                <w:sz w:val="20"/>
                <w:szCs w:val="20"/>
              </w:rPr>
            </w:pPr>
            <w:r>
              <w:rPr>
                <w:sz w:val="20"/>
                <w:szCs w:val="20"/>
              </w:rPr>
              <w:t>(3)</w:t>
            </w:r>
          </w:p>
        </w:tc>
        <w:tc>
          <w:tcPr>
            <w:tcW w:w="0" w:type="auto"/>
            <w:hideMark/>
          </w:tcPr>
          <w:p w:rsidR="00000000" w:rsidRDefault="004E30E9">
            <w:pPr>
              <w:pStyle w:val="a3"/>
              <w:spacing w:before="0" w:beforeAutospacing="0" w:after="0" w:afterAutospacing="0"/>
              <w:rPr>
                <w:sz w:val="20"/>
                <w:szCs w:val="20"/>
              </w:rPr>
            </w:pPr>
            <w:r>
              <w:rPr>
                <w:sz w:val="20"/>
                <w:szCs w:val="20"/>
              </w:rPr>
              <w:t xml:space="preserve">For leases which have inflationary increases, future ground and office rent expense was calculated using the rent based </w:t>
            </w:r>
            <w:r>
              <w:rPr>
                <w:sz w:val="20"/>
                <w:szCs w:val="20"/>
              </w:rPr>
              <w:t>upon initial lease payment.</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has $139.4 million of secured debt scheduled to mature in 2021. Subsequent to December 31, 2020, the Company repaid $12.3 million of this secured debt. The Company anticipates satisfying the remaining future matur</w:t>
      </w:r>
      <w:r>
        <w:rPr>
          <w:sz w:val="20"/>
          <w:szCs w:val="20"/>
        </w:rPr>
        <w:t>ities with operating cash flows and its Credit Facility, if needed.</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 has issued letters of credit in connection with the completion and repayment guarantees, primarily on certain of the Company’s redevelopment projects and guaranty of payment </w:t>
      </w:r>
      <w:r>
        <w:rPr>
          <w:sz w:val="20"/>
          <w:szCs w:val="20"/>
        </w:rPr>
        <w:t>related to the Company’s insurance program. At December 31, 2020, these letters of credit aggregated $36.2 million.</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In connection with the construction of its development/redevelopment projects and related infrastructure, certain public agencies require </w:t>
      </w:r>
      <w:r>
        <w:rPr>
          <w:sz w:val="20"/>
          <w:szCs w:val="20"/>
        </w:rPr>
        <w:t>posting of performance and surety bonds to guarantee that the Company’s obligations are satisfied. These bonds expire upon the completion of the improvements and infrastructure. As of December 31, 2020, the Company had $16.3 million in performance and sure</w:t>
      </w:r>
      <w:r>
        <w:rPr>
          <w:sz w:val="20"/>
          <w:szCs w:val="20"/>
        </w:rPr>
        <w:t>ty bonds outstanding.</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xml:space="preserve">The Company has accrued $1.5 million of non-current uncertain tax positions and related interest under the provisions of the authoritative guidance that addresses accounting for income taxes, which are included in Other liabilities </w:t>
      </w:r>
      <w:r>
        <w:rPr>
          <w:sz w:val="20"/>
          <w:szCs w:val="20"/>
        </w:rPr>
        <w:t>on the Company’s Consolidated Balance Sheets at December 31, 2020. These amounts are not included in the table above because a reasonably reliable estimate regarding the timing of settlements with the relevant tax authorities, if any, cannot be made.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Off-Balance Sheet Arrangements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i/>
          <w:iCs/>
          <w:sz w:val="20"/>
          <w:szCs w:val="20"/>
        </w:rPr>
        <w:t>Unconsolidated Real Estate Joint Ventures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has investments in various unconsolidated real estate joint ventures with varying structures. These joint ventures primarily operate shopping center properties. Such a</w:t>
      </w:r>
      <w:r>
        <w:rPr>
          <w:sz w:val="20"/>
          <w:szCs w:val="20"/>
        </w:rPr>
        <w:t>rrangements are generally with third-party institutional investors and individuals. The properties owned by the joint ventures are primarily financed with individual non-recourse mortgage loans, however, the Company, on a selective basis, has obtained unse</w:t>
      </w:r>
      <w:r>
        <w:rPr>
          <w:sz w:val="20"/>
          <w:szCs w:val="20"/>
        </w:rPr>
        <w:t>cured financing for certain joint ventures. As of December 31, 2020, the Company did not guarantee any joint venture unsecured debt. Non-recourse mortgage debt is generally defined as debt whereby the lenders’ sole recourse with respect to borrower default</w:t>
      </w:r>
      <w:r>
        <w:rPr>
          <w:sz w:val="20"/>
          <w:szCs w:val="20"/>
        </w:rPr>
        <w:t xml:space="preserve">s is limited to the value of the property collateralized by the mortgage. The lender generally does not have recourse against any other assets owned by the borrower or any of the constituent members of the borrower, except for certain specified exceptions </w:t>
      </w:r>
      <w:r>
        <w:rPr>
          <w:sz w:val="20"/>
          <w:szCs w:val="20"/>
        </w:rPr>
        <w:t>listed in the particular loan documents (see Footnote 7 of the Notes to Consolidated Financial Statements included in this Form 10-K). The table below presents debt balances within the Company’s unconsolidated joint venture investments for which the Compan</w:t>
      </w:r>
      <w:r>
        <w:rPr>
          <w:sz w:val="20"/>
          <w:szCs w:val="20"/>
        </w:rPr>
        <w:t>y held noncontrolling ownership interests at December 31, 2020 (dollars in millions):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1214392244"/>
        <w:rPr>
          <w:rFonts w:eastAsia="Times New Roman"/>
          <w:sz w:val="20"/>
          <w:szCs w:val="20"/>
        </w:rPr>
      </w:pPr>
      <w:r>
        <w:rPr>
          <w:rFonts w:eastAsia="Times New Roman"/>
          <w:sz w:val="20"/>
          <w:szCs w:val="20"/>
        </w:rPr>
        <w:t xml:space="preserve">39 </w:t>
      </w:r>
    </w:p>
    <w:p w:rsidR="00000000" w:rsidRDefault="004E30E9">
      <w:pPr>
        <w:divId w:val="979044330"/>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4E30E9">
      <w:pPr>
        <w:divId w:val="72459752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61"/>
        <w:gridCol w:w="50"/>
        <w:gridCol w:w="95"/>
        <w:gridCol w:w="850"/>
        <w:gridCol w:w="167"/>
        <w:gridCol w:w="50"/>
        <w:gridCol w:w="89"/>
        <w:gridCol w:w="800"/>
        <w:gridCol w:w="50"/>
        <w:gridCol w:w="50"/>
        <w:gridCol w:w="101"/>
        <w:gridCol w:w="819"/>
        <w:gridCol w:w="50"/>
        <w:gridCol w:w="50"/>
        <w:gridCol w:w="110"/>
        <w:gridCol w:w="990"/>
        <w:gridCol w:w="50"/>
        <w:gridCol w:w="50"/>
        <w:gridCol w:w="83"/>
        <w:gridCol w:w="740"/>
        <w:gridCol w:w="167"/>
        <w:gridCol w:w="50"/>
        <w:gridCol w:w="94"/>
        <w:gridCol w:w="840"/>
        <w:gridCol w:w="50"/>
      </w:tblGrid>
      <w:tr w:rsidR="00000000">
        <w:trPr>
          <w:tblCellSpacing w:w="0" w:type="dxa"/>
        </w:trPr>
        <w:tc>
          <w:tcPr>
            <w:tcW w:w="14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Joint Venture</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Kimco</w:t>
            </w:r>
            <w:r>
              <w:rPr>
                <w:b/>
                <w:bCs/>
                <w:sz w:val="20"/>
                <w:szCs w:val="20"/>
              </w:rPr>
              <w:br/>
              <w:t>Ownership</w:t>
            </w:r>
          </w:p>
          <w:p w:rsidR="00000000" w:rsidRDefault="004E30E9">
            <w:pPr>
              <w:pStyle w:val="a3"/>
              <w:spacing w:before="0" w:beforeAutospacing="0" w:after="0" w:afterAutospacing="0"/>
              <w:jc w:val="center"/>
              <w:rPr>
                <w:sz w:val="20"/>
                <w:szCs w:val="20"/>
              </w:rPr>
            </w:pPr>
            <w:r>
              <w:rPr>
                <w:b/>
                <w:bCs/>
                <w:sz w:val="20"/>
                <w:szCs w:val="20"/>
              </w:rPr>
              <w:t>Interest</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Number of</w:t>
            </w:r>
          </w:p>
          <w:p w:rsidR="00000000" w:rsidRDefault="004E30E9">
            <w:pPr>
              <w:pStyle w:val="a3"/>
              <w:spacing w:before="0" w:beforeAutospacing="0" w:after="0" w:afterAutospacing="0"/>
              <w:jc w:val="center"/>
              <w:rPr>
                <w:sz w:val="20"/>
                <w:szCs w:val="20"/>
              </w:rPr>
            </w:pPr>
            <w:r>
              <w:rPr>
                <w:b/>
                <w:bCs/>
                <w:sz w:val="20"/>
                <w:szCs w:val="20"/>
              </w:rPr>
              <w:t>Properties</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Mortgages</w:t>
            </w:r>
            <w:r>
              <w:rPr>
                <w:b/>
                <w:bCs/>
                <w:sz w:val="20"/>
                <w:szCs w:val="20"/>
              </w:rPr>
              <w:br/>
              <w:t>and Notes</w:t>
            </w:r>
            <w:r>
              <w:rPr>
                <w:b/>
                <w:bCs/>
                <w:sz w:val="20"/>
                <w:szCs w:val="20"/>
              </w:rPr>
              <w:br/>
              <w:t>Payable, Net</w:t>
            </w:r>
          </w:p>
          <w:p w:rsidR="00000000" w:rsidRDefault="004E30E9">
            <w:pPr>
              <w:pStyle w:val="a3"/>
              <w:spacing w:before="0" w:beforeAutospacing="0" w:after="0" w:afterAutospacing="0"/>
              <w:jc w:val="center"/>
              <w:rPr>
                <w:sz w:val="20"/>
                <w:szCs w:val="20"/>
              </w:rPr>
            </w:pPr>
            <w:r>
              <w:rPr>
                <w:b/>
                <w:bCs/>
                <w:sz w:val="20"/>
                <w:szCs w:val="20"/>
              </w:rPr>
              <w:t>(in millions)</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Number of</w:t>
            </w:r>
            <w:r>
              <w:rPr>
                <w:b/>
                <w:bCs/>
                <w:sz w:val="20"/>
                <w:szCs w:val="20"/>
              </w:rPr>
              <w:br/>
              <w:t>Encumbered</w:t>
            </w:r>
          </w:p>
          <w:p w:rsidR="00000000" w:rsidRDefault="004E30E9">
            <w:pPr>
              <w:pStyle w:val="a3"/>
              <w:spacing w:before="0" w:beforeAutospacing="0" w:after="0" w:afterAutospacing="0"/>
              <w:jc w:val="center"/>
              <w:rPr>
                <w:sz w:val="20"/>
                <w:szCs w:val="20"/>
              </w:rPr>
            </w:pPr>
            <w:r>
              <w:rPr>
                <w:b/>
                <w:bCs/>
                <w:sz w:val="20"/>
                <w:szCs w:val="20"/>
              </w:rPr>
              <w:t>Properties</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Weighted</w:t>
            </w:r>
          </w:p>
          <w:p w:rsidR="00000000" w:rsidRDefault="004E30E9">
            <w:pPr>
              <w:pStyle w:val="a3"/>
              <w:spacing w:before="0" w:beforeAutospacing="0" w:after="0" w:afterAutospacing="0"/>
              <w:jc w:val="center"/>
              <w:rPr>
                <w:sz w:val="20"/>
                <w:szCs w:val="20"/>
              </w:rPr>
            </w:pPr>
            <w:r>
              <w:rPr>
                <w:b/>
                <w:bCs/>
                <w:sz w:val="20"/>
                <w:szCs w:val="20"/>
              </w:rPr>
              <w:t>Average</w:t>
            </w:r>
          </w:p>
          <w:p w:rsidR="00000000" w:rsidRDefault="004E30E9">
            <w:pPr>
              <w:pStyle w:val="a3"/>
              <w:spacing w:before="0" w:beforeAutospacing="0" w:after="0" w:afterAutospacing="0"/>
              <w:jc w:val="center"/>
              <w:rPr>
                <w:sz w:val="20"/>
                <w:szCs w:val="20"/>
              </w:rPr>
            </w:pPr>
            <w:r>
              <w:rPr>
                <w:b/>
                <w:bCs/>
                <w:sz w:val="20"/>
                <w:szCs w:val="20"/>
              </w:rPr>
              <w:t>Interest</w:t>
            </w:r>
            <w:r>
              <w:rPr>
                <w:b/>
                <w:bCs/>
                <w:sz w:val="20"/>
                <w:szCs w:val="20"/>
              </w:rPr>
              <w:br/>
              <w:t>Rate</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Weighted</w:t>
            </w:r>
            <w:r>
              <w:rPr>
                <w:b/>
                <w:bCs/>
                <w:sz w:val="20"/>
                <w:szCs w:val="20"/>
              </w:rPr>
              <w:br/>
              <w:t>Average</w:t>
            </w:r>
            <w:r>
              <w:rPr>
                <w:b/>
                <w:bCs/>
                <w:sz w:val="20"/>
                <w:szCs w:val="20"/>
              </w:rPr>
              <w:br/>
              <w:t>Remaining</w:t>
            </w:r>
            <w:r>
              <w:rPr>
                <w:b/>
                <w:bCs/>
                <w:sz w:val="20"/>
                <w:szCs w:val="20"/>
              </w:rPr>
              <w:br/>
              <w:t>Term (months)*</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tcBorders>
              <w:bottom w:val="nil"/>
            </w:tcBorders>
            <w:shd w:val="clear" w:color="auto" w:fill="CCEEFF"/>
            <w:vAlign w:val="bottom"/>
            <w:hideMark/>
          </w:tcPr>
          <w:p w:rsidR="00000000" w:rsidRDefault="004E30E9">
            <w:pPr>
              <w:pStyle w:val="a3"/>
              <w:spacing w:before="0" w:beforeAutospacing="0" w:after="0" w:afterAutospacing="0"/>
              <w:rPr>
                <w:sz w:val="20"/>
                <w:szCs w:val="20"/>
              </w:rPr>
            </w:pPr>
            <w:r>
              <w:rPr>
                <w:sz w:val="20"/>
                <w:szCs w:val="20"/>
              </w:rPr>
              <w:t>Prudential Investment Program (1)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15.0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495.8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2.05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37.2</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Kimco Income Opportunity Portfolio (2)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48.6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536.9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25.3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Canada Pension Plan Investment Board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Joint Venture Programs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rsidR="00000000" w:rsidRDefault="004E30E9">
            <w:pPr>
              <w:jc w:val="right"/>
              <w:rPr>
                <w:rFonts w:eastAsia="Times New Roman"/>
                <w:sz w:val="20"/>
                <w:szCs w:val="20"/>
              </w:rPr>
            </w:pPr>
            <w:r>
              <w:rPr>
                <w:rFonts w:eastAsia="Times New Roman"/>
                <w:sz w:val="20"/>
                <w:szCs w:val="20"/>
              </w:rPr>
              <w:t>Various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423.4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3.41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86.7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b/>
                <w:bCs/>
                <w:sz w:val="20"/>
                <w:szCs w:val="20"/>
              </w:rPr>
              <w:t>Total</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1,541.0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Average remaining term includes extensions</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(1)</w:t>
            </w:r>
          </w:p>
        </w:tc>
        <w:tc>
          <w:tcPr>
            <w:tcW w:w="0" w:type="auto"/>
            <w:hideMark/>
          </w:tcPr>
          <w:p w:rsidR="00000000" w:rsidRDefault="004E30E9">
            <w:pPr>
              <w:pStyle w:val="a3"/>
              <w:spacing w:before="0" w:beforeAutospacing="0" w:after="0" w:afterAutospacing="0"/>
              <w:jc w:val="both"/>
              <w:rPr>
                <w:sz w:val="20"/>
                <w:szCs w:val="20"/>
              </w:rPr>
            </w:pPr>
            <w:r>
              <w:rPr>
                <w:sz w:val="20"/>
                <w:szCs w:val="20"/>
              </w:rPr>
              <w:t>Includes an unsecured term loan of $200.0 million (excluding deferred financing costs of $0.2 million), which is scheduled to mature in August 2021, with a one-year extension option at the joint venture’s discretion, and bears interest at a rate equal to L</w:t>
            </w:r>
            <w:r>
              <w:rPr>
                <w:sz w:val="20"/>
                <w:szCs w:val="20"/>
              </w:rPr>
              <w:t>IBOR plus 1.50% (1.64% at December 31, 2020).</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(2)</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Includes unsecured revolving credit facilities, which had an aggregate outstanding balance of $92.5 million at December 31, 2020 and are scheduled to mature in January 2024, with two, six-month extension </w:t>
            </w:r>
            <w:r>
              <w:rPr>
                <w:sz w:val="20"/>
                <w:szCs w:val="20"/>
              </w:rPr>
              <w:t>options at the joint venture’s discretion, and January 2025.</w:t>
            </w:r>
          </w:p>
        </w:tc>
      </w:tr>
    </w:tbl>
    <w:p w:rsidR="00000000" w:rsidRDefault="004E30E9">
      <w:pPr>
        <w:pStyle w:val="a3"/>
        <w:spacing w:before="0" w:beforeAutospacing="0" w:after="0" w:afterAutospacing="0"/>
        <w:ind w:left="72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As of December 31, 2020, these loans had scheduled maturities ranging from four months to 10.5 years and bore interest at rates ranging from 1.34% to 5.79%. Approximately $138.0 million of the</w:t>
      </w:r>
      <w:r>
        <w:rPr>
          <w:sz w:val="20"/>
          <w:szCs w:val="20"/>
        </w:rPr>
        <w:t xml:space="preserve"> aggregate outstanding loan balances matures in 2021. These maturing loans are anticipated to be repaid with operating cash flows, debt refinancing, unsecured credit facilities, proceeds from sales and partner capital contributions, as deemed appropriate (</w:t>
      </w:r>
      <w:r>
        <w:rPr>
          <w:sz w:val="20"/>
          <w:szCs w:val="20"/>
        </w:rPr>
        <w:t>see Footnote 7 of the Notes to Consolidated Financial Statements included in this Form 10-K).</w:t>
      </w:r>
    </w:p>
    <w:p w:rsidR="00000000" w:rsidRDefault="004E30E9">
      <w:pPr>
        <w:pStyle w:val="a3"/>
        <w:spacing w:before="0" w:beforeAutospacing="0" w:after="0" w:afterAutospacing="0"/>
        <w:ind w:firstLine="360"/>
        <w:rPr>
          <w:sz w:val="20"/>
          <w:szCs w:val="20"/>
        </w:rPr>
      </w:pPr>
      <w:r>
        <w:rPr>
          <w:i/>
          <w:iCs/>
          <w:sz w:val="20"/>
          <w:szCs w:val="20"/>
        </w:rPr>
        <w:t> </w:t>
      </w:r>
    </w:p>
    <w:p w:rsidR="00000000" w:rsidRDefault="004E30E9">
      <w:pPr>
        <w:pStyle w:val="a3"/>
        <w:spacing w:before="0" w:beforeAutospacing="0" w:after="0" w:afterAutospacing="0"/>
        <w:ind w:firstLine="360"/>
        <w:rPr>
          <w:sz w:val="20"/>
          <w:szCs w:val="20"/>
        </w:rPr>
      </w:pPr>
      <w:r>
        <w:rPr>
          <w:i/>
          <w:iCs/>
          <w:sz w:val="20"/>
          <w:szCs w:val="20"/>
        </w:rPr>
        <w:t>Other Real Estate Investments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has provided capital to owners and developers of real estate properties and loans through its Preferred Equity Program. As of December 31, 2020, the Company’s net investment under the Preferred Equity program was $98.2 million relating to 113 p</w:t>
      </w:r>
      <w:r>
        <w:rPr>
          <w:sz w:val="20"/>
          <w:szCs w:val="20"/>
        </w:rPr>
        <w:t>roperties, including 103 net leased properties, which are accounted for as direct financing leases. As of December 31, 2020, these preferred equity investment properties had non-recourse mortgage loans aggregating $141.9 million (including fair market valu</w:t>
      </w:r>
      <w:r>
        <w:rPr>
          <w:sz w:val="20"/>
          <w:szCs w:val="20"/>
        </w:rPr>
        <w:t xml:space="preserve">e of debt adjustments aggregating $4.8 million). These loans have scheduled maturities ranging from one month to four years and bear interest at rates ranging from 4.19% to 9.85%. Due to the Company’s preferred position in these investments, the Company’s </w:t>
      </w:r>
      <w:r>
        <w:rPr>
          <w:sz w:val="20"/>
          <w:szCs w:val="20"/>
        </w:rPr>
        <w:t>share of each investment is subject to fluctuation and is dependent upon property cash flows. The Company’s maximum exposure to losses associated with its preferred equity investments is limited to its invested capital.</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Funds From Operations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FFO is a supplemental non-GAAP financial measure utilized to evaluate the operating performance of real estate companies. NAREIT defines FFO as net income/(loss) available to the Company’s common shareholders computed in accordance with GAAP, excluding (i)</w:t>
      </w:r>
      <w:r>
        <w:rPr>
          <w:sz w:val="20"/>
          <w:szCs w:val="20"/>
        </w:rPr>
        <w:t xml:space="preserve"> depreciation and amortization related to real estate, (ii) gains or losses from sales of certain real estate assets, (iii) gains and losses from change in control, (iv) impairment write-downs of certain real estate assets and investments in entities when </w:t>
      </w:r>
      <w:r>
        <w:rPr>
          <w:sz w:val="20"/>
          <w:szCs w:val="20"/>
        </w:rPr>
        <w:t xml:space="preserve">the impairment is directly attributable to decreases in the value of depreciable real estate held by the entity and (v) after adjustments for unconsolidated partnerships and joint ventures calculated to reflect FFO on the same basis. The Company also made </w:t>
      </w:r>
      <w:r>
        <w:rPr>
          <w:sz w:val="20"/>
          <w:szCs w:val="20"/>
        </w:rPr>
        <w:t>an election, per the NAREIT Funds From Operations White Paper-2018 Restatement, to exclude from its calculation of FFO (i) gains and losses on the sale of assets and impairments of assets incidental to its main business and (ii) mark-to-market changes in t</w:t>
      </w:r>
      <w:r>
        <w:rPr>
          <w:sz w:val="20"/>
          <w:szCs w:val="20"/>
        </w:rPr>
        <w:t>he value of its equity securities. As such, the Company does not include gains/impairments on land parcels, gains/losses (realized or unrealized) from marketable securities, allowance for credit losses on mortgage receivables or gains/impairments on prefer</w:t>
      </w:r>
      <w:r>
        <w:rPr>
          <w:sz w:val="20"/>
          <w:szCs w:val="20"/>
        </w:rPr>
        <w:t>red equity participations in NAREIT defined FFO. As a result of this election, the Company will no longer disclose FFO available to the Company’s common shareholders as adjusted (“FFO as adjusted”) as an additional supplemental measure. The incidental adju</w:t>
      </w:r>
      <w:r>
        <w:rPr>
          <w:sz w:val="20"/>
          <w:szCs w:val="20"/>
        </w:rPr>
        <w:t>stments noted above which were previously excluded from NAREIT FFO and used to determine FFO as adjusted are now included in NAREIT FFO, and therefore, the Company believes FFO as adjusted is no longer necessary.</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 presents FFO available to the</w:t>
      </w:r>
      <w:r>
        <w:rPr>
          <w:sz w:val="20"/>
          <w:szCs w:val="20"/>
        </w:rPr>
        <w:t xml:space="preserve"> Company’s common shareholders as it considers it an important supplemental measure of our operating performance and believes it is frequently used by securities analysts, investors and other interested parties in the evaluation of REITs, many of which pre</w:t>
      </w:r>
      <w:r>
        <w:rPr>
          <w:sz w:val="20"/>
          <w:szCs w:val="20"/>
        </w:rPr>
        <w:t>sent FFO available to the Company’s common shareholders when reporting results. Comparison of our presentation of FFO available to the Company’s common shareholders to similarly titled measures for other REITs may not necessarily be meaningful due to possi</w:t>
      </w:r>
      <w:r>
        <w:rPr>
          <w:sz w:val="20"/>
          <w:szCs w:val="20"/>
        </w:rPr>
        <w:t>ble differences in the application of the NAREIT definition used by such REITs.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FFO is a supplemental non-GAAP financial measure of real estate companies’ operating performances, which does not represent cash generated from operating activities in accord</w:t>
      </w:r>
      <w:r>
        <w:rPr>
          <w:sz w:val="20"/>
          <w:szCs w:val="20"/>
        </w:rPr>
        <w:t>ance with GAAP and, therefore, should not be considered an alternative for net income or cash flows from operations as a measure of liquidity. Our method of calculating FFO available to the Company’s common shareholders may be different from methods used b</w:t>
      </w:r>
      <w:r>
        <w:rPr>
          <w:sz w:val="20"/>
          <w:szCs w:val="20"/>
        </w:rPr>
        <w:t>y other REITs and, accordingly, may not be comparable to such other REITs.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939918567"/>
        <w:rPr>
          <w:rFonts w:eastAsia="Times New Roman"/>
          <w:sz w:val="20"/>
          <w:szCs w:val="20"/>
        </w:rPr>
      </w:pPr>
      <w:r>
        <w:rPr>
          <w:rFonts w:eastAsia="Times New Roman"/>
          <w:sz w:val="20"/>
          <w:szCs w:val="20"/>
        </w:rPr>
        <w:t xml:space="preserve">40 </w:t>
      </w:r>
    </w:p>
    <w:p w:rsidR="00000000" w:rsidRDefault="004E30E9">
      <w:pPr>
        <w:divId w:val="906188714"/>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4E30E9">
      <w:pPr>
        <w:divId w:val="50305579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Company’s reconciliation of net income available to the Company’s common shareholders t</w:t>
      </w:r>
      <w:r>
        <w:rPr>
          <w:sz w:val="20"/>
          <w:szCs w:val="20"/>
        </w:rPr>
        <w:t>o FFO available to the Company’s common shareholders is reflected in the table below (in thousands, except per share data).</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Three Months Ended</w:t>
            </w:r>
          </w:p>
          <w:p w:rsidR="00000000" w:rsidRDefault="004E30E9">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w:t>
            </w:r>
          </w:p>
          <w:p w:rsidR="00000000" w:rsidRDefault="004E30E9">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4E30E9">
            <w:pPr>
              <w:pStyle w:val="a3"/>
              <w:spacing w:before="0" w:beforeAutospacing="0" w:after="0" w:afterAutospacing="0"/>
              <w:rPr>
                <w:sz w:val="20"/>
                <w:szCs w:val="20"/>
              </w:rPr>
            </w:pPr>
            <w:r>
              <w:rPr>
                <w:b/>
                <w:bCs/>
                <w:sz w:val="20"/>
                <w:szCs w:val="20"/>
              </w:rPr>
              <w:t>Net income available to the Company’s common shareholders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194,880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92,812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975,417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339,988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(787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(31,836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(6,484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(79,218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(892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(16,066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73,578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67,864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285,596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276,097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9,658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10,910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40,331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40,954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Impairment charges of depreciable real estate properties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4,043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11,504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8,397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55,945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Gain on sale of cost method investment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Profit participation from other real estate investments,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2,210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1,288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(13,665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(7,300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(Gain)/loss on of marketable securities,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(150,108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546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(594,753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(829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(Benefit)/provision for income taxes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1,426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Noncontrolling interests (1)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(337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(303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(1,710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(1,193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b/>
                <w:bCs/>
                <w:sz w:val="20"/>
                <w:szCs w:val="20"/>
              </w:rPr>
              <w:t>FFO available to the Company’s common shareholders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133,033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151,893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503,675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608,378</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Weighted average shares outstanding for FFO calculations: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Basic</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430,103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422,467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429,950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420,370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Units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666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777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639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826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Dilutive effect of equity awards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1,364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1,336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1,475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1,365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Diluted (2)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432,133</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424,580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432,064</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422,561</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b/>
                <w:bCs/>
                <w:sz w:val="20"/>
                <w:szCs w:val="20"/>
              </w:rPr>
              <w:t>FFO per common share – basic</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0.31</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0.36</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1.17</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1.45</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b/>
                <w:bCs/>
                <w:sz w:val="20"/>
                <w:szCs w:val="20"/>
              </w:rPr>
              <w:t>FFO per common share – diluted (2)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0.31</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0.36</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1.17</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1.44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
        <w:gridCol w:w="360"/>
        <w:gridCol w:w="7766"/>
      </w:tblGrid>
      <w:tr w:rsidR="00000000">
        <w:trPr>
          <w:tblCellSpacing w:w="0" w:type="dxa"/>
        </w:trPr>
        <w:tc>
          <w:tcPr>
            <w:tcW w:w="180" w:type="dxa"/>
            <w:hideMark/>
          </w:tcPr>
          <w:p w:rsidR="00000000" w:rsidRDefault="004E30E9">
            <w:pPr>
              <w:rPr>
                <w:rFonts w:eastAsia="Times New Roman"/>
              </w:rPr>
            </w:pPr>
            <w:r>
              <w:rPr>
                <w:rFonts w:eastAsia="Times New Roman"/>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(1)</w:t>
            </w:r>
          </w:p>
        </w:tc>
        <w:tc>
          <w:tcPr>
            <w:tcW w:w="0" w:type="auto"/>
            <w:hideMark/>
          </w:tcPr>
          <w:p w:rsidR="00000000" w:rsidRDefault="004E30E9">
            <w:pPr>
              <w:pStyle w:val="a3"/>
              <w:spacing w:before="0" w:beforeAutospacing="0" w:after="0" w:afterAutospacing="0"/>
              <w:jc w:val="both"/>
              <w:rPr>
                <w:sz w:val="20"/>
                <w:szCs w:val="20"/>
              </w:rPr>
            </w:pPr>
            <w:r>
              <w:rPr>
                <w:sz w:val="20"/>
                <w:szCs w:val="20"/>
              </w:rPr>
              <w:t>Related to gains, impairment and depreciation on properties, where applicable.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80"/>
        <w:gridCol w:w="360"/>
        <w:gridCol w:w="7766"/>
      </w:tblGrid>
      <w:tr w:rsidR="00000000">
        <w:trPr>
          <w:tblCellSpacing w:w="0" w:type="dxa"/>
        </w:trPr>
        <w:tc>
          <w:tcPr>
            <w:tcW w:w="180" w:type="dxa"/>
            <w:hideMark/>
          </w:tcPr>
          <w:p w:rsidR="00000000" w:rsidRDefault="004E30E9">
            <w:pPr>
              <w:rPr>
                <w:rFonts w:eastAsia="Times New Roman"/>
              </w:rPr>
            </w:pPr>
            <w:r>
              <w:rPr>
                <w:rFonts w:eastAsia="Times New Roman"/>
              </w:rPr>
              <w:t> </w:t>
            </w:r>
          </w:p>
        </w:tc>
        <w:tc>
          <w:tcPr>
            <w:tcW w:w="360" w:type="dxa"/>
            <w:hideMark/>
          </w:tcPr>
          <w:p w:rsidR="00000000" w:rsidRDefault="004E30E9">
            <w:pPr>
              <w:pStyle w:val="a3"/>
              <w:spacing w:before="0" w:beforeAutospacing="0" w:after="0" w:afterAutospacing="0"/>
              <w:rPr>
                <w:sz w:val="20"/>
                <w:szCs w:val="20"/>
              </w:rPr>
            </w:pPr>
            <w:r>
              <w:rPr>
                <w:sz w:val="20"/>
                <w:szCs w:val="20"/>
              </w:rPr>
              <w:t>(2)</w:t>
            </w:r>
          </w:p>
        </w:tc>
        <w:tc>
          <w:tcPr>
            <w:tcW w:w="0" w:type="auto"/>
            <w:hideMark/>
          </w:tcPr>
          <w:p w:rsidR="00000000" w:rsidRDefault="004E30E9">
            <w:pPr>
              <w:pStyle w:val="a3"/>
              <w:spacing w:before="0" w:beforeAutospacing="0" w:after="0" w:afterAutospacing="0"/>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$92 and $199 for the three months ended December 31, 2020 and 2019, respectively, and $309 and $868 for the years ended December 31, 2020 and 2019, respectively. The effect of other certain convertible units would have an anti-dilutive eff</w:t>
            </w:r>
            <w:r>
              <w:rPr>
                <w:sz w:val="20"/>
                <w:szCs w:val="20"/>
              </w:rPr>
              <w:t>ect upon the calculation of Net income available to the Company’s common shareholders per share. Accordingly, the impact of such conversion has not been included in the determination of diluted earnings per share calculations.</w:t>
            </w:r>
          </w:p>
        </w:tc>
      </w:tr>
    </w:tbl>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Same Property Net Operatin</w:t>
      </w:r>
      <w:r>
        <w:rPr>
          <w:sz w:val="20"/>
          <w:szCs w:val="20"/>
          <w:u w:val="single"/>
        </w:rPr>
        <w:t>g Income</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Same property NOI is a supplemental non-GAAP financial measure of real estate companies’ operating performance and should not be considered an alternative to net income in accordance with GAAP or cash flows from operations as a measure of liquid</w:t>
      </w:r>
      <w:r>
        <w:rPr>
          <w:sz w:val="20"/>
          <w:szCs w:val="20"/>
        </w:rPr>
        <w:t>ity. The Company considers Same property NOI as an important operating performance measure because it is frequently used by securities analysts and investors to measure only the net operating income of properties that have been owned by the Company for the</w:t>
      </w:r>
      <w:r>
        <w:rPr>
          <w:sz w:val="20"/>
          <w:szCs w:val="20"/>
        </w:rPr>
        <w:t xml:space="preserve"> entire current and prior year reporting periods. It excludes properties under redevelopment, development and pending stabilization; properties are deemed stabilized at the earlier of (i) reaching 90% leased or (ii) one year following a project’s inclusion</w:t>
      </w:r>
      <w:r>
        <w:rPr>
          <w:sz w:val="20"/>
          <w:szCs w:val="20"/>
        </w:rPr>
        <w:t xml:space="preserve"> in operating real estate. Same property NOI assists in eliminating disparities in net income due to the development, acquisition or disposition of properties during the particular period presented, and thus provides a more consistent performance measure f</w:t>
      </w:r>
      <w:r>
        <w:rPr>
          <w:sz w:val="20"/>
          <w:szCs w:val="20"/>
        </w:rPr>
        <w:t>or the comparison of the Company's properties.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Same property NOI is calculated using revenues from rental properties (excluding straight-line rent adjustments, lease termination fees, TIFs and amortization of above/below market rents) less charges for ba</w:t>
      </w:r>
      <w:r>
        <w:rPr>
          <w:sz w:val="20"/>
          <w:szCs w:val="20"/>
        </w:rPr>
        <w:t>d debt, operating and maintenance expense, real estate taxes and rent expense plus the Company’s proportionate share of Same property NOI from unconsolidated real estate joint ventures, calculated on the same basis. The Company’s method of calculating Same</w:t>
      </w:r>
      <w:r>
        <w:rPr>
          <w:sz w:val="20"/>
          <w:szCs w:val="20"/>
        </w:rPr>
        <w:t xml:space="preserve"> property NOI available to the Company’s common shareholders may differ from methods used by other REITs and, accordingly, may not be comparable to such other REITs.</w:t>
      </w:r>
    </w:p>
    <w:p w:rsidR="00000000" w:rsidRDefault="004E30E9">
      <w:pPr>
        <w:pStyle w:val="a3"/>
        <w:spacing w:before="0" w:beforeAutospacing="0" w:after="0" w:afterAutospacing="0"/>
        <w:ind w:firstLine="720"/>
        <w:jc w:val="both"/>
        <w:rPr>
          <w:sz w:val="20"/>
          <w:szCs w:val="20"/>
        </w:rPr>
      </w:pPr>
      <w:r>
        <w:rPr>
          <w:sz w:val="20"/>
          <w:szCs w:val="20"/>
        </w:rPr>
        <w:t> </w:t>
      </w:r>
    </w:p>
    <w:p w:rsidR="00000000" w:rsidRDefault="004E30E9">
      <w:pPr>
        <w:jc w:val="center"/>
        <w:divId w:val="797995117"/>
        <w:rPr>
          <w:rFonts w:eastAsia="Times New Roman"/>
          <w:sz w:val="20"/>
          <w:szCs w:val="20"/>
        </w:rPr>
      </w:pPr>
      <w:r>
        <w:rPr>
          <w:rFonts w:eastAsia="Times New Roman"/>
          <w:sz w:val="20"/>
          <w:szCs w:val="20"/>
        </w:rPr>
        <w:t xml:space="preserve">41 </w:t>
      </w:r>
    </w:p>
    <w:p w:rsidR="00000000" w:rsidRDefault="004E30E9">
      <w:pPr>
        <w:divId w:val="1921400144"/>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4E30E9">
      <w:pPr>
        <w:divId w:val="47730913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following is a reconciliation of Net income available to the Company’s common shareholders to Same property NOI (in thousands):</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6"/>
        <w:gridCol w:w="80"/>
        <w:gridCol w:w="90"/>
        <w:gridCol w:w="745"/>
        <w:gridCol w:w="81"/>
        <w:gridCol w:w="81"/>
        <w:gridCol w:w="90"/>
        <w:gridCol w:w="746"/>
        <w:gridCol w:w="81"/>
        <w:gridCol w:w="81"/>
        <w:gridCol w:w="90"/>
        <w:gridCol w:w="746"/>
        <w:gridCol w:w="81"/>
        <w:gridCol w:w="81"/>
        <w:gridCol w:w="90"/>
        <w:gridCol w:w="746"/>
        <w:gridCol w:w="81"/>
      </w:tblGrid>
      <w:tr w:rsidR="00000000">
        <w:trPr>
          <w:tblCellSpacing w:w="0" w:type="dxa"/>
        </w:trPr>
        <w:tc>
          <w:tcPr>
            <w:tcW w:w="0" w:type="auto"/>
            <w:vAlign w:val="bottom"/>
            <w:hideMark/>
          </w:tcPr>
          <w:p w:rsidR="00000000" w:rsidRDefault="004E30E9">
            <w:pPr>
              <w:rPr>
                <w:rFonts w:eastAsia="Times New Roman"/>
                <w:sz w:val="18"/>
                <w:szCs w:val="18"/>
              </w:rPr>
            </w:pPr>
            <w:r>
              <w:rPr>
                <w:rFonts w:eastAsia="Times New Roman"/>
                <w:sz w:val="18"/>
                <w:szCs w:val="18"/>
              </w:rPr>
              <w:t> </w:t>
            </w:r>
          </w:p>
        </w:tc>
        <w:tc>
          <w:tcPr>
            <w:tcW w:w="0" w:type="auto"/>
            <w:vAlign w:val="bottom"/>
            <w:hideMark/>
          </w:tcPr>
          <w:p w:rsidR="00000000" w:rsidRDefault="004E30E9">
            <w:pPr>
              <w:rPr>
                <w:rFonts w:eastAsia="Times New Roman"/>
                <w:sz w:val="18"/>
                <w:szCs w:val="18"/>
              </w:rPr>
            </w:pPr>
            <w:r>
              <w:rPr>
                <w:rFonts w:eastAsia="Times New Roman"/>
                <w:sz w:val="18"/>
                <w:szCs w:val="18"/>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18"/>
                <w:szCs w:val="18"/>
              </w:rPr>
            </w:pPr>
            <w:r>
              <w:rPr>
                <w:b/>
                <w:bCs/>
                <w:sz w:val="18"/>
                <w:szCs w:val="18"/>
              </w:rPr>
              <w:t xml:space="preserve">Three Months Ended </w:t>
            </w:r>
          </w:p>
          <w:p w:rsidR="00000000" w:rsidRDefault="004E30E9">
            <w:pPr>
              <w:pStyle w:val="a3"/>
              <w:spacing w:before="0" w:beforeAutospacing="0" w:after="0" w:afterAutospacing="0"/>
              <w:jc w:val="center"/>
              <w:rPr>
                <w:sz w:val="18"/>
                <w:szCs w:val="18"/>
              </w:rPr>
            </w:pPr>
            <w:r>
              <w:rPr>
                <w:b/>
                <w:bCs/>
                <w:sz w:val="18"/>
                <w:szCs w:val="18"/>
              </w:rPr>
              <w:t>December 31,</w:t>
            </w:r>
          </w:p>
        </w:tc>
        <w:tc>
          <w:tcPr>
            <w:tcW w:w="0" w:type="auto"/>
            <w:tcMar>
              <w:top w:w="0" w:type="dxa"/>
              <w:left w:w="0" w:type="dxa"/>
              <w:bottom w:w="15" w:type="dxa"/>
              <w:right w:w="0" w:type="dxa"/>
            </w:tcMar>
            <w:vAlign w:val="bottom"/>
            <w:hideMark/>
          </w:tcPr>
          <w:p w:rsidR="00000000" w:rsidRDefault="004E30E9">
            <w:pPr>
              <w:rPr>
                <w:rFonts w:eastAsia="Times New Roman"/>
                <w:sz w:val="18"/>
                <w:szCs w:val="18"/>
              </w:rPr>
            </w:pPr>
            <w:r>
              <w:rPr>
                <w:rFonts w:eastAsia="Times New Roman"/>
                <w:sz w:val="18"/>
                <w:szCs w:val="18"/>
              </w:rPr>
              <w:t> </w:t>
            </w:r>
          </w:p>
        </w:tc>
        <w:tc>
          <w:tcPr>
            <w:tcW w:w="0" w:type="auto"/>
            <w:vAlign w:val="bottom"/>
            <w:hideMark/>
          </w:tcPr>
          <w:p w:rsidR="00000000" w:rsidRDefault="004E30E9">
            <w:pPr>
              <w:rPr>
                <w:rFonts w:eastAsia="Times New Roman"/>
                <w:sz w:val="18"/>
                <w:szCs w:val="18"/>
              </w:rPr>
            </w:pPr>
            <w:r>
              <w:rPr>
                <w:rFonts w:eastAsia="Times New Roman"/>
                <w:sz w:val="18"/>
                <w:szCs w:val="18"/>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18"/>
                <w:szCs w:val="18"/>
              </w:rPr>
            </w:pPr>
            <w:r>
              <w:rPr>
                <w:b/>
                <w:bCs/>
                <w:sz w:val="18"/>
                <w:szCs w:val="18"/>
              </w:rPr>
              <w:t>Year Ended</w:t>
            </w:r>
            <w:r>
              <w:rPr>
                <w:b/>
                <w:bCs/>
                <w:sz w:val="18"/>
                <w:szCs w:val="18"/>
              </w:rPr>
              <w:br/>
              <w:t>December 31,</w:t>
            </w:r>
          </w:p>
        </w:tc>
        <w:tc>
          <w:tcPr>
            <w:tcW w:w="0" w:type="auto"/>
            <w:tcMar>
              <w:top w:w="0" w:type="dxa"/>
              <w:left w:w="0" w:type="dxa"/>
              <w:bottom w:w="15" w:type="dxa"/>
              <w:right w:w="0" w:type="dxa"/>
            </w:tcMar>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vAlign w:val="bottom"/>
            <w:hideMark/>
          </w:tcPr>
          <w:p w:rsidR="00000000" w:rsidRDefault="004E30E9">
            <w:pPr>
              <w:rPr>
                <w:rFonts w:eastAsia="Times New Roman"/>
                <w:sz w:val="18"/>
                <w:szCs w:val="18"/>
              </w:rPr>
            </w:pPr>
            <w:r>
              <w:rPr>
                <w:rFonts w:eastAsia="Times New Roman"/>
                <w:sz w:val="18"/>
                <w:szCs w:val="18"/>
              </w:rPr>
              <w:t> </w:t>
            </w:r>
          </w:p>
        </w:tc>
        <w:tc>
          <w:tcPr>
            <w:tcW w:w="0" w:type="auto"/>
            <w:vAlign w:val="bottom"/>
            <w:hideMark/>
          </w:tcPr>
          <w:p w:rsidR="00000000" w:rsidRDefault="004E30E9">
            <w:pPr>
              <w:rPr>
                <w:rFonts w:eastAsia="Times New Roman"/>
                <w:sz w:val="18"/>
                <w:szCs w:val="18"/>
              </w:rPr>
            </w:pPr>
            <w:r>
              <w:rPr>
                <w:rFonts w:eastAsia="Times New Roman"/>
                <w:sz w:val="18"/>
                <w:szCs w:val="18"/>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18"/>
                <w:szCs w:val="18"/>
              </w:rPr>
            </w:pPr>
            <w:r>
              <w:rPr>
                <w:b/>
                <w:bCs/>
                <w:sz w:val="18"/>
                <w:szCs w:val="18"/>
              </w:rPr>
              <w:t>2020</w:t>
            </w:r>
          </w:p>
        </w:tc>
        <w:tc>
          <w:tcPr>
            <w:tcW w:w="0" w:type="auto"/>
            <w:tcMar>
              <w:top w:w="0" w:type="dxa"/>
              <w:left w:w="0" w:type="dxa"/>
              <w:bottom w:w="15" w:type="dxa"/>
              <w:right w:w="0" w:type="dxa"/>
            </w:tcMar>
            <w:vAlign w:val="bottom"/>
            <w:hideMark/>
          </w:tcPr>
          <w:p w:rsidR="00000000" w:rsidRDefault="004E30E9">
            <w:pPr>
              <w:rPr>
                <w:rFonts w:eastAsia="Times New Roman"/>
                <w:sz w:val="18"/>
                <w:szCs w:val="18"/>
              </w:rPr>
            </w:pPr>
            <w:r>
              <w:rPr>
                <w:rFonts w:eastAsia="Times New Roman"/>
                <w:sz w:val="18"/>
                <w:szCs w:val="18"/>
              </w:rPr>
              <w:t> </w:t>
            </w:r>
          </w:p>
        </w:tc>
        <w:tc>
          <w:tcPr>
            <w:tcW w:w="0" w:type="auto"/>
            <w:vAlign w:val="bottom"/>
            <w:hideMark/>
          </w:tcPr>
          <w:p w:rsidR="00000000" w:rsidRDefault="004E30E9">
            <w:pPr>
              <w:rPr>
                <w:rFonts w:eastAsia="Times New Roman"/>
                <w:sz w:val="18"/>
                <w:szCs w:val="18"/>
              </w:rPr>
            </w:pPr>
            <w:r>
              <w:rPr>
                <w:rFonts w:eastAsia="Times New Roman"/>
                <w:sz w:val="18"/>
                <w:szCs w:val="18"/>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18"/>
                <w:szCs w:val="18"/>
              </w:rPr>
            </w:pPr>
            <w:r>
              <w:rPr>
                <w:b/>
                <w:bCs/>
                <w:sz w:val="18"/>
                <w:szCs w:val="18"/>
              </w:rPr>
              <w:t>2019</w:t>
            </w:r>
          </w:p>
        </w:tc>
        <w:tc>
          <w:tcPr>
            <w:tcW w:w="0" w:type="auto"/>
            <w:tcMar>
              <w:top w:w="0" w:type="dxa"/>
              <w:left w:w="0" w:type="dxa"/>
              <w:bottom w:w="15" w:type="dxa"/>
              <w:right w:w="0" w:type="dxa"/>
            </w:tcMar>
            <w:vAlign w:val="bottom"/>
            <w:hideMark/>
          </w:tcPr>
          <w:p w:rsidR="00000000" w:rsidRDefault="004E30E9">
            <w:pPr>
              <w:rPr>
                <w:rFonts w:eastAsia="Times New Roman"/>
                <w:sz w:val="18"/>
                <w:szCs w:val="18"/>
              </w:rPr>
            </w:pPr>
            <w:r>
              <w:rPr>
                <w:rFonts w:eastAsia="Times New Roman"/>
                <w:sz w:val="18"/>
                <w:szCs w:val="18"/>
              </w:rPr>
              <w:t> </w:t>
            </w:r>
          </w:p>
        </w:tc>
        <w:tc>
          <w:tcPr>
            <w:tcW w:w="0" w:type="auto"/>
            <w:vAlign w:val="bottom"/>
            <w:hideMark/>
          </w:tcPr>
          <w:p w:rsidR="00000000" w:rsidRDefault="004E30E9">
            <w:pPr>
              <w:rPr>
                <w:rFonts w:eastAsia="Times New Roman"/>
                <w:sz w:val="18"/>
                <w:szCs w:val="18"/>
              </w:rPr>
            </w:pPr>
            <w:r>
              <w:rPr>
                <w:rFonts w:eastAsia="Times New Roman"/>
                <w:sz w:val="18"/>
                <w:szCs w:val="18"/>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18"/>
                <w:szCs w:val="18"/>
              </w:rPr>
            </w:pPr>
            <w:r>
              <w:rPr>
                <w:b/>
                <w:bCs/>
                <w:sz w:val="18"/>
                <w:szCs w:val="18"/>
              </w:rPr>
              <w:t>2020</w:t>
            </w:r>
          </w:p>
        </w:tc>
        <w:tc>
          <w:tcPr>
            <w:tcW w:w="0" w:type="auto"/>
            <w:tcMar>
              <w:top w:w="0" w:type="dxa"/>
              <w:left w:w="0" w:type="dxa"/>
              <w:bottom w:w="15" w:type="dxa"/>
              <w:right w:w="0" w:type="dxa"/>
            </w:tcMar>
            <w:vAlign w:val="bottom"/>
            <w:hideMark/>
          </w:tcPr>
          <w:p w:rsidR="00000000" w:rsidRDefault="004E30E9">
            <w:pPr>
              <w:rPr>
                <w:rFonts w:eastAsia="Times New Roman"/>
                <w:sz w:val="18"/>
                <w:szCs w:val="18"/>
              </w:rPr>
            </w:pPr>
            <w:r>
              <w:rPr>
                <w:rFonts w:eastAsia="Times New Roman"/>
                <w:sz w:val="18"/>
                <w:szCs w:val="18"/>
              </w:rPr>
              <w:t> </w:t>
            </w:r>
          </w:p>
        </w:tc>
        <w:tc>
          <w:tcPr>
            <w:tcW w:w="0" w:type="auto"/>
            <w:vAlign w:val="bottom"/>
            <w:hideMark/>
          </w:tcPr>
          <w:p w:rsidR="00000000" w:rsidRDefault="004E30E9">
            <w:pPr>
              <w:rPr>
                <w:rFonts w:eastAsia="Times New Roman"/>
                <w:sz w:val="18"/>
                <w:szCs w:val="18"/>
              </w:rPr>
            </w:pPr>
            <w:r>
              <w:rPr>
                <w:rFonts w:eastAsia="Times New Roman"/>
                <w:sz w:val="18"/>
                <w:szCs w:val="18"/>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18"/>
                <w:szCs w:val="18"/>
              </w:rPr>
            </w:pPr>
            <w:r>
              <w:rPr>
                <w:b/>
                <w:bCs/>
                <w:sz w:val="18"/>
                <w:szCs w:val="18"/>
              </w:rPr>
              <w:t>2019</w:t>
            </w:r>
          </w:p>
        </w:tc>
        <w:tc>
          <w:tcPr>
            <w:tcW w:w="0" w:type="auto"/>
            <w:tcMar>
              <w:top w:w="0" w:type="dxa"/>
              <w:left w:w="0" w:type="dxa"/>
              <w:bottom w:w="15" w:type="dxa"/>
              <w:right w:w="0" w:type="dxa"/>
            </w:tcMar>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2600" w:type="pct"/>
            <w:shd w:val="clear" w:color="auto" w:fill="CCEEFF"/>
            <w:vAlign w:val="bottom"/>
            <w:hideMark/>
          </w:tcPr>
          <w:p w:rsidR="00000000" w:rsidRDefault="004E30E9">
            <w:pPr>
              <w:pStyle w:val="a3"/>
              <w:spacing w:before="0" w:beforeAutospacing="0" w:after="0" w:afterAutospacing="0"/>
              <w:rPr>
                <w:sz w:val="18"/>
                <w:szCs w:val="18"/>
              </w:rPr>
            </w:pPr>
            <w:r>
              <w:rPr>
                <w:b/>
                <w:bCs/>
                <w:sz w:val="18"/>
                <w:szCs w:val="18"/>
              </w:rPr>
              <w:t>Net income available to the Company’s common shareholders</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b/>
                <w:bCs/>
                <w:sz w:val="18"/>
                <w:szCs w:val="18"/>
              </w:rPr>
              <w:t>$</w:t>
            </w:r>
          </w:p>
        </w:tc>
        <w:tc>
          <w:tcPr>
            <w:tcW w:w="450" w:type="pct"/>
            <w:tcBorders>
              <w:bottom w:val="nil"/>
            </w:tcBorders>
            <w:shd w:val="clear" w:color="auto" w:fill="CCEEFF"/>
            <w:vAlign w:val="bottom"/>
            <w:hideMark/>
          </w:tcPr>
          <w:p w:rsidR="00000000" w:rsidRDefault="004E30E9">
            <w:pPr>
              <w:jc w:val="right"/>
              <w:rPr>
                <w:rFonts w:eastAsia="Times New Roman"/>
                <w:sz w:val="18"/>
                <w:szCs w:val="18"/>
              </w:rPr>
            </w:pPr>
            <w:r>
              <w:rPr>
                <w:rFonts w:eastAsia="Times New Roman"/>
                <w:b/>
                <w:bCs/>
                <w:sz w:val="18"/>
                <w:szCs w:val="18"/>
              </w:rPr>
              <w:t>194,880</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b/>
                <w:bCs/>
                <w:sz w:val="18"/>
                <w:szCs w:val="18"/>
              </w:rPr>
              <w:t>$</w:t>
            </w:r>
          </w:p>
        </w:tc>
        <w:tc>
          <w:tcPr>
            <w:tcW w:w="450" w:type="pct"/>
            <w:tcBorders>
              <w:bottom w:val="nil"/>
            </w:tcBorders>
            <w:shd w:val="clear" w:color="auto" w:fill="CCEEFF"/>
            <w:vAlign w:val="bottom"/>
            <w:hideMark/>
          </w:tcPr>
          <w:p w:rsidR="00000000" w:rsidRDefault="004E30E9">
            <w:pPr>
              <w:jc w:val="right"/>
              <w:rPr>
                <w:rFonts w:eastAsia="Times New Roman"/>
                <w:sz w:val="18"/>
                <w:szCs w:val="18"/>
              </w:rPr>
            </w:pPr>
            <w:r>
              <w:rPr>
                <w:rFonts w:eastAsia="Times New Roman"/>
                <w:b/>
                <w:bCs/>
                <w:sz w:val="18"/>
                <w:szCs w:val="18"/>
              </w:rPr>
              <w:t>92,812</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b/>
                <w:bCs/>
                <w:sz w:val="18"/>
                <w:szCs w:val="18"/>
              </w:rPr>
              <w:t>$</w:t>
            </w:r>
          </w:p>
        </w:tc>
        <w:tc>
          <w:tcPr>
            <w:tcW w:w="450" w:type="pct"/>
            <w:tcBorders>
              <w:bottom w:val="nil"/>
            </w:tcBorders>
            <w:shd w:val="clear" w:color="auto" w:fill="CCEEFF"/>
            <w:vAlign w:val="bottom"/>
            <w:hideMark/>
          </w:tcPr>
          <w:p w:rsidR="00000000" w:rsidRDefault="004E30E9">
            <w:pPr>
              <w:jc w:val="right"/>
              <w:rPr>
                <w:rFonts w:eastAsia="Times New Roman"/>
                <w:sz w:val="18"/>
                <w:szCs w:val="18"/>
              </w:rPr>
            </w:pPr>
            <w:r>
              <w:rPr>
                <w:rFonts w:eastAsia="Times New Roman"/>
                <w:b/>
                <w:bCs/>
                <w:sz w:val="18"/>
                <w:szCs w:val="18"/>
              </w:rPr>
              <w:t>975,417</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b/>
                <w:bCs/>
                <w:sz w:val="18"/>
                <w:szCs w:val="18"/>
              </w:rPr>
              <w:t>$</w:t>
            </w:r>
          </w:p>
        </w:tc>
        <w:tc>
          <w:tcPr>
            <w:tcW w:w="450" w:type="pct"/>
            <w:tcBorders>
              <w:bottom w:val="nil"/>
            </w:tcBorders>
            <w:shd w:val="clear" w:color="auto" w:fill="CCEEFF"/>
            <w:vAlign w:val="bottom"/>
            <w:hideMark/>
          </w:tcPr>
          <w:p w:rsidR="00000000" w:rsidRDefault="004E30E9">
            <w:pPr>
              <w:jc w:val="right"/>
              <w:rPr>
                <w:rFonts w:eastAsia="Times New Roman"/>
                <w:sz w:val="18"/>
                <w:szCs w:val="18"/>
              </w:rPr>
            </w:pPr>
            <w:r>
              <w:rPr>
                <w:rFonts w:eastAsia="Times New Roman"/>
                <w:b/>
                <w:bCs/>
                <w:sz w:val="18"/>
                <w:szCs w:val="18"/>
              </w:rPr>
              <w:t>339,988</w:t>
            </w:r>
          </w:p>
        </w:tc>
        <w:tc>
          <w:tcPr>
            <w:tcW w:w="50" w:type="pct"/>
            <w:tcBorders>
              <w:bottom w:val="nil"/>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18"/>
                <w:szCs w:val="18"/>
              </w:rPr>
            </w:pPr>
            <w:r>
              <w:rPr>
                <w:sz w:val="18"/>
                <w:szCs w:val="18"/>
              </w:rPr>
              <w:t>Adjustments:</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18"/>
                <w:szCs w:val="18"/>
              </w:rPr>
            </w:pPr>
            <w:r>
              <w:rPr>
                <w:sz w:val="18"/>
                <w:szCs w:val="18"/>
              </w:rPr>
              <w:t>Management and other fee income</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(3,125</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(4,321</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(13,005</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(16,550</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18"/>
                <w:szCs w:val="18"/>
              </w:rPr>
            </w:pPr>
            <w:r>
              <w:rPr>
                <w:sz w:val="18"/>
                <w:szCs w:val="18"/>
              </w:rPr>
              <w:t>General and administrative</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20,901</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24,646</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93,217</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96,942</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18"/>
                <w:szCs w:val="18"/>
              </w:rPr>
            </w:pPr>
            <w:r>
              <w:rPr>
                <w:sz w:val="18"/>
                <w:szCs w:val="18"/>
              </w:rPr>
              <w:t>Impairment charges</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3,115</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7,508</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6,624</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48,743</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18"/>
                <w:szCs w:val="18"/>
              </w:rPr>
            </w:pPr>
            <w:r>
              <w:rPr>
                <w:sz w:val="18"/>
                <w:szCs w:val="18"/>
              </w:rPr>
              <w:t>Depreciation and amortization</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74,295</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68,439</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288,955</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277,879</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18"/>
                <w:szCs w:val="18"/>
              </w:rPr>
            </w:pPr>
            <w:r>
              <w:rPr>
                <w:sz w:val="18"/>
                <w:szCs w:val="18"/>
              </w:rPr>
              <w:t>Gain on sale of properties/change in control of interests</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(787</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(31,836</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(6,484</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(79,218</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18"/>
                <w:szCs w:val="18"/>
              </w:rPr>
            </w:pPr>
            <w:r>
              <w:rPr>
                <w:sz w:val="18"/>
                <w:szCs w:val="18"/>
              </w:rPr>
              <w:t>Interest and other expense, net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42,162</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42,284</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190,323</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166,410</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18"/>
                <w:szCs w:val="18"/>
              </w:rPr>
            </w:pPr>
            <w:r>
              <w:rPr>
                <w:sz w:val="18"/>
                <w:szCs w:val="18"/>
              </w:rPr>
              <w:t>(Gain)/loss on marketable securities, net</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(150,108</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546</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(594,753</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(829</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18"/>
                <w:szCs w:val="18"/>
              </w:rPr>
            </w:pPr>
            <w:r>
              <w:rPr>
                <w:sz w:val="18"/>
                <w:szCs w:val="18"/>
              </w:rPr>
              <w:t>Gain on sale of cost method investment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(190,832</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18"/>
                <w:szCs w:val="18"/>
              </w:rPr>
            </w:pPr>
            <w:r>
              <w:rPr>
                <w:sz w:val="18"/>
                <w:szCs w:val="18"/>
              </w:rPr>
              <w:t>Provision/(benefit) for income taxes, net</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496</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263</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978</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(3,317</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18"/>
                <w:szCs w:val="18"/>
              </w:rPr>
            </w:pPr>
            <w:r>
              <w:rPr>
                <w:sz w:val="18"/>
                <w:szCs w:val="18"/>
              </w:rPr>
              <w:t>Equity in income of other real estate investments, net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(1,733</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(3,318</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(28,628</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(26,076</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18"/>
                <w:szCs w:val="18"/>
              </w:rPr>
            </w:pPr>
            <w:r>
              <w:rPr>
                <w:sz w:val="18"/>
                <w:szCs w:val="18"/>
              </w:rPr>
              <w:t>Net income attributable to noncontrolling interests</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565</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624</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2,044</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2,956</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18"/>
                <w:szCs w:val="18"/>
              </w:rPr>
            </w:pPr>
            <w:r>
              <w:rPr>
                <w:sz w:val="18"/>
                <w:szCs w:val="18"/>
              </w:rPr>
              <w:t>Preferred stock redemption charges</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7,159</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18,528</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18"/>
                <w:szCs w:val="18"/>
              </w:rPr>
            </w:pPr>
            <w:r>
              <w:rPr>
                <w:sz w:val="18"/>
                <w:szCs w:val="18"/>
              </w:rPr>
              <w:t>Preferred dividends</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6,354</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9,448</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25,416</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CCEEFF"/>
            <w:vAlign w:val="bottom"/>
            <w:hideMark/>
          </w:tcPr>
          <w:p w:rsidR="00000000" w:rsidRDefault="004E30E9">
            <w:pPr>
              <w:jc w:val="right"/>
              <w:rPr>
                <w:rFonts w:eastAsia="Times New Roman"/>
                <w:sz w:val="18"/>
                <w:szCs w:val="18"/>
              </w:rPr>
            </w:pPr>
            <w:r>
              <w:rPr>
                <w:rFonts w:eastAsia="Times New Roman"/>
                <w:sz w:val="18"/>
                <w:szCs w:val="18"/>
              </w:rPr>
              <w:t>52,089</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18"/>
                <w:szCs w:val="18"/>
              </w:rPr>
            </w:pPr>
            <w:r>
              <w:rPr>
                <w:sz w:val="18"/>
                <w:szCs w:val="18"/>
              </w:rPr>
              <w:t>Non same property net operating income</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(10,929</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(19,778</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(33,328</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450" w:type="pct"/>
            <w:shd w:val="clear" w:color="auto" w:fill="FFFFFF"/>
            <w:vAlign w:val="bottom"/>
            <w:hideMark/>
          </w:tcPr>
          <w:p w:rsidR="00000000" w:rsidRDefault="004E30E9">
            <w:pPr>
              <w:jc w:val="right"/>
              <w:rPr>
                <w:rFonts w:eastAsia="Times New Roman"/>
                <w:sz w:val="18"/>
                <w:szCs w:val="18"/>
              </w:rPr>
            </w:pPr>
            <w:r>
              <w:rPr>
                <w:rFonts w:eastAsia="Times New Roman"/>
                <w:sz w:val="18"/>
                <w:szCs w:val="18"/>
              </w:rPr>
              <w:t>(85,087</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18"/>
                <w:szCs w:val="18"/>
              </w:rPr>
            </w:pPr>
            <w:r>
              <w:rPr>
                <w:sz w:val="18"/>
                <w:szCs w:val="18"/>
              </w:rPr>
              <w:t>Non-operational expense from joint ventures, net</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18"/>
                <w:szCs w:val="18"/>
              </w:rPr>
            </w:pPr>
            <w:r>
              <w:rPr>
                <w:rFonts w:eastAsia="Times New Roman"/>
                <w:sz w:val="18"/>
                <w:szCs w:val="18"/>
              </w:rPr>
              <w:t>16,237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18"/>
                <w:szCs w:val="18"/>
              </w:rPr>
            </w:pPr>
            <w:r>
              <w:rPr>
                <w:rFonts w:eastAsia="Times New Roman"/>
                <w:sz w:val="18"/>
                <w:szCs w:val="18"/>
              </w:rPr>
              <w:t>20,463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18"/>
                <w:szCs w:val="18"/>
              </w:rPr>
            </w:pPr>
            <w:r>
              <w:rPr>
                <w:rFonts w:eastAsia="Times New Roman"/>
                <w:sz w:val="18"/>
                <w:szCs w:val="18"/>
              </w:rPr>
              <w:t>68,510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8"/>
                <w:szCs w:val="18"/>
              </w:rPr>
            </w:pPr>
            <w:r>
              <w:rPr>
                <w:rFonts w:eastAsia="Times New Roman"/>
                <w:sz w:val="18"/>
                <w:szCs w:val="18"/>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18"/>
                <w:szCs w:val="18"/>
              </w:rPr>
            </w:pPr>
            <w:r>
              <w:rPr>
                <w:rFonts w:eastAsia="Times New Roman"/>
                <w:sz w:val="18"/>
                <w:szCs w:val="18"/>
              </w:rPr>
              <w:t>59,992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18"/>
                <w:szCs w:val="18"/>
              </w:rPr>
            </w:pPr>
            <w:r>
              <w:rPr>
                <w:rFonts w:eastAsia="Times New Roman"/>
                <w:sz w:val="18"/>
                <w:szCs w:val="18"/>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18"/>
                <w:szCs w:val="18"/>
              </w:rPr>
            </w:pPr>
            <w:r>
              <w:rPr>
                <w:b/>
                <w:bCs/>
                <w:sz w:val="18"/>
                <w:szCs w:val="18"/>
              </w:rPr>
              <w:t xml:space="preserve">Same property NOI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8"/>
                <w:szCs w:val="18"/>
              </w:rPr>
            </w:pPr>
            <w:r>
              <w:rPr>
                <w:rFonts w:eastAsia="Times New Roman"/>
                <w:b/>
                <w:bCs/>
                <w:sz w:val="18"/>
                <w:szCs w:val="18"/>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18"/>
                <w:szCs w:val="18"/>
              </w:rPr>
            </w:pPr>
            <w:r>
              <w:rPr>
                <w:rFonts w:eastAsia="Times New Roman"/>
                <w:b/>
                <w:bCs/>
                <w:sz w:val="18"/>
                <w:szCs w:val="18"/>
              </w:rPr>
              <w:t>192,323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8"/>
                <w:szCs w:val="18"/>
              </w:rPr>
            </w:pPr>
            <w:r>
              <w:rPr>
                <w:rFonts w:eastAsia="Times New Roman"/>
                <w:b/>
                <w:bCs/>
                <w:sz w:val="18"/>
                <w:szCs w:val="18"/>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18"/>
                <w:szCs w:val="18"/>
              </w:rPr>
            </w:pPr>
            <w:r>
              <w:rPr>
                <w:rFonts w:eastAsia="Times New Roman"/>
                <w:b/>
                <w:bCs/>
                <w:sz w:val="18"/>
                <w:szCs w:val="18"/>
              </w:rPr>
              <w:t>214,939</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8"/>
                <w:szCs w:val="18"/>
              </w:rPr>
            </w:pPr>
            <w:r>
              <w:rPr>
                <w:rFonts w:eastAsia="Times New Roman"/>
                <w:b/>
                <w:bCs/>
                <w:sz w:val="18"/>
                <w:szCs w:val="18"/>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18"/>
                <w:szCs w:val="18"/>
              </w:rPr>
            </w:pPr>
            <w:r>
              <w:rPr>
                <w:rFonts w:eastAsia="Times New Roman"/>
                <w:b/>
                <w:bCs/>
                <w:sz w:val="18"/>
                <w:szCs w:val="18"/>
              </w:rPr>
              <w:t>784,454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18"/>
                <w:szCs w:val="18"/>
              </w:rPr>
            </w:pPr>
            <w:r>
              <w:rPr>
                <w:rFonts w:eastAsia="Times New Roman"/>
                <w:sz w:val="18"/>
                <w:szCs w:val="18"/>
              </w:rPr>
              <w:t> </w:t>
            </w:r>
          </w:p>
        </w:tc>
        <w:tc>
          <w:tcPr>
            <w:tcW w:w="50" w:type="pct"/>
            <w:shd w:val="clear" w:color="auto" w:fill="FFFFFF"/>
            <w:vAlign w:val="bottom"/>
            <w:hideMark/>
          </w:tcPr>
          <w:p w:rsidR="00000000" w:rsidRDefault="004E30E9">
            <w:pPr>
              <w:rPr>
                <w:rFonts w:eastAsia="Times New Roman"/>
                <w:sz w:val="18"/>
                <w:szCs w:val="18"/>
              </w:rPr>
            </w:pPr>
            <w:r>
              <w:rPr>
                <w:rFonts w:eastAsia="Times New Roman"/>
                <w:sz w:val="18"/>
                <w:szCs w:val="18"/>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8"/>
                <w:szCs w:val="18"/>
              </w:rPr>
            </w:pPr>
            <w:r>
              <w:rPr>
                <w:rFonts w:eastAsia="Times New Roman"/>
                <w:b/>
                <w:bCs/>
                <w:sz w:val="18"/>
                <w:szCs w:val="18"/>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18"/>
                <w:szCs w:val="18"/>
              </w:rPr>
            </w:pPr>
            <w:r>
              <w:rPr>
                <w:rFonts w:eastAsia="Times New Roman"/>
                <w:b/>
                <w:bCs/>
                <w:sz w:val="18"/>
                <w:szCs w:val="18"/>
              </w:rPr>
              <w:t>852,450</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18"/>
                <w:szCs w:val="18"/>
              </w:rPr>
            </w:pPr>
            <w:r>
              <w:rPr>
                <w:rFonts w:eastAsia="Times New Roman"/>
                <w:sz w:val="18"/>
                <w:szCs w:val="18"/>
              </w:rPr>
              <w:t> </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Same property NOI decreased by $22.6 million, or 10.5%, for the three months ended December 31, 2020, as compared to the corresponding period in 2019, which is primarily the result of a reduction of revenue associated with potentially uncollectible revenue</w:t>
      </w:r>
      <w:r>
        <w:rPr>
          <w:sz w:val="20"/>
          <w:szCs w:val="20"/>
        </w:rPr>
        <w: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Same property NOI decreased by $68.0 million, or 8.0%, for the year ended December 31, 2020, as compared to the corresponding period in 2019, which is primarily the result of a reduction of revenue associated with potentially uncollectible revenues.</w:t>
      </w:r>
    </w:p>
    <w:p w:rsidR="00000000" w:rsidRDefault="004E30E9">
      <w:pPr>
        <w:pStyle w:val="a3"/>
        <w:spacing w:before="0" w:beforeAutospacing="0" w:after="0" w:afterAutospacing="0"/>
        <w:ind w:firstLine="72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Effects of Inflation</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Many of the Company's long-term leases contain provisions designed to mitigate the adverse impact of inflation.  Such provisions include clauses enabling the Company to receive payment of additional rent calculated as a percentage o</w:t>
      </w:r>
      <w:r>
        <w:rPr>
          <w:sz w:val="20"/>
          <w:szCs w:val="20"/>
        </w:rPr>
        <w:t>f tenants' gross sales above pre-determined thresholds, which generally increase as prices rise, and/or as a result of escalation clauses, which generally increase rental rates during the terms of the leases. Such escalation clauses often include increases</w:t>
      </w:r>
      <w:r>
        <w:rPr>
          <w:sz w:val="20"/>
          <w:szCs w:val="20"/>
        </w:rPr>
        <w:t xml:space="preserve"> based upon changes in the consumer price index or similar inflation indices.  In addition, many of the Company's leases are for terms of less than 10 years, which permits the Company to seek to increase rents to market rates upon renewal. Most of the Comp</w:t>
      </w:r>
      <w:r>
        <w:rPr>
          <w:sz w:val="20"/>
          <w:szCs w:val="20"/>
        </w:rPr>
        <w:t>any's leases include escalation clauses or require the tenant to pay an allocable share of operating expenses, including common area maintenance costs, real estate taxes and insurance, thereby reducing the Company's exposure to increases in costs and opera</w:t>
      </w:r>
      <w:r>
        <w:rPr>
          <w:sz w:val="20"/>
          <w:szCs w:val="20"/>
        </w:rPr>
        <w:t>ting expenses resulting from inflation.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u w:val="single"/>
        </w:rPr>
        <w:t>New Accounting Pronouncements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See Footnote 1 of the Notes to Consolidated Financial Statements included in this Form 10-K.</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7A. Quantitative and Qualitative Disclosures About M</w:t>
      </w:r>
      <w:r>
        <w:rPr>
          <w:sz w:val="20"/>
          <w:szCs w:val="20"/>
          <w:u w:val="single"/>
        </w:rPr>
        <w:t>arket Risk</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Company’s primary market risk exposure is interest rate risk. The Company periodically evaluates its exposure to short-term interest rates and will, from time-to-time, enter into interest rate protection agreements which mitigate, but do n</w:t>
      </w:r>
      <w:r>
        <w:rPr>
          <w:sz w:val="20"/>
          <w:szCs w:val="20"/>
        </w:rPr>
        <w:t>ot eliminate, the effect of changes in interest rates on its floating-rate debt. The Company has not entered, and does not plan to enter, into any derivative financial instruments for trading or speculative purposes. The following table presents the Compan</w:t>
      </w:r>
      <w:r>
        <w:rPr>
          <w:sz w:val="20"/>
          <w:szCs w:val="20"/>
        </w:rPr>
        <w:t xml:space="preserve">y’s aggregate fixed rate and variable rate debt obligations outstanding, including fair market value adjustments and unamortized deferred financing costs, as of December 31, 2020, with corresponding weighted-average interest rates sorted by maturity date. </w:t>
      </w:r>
      <w:r>
        <w:rPr>
          <w:sz w:val="20"/>
          <w:szCs w:val="20"/>
        </w:rPr>
        <w:t>The table does not include extension options where available (amounts in millions).</w:t>
      </w:r>
    </w:p>
    <w:p w:rsidR="00000000" w:rsidRDefault="004E30E9">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2"/>
        <w:gridCol w:w="50"/>
        <w:gridCol w:w="100"/>
        <w:gridCol w:w="458"/>
        <w:gridCol w:w="167"/>
        <w:gridCol w:w="50"/>
        <w:gridCol w:w="100"/>
        <w:gridCol w:w="458"/>
        <w:gridCol w:w="167"/>
        <w:gridCol w:w="50"/>
        <w:gridCol w:w="100"/>
        <w:gridCol w:w="458"/>
        <w:gridCol w:w="167"/>
        <w:gridCol w:w="50"/>
        <w:gridCol w:w="100"/>
        <w:gridCol w:w="459"/>
        <w:gridCol w:w="167"/>
        <w:gridCol w:w="50"/>
        <w:gridCol w:w="100"/>
        <w:gridCol w:w="460"/>
        <w:gridCol w:w="167"/>
        <w:gridCol w:w="50"/>
        <w:gridCol w:w="116"/>
        <w:gridCol w:w="806"/>
        <w:gridCol w:w="167"/>
        <w:gridCol w:w="50"/>
        <w:gridCol w:w="100"/>
        <w:gridCol w:w="600"/>
        <w:gridCol w:w="167"/>
        <w:gridCol w:w="50"/>
        <w:gridCol w:w="100"/>
        <w:gridCol w:w="600"/>
        <w:gridCol w:w="50"/>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4E30E9">
        <w:trPr>
          <w:tblCellSpacing w:w="0" w:type="dxa"/>
        </w:trPr>
        <w:tc>
          <w:tcPr>
            <w:tcW w:w="1000" w:type="pct"/>
            <w:shd w:val="clear" w:color="auto" w:fill="CCEEFF"/>
            <w:vAlign w:val="bottom"/>
            <w:hideMark/>
          </w:tcPr>
          <w:p w:rsidR="00000000" w:rsidRDefault="004E30E9">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r>
      <w:tr w:rsidR="004E30E9">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139.4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147.1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311.3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312.9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4E30E9">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5.39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4.05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6.73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7.08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4.73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4E30E9">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pStyle w:val="a3"/>
              <w:spacing w:before="0" w:beforeAutospacing="0" w:after="0" w:afterAutospacing="0"/>
              <w:rPr>
                <w:sz w:val="20"/>
                <w:szCs w:val="20"/>
              </w:rPr>
            </w:pPr>
            <w:r>
              <w:rPr>
                <w:b/>
                <w:bCs/>
                <w:sz w:val="20"/>
                <w:szCs w:val="20"/>
                <w:u w:val="single"/>
              </w:rPr>
              <w:t>Unsecured Debt</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r>
      <w:tr w:rsidR="004E30E9">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Fixed Rate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498.0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348.8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397.8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497.4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3,302.2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5,044.2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5,487.0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4E30E9">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3.40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3.13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3.42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8. Financial Statements and Supplementary Data</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response to this Item 8 is included in our audited Consolidated Financial Statements and Notes to Consolidated Financial Statements, which are contained in Part IV, Item 15 of this Form 10-K.</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jc w:val="center"/>
        <w:divId w:val="156071908"/>
        <w:rPr>
          <w:rFonts w:eastAsia="Times New Roman"/>
          <w:sz w:val="20"/>
          <w:szCs w:val="20"/>
        </w:rPr>
      </w:pPr>
      <w:r>
        <w:rPr>
          <w:rFonts w:eastAsia="Times New Roman"/>
          <w:sz w:val="20"/>
          <w:szCs w:val="20"/>
        </w:rPr>
        <w:t xml:space="preserve">42 </w:t>
      </w:r>
    </w:p>
    <w:p w:rsidR="00000000" w:rsidRDefault="004E30E9">
      <w:pPr>
        <w:divId w:val="62265536"/>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4E30E9">
      <w:pPr>
        <w:divId w:val="2986581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u w:val="single"/>
        </w:rPr>
        <w:t>Item 9. Changes in and Disagreements With Accountants on Accounting and Financial Disclosure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None.</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9A. Controls and Procedures</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pStyle w:val="a3"/>
        <w:spacing w:before="0" w:beforeAutospacing="0" w:after="0" w:afterAutospacing="0"/>
        <w:ind w:right="720" w:firstLine="360"/>
        <w:jc w:val="both"/>
        <w:rPr>
          <w:sz w:val="20"/>
          <w:szCs w:val="20"/>
        </w:rPr>
      </w:pPr>
      <w:r>
        <w:rPr>
          <w:i/>
          <w:iCs/>
          <w:sz w:val="20"/>
          <w:szCs w:val="20"/>
        </w:rPr>
        <w:t>Evaluation of Disclos</w:t>
      </w:r>
      <w:r>
        <w:rPr>
          <w:i/>
          <w:iCs/>
          <w:sz w:val="20"/>
          <w:szCs w:val="20"/>
        </w:rPr>
        <w:t>ure Controls and Procedures</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Company’s management, with the participation of the Company’s Chief Executive Officer and Chief Financial Officer, has evaluated the effectiveness of the Company’s disclosure controls and procedures (as such term is define</w:t>
      </w:r>
      <w:r>
        <w:rPr>
          <w:sz w:val="20"/>
          <w:szCs w:val="20"/>
        </w:rPr>
        <w:t>d in Rules 13a-15(e) and 15d-15(e) under the Securities Exchange Act of 1934, as amended (the "Exchange Act")) as of the end of the period covered by this report. Based on such evaluation, the Company’s Chief Executive Officer and Chief Financial Officer h</w:t>
      </w:r>
      <w:r>
        <w:rPr>
          <w:sz w:val="20"/>
          <w:szCs w:val="20"/>
        </w:rPr>
        <w:t>ave concluded that the Company’s disclosure controls and procedures are effective as of December 31, 2020.</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Changes in Internal Control Over Financial Reporting</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There have not been any changes in the Company’s internal control over financial reporting (</w:t>
      </w:r>
      <w:r>
        <w:rPr>
          <w:sz w:val="20"/>
          <w:szCs w:val="20"/>
        </w:rPr>
        <w:t>as such term is defined in Rules 13a-15(f) and 15d-15(f) under the Exchange Act) during the fourth fiscal quarter ended December 31, 2020, that have materially affected, or are reasonably likely to materially affect, the Company’s internal control over fin</w:t>
      </w:r>
      <w:r>
        <w:rPr>
          <w:sz w:val="20"/>
          <w:szCs w:val="20"/>
        </w:rPr>
        <w:t>ancial reporting.</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 xml:space="preserve">Management’s Report on Internal Control Over Financial Reporting </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Our management is responsible for establishing and maintaining adequate internal control over financial reporting, as such term is defined in Exchange Act Rule 13a-15(f) and 15d-15(f). Under the supervision and with the participation of our management, inc</w:t>
      </w:r>
      <w:r>
        <w:rPr>
          <w:sz w:val="20"/>
          <w:szCs w:val="20"/>
        </w:rPr>
        <w:t xml:space="preserve">luding our Chief Executive Officer and Chief Financial Officer, we conducted an evaluation of the effectiveness of our internal control over financial reporting based on the framework in the </w:t>
      </w:r>
      <w:r>
        <w:rPr>
          <w:i/>
          <w:iCs/>
          <w:sz w:val="20"/>
          <w:szCs w:val="20"/>
        </w:rPr>
        <w:t>Internal Control - Integrated Framework</w:t>
      </w:r>
      <w:r>
        <w:rPr>
          <w:sz w:val="20"/>
          <w:szCs w:val="20"/>
        </w:rPr>
        <w:t xml:space="preserve"> (</w:t>
      </w:r>
      <w:r>
        <w:rPr>
          <w:i/>
          <w:iCs/>
          <w:sz w:val="20"/>
          <w:szCs w:val="20"/>
        </w:rPr>
        <w:t xml:space="preserve">2013) </w:t>
      </w:r>
      <w:r>
        <w:rPr>
          <w:sz w:val="20"/>
          <w:szCs w:val="20"/>
        </w:rPr>
        <w:t>issued by the Comm</w:t>
      </w:r>
      <w:r>
        <w:rPr>
          <w:sz w:val="20"/>
          <w:szCs w:val="20"/>
        </w:rPr>
        <w:t xml:space="preserve">ittee of Sponsoring Organizations of the Treadway Commission. Based on our evaluation under the framework in </w:t>
      </w:r>
      <w:r>
        <w:rPr>
          <w:i/>
          <w:iCs/>
          <w:sz w:val="20"/>
          <w:szCs w:val="20"/>
        </w:rPr>
        <w:t>Internal Control - Integrated Framework (2013)</w:t>
      </w:r>
      <w:r>
        <w:rPr>
          <w:sz w:val="20"/>
          <w:szCs w:val="20"/>
        </w:rPr>
        <w:t>, our management concluded that our internal control over financial reporting was effective as of Dec</w:t>
      </w:r>
      <w:r>
        <w:rPr>
          <w:sz w:val="20"/>
          <w:szCs w:val="20"/>
        </w:rPr>
        <w:t>ember 31, 2020.</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The effectiveness of our internal control over financial reporting as of December 31, 2020, has been audited by PricewaterhouseCoopers LLP, an independent registered public accounting firm, as stated in their report which appears under It</w:t>
      </w:r>
      <w:r>
        <w:rPr>
          <w:sz w:val="20"/>
          <w:szCs w:val="20"/>
        </w:rPr>
        <w:t>em 8.</w:t>
      </w:r>
    </w:p>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9B. Other Information</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sz w:val="20"/>
          <w:szCs w:val="20"/>
        </w:rPr>
        <w:t>None.</w:t>
      </w:r>
    </w:p>
    <w:p w:rsidR="00000000" w:rsidRDefault="004E30E9">
      <w:pPr>
        <w:pStyle w:val="a3"/>
        <w:spacing w:before="0" w:beforeAutospacing="0" w:after="0" w:afterAutospacing="0"/>
        <w:jc w:val="center"/>
        <w:rPr>
          <w:sz w:val="20"/>
          <w:szCs w:val="20"/>
        </w:rPr>
      </w:pPr>
      <w:r>
        <w:rPr>
          <w:sz w:val="20"/>
          <w:szCs w:val="20"/>
        </w:rPr>
        <w:t> </w:t>
      </w:r>
    </w:p>
    <w:p w:rsidR="00000000" w:rsidRDefault="004E30E9">
      <w:pPr>
        <w:jc w:val="center"/>
        <w:divId w:val="263341091"/>
        <w:rPr>
          <w:rFonts w:eastAsia="Times New Roman"/>
          <w:sz w:val="20"/>
          <w:szCs w:val="20"/>
        </w:rPr>
      </w:pPr>
      <w:r>
        <w:rPr>
          <w:rFonts w:eastAsia="Times New Roman"/>
          <w:sz w:val="20"/>
          <w:szCs w:val="20"/>
        </w:rPr>
        <w:t xml:space="preserve">43 </w:t>
      </w:r>
    </w:p>
    <w:p w:rsidR="00000000" w:rsidRDefault="004E30E9">
      <w:pPr>
        <w:divId w:val="855269337"/>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4E30E9">
      <w:pPr>
        <w:divId w:val="14026912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u w:val="single"/>
        </w:rPr>
        <w:t>PART III</w:t>
      </w:r>
    </w:p>
    <w:p w:rsidR="00000000" w:rsidRDefault="004E30E9">
      <w:pPr>
        <w:pStyle w:val="a3"/>
        <w:spacing w:before="0" w:beforeAutospacing="0" w:after="0" w:afterAutospacing="0"/>
        <w:ind w:right="720" w:firstLine="36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10. Directors, Executive Officers and Corporate Governance </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pStyle w:val="a3"/>
        <w:spacing w:before="0" w:beforeAutospacing="0" w:after="0" w:afterAutospacing="0"/>
        <w:ind w:right="720" w:firstLine="360"/>
        <w:jc w:val="both"/>
        <w:rPr>
          <w:sz w:val="20"/>
          <w:szCs w:val="20"/>
        </w:rPr>
      </w:pPr>
      <w:r>
        <w:rPr>
          <w:sz w:val="20"/>
          <w:szCs w:val="20"/>
        </w:rPr>
        <w:t>The information required by this item is incorporated by reference to “Proposal 1—Election of Directors,” “Corporate Governance,” “</w:t>
      </w:r>
      <w:r>
        <w:rPr>
          <w:sz w:val="20"/>
          <w:szCs w:val="20"/>
        </w:rPr>
        <w:t>Committees of the Board of Directors,” “Executive Officers” and “Other Matters” in our definitive proxy statement to be filed with respect to the Annual Meeting of Stockholders expected to be held on April 27, 2021 (“Proxy Statement”).</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pStyle w:val="a3"/>
        <w:spacing w:before="0" w:beforeAutospacing="0" w:after="0" w:afterAutospacing="0"/>
        <w:ind w:right="720" w:firstLine="360"/>
        <w:jc w:val="both"/>
        <w:rPr>
          <w:sz w:val="20"/>
          <w:szCs w:val="20"/>
        </w:rPr>
      </w:pPr>
      <w:r>
        <w:rPr>
          <w:sz w:val="20"/>
          <w:szCs w:val="20"/>
        </w:rPr>
        <w:t xml:space="preserve">We have adopted a </w:t>
      </w:r>
      <w:r>
        <w:rPr>
          <w:sz w:val="20"/>
          <w:szCs w:val="20"/>
        </w:rPr>
        <w:t xml:space="preserve">Code of Business Conduct and Ethics (the “Code of Ethics”). The Code of Ethics is available at the Investors/Governance/Governance Documents section of our website at www.kimcorealty.com. A copy of the Code of Ethics is available in print, free of charge, </w:t>
      </w:r>
      <w:r>
        <w:rPr>
          <w:sz w:val="20"/>
          <w:szCs w:val="20"/>
        </w:rPr>
        <w:t>to stockholders upon request to us at the address set forth in Item 1 of this Annual Report on Form 10-K under the section “Business - Overview.” We intend to satisfy the disclosure requirements under the Securities and Exchange Act of 1934, as amended, re</w:t>
      </w:r>
      <w:r>
        <w:rPr>
          <w:sz w:val="20"/>
          <w:szCs w:val="20"/>
        </w:rPr>
        <w:t>garding an amendment to or waiver from a provision of our Code of Ethics by posting such information on our website.</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11. Executive Compensation</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pStyle w:val="a3"/>
        <w:spacing w:before="0" w:beforeAutospacing="0" w:after="0" w:afterAutospacing="0"/>
        <w:ind w:right="720" w:firstLine="360"/>
        <w:jc w:val="both"/>
        <w:rPr>
          <w:sz w:val="20"/>
          <w:szCs w:val="20"/>
        </w:rPr>
      </w:pPr>
      <w:r>
        <w:rPr>
          <w:sz w:val="20"/>
          <w:szCs w:val="20"/>
        </w:rPr>
        <w:t>The information required by this item is incorporated by reference to “C</w:t>
      </w:r>
      <w:r>
        <w:rPr>
          <w:sz w:val="20"/>
          <w:szCs w:val="20"/>
        </w:rPr>
        <w:t>ompensation Discussion and Analysis,” “Executive Compensation Committee Report,” “Compensation Tables,” “Compensation of Directors” and “Other Matters” in our Proxy Statement.</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12. Security Ownership of Certain Bene</w:t>
      </w:r>
      <w:r>
        <w:rPr>
          <w:sz w:val="20"/>
          <w:szCs w:val="20"/>
          <w:u w:val="single"/>
        </w:rPr>
        <w:t>ficial Owners and Management and Related Stockholder Matters</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pStyle w:val="a3"/>
        <w:spacing w:before="0" w:beforeAutospacing="0" w:after="0" w:afterAutospacing="0"/>
        <w:ind w:right="720" w:firstLine="360"/>
        <w:jc w:val="both"/>
        <w:rPr>
          <w:sz w:val="20"/>
          <w:szCs w:val="20"/>
        </w:rPr>
      </w:pPr>
      <w:r>
        <w:rPr>
          <w:sz w:val="20"/>
          <w:szCs w:val="20"/>
        </w:rPr>
        <w:t>The information required by this item is incorporated by reference to “Security Ownership of Certain Beneficial Owners and Management” and “Compensation Tables” in our Proxy Statement.</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13. Certain Relationships and Related Transactions, and Director Independence</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pStyle w:val="a3"/>
        <w:spacing w:before="0" w:beforeAutospacing="0" w:after="0" w:afterAutospacing="0"/>
        <w:ind w:right="720" w:firstLine="360"/>
        <w:jc w:val="both"/>
        <w:rPr>
          <w:sz w:val="20"/>
          <w:szCs w:val="20"/>
        </w:rPr>
      </w:pPr>
      <w:r>
        <w:rPr>
          <w:sz w:val="20"/>
          <w:szCs w:val="20"/>
        </w:rPr>
        <w:t>The information required by this item is incorporated by reference to “Certain Relationships and Related Transactions” and “Corporate Gove</w:t>
      </w:r>
      <w:r>
        <w:rPr>
          <w:sz w:val="20"/>
          <w:szCs w:val="20"/>
        </w:rPr>
        <w:t>rnance” in our Proxy Statement.</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14. Principal Accountant Fees and Services</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pStyle w:val="a3"/>
        <w:spacing w:before="0" w:beforeAutospacing="0" w:after="0" w:afterAutospacing="0"/>
        <w:ind w:right="720" w:firstLine="360"/>
        <w:jc w:val="both"/>
        <w:rPr>
          <w:sz w:val="20"/>
          <w:szCs w:val="20"/>
        </w:rPr>
      </w:pPr>
      <w:r>
        <w:rPr>
          <w:sz w:val="20"/>
          <w:szCs w:val="20"/>
        </w:rPr>
        <w:t>The information required by this item is incorporated by reference to “Independent Registered Public Accountants” in our Proxy Sta</w:t>
      </w:r>
      <w:r>
        <w:rPr>
          <w:sz w:val="20"/>
          <w:szCs w:val="20"/>
        </w:rPr>
        <w:t>tement.</w:t>
      </w:r>
    </w:p>
    <w:p w:rsidR="00000000" w:rsidRDefault="004E30E9">
      <w:pPr>
        <w:pStyle w:val="a3"/>
        <w:spacing w:before="0" w:beforeAutospacing="0" w:after="0" w:afterAutospacing="0"/>
        <w:ind w:right="720" w:firstLine="360"/>
        <w:jc w:val="both"/>
        <w:rPr>
          <w:sz w:val="20"/>
          <w:szCs w:val="20"/>
        </w:rPr>
      </w:pPr>
      <w:r>
        <w:rPr>
          <w:sz w:val="20"/>
          <w:szCs w:val="20"/>
        </w:rPr>
        <w:t> </w:t>
      </w:r>
    </w:p>
    <w:p w:rsidR="00000000" w:rsidRDefault="004E30E9">
      <w:pPr>
        <w:jc w:val="center"/>
        <w:divId w:val="868831687"/>
        <w:rPr>
          <w:rFonts w:eastAsia="Times New Roman"/>
          <w:sz w:val="20"/>
          <w:szCs w:val="20"/>
        </w:rPr>
      </w:pPr>
      <w:r>
        <w:rPr>
          <w:rFonts w:eastAsia="Times New Roman"/>
          <w:sz w:val="20"/>
          <w:szCs w:val="20"/>
        </w:rPr>
        <w:t xml:space="preserve">44 </w:t>
      </w:r>
    </w:p>
    <w:p w:rsidR="00000000" w:rsidRDefault="004E30E9">
      <w:pPr>
        <w:divId w:val="1881933473"/>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4E30E9">
      <w:pPr>
        <w:divId w:val="158290780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right="720" w:firstLine="360"/>
        <w:jc w:val="center"/>
        <w:rPr>
          <w:sz w:val="20"/>
          <w:szCs w:val="20"/>
        </w:rPr>
      </w:pPr>
      <w:r>
        <w:rPr>
          <w:sz w:val="20"/>
          <w:szCs w:val="20"/>
          <w:u w:val="single"/>
        </w:rPr>
        <w:t>PART IV</w:t>
      </w:r>
    </w:p>
    <w:p w:rsidR="00000000" w:rsidRDefault="004E30E9">
      <w:pPr>
        <w:pStyle w:val="a3"/>
        <w:spacing w:before="0" w:beforeAutospacing="0" w:after="0" w:afterAutospacing="0"/>
        <w:ind w:right="720" w:firstLine="360"/>
        <w:jc w:val="center"/>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15. Exhibits and Financial Statement Schedules</w:t>
      </w:r>
    </w:p>
    <w:p w:rsidR="00000000" w:rsidRDefault="004E30E9">
      <w:pPr>
        <w:pStyle w:val="a3"/>
        <w:spacing w:before="0" w:beforeAutospacing="0" w:after="0" w:afterAutospacing="0"/>
        <w:rPr>
          <w:sz w:val="20"/>
          <w:szCs w:val="20"/>
        </w:rPr>
      </w:pPr>
      <w:r>
        <w:rPr>
          <w:sz w:val="20"/>
          <w:szCs w:val="20"/>
        </w:rPr>
        <w:t> </w:t>
      </w:r>
    </w:p>
    <w:tbl>
      <w:tblPr>
        <w:tblW w:w="4435" w:type="pct"/>
        <w:tblCellSpacing w:w="0" w:type="dxa"/>
        <w:tblCellMar>
          <w:left w:w="0" w:type="dxa"/>
          <w:right w:w="0" w:type="dxa"/>
        </w:tblCellMar>
        <w:tblLook w:val="04A0" w:firstRow="1" w:lastRow="0" w:firstColumn="1" w:lastColumn="0" w:noHBand="0" w:noVBand="1"/>
      </w:tblPr>
      <w:tblGrid>
        <w:gridCol w:w="671"/>
        <w:gridCol w:w="1061"/>
        <w:gridCol w:w="4885"/>
        <w:gridCol w:w="750"/>
      </w:tblGrid>
      <w:tr w:rsidR="00000000">
        <w:trPr>
          <w:tblCellSpacing w:w="0" w:type="dxa"/>
        </w:trPr>
        <w:tc>
          <w:tcPr>
            <w:tcW w:w="460" w:type="pct"/>
            <w:hideMark/>
          </w:tcPr>
          <w:p w:rsidR="00000000" w:rsidRDefault="004E30E9">
            <w:pPr>
              <w:pStyle w:val="a3"/>
              <w:spacing w:before="0" w:beforeAutospacing="0" w:after="0" w:afterAutospacing="0"/>
              <w:jc w:val="right"/>
              <w:rPr>
                <w:sz w:val="20"/>
                <w:szCs w:val="20"/>
              </w:rPr>
            </w:pPr>
            <w:r>
              <w:rPr>
                <w:sz w:val="20"/>
                <w:szCs w:val="20"/>
              </w:rPr>
              <w:t>(a)   1. </w:t>
            </w:r>
          </w:p>
        </w:tc>
        <w:tc>
          <w:tcPr>
            <w:tcW w:w="4045" w:type="pct"/>
            <w:gridSpan w:val="2"/>
            <w:hideMark/>
          </w:tcPr>
          <w:p w:rsidR="00000000" w:rsidRDefault="004E30E9">
            <w:pPr>
              <w:pStyle w:val="a3"/>
              <w:spacing w:before="0" w:beforeAutospacing="0" w:after="0" w:afterAutospacing="0"/>
              <w:rPr>
                <w:sz w:val="20"/>
                <w:szCs w:val="20"/>
              </w:rPr>
            </w:pPr>
            <w:r>
              <w:rPr>
                <w:sz w:val="20"/>
                <w:szCs w:val="20"/>
              </w:rPr>
              <w:t>Financial Statements – </w:t>
            </w:r>
          </w:p>
          <w:p w:rsidR="00000000" w:rsidRDefault="004E30E9">
            <w:pPr>
              <w:pStyle w:val="a3"/>
              <w:spacing w:before="0" w:beforeAutospacing="0" w:after="0" w:afterAutospacing="0"/>
              <w:rPr>
                <w:sz w:val="20"/>
                <w:szCs w:val="20"/>
              </w:rPr>
            </w:pPr>
            <w:r>
              <w:rPr>
                <w:sz w:val="20"/>
                <w:szCs w:val="20"/>
              </w:rPr>
              <w:t>The following consolidated financial information is included as a separate section of this annual report on Form 10-K.</w:t>
            </w:r>
          </w:p>
        </w:tc>
        <w:tc>
          <w:tcPr>
            <w:tcW w:w="495"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sz w:val="20"/>
                <w:szCs w:val="20"/>
              </w:rPr>
              <w:t>Form 10-K</w:t>
            </w:r>
            <w:r>
              <w:rPr>
                <w:sz w:val="20"/>
                <w:szCs w:val="20"/>
              </w:rPr>
              <w:br/>
              <w:t>Report</w:t>
            </w:r>
            <w:r>
              <w:rPr>
                <w:sz w:val="20"/>
                <w:szCs w:val="20"/>
              </w:rPr>
              <w:br/>
              <w:t>Page</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tcBorders>
              <w:bottom w:val="nil"/>
            </w:tcBorders>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pStyle w:val="a3"/>
              <w:spacing w:before="0" w:beforeAutospacing="0" w:after="0" w:afterAutospacing="0"/>
              <w:rPr>
                <w:sz w:val="20"/>
                <w:szCs w:val="20"/>
              </w:rPr>
            </w:pPr>
            <w:hyperlink w:anchor="reportaccountfirm" w:history="1">
              <w:r>
                <w:rPr>
                  <w:rStyle w:val="a4"/>
                  <w:sz w:val="20"/>
                  <w:szCs w:val="20"/>
                </w:rPr>
                <w:t>Report of Independent Registered Public Accounting Firm</w:t>
              </w:r>
            </w:hyperlink>
          </w:p>
        </w:tc>
        <w:tc>
          <w:tcPr>
            <w:tcW w:w="495" w:type="pct"/>
            <w:vAlign w:val="bottom"/>
            <w:hideMark/>
          </w:tcPr>
          <w:p w:rsidR="00000000" w:rsidRDefault="004E30E9">
            <w:pPr>
              <w:pStyle w:val="a3"/>
              <w:spacing w:before="0" w:beforeAutospacing="0" w:after="0" w:afterAutospacing="0"/>
              <w:jc w:val="center"/>
              <w:rPr>
                <w:sz w:val="20"/>
                <w:szCs w:val="20"/>
              </w:rPr>
            </w:pPr>
            <w:hyperlink w:anchor="reportaccountfirm" w:history="1">
              <w:r>
                <w:rPr>
                  <w:rStyle w:val="a4"/>
                  <w:sz w:val="20"/>
                  <w:szCs w:val="20"/>
                </w:rPr>
                <w:t>50</w:t>
              </w:r>
            </w:hyperlink>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pStyle w:val="a3"/>
              <w:spacing w:before="0" w:beforeAutospacing="0" w:after="0" w:afterAutospacing="0"/>
              <w:rPr>
                <w:sz w:val="20"/>
                <w:szCs w:val="20"/>
              </w:rPr>
            </w:pPr>
            <w:r>
              <w:rPr>
                <w:sz w:val="20"/>
                <w:szCs w:val="20"/>
              </w:rPr>
              <w:t>Consolidated Financial Statements</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vAlign w:val="center"/>
            <w:hideMark/>
          </w:tcPr>
          <w:p w:rsidR="00000000" w:rsidRDefault="004E30E9">
            <w:pPr>
              <w:pStyle w:val="a3"/>
              <w:spacing w:before="0" w:beforeAutospacing="0" w:after="0" w:afterAutospacing="0"/>
              <w:ind w:left="180"/>
              <w:rPr>
                <w:sz w:val="20"/>
                <w:szCs w:val="20"/>
              </w:rPr>
            </w:pPr>
            <w:hyperlink w:anchor="balsheets" w:history="1">
              <w:r>
                <w:rPr>
                  <w:rStyle w:val="a4"/>
                  <w:sz w:val="20"/>
                  <w:szCs w:val="20"/>
                </w:rPr>
                <w:t>Consolidated Balance Sheets as of December 31, 2020 and 2019</w:t>
              </w:r>
            </w:hyperlink>
          </w:p>
        </w:tc>
        <w:tc>
          <w:tcPr>
            <w:tcW w:w="495" w:type="pct"/>
            <w:vAlign w:val="bottom"/>
            <w:hideMark/>
          </w:tcPr>
          <w:p w:rsidR="00000000" w:rsidRDefault="004E30E9">
            <w:pPr>
              <w:pStyle w:val="a3"/>
              <w:spacing w:before="0" w:beforeAutospacing="0" w:after="0" w:afterAutospacing="0"/>
              <w:jc w:val="center"/>
              <w:rPr>
                <w:sz w:val="20"/>
                <w:szCs w:val="20"/>
              </w:rPr>
            </w:pPr>
            <w:hyperlink w:anchor="balsheets" w:history="1">
              <w:r>
                <w:rPr>
                  <w:rStyle w:val="a4"/>
                  <w:sz w:val="20"/>
                  <w:szCs w:val="20"/>
                </w:rPr>
                <w:t>52</w:t>
              </w:r>
            </w:hyperlink>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vAlign w:val="center"/>
            <w:hideMark/>
          </w:tcPr>
          <w:p w:rsidR="00000000" w:rsidRDefault="004E30E9">
            <w:pPr>
              <w:pStyle w:val="a3"/>
              <w:spacing w:before="0" w:beforeAutospacing="0" w:after="0" w:afterAutospacing="0"/>
              <w:ind w:left="180"/>
              <w:rPr>
                <w:sz w:val="20"/>
                <w:szCs w:val="20"/>
              </w:rPr>
            </w:pPr>
            <w:hyperlink w:anchor="stateofincome" w:history="1">
              <w:r>
                <w:rPr>
                  <w:rStyle w:val="a4"/>
                  <w:sz w:val="20"/>
                  <w:szCs w:val="20"/>
                </w:rPr>
                <w:t>Consolidated Statements of Income for the years ended December 31, 2020, 2019 and 2018</w:t>
              </w:r>
            </w:hyperlink>
          </w:p>
        </w:tc>
        <w:tc>
          <w:tcPr>
            <w:tcW w:w="495" w:type="pct"/>
            <w:vAlign w:val="bottom"/>
            <w:hideMark/>
          </w:tcPr>
          <w:p w:rsidR="00000000" w:rsidRDefault="004E30E9">
            <w:pPr>
              <w:pStyle w:val="a3"/>
              <w:spacing w:before="0" w:beforeAutospacing="0" w:after="0" w:afterAutospacing="0"/>
              <w:jc w:val="center"/>
              <w:rPr>
                <w:sz w:val="20"/>
                <w:szCs w:val="20"/>
              </w:rPr>
            </w:pPr>
            <w:hyperlink w:anchor="stateofincome" w:history="1">
              <w:r>
                <w:rPr>
                  <w:rStyle w:val="a4"/>
                  <w:sz w:val="20"/>
                  <w:szCs w:val="20"/>
                </w:rPr>
                <w:t>53</w:t>
              </w:r>
            </w:hyperlink>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vAlign w:val="center"/>
            <w:hideMark/>
          </w:tcPr>
          <w:p w:rsidR="00000000" w:rsidRDefault="004E30E9">
            <w:pPr>
              <w:pStyle w:val="a3"/>
              <w:spacing w:before="0" w:beforeAutospacing="0" w:after="0" w:afterAutospacing="0"/>
              <w:ind w:left="180"/>
              <w:rPr>
                <w:sz w:val="20"/>
                <w:szCs w:val="20"/>
              </w:rPr>
            </w:pPr>
            <w:hyperlink w:anchor="stateofcompincome" w:history="1">
              <w:r>
                <w:rPr>
                  <w:rStyle w:val="a4"/>
                  <w:sz w:val="20"/>
                  <w:szCs w:val="20"/>
                </w:rPr>
                <w:t>Consolidated Statements of Comprehensive Income for the years ended December 3</w:t>
              </w:r>
              <w:r>
                <w:rPr>
                  <w:rStyle w:val="a4"/>
                  <w:sz w:val="20"/>
                  <w:szCs w:val="20"/>
                </w:rPr>
                <w:t>1, 2020, 2019 and 2018</w:t>
              </w:r>
            </w:hyperlink>
          </w:p>
        </w:tc>
        <w:tc>
          <w:tcPr>
            <w:tcW w:w="495" w:type="pct"/>
            <w:vAlign w:val="bottom"/>
            <w:hideMark/>
          </w:tcPr>
          <w:p w:rsidR="00000000" w:rsidRDefault="004E30E9">
            <w:pPr>
              <w:pStyle w:val="a3"/>
              <w:spacing w:before="0" w:beforeAutospacing="0" w:after="0" w:afterAutospacing="0"/>
              <w:jc w:val="center"/>
              <w:rPr>
                <w:sz w:val="20"/>
                <w:szCs w:val="20"/>
              </w:rPr>
            </w:pPr>
            <w:hyperlink w:anchor="stateofcompincome" w:history="1">
              <w:r>
                <w:rPr>
                  <w:rStyle w:val="a4"/>
                  <w:sz w:val="20"/>
                  <w:szCs w:val="20"/>
                </w:rPr>
                <w:t>54</w:t>
              </w:r>
            </w:hyperlink>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vAlign w:val="center"/>
            <w:hideMark/>
          </w:tcPr>
          <w:p w:rsidR="00000000" w:rsidRDefault="004E30E9">
            <w:pPr>
              <w:pStyle w:val="a3"/>
              <w:spacing w:before="0" w:beforeAutospacing="0" w:after="0" w:afterAutospacing="0"/>
              <w:ind w:left="180"/>
              <w:rPr>
                <w:sz w:val="20"/>
                <w:szCs w:val="20"/>
              </w:rPr>
            </w:pPr>
            <w:hyperlink w:anchor="statechangesequity" w:history="1">
              <w:r>
                <w:rPr>
                  <w:rStyle w:val="a4"/>
                  <w:sz w:val="20"/>
                  <w:szCs w:val="20"/>
                </w:rPr>
                <w:t>Consolidated Statements of Changes in Equity for the years ended December 31, 2020, 2019 and 2018</w:t>
              </w:r>
            </w:hyperlink>
          </w:p>
        </w:tc>
        <w:tc>
          <w:tcPr>
            <w:tcW w:w="495" w:type="pct"/>
            <w:vAlign w:val="bottom"/>
            <w:hideMark/>
          </w:tcPr>
          <w:p w:rsidR="00000000" w:rsidRDefault="004E30E9">
            <w:pPr>
              <w:pStyle w:val="a3"/>
              <w:spacing w:before="0" w:beforeAutospacing="0" w:after="0" w:afterAutospacing="0"/>
              <w:jc w:val="center"/>
              <w:rPr>
                <w:sz w:val="20"/>
                <w:szCs w:val="20"/>
              </w:rPr>
            </w:pPr>
            <w:hyperlink w:anchor="statechangesequity" w:history="1">
              <w:r>
                <w:rPr>
                  <w:rStyle w:val="a4"/>
                  <w:sz w:val="20"/>
                  <w:szCs w:val="20"/>
                </w:rPr>
                <w:t>55</w:t>
              </w:r>
            </w:hyperlink>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vAlign w:val="center"/>
            <w:hideMark/>
          </w:tcPr>
          <w:p w:rsidR="00000000" w:rsidRDefault="004E30E9">
            <w:pPr>
              <w:pStyle w:val="a3"/>
              <w:spacing w:before="0" w:beforeAutospacing="0" w:after="0" w:afterAutospacing="0"/>
              <w:ind w:left="180"/>
              <w:rPr>
                <w:sz w:val="20"/>
                <w:szCs w:val="20"/>
              </w:rPr>
            </w:pPr>
            <w:hyperlink w:anchor="statecashflows" w:history="1">
              <w:r>
                <w:rPr>
                  <w:rStyle w:val="a4"/>
                  <w:sz w:val="20"/>
                  <w:szCs w:val="20"/>
                </w:rPr>
                <w:t>Consolidated Statements of Cash Flows for the years ended Decembe</w:t>
              </w:r>
              <w:r>
                <w:rPr>
                  <w:rStyle w:val="a4"/>
                  <w:sz w:val="20"/>
                  <w:szCs w:val="20"/>
                </w:rPr>
                <w:t>r 31, 2020, 2019 and 2018</w:t>
              </w:r>
            </w:hyperlink>
          </w:p>
        </w:tc>
        <w:tc>
          <w:tcPr>
            <w:tcW w:w="495" w:type="pct"/>
            <w:vAlign w:val="bottom"/>
            <w:hideMark/>
          </w:tcPr>
          <w:p w:rsidR="00000000" w:rsidRDefault="004E30E9">
            <w:pPr>
              <w:pStyle w:val="a3"/>
              <w:spacing w:before="0" w:beforeAutospacing="0" w:after="0" w:afterAutospacing="0"/>
              <w:jc w:val="center"/>
              <w:rPr>
                <w:sz w:val="20"/>
                <w:szCs w:val="20"/>
              </w:rPr>
            </w:pPr>
            <w:hyperlink w:anchor="statecashflows" w:history="1">
              <w:r>
                <w:rPr>
                  <w:rStyle w:val="a4"/>
                  <w:sz w:val="20"/>
                  <w:szCs w:val="20"/>
                </w:rPr>
                <w:t>56</w:t>
              </w:r>
            </w:hyperlink>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vAlign w:val="center"/>
            <w:hideMark/>
          </w:tcPr>
          <w:p w:rsidR="00000000" w:rsidRDefault="004E30E9">
            <w:pPr>
              <w:pStyle w:val="a3"/>
              <w:spacing w:before="0" w:beforeAutospacing="0" w:after="0" w:afterAutospacing="0"/>
              <w:ind w:left="180"/>
              <w:rPr>
                <w:sz w:val="20"/>
                <w:szCs w:val="20"/>
              </w:rPr>
            </w:pPr>
            <w:hyperlink w:anchor="finnotes" w:history="1">
              <w:r>
                <w:rPr>
                  <w:rStyle w:val="a4"/>
                  <w:sz w:val="20"/>
                  <w:szCs w:val="20"/>
                </w:rPr>
                <w:t>Notes to Consolidated Financial Statements</w:t>
              </w:r>
            </w:hyperlink>
          </w:p>
        </w:tc>
        <w:tc>
          <w:tcPr>
            <w:tcW w:w="495" w:type="pct"/>
            <w:vAlign w:val="bottom"/>
            <w:hideMark/>
          </w:tcPr>
          <w:p w:rsidR="00000000" w:rsidRDefault="004E30E9">
            <w:pPr>
              <w:pStyle w:val="a3"/>
              <w:spacing w:before="0" w:beforeAutospacing="0" w:after="0" w:afterAutospacing="0"/>
              <w:jc w:val="center"/>
              <w:rPr>
                <w:sz w:val="20"/>
                <w:szCs w:val="20"/>
              </w:rPr>
            </w:pPr>
            <w:hyperlink w:anchor="finnotes" w:history="1">
              <w:r>
                <w:rPr>
                  <w:rStyle w:val="a4"/>
                  <w:sz w:val="20"/>
                  <w:szCs w:val="20"/>
                </w:rPr>
                <w:t>57</w:t>
              </w:r>
            </w:hyperlink>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pStyle w:val="a3"/>
              <w:spacing w:before="0" w:beforeAutospacing="0" w:after="0" w:afterAutospacing="0"/>
              <w:jc w:val="right"/>
              <w:rPr>
                <w:sz w:val="20"/>
                <w:szCs w:val="20"/>
              </w:rPr>
            </w:pPr>
            <w:r>
              <w:rPr>
                <w:sz w:val="20"/>
                <w:szCs w:val="20"/>
              </w:rPr>
              <w:t>2. </w:t>
            </w:r>
          </w:p>
        </w:tc>
        <w:tc>
          <w:tcPr>
            <w:tcW w:w="4045" w:type="pct"/>
            <w:gridSpan w:val="2"/>
            <w:hideMark/>
          </w:tcPr>
          <w:p w:rsidR="00000000" w:rsidRDefault="004E30E9">
            <w:pPr>
              <w:pStyle w:val="a3"/>
              <w:spacing w:before="0" w:beforeAutospacing="0" w:after="0" w:afterAutospacing="0"/>
              <w:rPr>
                <w:sz w:val="20"/>
                <w:szCs w:val="20"/>
              </w:rPr>
            </w:pPr>
            <w:r>
              <w:rPr>
                <w:sz w:val="20"/>
                <w:szCs w:val="20"/>
              </w:rPr>
              <w:t>Financial Statement Schedules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725" w:type="pct"/>
            <w:hideMark/>
          </w:tcPr>
          <w:p w:rsidR="00000000" w:rsidRDefault="004E30E9">
            <w:pPr>
              <w:pStyle w:val="a3"/>
              <w:spacing w:before="0" w:beforeAutospacing="0" w:after="0" w:afterAutospacing="0"/>
              <w:rPr>
                <w:sz w:val="20"/>
                <w:szCs w:val="20"/>
              </w:rPr>
            </w:pPr>
            <w:r>
              <w:rPr>
                <w:sz w:val="20"/>
                <w:szCs w:val="20"/>
              </w:rPr>
              <w:t>Schedule II -</w:t>
            </w:r>
          </w:p>
        </w:tc>
        <w:tc>
          <w:tcPr>
            <w:tcW w:w="3320" w:type="pct"/>
            <w:hideMark/>
          </w:tcPr>
          <w:p w:rsidR="00000000" w:rsidRDefault="004E30E9">
            <w:pPr>
              <w:pStyle w:val="a3"/>
              <w:spacing w:before="0" w:beforeAutospacing="0" w:after="0" w:afterAutospacing="0"/>
              <w:rPr>
                <w:sz w:val="20"/>
                <w:szCs w:val="20"/>
              </w:rPr>
            </w:pPr>
            <w:hyperlink w:anchor="scheduleii" w:history="1">
              <w:r>
                <w:rPr>
                  <w:rStyle w:val="a4"/>
                  <w:sz w:val="20"/>
                  <w:szCs w:val="20"/>
                </w:rPr>
                <w:t>Valuation and Qualifying Accounts for the years ended December 31, 2020, 2019 and 2018</w:t>
              </w:r>
            </w:hyperlink>
          </w:p>
        </w:tc>
        <w:tc>
          <w:tcPr>
            <w:tcW w:w="495" w:type="pct"/>
            <w:vAlign w:val="bottom"/>
            <w:hideMark/>
          </w:tcPr>
          <w:p w:rsidR="00000000" w:rsidRDefault="004E30E9">
            <w:pPr>
              <w:pStyle w:val="a3"/>
              <w:spacing w:before="0" w:beforeAutospacing="0" w:after="0" w:afterAutospacing="0"/>
              <w:jc w:val="center"/>
              <w:rPr>
                <w:sz w:val="20"/>
                <w:szCs w:val="20"/>
              </w:rPr>
            </w:pPr>
            <w:hyperlink w:anchor="scheduleii" w:history="1">
              <w:r>
                <w:rPr>
                  <w:rStyle w:val="a4"/>
                  <w:sz w:val="20"/>
                  <w:szCs w:val="20"/>
                </w:rPr>
                <w:t>96</w:t>
              </w:r>
            </w:hyperlink>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725" w:type="pct"/>
            <w:hideMark/>
          </w:tcPr>
          <w:p w:rsidR="00000000" w:rsidRDefault="004E30E9">
            <w:pPr>
              <w:pStyle w:val="a3"/>
              <w:spacing w:before="0" w:beforeAutospacing="0" w:after="0" w:afterAutospacing="0"/>
              <w:rPr>
                <w:sz w:val="20"/>
                <w:szCs w:val="20"/>
              </w:rPr>
            </w:pPr>
            <w:r>
              <w:rPr>
                <w:sz w:val="20"/>
                <w:szCs w:val="20"/>
              </w:rPr>
              <w:t>Schedule III -</w:t>
            </w:r>
          </w:p>
        </w:tc>
        <w:tc>
          <w:tcPr>
            <w:tcW w:w="3320" w:type="pct"/>
            <w:hideMark/>
          </w:tcPr>
          <w:p w:rsidR="00000000" w:rsidRDefault="004E30E9">
            <w:pPr>
              <w:pStyle w:val="a3"/>
              <w:spacing w:before="0" w:beforeAutospacing="0" w:after="0" w:afterAutospacing="0"/>
              <w:rPr>
                <w:sz w:val="20"/>
                <w:szCs w:val="20"/>
              </w:rPr>
            </w:pPr>
            <w:hyperlink w:anchor="sched3" w:history="1">
              <w:r>
                <w:rPr>
                  <w:rStyle w:val="a4"/>
                  <w:sz w:val="20"/>
                  <w:szCs w:val="20"/>
                </w:rPr>
                <w:t>Real Estate and Accumulated Depreciation as of December 31, 2020</w:t>
              </w:r>
            </w:hyperlink>
          </w:p>
        </w:tc>
        <w:tc>
          <w:tcPr>
            <w:tcW w:w="495" w:type="pct"/>
            <w:vAlign w:val="bottom"/>
            <w:hideMark/>
          </w:tcPr>
          <w:p w:rsidR="00000000" w:rsidRDefault="004E30E9">
            <w:pPr>
              <w:pStyle w:val="a3"/>
              <w:spacing w:before="0" w:beforeAutospacing="0" w:after="0" w:afterAutospacing="0"/>
              <w:jc w:val="center"/>
              <w:rPr>
                <w:sz w:val="20"/>
                <w:szCs w:val="20"/>
              </w:rPr>
            </w:pPr>
            <w:hyperlink w:anchor="sched3" w:history="1">
              <w:r>
                <w:rPr>
                  <w:rStyle w:val="a4"/>
                  <w:sz w:val="20"/>
                  <w:szCs w:val="20"/>
                </w:rPr>
                <w:t>97</w:t>
              </w:r>
            </w:hyperlink>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725" w:type="pct"/>
            <w:hideMark/>
          </w:tcPr>
          <w:p w:rsidR="00000000" w:rsidRDefault="004E30E9">
            <w:pPr>
              <w:pStyle w:val="a3"/>
              <w:spacing w:before="0" w:beforeAutospacing="0" w:after="0" w:afterAutospacing="0"/>
              <w:rPr>
                <w:sz w:val="20"/>
                <w:szCs w:val="20"/>
              </w:rPr>
            </w:pPr>
            <w:r>
              <w:rPr>
                <w:sz w:val="20"/>
                <w:szCs w:val="20"/>
              </w:rPr>
              <w:t>Schedule IV -</w:t>
            </w:r>
          </w:p>
        </w:tc>
        <w:tc>
          <w:tcPr>
            <w:tcW w:w="3320" w:type="pct"/>
            <w:hideMark/>
          </w:tcPr>
          <w:p w:rsidR="00000000" w:rsidRDefault="004E30E9">
            <w:pPr>
              <w:pStyle w:val="a3"/>
              <w:spacing w:before="0" w:beforeAutospacing="0" w:after="0" w:afterAutospacing="0"/>
              <w:rPr>
                <w:sz w:val="20"/>
                <w:szCs w:val="20"/>
              </w:rPr>
            </w:pPr>
            <w:hyperlink w:anchor="sched4" w:history="1">
              <w:r>
                <w:rPr>
                  <w:rStyle w:val="a4"/>
                  <w:sz w:val="20"/>
                  <w:szCs w:val="20"/>
                </w:rPr>
                <w:t>Mortgage Loans on Real Estate as of December 31, 2020</w:t>
              </w:r>
            </w:hyperlink>
          </w:p>
        </w:tc>
        <w:tc>
          <w:tcPr>
            <w:tcW w:w="495" w:type="pct"/>
            <w:vAlign w:val="bottom"/>
            <w:hideMark/>
          </w:tcPr>
          <w:p w:rsidR="00000000" w:rsidRDefault="004E30E9">
            <w:pPr>
              <w:pStyle w:val="a3"/>
              <w:spacing w:before="0" w:beforeAutospacing="0" w:after="0" w:afterAutospacing="0"/>
              <w:jc w:val="center"/>
              <w:rPr>
                <w:sz w:val="20"/>
                <w:szCs w:val="20"/>
              </w:rPr>
            </w:pPr>
            <w:hyperlink w:anchor="sched4" w:history="1">
              <w:r>
                <w:rPr>
                  <w:rStyle w:val="a4"/>
                  <w:sz w:val="20"/>
                  <w:szCs w:val="20"/>
                </w:rPr>
                <w:t>9</w:t>
              </w:r>
              <w:r>
                <w:rPr>
                  <w:rStyle w:val="a4"/>
                  <w:sz w:val="20"/>
                  <w:szCs w:val="20"/>
                </w:rPr>
                <w:t>9</w:t>
              </w:r>
            </w:hyperlink>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pStyle w:val="a3"/>
              <w:spacing w:before="0" w:beforeAutospacing="0" w:after="0" w:afterAutospacing="0"/>
              <w:rPr>
                <w:sz w:val="20"/>
                <w:szCs w:val="20"/>
              </w:rPr>
            </w:pPr>
            <w:r>
              <w:rPr>
                <w:sz w:val="20"/>
                <w:szCs w:val="20"/>
              </w:rPr>
              <w:t>All other schedules are omitted since the required information is not present or is not present in amounts sufficient to require submission of the schedule.</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pStyle w:val="a3"/>
              <w:spacing w:before="0" w:beforeAutospacing="0" w:after="0" w:afterAutospacing="0"/>
              <w:jc w:val="right"/>
              <w:rPr>
                <w:sz w:val="20"/>
                <w:szCs w:val="20"/>
              </w:rPr>
            </w:pPr>
            <w:r>
              <w:rPr>
                <w:sz w:val="20"/>
                <w:szCs w:val="20"/>
              </w:rPr>
              <w:t>3. </w:t>
            </w:r>
          </w:p>
        </w:tc>
        <w:tc>
          <w:tcPr>
            <w:tcW w:w="4045" w:type="pct"/>
            <w:gridSpan w:val="2"/>
            <w:hideMark/>
          </w:tcPr>
          <w:p w:rsidR="00000000" w:rsidRDefault="004E30E9">
            <w:pPr>
              <w:pStyle w:val="a3"/>
              <w:spacing w:before="0" w:beforeAutospacing="0" w:after="0" w:afterAutospacing="0"/>
              <w:ind w:left="360"/>
              <w:rPr>
                <w:sz w:val="20"/>
                <w:szCs w:val="20"/>
              </w:rPr>
            </w:pPr>
            <w:r>
              <w:rPr>
                <w:sz w:val="20"/>
                <w:szCs w:val="20"/>
              </w:rPr>
              <w:t>Exhibits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rPr>
                <w:rFonts w:eastAsia="Times New Roman"/>
                <w:sz w:val="20"/>
                <w:szCs w:val="20"/>
              </w:rPr>
            </w:pPr>
            <w:r>
              <w:rPr>
                <w:rFonts w:eastAsia="Times New Roman"/>
                <w:sz w:val="20"/>
                <w:szCs w:val="20"/>
              </w:rPr>
              <w:t> </w:t>
            </w:r>
          </w:p>
        </w:tc>
        <w:tc>
          <w:tcPr>
            <w:tcW w:w="49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60" w:type="pct"/>
            <w:hideMark/>
          </w:tcPr>
          <w:p w:rsidR="00000000" w:rsidRDefault="004E30E9">
            <w:pPr>
              <w:rPr>
                <w:rFonts w:eastAsia="Times New Roman"/>
                <w:sz w:val="20"/>
                <w:szCs w:val="20"/>
              </w:rPr>
            </w:pPr>
            <w:r>
              <w:rPr>
                <w:rFonts w:eastAsia="Times New Roman"/>
                <w:sz w:val="20"/>
                <w:szCs w:val="20"/>
              </w:rPr>
              <w:t> </w:t>
            </w:r>
          </w:p>
        </w:tc>
        <w:tc>
          <w:tcPr>
            <w:tcW w:w="4045" w:type="pct"/>
            <w:gridSpan w:val="2"/>
            <w:hideMark/>
          </w:tcPr>
          <w:p w:rsidR="00000000" w:rsidRDefault="004E30E9">
            <w:pPr>
              <w:pStyle w:val="a3"/>
              <w:spacing w:before="0" w:beforeAutospacing="0" w:after="0" w:afterAutospacing="0"/>
              <w:ind w:left="360"/>
              <w:rPr>
                <w:sz w:val="20"/>
                <w:szCs w:val="20"/>
              </w:rPr>
            </w:pPr>
            <w:hyperlink w:anchor="exhibitindex" w:history="1">
              <w:r>
                <w:rPr>
                  <w:rStyle w:val="a4"/>
                  <w:sz w:val="20"/>
                  <w:szCs w:val="20"/>
                </w:rPr>
                <w:t>The exhibits listed on the accompanying Index to Exhibits are filed as part of this report.</w:t>
              </w:r>
            </w:hyperlink>
          </w:p>
        </w:tc>
        <w:tc>
          <w:tcPr>
            <w:tcW w:w="495" w:type="pct"/>
            <w:vAlign w:val="bottom"/>
            <w:hideMark/>
          </w:tcPr>
          <w:p w:rsidR="00000000" w:rsidRDefault="004E30E9">
            <w:pPr>
              <w:pStyle w:val="a3"/>
              <w:spacing w:before="0" w:beforeAutospacing="0" w:after="0" w:afterAutospacing="0"/>
              <w:jc w:val="center"/>
              <w:rPr>
                <w:sz w:val="20"/>
                <w:szCs w:val="20"/>
              </w:rPr>
            </w:pPr>
            <w:hyperlink w:anchor="exhibitindex" w:history="1">
              <w:r>
                <w:rPr>
                  <w:rStyle w:val="a4"/>
                  <w:sz w:val="20"/>
                  <w:szCs w:val="20"/>
                </w:rPr>
                <w:t>46</w:t>
              </w:r>
            </w:hyperlink>
          </w:p>
        </w:tc>
      </w:tr>
    </w:tbl>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u w:val="single"/>
        </w:rPr>
        <w:t>Item 16. Form 10-K Summary</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720"/>
        <w:rPr>
          <w:sz w:val="20"/>
          <w:szCs w:val="20"/>
        </w:rPr>
      </w:pPr>
      <w:r>
        <w:rPr>
          <w:sz w:val="20"/>
          <w:szCs w:val="20"/>
        </w:rPr>
        <w:t>None.</w:t>
      </w:r>
    </w:p>
    <w:p w:rsidR="00000000" w:rsidRDefault="004E30E9">
      <w:pPr>
        <w:pStyle w:val="a3"/>
        <w:spacing w:before="0" w:beforeAutospacing="0" w:after="0" w:afterAutospacing="0"/>
        <w:ind w:firstLine="720"/>
        <w:rPr>
          <w:sz w:val="20"/>
          <w:szCs w:val="20"/>
        </w:rPr>
      </w:pPr>
      <w:r>
        <w:rPr>
          <w:sz w:val="20"/>
          <w:szCs w:val="20"/>
        </w:rPr>
        <w:t> </w:t>
      </w:r>
    </w:p>
    <w:p w:rsidR="00000000" w:rsidRDefault="004E30E9">
      <w:pPr>
        <w:jc w:val="center"/>
        <w:divId w:val="637614340"/>
        <w:rPr>
          <w:rFonts w:eastAsia="Times New Roman"/>
          <w:sz w:val="20"/>
          <w:szCs w:val="20"/>
        </w:rPr>
      </w:pPr>
      <w:r>
        <w:rPr>
          <w:rFonts w:eastAsia="Times New Roman"/>
          <w:sz w:val="20"/>
          <w:szCs w:val="20"/>
        </w:rPr>
        <w:t xml:space="preserve">45 </w:t>
      </w:r>
    </w:p>
    <w:p w:rsidR="00000000" w:rsidRDefault="004E30E9">
      <w:pPr>
        <w:divId w:val="738098325"/>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4E30E9">
      <w:pPr>
        <w:divId w:val="16802789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firstLine="360"/>
        <w:jc w:val="center"/>
        <w:rPr>
          <w:sz w:val="20"/>
          <w:szCs w:val="20"/>
        </w:rPr>
      </w:pPr>
      <w:r>
        <w:rPr>
          <w:b/>
          <w:bCs/>
          <w:sz w:val="20"/>
          <w:szCs w:val="20"/>
          <w:u w:val="single"/>
        </w:rPr>
        <w:t>INDEX TO EXHIBITS</w:t>
      </w:r>
    </w:p>
    <w:p w:rsidR="00000000" w:rsidRDefault="004E30E9">
      <w:pPr>
        <w:pStyle w:val="a3"/>
        <w:spacing w:before="0" w:beforeAutospacing="0" w:after="0" w:afterAutospacing="0"/>
        <w:ind w:right="24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1"/>
        <w:gridCol w:w="3297"/>
        <w:gridCol w:w="573"/>
        <w:gridCol w:w="640"/>
        <w:gridCol w:w="712"/>
        <w:gridCol w:w="712"/>
        <w:gridCol w:w="929"/>
        <w:gridCol w:w="712"/>
      </w:tblGrid>
      <w:tr w:rsidR="00000000">
        <w:trPr>
          <w:tblCellSpacing w:w="0" w:type="dxa"/>
        </w:trPr>
        <w:tc>
          <w:tcPr>
            <w:tcW w:w="505" w:type="pct"/>
            <w:vAlign w:val="bottom"/>
            <w:hideMark/>
          </w:tcPr>
          <w:p w:rsidR="00000000" w:rsidRDefault="004E30E9">
            <w:pPr>
              <w:rPr>
                <w:rFonts w:eastAsia="Times New Roman"/>
                <w:sz w:val="20"/>
                <w:szCs w:val="20"/>
              </w:rPr>
            </w:pPr>
            <w:r>
              <w:rPr>
                <w:rFonts w:eastAsia="Times New Roman"/>
                <w:sz w:val="20"/>
                <w:szCs w:val="20"/>
              </w:rPr>
              <w:t> </w:t>
            </w:r>
          </w:p>
        </w:tc>
        <w:tc>
          <w:tcPr>
            <w:tcW w:w="2050" w:type="pct"/>
            <w:vAlign w:val="bottom"/>
            <w:hideMark/>
          </w:tcPr>
          <w:p w:rsidR="00000000" w:rsidRDefault="004E30E9">
            <w:pPr>
              <w:rPr>
                <w:rFonts w:eastAsia="Times New Roman"/>
                <w:sz w:val="20"/>
                <w:szCs w:val="20"/>
              </w:rPr>
            </w:pPr>
            <w:r>
              <w:rPr>
                <w:rFonts w:eastAsia="Times New Roman"/>
                <w:sz w:val="20"/>
                <w:szCs w:val="20"/>
              </w:rPr>
              <w:t> </w:t>
            </w:r>
          </w:p>
        </w:tc>
        <w:tc>
          <w:tcPr>
            <w:tcW w:w="1710" w:type="pct"/>
            <w:gridSpan w:val="4"/>
            <w:hideMark/>
          </w:tcPr>
          <w:p w:rsidR="00000000" w:rsidRDefault="004E30E9">
            <w:pPr>
              <w:pStyle w:val="a3"/>
              <w:spacing w:before="0" w:beforeAutospacing="0" w:after="0" w:afterAutospacing="0"/>
              <w:jc w:val="center"/>
              <w:rPr>
                <w:sz w:val="20"/>
                <w:szCs w:val="20"/>
              </w:rPr>
            </w:pPr>
            <w:r>
              <w:rPr>
                <w:b/>
                <w:bCs/>
                <w:sz w:val="20"/>
                <w:szCs w:val="20"/>
                <w:u w:val="single"/>
              </w:rPr>
              <w:t>Incorporated by Reference</w:t>
            </w:r>
          </w:p>
        </w:tc>
        <w:tc>
          <w:tcPr>
            <w:tcW w:w="405" w:type="pct"/>
            <w:hideMark/>
          </w:tcPr>
          <w:p w:rsidR="00000000" w:rsidRDefault="004E30E9">
            <w:pPr>
              <w:rPr>
                <w:rFonts w:eastAsia="Times New Roman"/>
                <w:sz w:val="20"/>
                <w:szCs w:val="20"/>
              </w:rPr>
            </w:pPr>
            <w:r>
              <w:rPr>
                <w:rFonts w:eastAsia="Times New Roman"/>
                <w:sz w:val="20"/>
                <w:szCs w:val="20"/>
              </w:rPr>
              <w:t> </w:t>
            </w:r>
          </w:p>
        </w:tc>
        <w:tc>
          <w:tcPr>
            <w:tcW w:w="325"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vAlign w:val="bottom"/>
            <w:hideMark/>
          </w:tcPr>
          <w:p w:rsidR="00000000" w:rsidRDefault="004E30E9">
            <w:pPr>
              <w:pStyle w:val="a3"/>
              <w:spacing w:before="0" w:beforeAutospacing="0" w:after="0" w:afterAutospacing="0"/>
              <w:jc w:val="center"/>
              <w:rPr>
                <w:sz w:val="20"/>
                <w:szCs w:val="20"/>
              </w:rPr>
            </w:pPr>
            <w:r>
              <w:rPr>
                <w:b/>
                <w:bCs/>
                <w:sz w:val="20"/>
                <w:szCs w:val="20"/>
              </w:rPr>
              <w:t xml:space="preserve">Exhibit </w:t>
            </w:r>
          </w:p>
          <w:p w:rsidR="00000000" w:rsidRDefault="004E30E9">
            <w:pPr>
              <w:pStyle w:val="a3"/>
              <w:spacing w:before="0" w:beforeAutospacing="0" w:after="0" w:afterAutospacing="0"/>
              <w:jc w:val="center"/>
              <w:rPr>
                <w:sz w:val="20"/>
                <w:szCs w:val="20"/>
              </w:rPr>
            </w:pPr>
            <w:r>
              <w:rPr>
                <w:b/>
                <w:bCs/>
                <w:sz w:val="20"/>
                <w:szCs w:val="20"/>
                <w:u w:val="single"/>
              </w:rPr>
              <w:t>Number</w:t>
            </w:r>
          </w:p>
        </w:tc>
        <w:tc>
          <w:tcPr>
            <w:tcW w:w="2050" w:type="pct"/>
            <w:vAlign w:val="bottom"/>
            <w:hideMark/>
          </w:tcPr>
          <w:p w:rsidR="00000000" w:rsidRDefault="004E30E9">
            <w:pPr>
              <w:pStyle w:val="a3"/>
              <w:spacing w:before="0" w:beforeAutospacing="0" w:after="0" w:afterAutospacing="0"/>
              <w:jc w:val="center"/>
              <w:rPr>
                <w:sz w:val="20"/>
                <w:szCs w:val="20"/>
              </w:rPr>
            </w:pPr>
            <w:r>
              <w:rPr>
                <w:b/>
                <w:bCs/>
                <w:sz w:val="20"/>
                <w:szCs w:val="20"/>
                <w:u w:val="single"/>
              </w:rPr>
              <w:t>Exhibit Description</w:t>
            </w:r>
          </w:p>
        </w:tc>
        <w:tc>
          <w:tcPr>
            <w:tcW w:w="410" w:type="pct"/>
            <w:vAlign w:val="bottom"/>
            <w:hideMark/>
          </w:tcPr>
          <w:p w:rsidR="00000000" w:rsidRDefault="004E30E9">
            <w:pPr>
              <w:pStyle w:val="a3"/>
              <w:spacing w:before="0" w:beforeAutospacing="0" w:after="0" w:afterAutospacing="0"/>
              <w:jc w:val="center"/>
              <w:rPr>
                <w:sz w:val="20"/>
                <w:szCs w:val="20"/>
              </w:rPr>
            </w:pPr>
            <w:r>
              <w:rPr>
                <w:b/>
                <w:bCs/>
                <w:sz w:val="20"/>
                <w:szCs w:val="20"/>
                <w:u w:val="single"/>
              </w:rPr>
              <w:t>Form</w:t>
            </w:r>
          </w:p>
        </w:tc>
        <w:tc>
          <w:tcPr>
            <w:tcW w:w="450" w:type="pct"/>
            <w:vAlign w:val="bottom"/>
            <w:hideMark/>
          </w:tcPr>
          <w:p w:rsidR="00000000" w:rsidRDefault="004E30E9">
            <w:pPr>
              <w:pStyle w:val="a3"/>
              <w:spacing w:before="0" w:beforeAutospacing="0" w:after="0" w:afterAutospacing="0"/>
              <w:jc w:val="center"/>
              <w:rPr>
                <w:sz w:val="20"/>
                <w:szCs w:val="20"/>
              </w:rPr>
            </w:pPr>
            <w:r>
              <w:rPr>
                <w:b/>
                <w:bCs/>
                <w:sz w:val="20"/>
                <w:szCs w:val="20"/>
                <w:u w:val="single"/>
              </w:rPr>
              <w:t>File No.</w:t>
            </w:r>
          </w:p>
        </w:tc>
        <w:tc>
          <w:tcPr>
            <w:tcW w:w="490" w:type="pct"/>
            <w:vAlign w:val="bottom"/>
            <w:hideMark/>
          </w:tcPr>
          <w:p w:rsidR="00000000" w:rsidRDefault="004E30E9">
            <w:pPr>
              <w:pStyle w:val="a3"/>
              <w:spacing w:before="0" w:beforeAutospacing="0" w:after="0" w:afterAutospacing="0"/>
              <w:jc w:val="center"/>
              <w:rPr>
                <w:sz w:val="20"/>
                <w:szCs w:val="20"/>
              </w:rPr>
            </w:pPr>
            <w:r>
              <w:rPr>
                <w:b/>
                <w:bCs/>
                <w:sz w:val="20"/>
                <w:szCs w:val="20"/>
              </w:rPr>
              <w:t>Date of</w:t>
            </w:r>
          </w:p>
          <w:p w:rsidR="00000000" w:rsidRDefault="004E30E9">
            <w:pPr>
              <w:pStyle w:val="a3"/>
              <w:spacing w:before="0" w:beforeAutospacing="0" w:after="0" w:afterAutospacing="0"/>
              <w:jc w:val="center"/>
              <w:rPr>
                <w:sz w:val="20"/>
                <w:szCs w:val="20"/>
              </w:rPr>
            </w:pPr>
            <w:r>
              <w:rPr>
                <w:b/>
                <w:bCs/>
                <w:sz w:val="20"/>
                <w:szCs w:val="20"/>
                <w:u w:val="single"/>
              </w:rPr>
              <w:t>Filing</w:t>
            </w:r>
          </w:p>
        </w:tc>
        <w:tc>
          <w:tcPr>
            <w:tcW w:w="365" w:type="pct"/>
            <w:vAlign w:val="bottom"/>
            <w:hideMark/>
          </w:tcPr>
          <w:p w:rsidR="00000000" w:rsidRDefault="004E30E9">
            <w:pPr>
              <w:pStyle w:val="a3"/>
              <w:spacing w:before="0" w:beforeAutospacing="0" w:after="0" w:afterAutospacing="0"/>
              <w:jc w:val="center"/>
              <w:rPr>
                <w:sz w:val="20"/>
                <w:szCs w:val="20"/>
              </w:rPr>
            </w:pPr>
            <w:r>
              <w:rPr>
                <w:b/>
                <w:bCs/>
                <w:sz w:val="20"/>
                <w:szCs w:val="20"/>
              </w:rPr>
              <w:t>Exhibit</w:t>
            </w:r>
          </w:p>
          <w:p w:rsidR="00000000" w:rsidRDefault="004E30E9">
            <w:pPr>
              <w:pStyle w:val="a3"/>
              <w:spacing w:before="0" w:beforeAutospacing="0" w:after="0" w:afterAutospacing="0"/>
              <w:jc w:val="center"/>
              <w:rPr>
                <w:sz w:val="20"/>
                <w:szCs w:val="20"/>
              </w:rPr>
            </w:pPr>
            <w:r>
              <w:rPr>
                <w:b/>
                <w:bCs/>
                <w:sz w:val="20"/>
                <w:szCs w:val="20"/>
                <w:u w:val="single"/>
              </w:rPr>
              <w:t>Number</w:t>
            </w:r>
          </w:p>
        </w:tc>
        <w:tc>
          <w:tcPr>
            <w:tcW w:w="405" w:type="pct"/>
            <w:vAlign w:val="bottom"/>
            <w:hideMark/>
          </w:tcPr>
          <w:p w:rsidR="00000000" w:rsidRDefault="004E30E9">
            <w:pPr>
              <w:pStyle w:val="a3"/>
              <w:spacing w:before="0" w:beforeAutospacing="0" w:after="0" w:afterAutospacing="0"/>
              <w:jc w:val="center"/>
              <w:rPr>
                <w:sz w:val="20"/>
                <w:szCs w:val="20"/>
              </w:rPr>
            </w:pPr>
            <w:r>
              <w:rPr>
                <w:b/>
                <w:bCs/>
                <w:sz w:val="20"/>
                <w:szCs w:val="20"/>
              </w:rPr>
              <w:t>Filed/</w:t>
            </w:r>
          </w:p>
          <w:p w:rsidR="00000000" w:rsidRDefault="004E30E9">
            <w:pPr>
              <w:pStyle w:val="a3"/>
              <w:spacing w:before="0" w:beforeAutospacing="0" w:after="0" w:afterAutospacing="0"/>
              <w:jc w:val="center"/>
              <w:rPr>
                <w:sz w:val="20"/>
                <w:szCs w:val="20"/>
              </w:rPr>
            </w:pPr>
            <w:r>
              <w:rPr>
                <w:b/>
                <w:bCs/>
                <w:sz w:val="20"/>
                <w:szCs w:val="20"/>
              </w:rPr>
              <w:t>Furnished </w:t>
            </w:r>
          </w:p>
          <w:p w:rsidR="00000000" w:rsidRDefault="004E30E9">
            <w:pPr>
              <w:pStyle w:val="a3"/>
              <w:spacing w:before="0" w:beforeAutospacing="0" w:after="0" w:afterAutospacing="0"/>
              <w:jc w:val="center"/>
              <w:rPr>
                <w:sz w:val="20"/>
                <w:szCs w:val="20"/>
              </w:rPr>
            </w:pPr>
            <w:r>
              <w:rPr>
                <w:b/>
                <w:bCs/>
                <w:sz w:val="20"/>
                <w:szCs w:val="20"/>
                <w:u w:val="single"/>
              </w:rPr>
              <w:t>Herewith</w:t>
            </w:r>
          </w:p>
        </w:tc>
        <w:tc>
          <w:tcPr>
            <w:tcW w:w="325" w:type="pct"/>
            <w:hideMark/>
          </w:tcPr>
          <w:p w:rsidR="00000000" w:rsidRDefault="004E30E9">
            <w:pPr>
              <w:pStyle w:val="a3"/>
              <w:spacing w:before="0" w:beforeAutospacing="0" w:after="0" w:afterAutospacing="0"/>
              <w:jc w:val="center"/>
              <w:rPr>
                <w:sz w:val="20"/>
                <w:szCs w:val="20"/>
              </w:rPr>
            </w:pPr>
            <w:r>
              <w:rPr>
                <w:b/>
                <w:bCs/>
                <w:sz w:val="20"/>
                <w:szCs w:val="20"/>
              </w:rPr>
              <w:t> </w:t>
            </w:r>
          </w:p>
          <w:p w:rsidR="00000000" w:rsidRDefault="004E30E9">
            <w:pPr>
              <w:pStyle w:val="a3"/>
              <w:spacing w:before="0" w:beforeAutospacing="0" w:after="0" w:afterAutospacing="0"/>
              <w:jc w:val="center"/>
              <w:rPr>
                <w:sz w:val="20"/>
                <w:szCs w:val="20"/>
              </w:rPr>
            </w:pPr>
            <w:r>
              <w:rPr>
                <w:b/>
                <w:bCs/>
                <w:sz w:val="20"/>
                <w:szCs w:val="20"/>
              </w:rPr>
              <w:t>Page</w:t>
            </w:r>
          </w:p>
          <w:p w:rsidR="00000000" w:rsidRDefault="004E30E9">
            <w:pPr>
              <w:pStyle w:val="a3"/>
              <w:spacing w:before="0" w:beforeAutospacing="0" w:after="0" w:afterAutospacing="0"/>
              <w:jc w:val="center"/>
              <w:rPr>
                <w:sz w:val="20"/>
                <w:szCs w:val="20"/>
              </w:rPr>
            </w:pPr>
            <w:r>
              <w:rPr>
                <w:b/>
                <w:bCs/>
                <w:sz w:val="20"/>
                <w:szCs w:val="20"/>
                <w:u w:val="single"/>
              </w:rPr>
              <w:t>Number</w:t>
            </w:r>
          </w:p>
        </w:tc>
      </w:tr>
      <w:tr w:rsidR="00000000">
        <w:trPr>
          <w:tblCellSpacing w:w="0" w:type="dxa"/>
        </w:trPr>
        <w:tc>
          <w:tcPr>
            <w:tcW w:w="505" w:type="pct"/>
            <w:shd w:val="clear" w:color="auto" w:fill="CCEEFF"/>
            <w:hideMark/>
          </w:tcPr>
          <w:p w:rsidR="00000000" w:rsidRDefault="004E30E9">
            <w:pPr>
              <w:pStyle w:val="a3"/>
              <w:spacing w:before="0" w:beforeAutospacing="0" w:after="0" w:afterAutospacing="0"/>
              <w:rPr>
                <w:sz w:val="20"/>
                <w:szCs w:val="20"/>
              </w:rPr>
            </w:pPr>
            <w:r>
              <w:rPr>
                <w:sz w:val="20"/>
                <w:szCs w:val="20"/>
              </w:rPr>
              <w:t>3.1(a) </w:t>
            </w:r>
          </w:p>
        </w:tc>
        <w:tc>
          <w:tcPr>
            <w:tcW w:w="2050" w:type="pct"/>
            <w:shd w:val="clear" w:color="auto" w:fill="CCEEFF"/>
            <w:hideMark/>
          </w:tcPr>
          <w:p w:rsidR="00000000" w:rsidRDefault="004E30E9">
            <w:pPr>
              <w:pStyle w:val="a3"/>
              <w:spacing w:before="0" w:beforeAutospacing="0" w:after="0" w:afterAutospacing="0"/>
              <w:rPr>
                <w:sz w:val="20"/>
                <w:szCs w:val="20"/>
              </w:rPr>
            </w:pPr>
            <w:hyperlink r:id="rId9" w:history="1">
              <w:r>
                <w:rPr>
                  <w:rStyle w:val="a4"/>
                  <w:sz w:val="20"/>
                  <w:szCs w:val="20"/>
                </w:rPr>
                <w:t>Articles of Restatement of Kimco Realty Corporation, dated January 14, 2011</w:t>
              </w:r>
            </w:hyperlink>
          </w:p>
        </w:tc>
        <w:tc>
          <w:tcPr>
            <w:tcW w:w="41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10-K</w:t>
            </w:r>
          </w:p>
        </w:tc>
        <w:tc>
          <w:tcPr>
            <w:tcW w:w="45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1-10899</w:t>
            </w:r>
          </w:p>
        </w:tc>
        <w:tc>
          <w:tcPr>
            <w:tcW w:w="49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02/28/11</w:t>
            </w:r>
          </w:p>
        </w:tc>
        <w:tc>
          <w:tcPr>
            <w:tcW w:w="365"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3.1(a)</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pStyle w:val="a3"/>
              <w:spacing w:before="0" w:beforeAutospacing="0" w:after="0" w:afterAutospacing="0"/>
              <w:rPr>
                <w:sz w:val="20"/>
                <w:szCs w:val="20"/>
              </w:rPr>
            </w:pPr>
            <w:r>
              <w:rPr>
                <w:sz w:val="20"/>
                <w:szCs w:val="20"/>
              </w:rPr>
              <w:t>3.1(b)</w:t>
            </w:r>
          </w:p>
        </w:tc>
        <w:tc>
          <w:tcPr>
            <w:tcW w:w="2050" w:type="pct"/>
            <w:shd w:val="clear" w:color="auto" w:fill="FFFFFF"/>
            <w:hideMark/>
          </w:tcPr>
          <w:p w:rsidR="00000000" w:rsidRDefault="004E30E9">
            <w:pPr>
              <w:pStyle w:val="a3"/>
              <w:spacing w:before="0" w:beforeAutospacing="0" w:after="0" w:afterAutospacing="0"/>
              <w:rPr>
                <w:sz w:val="20"/>
                <w:szCs w:val="20"/>
              </w:rPr>
            </w:pPr>
            <w:hyperlink r:id="rId10" w:history="1">
              <w:r>
                <w:rPr>
                  <w:rStyle w:val="a4"/>
                  <w:sz w:val="20"/>
                  <w:szCs w:val="20"/>
                </w:rPr>
                <w:t>Amendment to Articles of Restatement of Kimco Realty Corporation, dated May 8, 2014</w:t>
              </w:r>
            </w:hyperlink>
          </w:p>
        </w:tc>
        <w:tc>
          <w:tcPr>
            <w:tcW w:w="410"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10-K</w:t>
            </w:r>
          </w:p>
        </w:tc>
        <w:tc>
          <w:tcPr>
            <w:tcW w:w="450"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1-10899</w:t>
            </w:r>
          </w:p>
        </w:tc>
        <w:tc>
          <w:tcPr>
            <w:tcW w:w="490"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02/27/17</w:t>
            </w:r>
          </w:p>
        </w:tc>
        <w:tc>
          <w:tcPr>
            <w:tcW w:w="365"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3.1(b)</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pStyle w:val="a3"/>
              <w:spacing w:before="0" w:beforeAutospacing="0" w:after="0" w:afterAutospacing="0"/>
              <w:rPr>
                <w:sz w:val="20"/>
                <w:szCs w:val="20"/>
              </w:rPr>
            </w:pPr>
            <w:r>
              <w:rPr>
                <w:sz w:val="20"/>
                <w:szCs w:val="20"/>
              </w:rPr>
              <w:t>3.1(c) </w:t>
            </w:r>
          </w:p>
        </w:tc>
        <w:tc>
          <w:tcPr>
            <w:tcW w:w="2050" w:type="pct"/>
            <w:shd w:val="clear" w:color="auto" w:fill="CCEEFF"/>
            <w:hideMark/>
          </w:tcPr>
          <w:p w:rsidR="00000000" w:rsidRDefault="004E30E9">
            <w:pPr>
              <w:pStyle w:val="a3"/>
              <w:spacing w:before="0" w:beforeAutospacing="0" w:after="0" w:afterAutospacing="0"/>
              <w:rPr>
                <w:sz w:val="20"/>
                <w:szCs w:val="20"/>
              </w:rPr>
            </w:pPr>
            <w:hyperlink r:id="rId11" w:history="1">
              <w:r>
                <w:rPr>
                  <w:rStyle w:val="a4"/>
                  <w:sz w:val="20"/>
                  <w:szCs w:val="20"/>
                </w:rPr>
                <w:t>Articles Supplementary of Kimco Realty Corporation, dated November 8, 2010</w:t>
              </w:r>
            </w:hyperlink>
          </w:p>
        </w:tc>
        <w:tc>
          <w:tcPr>
            <w:tcW w:w="41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10-K</w:t>
            </w:r>
          </w:p>
        </w:tc>
        <w:tc>
          <w:tcPr>
            <w:tcW w:w="45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1-10899</w:t>
            </w:r>
          </w:p>
        </w:tc>
        <w:tc>
          <w:tcPr>
            <w:tcW w:w="49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02/28/11</w:t>
            </w:r>
          </w:p>
        </w:tc>
        <w:tc>
          <w:tcPr>
            <w:tcW w:w="365"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3.1(b)</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pStyle w:val="a3"/>
              <w:spacing w:before="0" w:beforeAutospacing="0" w:after="0" w:afterAutospacing="0"/>
              <w:rPr>
                <w:sz w:val="20"/>
                <w:szCs w:val="20"/>
              </w:rPr>
            </w:pPr>
            <w:r>
              <w:rPr>
                <w:sz w:val="20"/>
                <w:szCs w:val="20"/>
              </w:rPr>
              <w:t>3.1(d)</w:t>
            </w:r>
          </w:p>
        </w:tc>
        <w:tc>
          <w:tcPr>
            <w:tcW w:w="2050" w:type="pct"/>
            <w:shd w:val="clear" w:color="auto" w:fill="FFFFFF"/>
            <w:hideMark/>
          </w:tcPr>
          <w:p w:rsidR="00000000" w:rsidRDefault="004E30E9">
            <w:pPr>
              <w:pStyle w:val="a3"/>
              <w:spacing w:before="0" w:beforeAutospacing="0" w:after="0" w:afterAutospacing="0"/>
              <w:rPr>
                <w:sz w:val="20"/>
                <w:szCs w:val="20"/>
              </w:rPr>
            </w:pPr>
            <w:hyperlink r:id="rId12" w:history="1">
              <w:r>
                <w:rPr>
                  <w:rStyle w:val="a4"/>
                  <w:sz w:val="20"/>
                  <w:szCs w:val="20"/>
                </w:rPr>
                <w:t>Articles Supplementary of Kimco Realty Corporation, dated March 12, 2012</w:t>
              </w:r>
            </w:hyperlink>
          </w:p>
        </w:tc>
        <w:tc>
          <w:tcPr>
            <w:tcW w:w="410"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8-A12B</w:t>
            </w:r>
          </w:p>
        </w:tc>
        <w:tc>
          <w:tcPr>
            <w:tcW w:w="450"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1-10899</w:t>
            </w:r>
          </w:p>
        </w:tc>
        <w:tc>
          <w:tcPr>
            <w:tcW w:w="490"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03/13/12</w:t>
            </w:r>
          </w:p>
        </w:tc>
        <w:tc>
          <w:tcPr>
            <w:tcW w:w="365"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3.2</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pStyle w:val="a3"/>
              <w:spacing w:before="0" w:beforeAutospacing="0" w:after="0" w:afterAutospacing="0"/>
              <w:rPr>
                <w:sz w:val="20"/>
                <w:szCs w:val="20"/>
              </w:rPr>
            </w:pPr>
            <w:r>
              <w:rPr>
                <w:sz w:val="20"/>
                <w:szCs w:val="20"/>
              </w:rPr>
              <w:t>3.1(e)</w:t>
            </w:r>
          </w:p>
        </w:tc>
        <w:tc>
          <w:tcPr>
            <w:tcW w:w="2050" w:type="pct"/>
            <w:shd w:val="clear" w:color="auto" w:fill="CCEEFF"/>
            <w:hideMark/>
          </w:tcPr>
          <w:p w:rsidR="00000000" w:rsidRDefault="004E30E9">
            <w:pPr>
              <w:pStyle w:val="a3"/>
              <w:spacing w:before="0" w:beforeAutospacing="0" w:after="0" w:afterAutospacing="0"/>
              <w:rPr>
                <w:sz w:val="20"/>
                <w:szCs w:val="20"/>
              </w:rPr>
            </w:pPr>
            <w:hyperlink r:id="rId13" w:history="1">
              <w:r>
                <w:rPr>
                  <w:rStyle w:val="a4"/>
                  <w:sz w:val="20"/>
                  <w:szCs w:val="20"/>
                </w:rPr>
                <w:t>Articles Supplementary of Kimco Realty Corporation, dated July 17, 2012</w:t>
              </w:r>
            </w:hyperlink>
          </w:p>
        </w:tc>
        <w:tc>
          <w:tcPr>
            <w:tcW w:w="41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8-A12B</w:t>
            </w:r>
          </w:p>
        </w:tc>
        <w:tc>
          <w:tcPr>
            <w:tcW w:w="45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1-10899</w:t>
            </w:r>
          </w:p>
        </w:tc>
        <w:tc>
          <w:tcPr>
            <w:tcW w:w="49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07/18/12</w:t>
            </w:r>
          </w:p>
        </w:tc>
        <w:tc>
          <w:tcPr>
            <w:tcW w:w="365"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3.2</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pStyle w:val="a3"/>
              <w:spacing w:before="0" w:beforeAutospacing="0" w:after="0" w:afterAutospacing="0"/>
              <w:rPr>
                <w:sz w:val="20"/>
                <w:szCs w:val="20"/>
              </w:rPr>
            </w:pPr>
            <w:r>
              <w:rPr>
                <w:sz w:val="20"/>
                <w:szCs w:val="20"/>
              </w:rPr>
              <w:t>3.1(f)</w:t>
            </w:r>
          </w:p>
        </w:tc>
        <w:tc>
          <w:tcPr>
            <w:tcW w:w="2050" w:type="pct"/>
            <w:shd w:val="clear" w:color="auto" w:fill="FFFFFF"/>
            <w:hideMark/>
          </w:tcPr>
          <w:p w:rsidR="00000000" w:rsidRDefault="004E30E9">
            <w:pPr>
              <w:pStyle w:val="a3"/>
              <w:spacing w:before="0" w:beforeAutospacing="0" w:after="0" w:afterAutospacing="0"/>
              <w:rPr>
                <w:sz w:val="20"/>
                <w:szCs w:val="20"/>
              </w:rPr>
            </w:pPr>
            <w:hyperlink r:id="rId14" w:history="1">
              <w:r>
                <w:rPr>
                  <w:rStyle w:val="a4"/>
                  <w:sz w:val="20"/>
                  <w:szCs w:val="20"/>
                </w:rPr>
                <w:t>Articles Supplementary of Kimco Realty Corporation, dated November 30, 2012</w:t>
              </w:r>
            </w:hyperlink>
          </w:p>
        </w:tc>
        <w:tc>
          <w:tcPr>
            <w:tcW w:w="410"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8-A12B</w:t>
            </w:r>
          </w:p>
        </w:tc>
        <w:tc>
          <w:tcPr>
            <w:tcW w:w="450"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1-10899</w:t>
            </w:r>
          </w:p>
        </w:tc>
        <w:tc>
          <w:tcPr>
            <w:tcW w:w="490"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12/03/12</w:t>
            </w:r>
          </w:p>
        </w:tc>
        <w:tc>
          <w:tcPr>
            <w:tcW w:w="365" w:type="pct"/>
            <w:shd w:val="clear" w:color="auto" w:fill="FFFFFF"/>
            <w:hideMark/>
          </w:tcPr>
          <w:p w:rsidR="00000000" w:rsidRDefault="004E30E9">
            <w:pPr>
              <w:pStyle w:val="a3"/>
              <w:spacing w:before="0" w:beforeAutospacing="0" w:after="0" w:afterAutospacing="0"/>
              <w:jc w:val="center"/>
              <w:rPr>
                <w:sz w:val="20"/>
                <w:szCs w:val="20"/>
              </w:rPr>
            </w:pPr>
            <w:r>
              <w:rPr>
                <w:sz w:val="20"/>
                <w:szCs w:val="20"/>
              </w:rPr>
              <w:t>3.2</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pStyle w:val="a3"/>
              <w:spacing w:before="0" w:beforeAutospacing="0" w:after="0" w:afterAutospacing="0"/>
              <w:rPr>
                <w:sz w:val="20"/>
                <w:szCs w:val="20"/>
              </w:rPr>
            </w:pPr>
            <w:r>
              <w:rPr>
                <w:sz w:val="20"/>
                <w:szCs w:val="20"/>
              </w:rPr>
              <w:t>3.1(g)</w:t>
            </w:r>
          </w:p>
        </w:tc>
        <w:tc>
          <w:tcPr>
            <w:tcW w:w="2050" w:type="pct"/>
            <w:shd w:val="clear" w:color="auto" w:fill="CCEEFF"/>
            <w:hideMark/>
          </w:tcPr>
          <w:p w:rsidR="00000000" w:rsidRDefault="004E30E9">
            <w:pPr>
              <w:pStyle w:val="a3"/>
              <w:spacing w:before="0" w:beforeAutospacing="0" w:after="0" w:afterAutospacing="0"/>
              <w:rPr>
                <w:sz w:val="20"/>
                <w:szCs w:val="20"/>
              </w:rPr>
            </w:pPr>
            <w:hyperlink r:id="rId15" w:history="1">
              <w:r>
                <w:rPr>
                  <w:rStyle w:val="a4"/>
                  <w:sz w:val="20"/>
                  <w:szCs w:val="20"/>
                </w:rPr>
                <w:t>Articles Supplementary of Kimco Realty Corporation, dated August 8, 2017</w:t>
              </w:r>
            </w:hyperlink>
          </w:p>
        </w:tc>
        <w:tc>
          <w:tcPr>
            <w:tcW w:w="41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8-A12B</w:t>
            </w:r>
          </w:p>
        </w:tc>
        <w:tc>
          <w:tcPr>
            <w:tcW w:w="45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1-10899</w:t>
            </w:r>
          </w:p>
        </w:tc>
        <w:tc>
          <w:tcPr>
            <w:tcW w:w="490"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08/08/17</w:t>
            </w:r>
          </w:p>
        </w:tc>
        <w:tc>
          <w:tcPr>
            <w:tcW w:w="365" w:type="pct"/>
            <w:shd w:val="clear" w:color="auto" w:fill="CCEEFF"/>
            <w:hideMark/>
          </w:tcPr>
          <w:p w:rsidR="00000000" w:rsidRDefault="004E30E9">
            <w:pPr>
              <w:pStyle w:val="a3"/>
              <w:spacing w:before="0" w:beforeAutospacing="0" w:after="0" w:afterAutospacing="0"/>
              <w:jc w:val="center"/>
              <w:rPr>
                <w:sz w:val="20"/>
                <w:szCs w:val="20"/>
              </w:rPr>
            </w:pPr>
            <w:r>
              <w:rPr>
                <w:sz w:val="20"/>
                <w:szCs w:val="20"/>
              </w:rPr>
              <w:t>3.3</w:t>
            </w:r>
          </w:p>
        </w:tc>
        <w:tc>
          <w:tcPr>
            <w:tcW w:w="405" w:type="pct"/>
            <w:shd w:val="clear" w:color="auto" w:fill="CCEEFF"/>
            <w:hideMark/>
          </w:tcPr>
          <w:p w:rsidR="00000000" w:rsidRDefault="004E30E9">
            <w:pPr>
              <w:pStyle w:val="a3"/>
              <w:spacing w:before="0" w:beforeAutospacing="0" w:after="0" w:afterAutospacing="0"/>
              <w:rPr>
                <w:sz w:val="20"/>
                <w:szCs w:val="20"/>
              </w:rPr>
            </w:pPr>
            <w:r>
              <w:rPr>
                <w:sz w:val="20"/>
                <w:szCs w:val="20"/>
              </w:rPr>
              <w:t> </w:t>
            </w:r>
          </w:p>
        </w:tc>
        <w:tc>
          <w:tcPr>
            <w:tcW w:w="325" w:type="pct"/>
            <w:shd w:val="clear" w:color="auto" w:fill="CCEEFF"/>
            <w:hideMark/>
          </w:tcPr>
          <w:p w:rsidR="00000000" w:rsidRDefault="004E30E9">
            <w:pPr>
              <w:pStyle w:val="a3"/>
              <w:spacing w:before="0" w:beforeAutospacing="0" w:after="0" w:afterAutospacing="0"/>
              <w:rPr>
                <w:sz w:val="20"/>
                <w:szCs w:val="20"/>
              </w:rPr>
            </w:pPr>
            <w:r>
              <w:rPr>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3.1(h)</w:t>
            </w:r>
          </w:p>
        </w:tc>
        <w:tc>
          <w:tcPr>
            <w:tcW w:w="2050" w:type="pct"/>
            <w:shd w:val="clear" w:color="auto" w:fill="FFFFFF"/>
            <w:hideMark/>
          </w:tcPr>
          <w:p w:rsidR="00000000" w:rsidRDefault="004E30E9">
            <w:pPr>
              <w:rPr>
                <w:rFonts w:eastAsia="Times New Roman"/>
                <w:sz w:val="20"/>
                <w:szCs w:val="20"/>
              </w:rPr>
            </w:pPr>
            <w:hyperlink r:id="rId16" w:history="1">
              <w:r>
                <w:rPr>
                  <w:rStyle w:val="a4"/>
                  <w:rFonts w:eastAsia="Times New Roman"/>
                  <w:sz w:val="20"/>
                  <w:szCs w:val="20"/>
                </w:rPr>
                <w:t>Articles Supplementary of Kimco Realty Corporation, dated December 12, 2017</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8-A12B</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12/12/17</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3.3</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3.2</w:t>
            </w:r>
          </w:p>
        </w:tc>
        <w:tc>
          <w:tcPr>
            <w:tcW w:w="2050" w:type="pct"/>
            <w:shd w:val="clear" w:color="auto" w:fill="CCEEFF"/>
            <w:hideMark/>
          </w:tcPr>
          <w:p w:rsidR="00000000" w:rsidRDefault="004E30E9">
            <w:pPr>
              <w:rPr>
                <w:rFonts w:eastAsia="Times New Roman"/>
                <w:sz w:val="20"/>
                <w:szCs w:val="20"/>
              </w:rPr>
            </w:pPr>
            <w:hyperlink r:id="rId17" w:history="1">
              <w:r>
                <w:rPr>
                  <w:rStyle w:val="a4"/>
                  <w:rFonts w:eastAsia="Times New Roman"/>
                  <w:sz w:val="20"/>
                  <w:szCs w:val="20"/>
                </w:rPr>
                <w:t>Amended and Restated Bylaws of Kimco Realty Corporation, dated February 25, 2009</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10-K</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02/27/09</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3.2</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4.1</w:t>
            </w:r>
          </w:p>
        </w:tc>
        <w:tc>
          <w:tcPr>
            <w:tcW w:w="2050" w:type="pct"/>
            <w:shd w:val="clear" w:color="auto" w:fill="FFFFFF"/>
            <w:hideMark/>
          </w:tcPr>
          <w:p w:rsidR="00000000" w:rsidRDefault="004E30E9">
            <w:pPr>
              <w:rPr>
                <w:rFonts w:eastAsia="Times New Roman"/>
                <w:sz w:val="20"/>
                <w:szCs w:val="20"/>
              </w:rPr>
            </w:pPr>
            <w:r>
              <w:rPr>
                <w:rFonts w:eastAsia="Times New Roman"/>
                <w:sz w:val="20"/>
                <w:szCs w:val="20"/>
              </w:rPr>
              <w:t>Agreement of Kimco Realty Corporation pursuant to Item 601(b)(4)(iii)(A) of Regulation S-K</w:t>
            </w:r>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S-11</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33</w:t>
            </w:r>
            <w:r>
              <w:rPr>
                <w:rFonts w:eastAsia="Times New Roman"/>
                <w:sz w:val="20"/>
                <w:szCs w:val="20"/>
              </w:rPr>
              <w:t>3-42588</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09/11/91</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4.1</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4.2 </w:t>
            </w:r>
          </w:p>
        </w:tc>
        <w:tc>
          <w:tcPr>
            <w:tcW w:w="2050" w:type="pct"/>
            <w:shd w:val="clear" w:color="auto" w:fill="CCEEFF"/>
            <w:hideMark/>
          </w:tcPr>
          <w:p w:rsidR="00000000" w:rsidRDefault="004E30E9">
            <w:pPr>
              <w:rPr>
                <w:rFonts w:eastAsia="Times New Roman"/>
                <w:sz w:val="20"/>
                <w:szCs w:val="20"/>
              </w:rPr>
            </w:pPr>
            <w:r>
              <w:rPr>
                <w:rFonts w:eastAsia="Times New Roman"/>
                <w:sz w:val="20"/>
                <w:szCs w:val="20"/>
              </w:rPr>
              <w:t>Indenture dated September 1, 1993, between Kimco Realty Corporation and Bank of New York (as successor to IBJ Schroder Bank and Trust Company)</w:t>
            </w:r>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S-3</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333-67552</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09/10/93</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4(a)</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4.3 </w:t>
            </w:r>
          </w:p>
        </w:tc>
        <w:tc>
          <w:tcPr>
            <w:tcW w:w="2050" w:type="pct"/>
            <w:shd w:val="clear" w:color="auto" w:fill="FFFFFF"/>
            <w:hideMark/>
          </w:tcPr>
          <w:p w:rsidR="00000000" w:rsidRDefault="004E30E9">
            <w:pPr>
              <w:rPr>
                <w:rFonts w:eastAsia="Times New Roman"/>
                <w:sz w:val="20"/>
                <w:szCs w:val="20"/>
              </w:rPr>
            </w:pPr>
            <w:r>
              <w:rPr>
                <w:rFonts w:eastAsia="Times New Roman"/>
                <w:sz w:val="20"/>
                <w:szCs w:val="20"/>
              </w:rPr>
              <w:t>First Supplemental Indenture, dated August 4, 1994, between Kimco Realty Co</w:t>
            </w:r>
            <w:r>
              <w:rPr>
                <w:rFonts w:eastAsia="Times New Roman"/>
                <w:sz w:val="20"/>
                <w:szCs w:val="20"/>
              </w:rPr>
              <w:t>rporation and Bank of New York (as successor to IBJ Schroder Bank and Trust Company)</w:t>
            </w:r>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10-K</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03/28/96</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4.6</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4.4 </w:t>
            </w:r>
          </w:p>
        </w:tc>
        <w:tc>
          <w:tcPr>
            <w:tcW w:w="2050" w:type="pct"/>
            <w:shd w:val="clear" w:color="auto" w:fill="CCEEFF"/>
            <w:hideMark/>
          </w:tcPr>
          <w:p w:rsidR="00000000" w:rsidRDefault="004E30E9">
            <w:pPr>
              <w:rPr>
                <w:rFonts w:eastAsia="Times New Roman"/>
                <w:sz w:val="20"/>
                <w:szCs w:val="20"/>
              </w:rPr>
            </w:pPr>
            <w:r>
              <w:rPr>
                <w:rFonts w:eastAsia="Times New Roman"/>
                <w:sz w:val="20"/>
                <w:szCs w:val="20"/>
              </w:rPr>
              <w:t>Second Supplemental Indenture, dated April 7, 1995, between Kimco Realty Corporation and Bank of New York (as successor to IBJ Schroder</w:t>
            </w:r>
            <w:r>
              <w:rPr>
                <w:rFonts w:eastAsia="Times New Roman"/>
                <w:sz w:val="20"/>
                <w:szCs w:val="20"/>
              </w:rPr>
              <w:t xml:space="preserve"> Bank and Trust Company)</w:t>
            </w:r>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8-K</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04/07/95</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4(a)</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4.5 </w:t>
            </w:r>
          </w:p>
        </w:tc>
        <w:tc>
          <w:tcPr>
            <w:tcW w:w="2050" w:type="pct"/>
            <w:shd w:val="clear" w:color="auto" w:fill="FFFFFF"/>
            <w:hideMark/>
          </w:tcPr>
          <w:p w:rsidR="00000000" w:rsidRDefault="004E30E9">
            <w:pPr>
              <w:rPr>
                <w:rFonts w:eastAsia="Times New Roman"/>
                <w:sz w:val="20"/>
                <w:szCs w:val="20"/>
              </w:rPr>
            </w:pPr>
            <w:hyperlink r:id="rId18" w:history="1">
              <w:r>
                <w:rPr>
                  <w:rStyle w:val="a4"/>
                  <w:rFonts w:eastAsia="Times New Roman"/>
                  <w:sz w:val="20"/>
                  <w:szCs w:val="20"/>
                </w:rPr>
                <w:t>Third Supplemental Indenture, dated June 2, 2006, between Kimco Realty Corporation and The Bank of New York, as Trustee</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8-K</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06/05/06</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4.1</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4.6</w:t>
            </w:r>
          </w:p>
        </w:tc>
        <w:tc>
          <w:tcPr>
            <w:tcW w:w="2050" w:type="pct"/>
            <w:shd w:val="clear" w:color="auto" w:fill="CCEEFF"/>
            <w:hideMark/>
          </w:tcPr>
          <w:p w:rsidR="00000000" w:rsidRDefault="004E30E9">
            <w:pPr>
              <w:rPr>
                <w:rFonts w:eastAsia="Times New Roman"/>
                <w:sz w:val="20"/>
                <w:szCs w:val="20"/>
              </w:rPr>
            </w:pPr>
            <w:hyperlink r:id="rId19" w:history="1">
              <w:r>
                <w:rPr>
                  <w:rStyle w:val="a4"/>
                  <w:rFonts w:eastAsia="Times New Roman"/>
                  <w:sz w:val="20"/>
                  <w:szCs w:val="20"/>
                </w:rPr>
                <w:t>Four</w:t>
              </w:r>
              <w:r>
                <w:rPr>
                  <w:rStyle w:val="a4"/>
                  <w:rFonts w:eastAsia="Times New Roman"/>
                  <w:sz w:val="20"/>
                  <w:szCs w:val="20"/>
                </w:rPr>
                <w:t>th Supplemental Indenture, dated April 26, 2007, between Kimco Realty Corporation and The Bank of New York, as Trustee</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8-K</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04/26/07</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1.3</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4.7</w:t>
            </w:r>
          </w:p>
        </w:tc>
        <w:tc>
          <w:tcPr>
            <w:tcW w:w="2050" w:type="pct"/>
            <w:shd w:val="clear" w:color="auto" w:fill="FFFFFF"/>
            <w:hideMark/>
          </w:tcPr>
          <w:p w:rsidR="00000000" w:rsidRDefault="004E30E9">
            <w:pPr>
              <w:rPr>
                <w:rFonts w:eastAsia="Times New Roman"/>
                <w:sz w:val="20"/>
                <w:szCs w:val="20"/>
              </w:rPr>
            </w:pPr>
            <w:hyperlink r:id="rId20" w:history="1">
              <w:r>
                <w:rPr>
                  <w:rStyle w:val="a4"/>
                  <w:rFonts w:eastAsia="Times New Roman"/>
                  <w:sz w:val="20"/>
                  <w:szCs w:val="20"/>
                </w:rPr>
                <w:t>Fifth Supplemental Indenture, dated September 24, 2009, between Kimco Realty Corporation and The Bank of New York Mellon, as Trustee</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8-K</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09/24/09</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4.1</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4</w:t>
            </w:r>
            <w:r>
              <w:rPr>
                <w:rFonts w:eastAsia="Times New Roman"/>
                <w:sz w:val="20"/>
                <w:szCs w:val="20"/>
              </w:rPr>
              <w:t>.8</w:t>
            </w:r>
          </w:p>
        </w:tc>
        <w:tc>
          <w:tcPr>
            <w:tcW w:w="2050" w:type="pct"/>
            <w:shd w:val="clear" w:color="auto" w:fill="CCEEFF"/>
            <w:hideMark/>
          </w:tcPr>
          <w:p w:rsidR="00000000" w:rsidRDefault="004E30E9">
            <w:pPr>
              <w:rPr>
                <w:rFonts w:eastAsia="Times New Roman"/>
                <w:sz w:val="20"/>
                <w:szCs w:val="20"/>
              </w:rPr>
            </w:pPr>
            <w:hyperlink r:id="rId21" w:history="1">
              <w:r>
                <w:rPr>
                  <w:rStyle w:val="a4"/>
                  <w:rFonts w:eastAsia="Times New Roman"/>
                  <w:sz w:val="20"/>
                  <w:szCs w:val="20"/>
                </w:rPr>
                <w:t>Sixth Supplemental Indenture, dated May 23, 2013, between Kimco Realty Corporation and The Bank of New York Mellon, as Trustee</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8-K</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05/23/13</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4.1</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4.9</w:t>
            </w:r>
          </w:p>
        </w:tc>
        <w:tc>
          <w:tcPr>
            <w:tcW w:w="2050" w:type="pct"/>
            <w:shd w:val="clear" w:color="auto" w:fill="FFFFFF"/>
            <w:hideMark/>
          </w:tcPr>
          <w:p w:rsidR="00000000" w:rsidRDefault="004E30E9">
            <w:pPr>
              <w:rPr>
                <w:rFonts w:eastAsia="Times New Roman"/>
                <w:sz w:val="20"/>
                <w:szCs w:val="20"/>
              </w:rPr>
            </w:pPr>
            <w:hyperlink r:id="rId22" w:history="1">
              <w:r>
                <w:rPr>
                  <w:rStyle w:val="a4"/>
                  <w:rFonts w:eastAsia="Times New Roman"/>
                  <w:sz w:val="20"/>
                  <w:szCs w:val="20"/>
                </w:rPr>
                <w:t>Seventh Supplemental Indenture, dated April 24, 2014, between Kimco Realty Corporation and The Bank of New York Mellon, as Trustee</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8-K</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04/24/14</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4.1</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4.10</w:t>
            </w:r>
          </w:p>
        </w:tc>
        <w:tc>
          <w:tcPr>
            <w:tcW w:w="2050" w:type="pct"/>
            <w:shd w:val="clear" w:color="auto" w:fill="CCEEFF"/>
            <w:hideMark/>
          </w:tcPr>
          <w:p w:rsidR="00000000" w:rsidRDefault="004E30E9">
            <w:pPr>
              <w:rPr>
                <w:rFonts w:eastAsia="Times New Roman"/>
                <w:sz w:val="20"/>
                <w:szCs w:val="20"/>
              </w:rPr>
            </w:pPr>
            <w:hyperlink r:id="rId23" w:history="1">
              <w:r>
                <w:rPr>
                  <w:rStyle w:val="a4"/>
                  <w:rFonts w:eastAsia="Times New Roman"/>
                  <w:sz w:val="20"/>
                  <w:szCs w:val="20"/>
                </w:rPr>
                <w:t>Description of Securities</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10-K</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02/25/20</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4.10</w:t>
            </w:r>
          </w:p>
        </w:tc>
        <w:tc>
          <w:tcPr>
            <w:tcW w:w="405" w:type="pct"/>
            <w:shd w:val="clear" w:color="auto" w:fill="CCEEFF"/>
            <w:hideMark/>
          </w:tcPr>
          <w:p w:rsidR="00000000" w:rsidRDefault="004E30E9">
            <w:pPr>
              <w:jc w:val="cente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jc w:val="cente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10.1</w:t>
            </w:r>
          </w:p>
        </w:tc>
        <w:tc>
          <w:tcPr>
            <w:tcW w:w="2050" w:type="pct"/>
            <w:shd w:val="clear" w:color="auto" w:fill="FFFFFF"/>
            <w:hideMark/>
          </w:tcPr>
          <w:p w:rsidR="00000000" w:rsidRDefault="004E30E9">
            <w:pPr>
              <w:rPr>
                <w:rFonts w:eastAsia="Times New Roman"/>
                <w:sz w:val="20"/>
                <w:szCs w:val="20"/>
              </w:rPr>
            </w:pPr>
            <w:r>
              <w:rPr>
                <w:rFonts w:eastAsia="Times New Roman"/>
                <w:sz w:val="20"/>
                <w:szCs w:val="20"/>
              </w:rPr>
              <w:t>Amended and Restated Stock Option Plan</w:t>
            </w:r>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10-K</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03/28/95</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10.3</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10.2 </w:t>
            </w:r>
          </w:p>
        </w:tc>
        <w:tc>
          <w:tcPr>
            <w:tcW w:w="2050" w:type="pct"/>
            <w:shd w:val="clear" w:color="auto" w:fill="CCEEFF"/>
            <w:hideMark/>
          </w:tcPr>
          <w:p w:rsidR="00000000" w:rsidRDefault="004E30E9">
            <w:pPr>
              <w:rPr>
                <w:rFonts w:eastAsia="Times New Roman"/>
                <w:sz w:val="20"/>
                <w:szCs w:val="20"/>
              </w:rPr>
            </w:pPr>
            <w:hyperlink r:id="rId24" w:history="1">
              <w:r>
                <w:rPr>
                  <w:rStyle w:val="a4"/>
                  <w:rFonts w:eastAsia="Times New Roman"/>
                  <w:sz w:val="20"/>
                  <w:szCs w:val="20"/>
                </w:rPr>
                <w:t>Second Amended and Restated 1998 Equity Participation Plan of Kimco Realty Corporation (restated February 25, 2009)</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10-K</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02/27/09</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10.9</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10.3 </w:t>
            </w:r>
          </w:p>
        </w:tc>
        <w:tc>
          <w:tcPr>
            <w:tcW w:w="2050" w:type="pct"/>
            <w:shd w:val="clear" w:color="auto" w:fill="FFFFFF"/>
            <w:hideMark/>
          </w:tcPr>
          <w:p w:rsidR="00000000" w:rsidRDefault="004E30E9">
            <w:pPr>
              <w:rPr>
                <w:rFonts w:eastAsia="Times New Roman"/>
                <w:sz w:val="20"/>
                <w:szCs w:val="20"/>
              </w:rPr>
            </w:pPr>
            <w:hyperlink r:id="rId25" w:history="1">
              <w:r>
                <w:rPr>
                  <w:rStyle w:val="a4"/>
                  <w:rFonts w:eastAsia="Times New Roman"/>
                  <w:sz w:val="20"/>
                  <w:szCs w:val="20"/>
                </w:rPr>
                <w:t>Form of Indemnification Agreement</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10-K</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02/27/09</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99.1</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10.4</w:t>
            </w:r>
          </w:p>
        </w:tc>
        <w:tc>
          <w:tcPr>
            <w:tcW w:w="2050" w:type="pct"/>
            <w:shd w:val="clear" w:color="auto" w:fill="CCEEFF"/>
            <w:hideMark/>
          </w:tcPr>
          <w:p w:rsidR="00000000" w:rsidRDefault="004E30E9">
            <w:pPr>
              <w:rPr>
                <w:rFonts w:eastAsia="Times New Roman"/>
                <w:sz w:val="20"/>
                <w:szCs w:val="20"/>
              </w:rPr>
            </w:pPr>
            <w:hyperlink r:id="rId26" w:history="1">
              <w:r>
                <w:rPr>
                  <w:rStyle w:val="a4"/>
                  <w:rFonts w:eastAsia="Times New Roman"/>
                  <w:sz w:val="20"/>
                  <w:szCs w:val="20"/>
                </w:rPr>
                <w:t>Kimco Realty Corporation Executive Severance Plan, dated March 15, 2010</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8-K</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03/19/10</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10.5</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10.5</w:t>
            </w:r>
          </w:p>
        </w:tc>
        <w:tc>
          <w:tcPr>
            <w:tcW w:w="2050" w:type="pct"/>
            <w:shd w:val="clear" w:color="auto" w:fill="FFFFFF"/>
            <w:hideMark/>
          </w:tcPr>
          <w:p w:rsidR="00000000" w:rsidRDefault="004E30E9">
            <w:pPr>
              <w:rPr>
                <w:rFonts w:eastAsia="Times New Roman"/>
                <w:sz w:val="20"/>
                <w:szCs w:val="20"/>
              </w:rPr>
            </w:pPr>
            <w:hyperlink r:id="rId27" w:history="1">
              <w:r>
                <w:rPr>
                  <w:rStyle w:val="a4"/>
                  <w:rFonts w:eastAsia="Times New Roman"/>
                  <w:sz w:val="20"/>
                  <w:szCs w:val="20"/>
                </w:rPr>
                <w:t>Restated Kimco Realty Corporation 2010 Equity Participa</w:t>
              </w:r>
              <w:r>
                <w:rPr>
                  <w:rStyle w:val="a4"/>
                  <w:rFonts w:eastAsia="Times New Roman"/>
                  <w:sz w:val="20"/>
                  <w:szCs w:val="20"/>
                </w:rPr>
                <w:t>tion Plan</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10-K</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02/27/17</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10.6</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10.6</w:t>
            </w:r>
          </w:p>
        </w:tc>
        <w:tc>
          <w:tcPr>
            <w:tcW w:w="2050" w:type="pct"/>
            <w:shd w:val="clear" w:color="auto" w:fill="CCEEFF"/>
            <w:hideMark/>
          </w:tcPr>
          <w:p w:rsidR="00000000" w:rsidRDefault="004E30E9">
            <w:pPr>
              <w:rPr>
                <w:rFonts w:eastAsia="Times New Roman"/>
                <w:sz w:val="20"/>
                <w:szCs w:val="20"/>
              </w:rPr>
            </w:pPr>
            <w:hyperlink r:id="rId28" w:history="1">
              <w:r>
                <w:rPr>
                  <w:rStyle w:val="a4"/>
                  <w:rFonts w:eastAsia="Times New Roman"/>
                  <w:sz w:val="20"/>
                  <w:szCs w:val="20"/>
                </w:rPr>
                <w:t>Amendment No. 1 to the Kimco Realty Corporation 2010 Equity Participation Plan</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10-K</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02/23/18</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10.7</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10.7</w:t>
            </w:r>
          </w:p>
        </w:tc>
        <w:tc>
          <w:tcPr>
            <w:tcW w:w="2050" w:type="pct"/>
            <w:shd w:val="clear" w:color="auto" w:fill="FFFFFF"/>
            <w:hideMark/>
          </w:tcPr>
          <w:p w:rsidR="00000000" w:rsidRDefault="004E30E9">
            <w:pPr>
              <w:rPr>
                <w:rFonts w:eastAsia="Times New Roman"/>
                <w:sz w:val="20"/>
                <w:szCs w:val="20"/>
              </w:rPr>
            </w:pPr>
            <w:hyperlink r:id="rId29" w:history="1">
              <w:r>
                <w:rPr>
                  <w:rStyle w:val="a4"/>
                  <w:rFonts w:eastAsia="Times New Roman"/>
                  <w:sz w:val="20"/>
                  <w:szCs w:val="20"/>
                </w:rPr>
                <w:t>Form of Performance Share Award Grant Notice and Performance Share Award Agreement</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8-K</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03/19/10</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10.8</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10.8</w:t>
            </w:r>
          </w:p>
        </w:tc>
        <w:tc>
          <w:tcPr>
            <w:tcW w:w="2050" w:type="pct"/>
            <w:shd w:val="clear" w:color="auto" w:fill="CCEEFF"/>
            <w:hideMark/>
          </w:tcPr>
          <w:p w:rsidR="00000000" w:rsidRDefault="004E30E9">
            <w:pPr>
              <w:rPr>
                <w:rFonts w:eastAsia="Times New Roman"/>
                <w:sz w:val="20"/>
                <w:szCs w:val="20"/>
              </w:rPr>
            </w:pPr>
            <w:hyperlink r:id="rId30" w:history="1">
              <w:r>
                <w:rPr>
                  <w:rStyle w:val="a4"/>
                  <w:rFonts w:eastAsia="Times New Roman"/>
                  <w:sz w:val="20"/>
                  <w:szCs w:val="20"/>
                </w:rPr>
                <w:t>First Amendment to the Kimco Realty Corporation Executive Severance Plan, dated March 20, 2012</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10-Q</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05/10/12</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10.3</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829518356"/>
        <w:rPr>
          <w:rFonts w:eastAsia="Times New Roman"/>
          <w:sz w:val="20"/>
          <w:szCs w:val="20"/>
        </w:rPr>
      </w:pPr>
      <w:r>
        <w:rPr>
          <w:rFonts w:eastAsia="Times New Roman"/>
          <w:sz w:val="20"/>
          <w:szCs w:val="20"/>
        </w:rPr>
        <w:t xml:space="preserve">46 </w:t>
      </w:r>
    </w:p>
    <w:p w:rsidR="00000000" w:rsidRDefault="004E30E9">
      <w:pPr>
        <w:divId w:val="312610892"/>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4E30E9">
      <w:pPr>
        <w:divId w:val="29236785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50"/>
        <w:gridCol w:w="3278"/>
        <w:gridCol w:w="573"/>
        <w:gridCol w:w="640"/>
        <w:gridCol w:w="712"/>
        <w:gridCol w:w="712"/>
        <w:gridCol w:w="929"/>
        <w:gridCol w:w="712"/>
      </w:tblGrid>
      <w:tr w:rsidR="00000000">
        <w:trPr>
          <w:tblCellSpacing w:w="0" w:type="dxa"/>
        </w:trPr>
        <w:tc>
          <w:tcPr>
            <w:tcW w:w="505" w:type="pct"/>
            <w:hideMark/>
          </w:tcPr>
          <w:p w:rsidR="00000000" w:rsidRDefault="004E30E9">
            <w:pPr>
              <w:rPr>
                <w:rFonts w:eastAsia="Times New Roman"/>
                <w:sz w:val="20"/>
                <w:szCs w:val="20"/>
              </w:rPr>
            </w:pPr>
            <w:r>
              <w:rPr>
                <w:rFonts w:eastAsia="Times New Roman"/>
                <w:sz w:val="20"/>
                <w:szCs w:val="20"/>
              </w:rPr>
              <w:t> </w:t>
            </w:r>
          </w:p>
        </w:tc>
        <w:tc>
          <w:tcPr>
            <w:tcW w:w="2050" w:type="pct"/>
            <w:vAlign w:val="bottom"/>
            <w:hideMark/>
          </w:tcPr>
          <w:p w:rsidR="00000000" w:rsidRDefault="004E30E9">
            <w:pPr>
              <w:jc w:val="center"/>
              <w:rPr>
                <w:rFonts w:eastAsia="Times New Roman"/>
                <w:sz w:val="20"/>
                <w:szCs w:val="20"/>
              </w:rPr>
            </w:pPr>
            <w:r>
              <w:rPr>
                <w:rFonts w:eastAsia="Times New Roman"/>
                <w:sz w:val="20"/>
                <w:szCs w:val="20"/>
              </w:rPr>
              <w:t> </w:t>
            </w:r>
          </w:p>
        </w:tc>
        <w:tc>
          <w:tcPr>
            <w:tcW w:w="410" w:type="pct"/>
            <w:gridSpan w:val="4"/>
            <w:vAlign w:val="bottom"/>
            <w:hideMark/>
          </w:tcPr>
          <w:p w:rsidR="00000000" w:rsidRDefault="004E30E9">
            <w:pPr>
              <w:jc w:val="center"/>
              <w:rPr>
                <w:rFonts w:eastAsia="Times New Roman"/>
                <w:sz w:val="20"/>
                <w:szCs w:val="20"/>
              </w:rPr>
            </w:pPr>
            <w:r>
              <w:rPr>
                <w:rFonts w:eastAsia="Times New Roman"/>
                <w:b/>
                <w:bCs/>
                <w:sz w:val="20"/>
                <w:szCs w:val="20"/>
                <w:u w:val="single"/>
              </w:rPr>
              <w:t>Incorporated by Reference</w:t>
            </w:r>
          </w:p>
        </w:tc>
        <w:tc>
          <w:tcPr>
            <w:tcW w:w="405" w:type="pct"/>
            <w:hideMark/>
          </w:tcPr>
          <w:p w:rsidR="00000000" w:rsidRDefault="004E30E9">
            <w:pPr>
              <w:rPr>
                <w:rFonts w:eastAsia="Times New Roman"/>
                <w:sz w:val="20"/>
                <w:szCs w:val="20"/>
              </w:rPr>
            </w:pPr>
            <w:r>
              <w:rPr>
                <w:rFonts w:eastAsia="Times New Roman"/>
                <w:sz w:val="20"/>
                <w:szCs w:val="20"/>
              </w:rPr>
              <w:t> </w:t>
            </w:r>
          </w:p>
        </w:tc>
        <w:tc>
          <w:tcPr>
            <w:tcW w:w="325"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hideMark/>
          </w:tcPr>
          <w:p w:rsidR="00000000" w:rsidRDefault="004E30E9">
            <w:pPr>
              <w:pStyle w:val="a3"/>
              <w:spacing w:before="0" w:beforeAutospacing="0" w:after="0" w:afterAutospacing="0"/>
              <w:jc w:val="center"/>
              <w:rPr>
                <w:sz w:val="20"/>
                <w:szCs w:val="20"/>
              </w:rPr>
            </w:pPr>
            <w:r>
              <w:rPr>
                <w:b/>
                <w:bCs/>
                <w:sz w:val="20"/>
                <w:szCs w:val="20"/>
              </w:rPr>
              <w:t xml:space="preserve">Exhibit </w:t>
            </w:r>
          </w:p>
          <w:p w:rsidR="00000000" w:rsidRDefault="004E30E9">
            <w:pPr>
              <w:pStyle w:val="a3"/>
              <w:spacing w:before="0" w:beforeAutospacing="0" w:after="0" w:afterAutospacing="0"/>
              <w:jc w:val="center"/>
              <w:rPr>
                <w:sz w:val="20"/>
                <w:szCs w:val="20"/>
              </w:rPr>
            </w:pPr>
            <w:r>
              <w:rPr>
                <w:b/>
                <w:bCs/>
                <w:sz w:val="20"/>
                <w:szCs w:val="20"/>
                <w:u w:val="single"/>
              </w:rPr>
              <w:t>Number</w:t>
            </w:r>
          </w:p>
        </w:tc>
        <w:tc>
          <w:tcPr>
            <w:tcW w:w="2050" w:type="pct"/>
            <w:vAlign w:val="bottom"/>
            <w:hideMark/>
          </w:tcPr>
          <w:p w:rsidR="00000000" w:rsidRDefault="004E30E9">
            <w:pPr>
              <w:jc w:val="center"/>
              <w:rPr>
                <w:rFonts w:eastAsia="Times New Roman"/>
                <w:sz w:val="20"/>
                <w:szCs w:val="20"/>
              </w:rPr>
            </w:pPr>
            <w:r>
              <w:rPr>
                <w:rFonts w:eastAsia="Times New Roman"/>
                <w:b/>
                <w:bCs/>
                <w:sz w:val="20"/>
                <w:szCs w:val="20"/>
                <w:u w:val="single"/>
              </w:rPr>
              <w:t>Exhibit Description</w:t>
            </w:r>
          </w:p>
        </w:tc>
        <w:tc>
          <w:tcPr>
            <w:tcW w:w="410" w:type="pct"/>
            <w:vAlign w:val="bottom"/>
            <w:hideMark/>
          </w:tcPr>
          <w:p w:rsidR="00000000" w:rsidRDefault="004E30E9">
            <w:pPr>
              <w:jc w:val="center"/>
              <w:rPr>
                <w:rFonts w:eastAsia="Times New Roman"/>
                <w:sz w:val="20"/>
                <w:szCs w:val="20"/>
              </w:rPr>
            </w:pPr>
            <w:r>
              <w:rPr>
                <w:rFonts w:eastAsia="Times New Roman"/>
                <w:b/>
                <w:bCs/>
                <w:sz w:val="20"/>
                <w:szCs w:val="20"/>
                <w:u w:val="single"/>
              </w:rPr>
              <w:t>Form</w:t>
            </w:r>
          </w:p>
        </w:tc>
        <w:tc>
          <w:tcPr>
            <w:tcW w:w="450" w:type="pct"/>
            <w:vAlign w:val="bottom"/>
            <w:hideMark/>
          </w:tcPr>
          <w:p w:rsidR="00000000" w:rsidRDefault="004E30E9">
            <w:pPr>
              <w:jc w:val="center"/>
              <w:rPr>
                <w:rFonts w:eastAsia="Times New Roman"/>
                <w:sz w:val="20"/>
                <w:szCs w:val="20"/>
              </w:rPr>
            </w:pPr>
            <w:r>
              <w:rPr>
                <w:rFonts w:eastAsia="Times New Roman"/>
                <w:b/>
                <w:bCs/>
                <w:sz w:val="20"/>
                <w:szCs w:val="20"/>
                <w:u w:val="single"/>
              </w:rPr>
              <w:t>File No.</w:t>
            </w:r>
          </w:p>
        </w:tc>
        <w:tc>
          <w:tcPr>
            <w:tcW w:w="490" w:type="pct"/>
            <w:vAlign w:val="bottom"/>
            <w:hideMark/>
          </w:tcPr>
          <w:p w:rsidR="00000000" w:rsidRDefault="004E30E9">
            <w:pPr>
              <w:pStyle w:val="a3"/>
              <w:spacing w:before="0" w:beforeAutospacing="0" w:after="0" w:afterAutospacing="0"/>
              <w:jc w:val="center"/>
              <w:rPr>
                <w:sz w:val="20"/>
                <w:szCs w:val="20"/>
              </w:rPr>
            </w:pPr>
            <w:r>
              <w:rPr>
                <w:b/>
                <w:bCs/>
                <w:sz w:val="20"/>
                <w:szCs w:val="20"/>
              </w:rPr>
              <w:t>Date of</w:t>
            </w:r>
          </w:p>
          <w:p w:rsidR="00000000" w:rsidRDefault="004E30E9">
            <w:pPr>
              <w:pStyle w:val="a3"/>
              <w:spacing w:before="0" w:beforeAutospacing="0" w:after="0" w:afterAutospacing="0"/>
              <w:jc w:val="center"/>
              <w:rPr>
                <w:sz w:val="20"/>
                <w:szCs w:val="20"/>
              </w:rPr>
            </w:pPr>
            <w:r>
              <w:rPr>
                <w:b/>
                <w:bCs/>
                <w:sz w:val="20"/>
                <w:szCs w:val="20"/>
                <w:u w:val="single"/>
              </w:rPr>
              <w:t>Filing</w:t>
            </w:r>
          </w:p>
        </w:tc>
        <w:tc>
          <w:tcPr>
            <w:tcW w:w="365" w:type="pct"/>
            <w:vAlign w:val="bottom"/>
            <w:hideMark/>
          </w:tcPr>
          <w:p w:rsidR="00000000" w:rsidRDefault="004E30E9">
            <w:pPr>
              <w:pStyle w:val="a3"/>
              <w:spacing w:before="0" w:beforeAutospacing="0" w:after="0" w:afterAutospacing="0"/>
              <w:jc w:val="center"/>
              <w:rPr>
                <w:sz w:val="20"/>
                <w:szCs w:val="20"/>
              </w:rPr>
            </w:pPr>
            <w:r>
              <w:rPr>
                <w:b/>
                <w:bCs/>
                <w:sz w:val="20"/>
                <w:szCs w:val="20"/>
              </w:rPr>
              <w:t>Exhibit</w:t>
            </w:r>
          </w:p>
          <w:p w:rsidR="00000000" w:rsidRDefault="004E30E9">
            <w:pPr>
              <w:pStyle w:val="a3"/>
              <w:spacing w:before="0" w:beforeAutospacing="0" w:after="0" w:afterAutospacing="0"/>
              <w:jc w:val="center"/>
              <w:rPr>
                <w:sz w:val="20"/>
                <w:szCs w:val="20"/>
              </w:rPr>
            </w:pPr>
            <w:r>
              <w:rPr>
                <w:b/>
                <w:bCs/>
                <w:sz w:val="20"/>
                <w:szCs w:val="20"/>
                <w:u w:val="single"/>
              </w:rPr>
              <w:t>Number</w:t>
            </w:r>
          </w:p>
        </w:tc>
        <w:tc>
          <w:tcPr>
            <w:tcW w:w="405" w:type="pct"/>
            <w:vAlign w:val="bottom"/>
            <w:hideMark/>
          </w:tcPr>
          <w:p w:rsidR="00000000" w:rsidRDefault="004E30E9">
            <w:pPr>
              <w:pStyle w:val="a3"/>
              <w:spacing w:before="0" w:beforeAutospacing="0" w:after="0" w:afterAutospacing="0"/>
              <w:jc w:val="center"/>
              <w:rPr>
                <w:sz w:val="20"/>
                <w:szCs w:val="20"/>
              </w:rPr>
            </w:pPr>
            <w:r>
              <w:rPr>
                <w:b/>
                <w:bCs/>
                <w:sz w:val="20"/>
                <w:szCs w:val="20"/>
              </w:rPr>
              <w:t>Filed/</w:t>
            </w:r>
          </w:p>
          <w:p w:rsidR="00000000" w:rsidRDefault="004E30E9">
            <w:pPr>
              <w:pStyle w:val="a3"/>
              <w:spacing w:before="0" w:beforeAutospacing="0" w:after="0" w:afterAutospacing="0"/>
              <w:jc w:val="center"/>
              <w:rPr>
                <w:sz w:val="20"/>
                <w:szCs w:val="20"/>
              </w:rPr>
            </w:pPr>
            <w:r>
              <w:rPr>
                <w:b/>
                <w:bCs/>
                <w:sz w:val="20"/>
                <w:szCs w:val="20"/>
              </w:rPr>
              <w:t>Furnished </w:t>
            </w:r>
          </w:p>
          <w:p w:rsidR="00000000" w:rsidRDefault="004E30E9">
            <w:pPr>
              <w:pStyle w:val="a3"/>
              <w:spacing w:before="0" w:beforeAutospacing="0" w:after="0" w:afterAutospacing="0"/>
              <w:jc w:val="center"/>
              <w:rPr>
                <w:sz w:val="20"/>
                <w:szCs w:val="20"/>
              </w:rPr>
            </w:pPr>
            <w:r>
              <w:rPr>
                <w:b/>
                <w:bCs/>
                <w:sz w:val="20"/>
                <w:szCs w:val="20"/>
                <w:u w:val="single"/>
              </w:rPr>
              <w:t>Herewith</w:t>
            </w:r>
          </w:p>
        </w:tc>
        <w:tc>
          <w:tcPr>
            <w:tcW w:w="325" w:type="pct"/>
            <w:vAlign w:val="bottom"/>
            <w:hideMark/>
          </w:tcPr>
          <w:p w:rsidR="00000000" w:rsidRDefault="004E30E9">
            <w:pPr>
              <w:pStyle w:val="a3"/>
              <w:spacing w:before="0" w:beforeAutospacing="0" w:after="0" w:afterAutospacing="0"/>
              <w:jc w:val="center"/>
              <w:rPr>
                <w:sz w:val="20"/>
                <w:szCs w:val="20"/>
              </w:rPr>
            </w:pPr>
            <w:r>
              <w:rPr>
                <w:b/>
                <w:bCs/>
                <w:sz w:val="20"/>
                <w:szCs w:val="20"/>
              </w:rPr>
              <w:t>Page</w:t>
            </w:r>
          </w:p>
          <w:p w:rsidR="00000000" w:rsidRDefault="004E30E9">
            <w:pPr>
              <w:pStyle w:val="a3"/>
              <w:spacing w:before="0" w:beforeAutospacing="0" w:after="0" w:afterAutospacing="0"/>
              <w:jc w:val="center"/>
              <w:rPr>
                <w:sz w:val="20"/>
                <w:szCs w:val="20"/>
              </w:rPr>
            </w:pPr>
            <w:r>
              <w:rPr>
                <w:b/>
                <w:bCs/>
                <w:sz w:val="20"/>
                <w:szCs w:val="20"/>
                <w:u w:val="single"/>
              </w:rPr>
              <w:t>Number</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10.9</w:t>
            </w:r>
          </w:p>
        </w:tc>
        <w:tc>
          <w:tcPr>
            <w:tcW w:w="2050" w:type="pct"/>
            <w:shd w:val="clear" w:color="auto" w:fill="CCEEFF"/>
            <w:hideMark/>
          </w:tcPr>
          <w:p w:rsidR="00000000" w:rsidRDefault="004E30E9">
            <w:pPr>
              <w:rPr>
                <w:rFonts w:eastAsia="Times New Roman"/>
                <w:sz w:val="20"/>
                <w:szCs w:val="20"/>
              </w:rPr>
            </w:pPr>
            <w:hyperlink r:id="rId31" w:history="1">
              <w:r>
                <w:rPr>
                  <w:rStyle w:val="a4"/>
                  <w:rFonts w:eastAsia="Times New Roman"/>
                  <w:sz w:val="20"/>
                  <w:szCs w:val="20"/>
                </w:rPr>
                <w:t>Amended and Restated Credit Agreement, dated as of February 27, 2020, among Kimco Realty Corporation, the subsidiaries of Kimco from time to time parties thereto</w:t>
              </w:r>
              <w:r>
                <w:rPr>
                  <w:rStyle w:val="a4"/>
                  <w:rFonts w:eastAsia="Times New Roman"/>
                  <w:sz w:val="20"/>
                  <w:szCs w:val="20"/>
                </w:rPr>
                <w:t>, the several banks, financial institutions and other entities from time to time party thereto and JPMorgan Chase Bank, N.A., as administrative agent for the Lenders thereunder</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8-K</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03/02/20</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10.1</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10.10</w:t>
            </w:r>
          </w:p>
        </w:tc>
        <w:tc>
          <w:tcPr>
            <w:tcW w:w="2050" w:type="pct"/>
            <w:shd w:val="clear" w:color="auto" w:fill="FFFFFF"/>
            <w:hideMark/>
          </w:tcPr>
          <w:p w:rsidR="00000000" w:rsidRDefault="004E30E9">
            <w:pPr>
              <w:rPr>
                <w:rFonts w:eastAsia="Times New Roman"/>
                <w:sz w:val="20"/>
                <w:szCs w:val="20"/>
              </w:rPr>
            </w:pPr>
            <w:hyperlink r:id="rId32" w:anchor="ANNEXB68" w:history="1">
              <w:r>
                <w:rPr>
                  <w:rStyle w:val="a4"/>
                  <w:rFonts w:eastAsia="Times New Roman"/>
                  <w:sz w:val="20"/>
                  <w:szCs w:val="20"/>
                </w:rPr>
                <w:t>Kimco Realty Corporation 2020 Equity Participation Plan</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DEF 14A</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03/18/20</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Annex B</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10.11</w:t>
            </w:r>
          </w:p>
        </w:tc>
        <w:tc>
          <w:tcPr>
            <w:tcW w:w="2050" w:type="pct"/>
            <w:shd w:val="clear" w:color="auto" w:fill="CCEEFF"/>
            <w:hideMark/>
          </w:tcPr>
          <w:p w:rsidR="00000000" w:rsidRDefault="004E30E9">
            <w:pPr>
              <w:rPr>
                <w:rFonts w:eastAsia="Times New Roman"/>
                <w:sz w:val="20"/>
                <w:szCs w:val="20"/>
              </w:rPr>
            </w:pPr>
            <w:hyperlink r:id="rId33" w:history="1">
              <w:r>
                <w:rPr>
                  <w:rStyle w:val="a4"/>
                  <w:rFonts w:eastAsia="Times New Roman"/>
                  <w:sz w:val="20"/>
                  <w:szCs w:val="20"/>
                </w:rPr>
                <w:t>Credit Agreement, dated April 1, 2020, among Kimco Realty Corporation and each of the parties named therein</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10-Q</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08/07/20</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10.1</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10.12</w:t>
            </w:r>
          </w:p>
        </w:tc>
        <w:tc>
          <w:tcPr>
            <w:tcW w:w="2050" w:type="pct"/>
            <w:shd w:val="clear" w:color="auto" w:fill="FFFFFF"/>
            <w:hideMark/>
          </w:tcPr>
          <w:p w:rsidR="00000000" w:rsidRDefault="004E30E9">
            <w:pPr>
              <w:rPr>
                <w:rFonts w:eastAsia="Times New Roman"/>
                <w:sz w:val="20"/>
                <w:szCs w:val="20"/>
              </w:rPr>
            </w:pPr>
            <w:hyperlink r:id="rId34" w:history="1">
              <w:r>
                <w:rPr>
                  <w:rStyle w:val="a4"/>
                  <w:rFonts w:eastAsia="Times New Roman"/>
                  <w:sz w:val="20"/>
                  <w:szCs w:val="20"/>
                </w:rPr>
                <w:t>Amendment No.1 to Credit Agreement, dated April 20, 2020, among Kimco Realty Corporation and each of the parties named therein.</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10-Q</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08/07/20</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10.2</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1</w:t>
            </w:r>
            <w:r>
              <w:rPr>
                <w:rFonts w:eastAsia="Times New Roman"/>
                <w:sz w:val="20"/>
                <w:szCs w:val="20"/>
              </w:rPr>
              <w:t>0.13</w:t>
            </w:r>
          </w:p>
        </w:tc>
        <w:tc>
          <w:tcPr>
            <w:tcW w:w="2050" w:type="pct"/>
            <w:shd w:val="clear" w:color="auto" w:fill="CCEEFF"/>
            <w:hideMark/>
          </w:tcPr>
          <w:p w:rsidR="00000000" w:rsidRDefault="004E30E9">
            <w:pPr>
              <w:rPr>
                <w:rFonts w:eastAsia="Times New Roman"/>
                <w:sz w:val="20"/>
                <w:szCs w:val="20"/>
              </w:rPr>
            </w:pPr>
            <w:hyperlink r:id="rId35" w:history="1">
              <w:r>
                <w:rPr>
                  <w:rStyle w:val="a4"/>
                  <w:rFonts w:eastAsia="Times New Roman"/>
                  <w:sz w:val="20"/>
                  <w:szCs w:val="20"/>
                </w:rPr>
                <w:t>Amendment No.2 to Credit Agreement, dated April 24, 2020, among Kimco Realty Corporation and each of the parties named therein.</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10-Q</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08/07/20</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10.3</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10.14</w:t>
            </w:r>
          </w:p>
        </w:tc>
        <w:tc>
          <w:tcPr>
            <w:tcW w:w="2050" w:type="pct"/>
            <w:shd w:val="clear" w:color="auto" w:fill="FFFFFF"/>
            <w:hideMark/>
          </w:tcPr>
          <w:p w:rsidR="00000000" w:rsidRDefault="004E30E9">
            <w:pPr>
              <w:rPr>
                <w:rFonts w:eastAsia="Times New Roman"/>
                <w:sz w:val="20"/>
                <w:szCs w:val="20"/>
              </w:rPr>
            </w:pPr>
            <w:hyperlink r:id="rId36" w:history="1">
              <w:r>
                <w:rPr>
                  <w:rStyle w:val="a4"/>
                  <w:rFonts w:eastAsia="Times New Roman"/>
                  <w:sz w:val="20"/>
                  <w:szCs w:val="20"/>
                </w:rPr>
                <w:t>Form of Kimco Realty Corporation 2020 Equity Participation Plan Performance Share Award Grant Notice and Performance Share Award Agreement.</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10-Q</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08/07/20</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10.4</w:t>
            </w:r>
          </w:p>
        </w:tc>
        <w:tc>
          <w:tcPr>
            <w:tcW w:w="405"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10.15</w:t>
            </w:r>
          </w:p>
        </w:tc>
        <w:tc>
          <w:tcPr>
            <w:tcW w:w="2050" w:type="pct"/>
            <w:shd w:val="clear" w:color="auto" w:fill="CCEEFF"/>
            <w:hideMark/>
          </w:tcPr>
          <w:p w:rsidR="00000000" w:rsidRDefault="004E30E9">
            <w:pPr>
              <w:rPr>
                <w:rFonts w:eastAsia="Times New Roman"/>
                <w:sz w:val="20"/>
                <w:szCs w:val="20"/>
              </w:rPr>
            </w:pPr>
            <w:hyperlink r:id="rId37" w:history="1">
              <w:r>
                <w:rPr>
                  <w:rStyle w:val="a4"/>
                  <w:rFonts w:eastAsia="Times New Roman"/>
                  <w:sz w:val="20"/>
                  <w:szCs w:val="20"/>
                </w:rPr>
                <w:t>Form of Kimco Realty Corporation 2020 Equity Participation Plan Restricted Stock Award Grant Notice and Restricted Stock Award Agreement.</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10-Q</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1-10899</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08/07/20</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1</w:t>
            </w:r>
            <w:r>
              <w:rPr>
                <w:rFonts w:eastAsia="Times New Roman"/>
                <w:sz w:val="20"/>
                <w:szCs w:val="20"/>
              </w:rPr>
              <w:t>0.5</w:t>
            </w:r>
          </w:p>
        </w:tc>
        <w:tc>
          <w:tcPr>
            <w:tcW w:w="405"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21.1</w:t>
            </w:r>
          </w:p>
        </w:tc>
        <w:tc>
          <w:tcPr>
            <w:tcW w:w="2050" w:type="pct"/>
            <w:shd w:val="clear" w:color="auto" w:fill="FFFFFF"/>
            <w:hideMark/>
          </w:tcPr>
          <w:p w:rsidR="00000000" w:rsidRDefault="004E30E9">
            <w:pPr>
              <w:rPr>
                <w:rFonts w:eastAsia="Times New Roman"/>
                <w:sz w:val="20"/>
                <w:szCs w:val="20"/>
              </w:rPr>
            </w:pPr>
            <w:hyperlink r:id="rId38" w:history="1">
              <w:r>
                <w:rPr>
                  <w:rStyle w:val="a4"/>
                  <w:rFonts w:eastAsia="Times New Roman"/>
                  <w:sz w:val="20"/>
                  <w:szCs w:val="20"/>
                </w:rPr>
                <w:t>Significant Subsidiaries of the Company</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FFFFFF"/>
            <w:hideMark/>
          </w:tcPr>
          <w:p w:rsidR="00000000" w:rsidRDefault="004E30E9">
            <w:pPr>
              <w:jc w:val="cente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23.1</w:t>
            </w:r>
          </w:p>
        </w:tc>
        <w:tc>
          <w:tcPr>
            <w:tcW w:w="2050" w:type="pct"/>
            <w:shd w:val="clear" w:color="auto" w:fill="CCEEFF"/>
            <w:hideMark/>
          </w:tcPr>
          <w:p w:rsidR="00000000" w:rsidRDefault="004E30E9">
            <w:pPr>
              <w:rPr>
                <w:rFonts w:eastAsia="Times New Roman"/>
                <w:sz w:val="20"/>
                <w:szCs w:val="20"/>
              </w:rPr>
            </w:pPr>
            <w:hyperlink r:id="rId39" w:history="1">
              <w:r>
                <w:rPr>
                  <w:rStyle w:val="a4"/>
                  <w:rFonts w:eastAsia="Times New Roman"/>
                  <w:sz w:val="20"/>
                  <w:szCs w:val="20"/>
                </w:rPr>
                <w:t>Consent of PricewaterhouseCoopers LLP</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CCEEFF"/>
            <w:hideMark/>
          </w:tcPr>
          <w:p w:rsidR="00000000" w:rsidRDefault="004E30E9">
            <w:pPr>
              <w:jc w:val="cente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31.1</w:t>
            </w:r>
          </w:p>
        </w:tc>
        <w:tc>
          <w:tcPr>
            <w:tcW w:w="2050" w:type="pct"/>
            <w:shd w:val="clear" w:color="auto" w:fill="FFFFFF"/>
            <w:hideMark/>
          </w:tcPr>
          <w:p w:rsidR="00000000" w:rsidRDefault="004E30E9">
            <w:pPr>
              <w:rPr>
                <w:rFonts w:eastAsia="Times New Roman"/>
                <w:sz w:val="20"/>
                <w:szCs w:val="20"/>
              </w:rPr>
            </w:pPr>
            <w:hyperlink r:id="rId40" w:history="1">
              <w:r>
                <w:rPr>
                  <w:rStyle w:val="a4"/>
                  <w:rFonts w:eastAsia="Times New Roman"/>
                  <w:sz w:val="20"/>
                  <w:szCs w:val="20"/>
                </w:rPr>
                <w:t>Certification of the Company’s Chief Executive Officer, Conor C. Flynn, pursuant to Section 302 of the Sarbanes-Oxley Act of 2002</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FFFFFF"/>
            <w:hideMark/>
          </w:tcPr>
          <w:p w:rsidR="00000000" w:rsidRDefault="004E30E9">
            <w:pPr>
              <w:jc w:val="cente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31.2</w:t>
            </w:r>
          </w:p>
        </w:tc>
        <w:tc>
          <w:tcPr>
            <w:tcW w:w="2050" w:type="pct"/>
            <w:shd w:val="clear" w:color="auto" w:fill="CCEEFF"/>
            <w:hideMark/>
          </w:tcPr>
          <w:p w:rsidR="00000000" w:rsidRDefault="004E30E9">
            <w:pPr>
              <w:rPr>
                <w:rFonts w:eastAsia="Times New Roman"/>
                <w:sz w:val="20"/>
                <w:szCs w:val="20"/>
              </w:rPr>
            </w:pPr>
            <w:hyperlink r:id="rId41" w:history="1">
              <w:r>
                <w:rPr>
                  <w:rStyle w:val="a4"/>
                  <w:rFonts w:eastAsia="Times New Roman"/>
                  <w:sz w:val="20"/>
                  <w:szCs w:val="20"/>
                </w:rPr>
                <w:t>Certification of the Company’s Chief Financial Officer, Glenn G. Cohen, pursua</w:t>
              </w:r>
              <w:r>
                <w:rPr>
                  <w:rStyle w:val="a4"/>
                  <w:rFonts w:eastAsia="Times New Roman"/>
                  <w:sz w:val="20"/>
                  <w:szCs w:val="20"/>
                </w:rPr>
                <w:t>nt to Section 302 of the Sarbanes-Oxley Act of 2002</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CCEEFF"/>
            <w:hideMark/>
          </w:tcPr>
          <w:p w:rsidR="00000000" w:rsidRDefault="004E30E9">
            <w:pPr>
              <w:jc w:val="cente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32.1</w:t>
            </w:r>
          </w:p>
        </w:tc>
        <w:tc>
          <w:tcPr>
            <w:tcW w:w="2050" w:type="pct"/>
            <w:shd w:val="clear" w:color="auto" w:fill="FFFFFF"/>
            <w:hideMark/>
          </w:tcPr>
          <w:p w:rsidR="00000000" w:rsidRDefault="004E30E9">
            <w:pPr>
              <w:rPr>
                <w:rFonts w:eastAsia="Times New Roman"/>
                <w:sz w:val="20"/>
                <w:szCs w:val="20"/>
              </w:rPr>
            </w:pPr>
            <w:hyperlink r:id="rId42" w:history="1">
              <w:r>
                <w:rPr>
                  <w:rStyle w:val="a4"/>
                  <w:rFonts w:eastAsia="Times New Roman"/>
                  <w:sz w:val="20"/>
                  <w:szCs w:val="20"/>
                </w:rPr>
                <w:t>Certification of the Company’s Chief Executive Officer, Conor C. Flynn, and the Company’</w:t>
              </w:r>
              <w:r>
                <w:rPr>
                  <w:rStyle w:val="a4"/>
                  <w:rFonts w:eastAsia="Times New Roman"/>
                  <w:sz w:val="20"/>
                  <w:szCs w:val="20"/>
                </w:rPr>
                <w:t>s Chief Financial Officer, Glenn G. Cohen, pursuant to Section 906 of the Sarbanes-Oxley Act of 2002</w:t>
              </w:r>
            </w:hyperlink>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FFFFFF"/>
            <w:hideMark/>
          </w:tcPr>
          <w:p w:rsidR="00000000" w:rsidRDefault="004E30E9">
            <w:pPr>
              <w:jc w:val="cente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99.1</w:t>
            </w:r>
          </w:p>
        </w:tc>
        <w:tc>
          <w:tcPr>
            <w:tcW w:w="2050" w:type="pct"/>
            <w:shd w:val="clear" w:color="auto" w:fill="CCEEFF"/>
            <w:hideMark/>
          </w:tcPr>
          <w:p w:rsidR="00000000" w:rsidRDefault="004E30E9">
            <w:pPr>
              <w:rPr>
                <w:rFonts w:eastAsia="Times New Roman"/>
                <w:sz w:val="20"/>
                <w:szCs w:val="20"/>
              </w:rPr>
            </w:pPr>
            <w:hyperlink r:id="rId43" w:history="1">
              <w:r>
                <w:rPr>
                  <w:rStyle w:val="a4"/>
                  <w:rFonts w:eastAsia="Times New Roman"/>
                  <w:sz w:val="20"/>
                  <w:szCs w:val="20"/>
                </w:rPr>
                <w:t>Property Chart</w:t>
              </w:r>
            </w:hyperlink>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CCEEFF"/>
            <w:hideMark/>
          </w:tcPr>
          <w:p w:rsidR="00000000" w:rsidRDefault="004E30E9">
            <w:pPr>
              <w:jc w:val="cente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101.INS</w:t>
            </w:r>
          </w:p>
        </w:tc>
        <w:tc>
          <w:tcPr>
            <w:tcW w:w="2050" w:type="pct"/>
            <w:shd w:val="clear" w:color="auto" w:fill="FFFFFF"/>
            <w:hideMark/>
          </w:tcPr>
          <w:p w:rsidR="00000000" w:rsidRDefault="004E30E9">
            <w:pPr>
              <w:rPr>
                <w:rFonts w:eastAsia="Times New Roman"/>
                <w:sz w:val="20"/>
                <w:szCs w:val="20"/>
              </w:rPr>
            </w:pPr>
            <w:r>
              <w:rPr>
                <w:rFonts w:eastAsia="Times New Roman"/>
                <w:sz w:val="20"/>
                <w:szCs w:val="20"/>
              </w:rPr>
              <w:t xml:space="preserve">XBRL Instance Document - the instance document does not appear in the </w:t>
            </w:r>
            <w:r>
              <w:rPr>
                <w:rFonts w:eastAsia="Times New Roman"/>
                <w:sz w:val="20"/>
                <w:szCs w:val="20"/>
              </w:rPr>
              <w:t>Interactive Data File because its XBRL tags are embedded within the Inline XBRL document</w:t>
            </w:r>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101.SCH</w:t>
            </w:r>
          </w:p>
        </w:tc>
        <w:tc>
          <w:tcPr>
            <w:tcW w:w="2050" w:type="pct"/>
            <w:shd w:val="clear" w:color="auto" w:fill="CCEEFF"/>
            <w:hideMark/>
          </w:tcPr>
          <w:p w:rsidR="00000000" w:rsidRDefault="004E30E9">
            <w:pPr>
              <w:rPr>
                <w:rFonts w:eastAsia="Times New Roman"/>
                <w:sz w:val="20"/>
                <w:szCs w:val="20"/>
              </w:rPr>
            </w:pPr>
            <w:r>
              <w:rPr>
                <w:rFonts w:eastAsia="Times New Roman"/>
                <w:sz w:val="20"/>
                <w:szCs w:val="20"/>
              </w:rPr>
              <w:t>Inline XBRL Taxonomy Extension Schema Document</w:t>
            </w:r>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101.CAL</w:t>
            </w:r>
          </w:p>
        </w:tc>
        <w:tc>
          <w:tcPr>
            <w:tcW w:w="2050" w:type="pct"/>
            <w:shd w:val="clear" w:color="auto" w:fill="FFFFFF"/>
            <w:hideMark/>
          </w:tcPr>
          <w:p w:rsidR="00000000" w:rsidRDefault="004E30E9">
            <w:pPr>
              <w:rPr>
                <w:rFonts w:eastAsia="Times New Roman"/>
                <w:sz w:val="20"/>
                <w:szCs w:val="20"/>
              </w:rPr>
            </w:pPr>
            <w:r>
              <w:rPr>
                <w:rFonts w:eastAsia="Times New Roman"/>
                <w:sz w:val="20"/>
                <w:szCs w:val="20"/>
              </w:rPr>
              <w:t>Inline XBRL Taxonomy Extension Calculation Linkbase Document</w:t>
            </w:r>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101.DEF</w:t>
            </w:r>
          </w:p>
        </w:tc>
        <w:tc>
          <w:tcPr>
            <w:tcW w:w="2050" w:type="pct"/>
            <w:shd w:val="clear" w:color="auto" w:fill="CCEEFF"/>
            <w:hideMark/>
          </w:tcPr>
          <w:p w:rsidR="00000000" w:rsidRDefault="004E30E9">
            <w:pPr>
              <w:rPr>
                <w:rFonts w:eastAsia="Times New Roman"/>
                <w:sz w:val="20"/>
                <w:szCs w:val="20"/>
              </w:rPr>
            </w:pPr>
            <w:r>
              <w:rPr>
                <w:rFonts w:eastAsia="Times New Roman"/>
                <w:sz w:val="20"/>
                <w:szCs w:val="20"/>
              </w:rPr>
              <w:t>Inline XBRL Taxonomy Extension Definition Linkbase Document</w:t>
            </w:r>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101.LAB</w:t>
            </w:r>
          </w:p>
        </w:tc>
        <w:tc>
          <w:tcPr>
            <w:tcW w:w="2050" w:type="pct"/>
            <w:shd w:val="clear" w:color="auto" w:fill="FFFFFF"/>
            <w:hideMark/>
          </w:tcPr>
          <w:p w:rsidR="00000000" w:rsidRDefault="004E30E9">
            <w:pPr>
              <w:rPr>
                <w:rFonts w:eastAsia="Times New Roman"/>
                <w:sz w:val="20"/>
                <w:szCs w:val="20"/>
              </w:rPr>
            </w:pPr>
            <w:r>
              <w:rPr>
                <w:rFonts w:eastAsia="Times New Roman"/>
                <w:sz w:val="20"/>
                <w:szCs w:val="20"/>
              </w:rPr>
              <w:t>Inline XBRL Taxonomy Extension Label Linkbase Document</w:t>
            </w:r>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CCEEFF"/>
            <w:hideMark/>
          </w:tcPr>
          <w:p w:rsidR="00000000" w:rsidRDefault="004E30E9">
            <w:pPr>
              <w:rPr>
                <w:rFonts w:eastAsia="Times New Roman"/>
                <w:sz w:val="20"/>
                <w:szCs w:val="20"/>
              </w:rPr>
            </w:pPr>
            <w:r>
              <w:rPr>
                <w:rFonts w:eastAsia="Times New Roman"/>
                <w:sz w:val="20"/>
                <w:szCs w:val="20"/>
              </w:rPr>
              <w:t>101.PRE</w:t>
            </w:r>
          </w:p>
        </w:tc>
        <w:tc>
          <w:tcPr>
            <w:tcW w:w="2050" w:type="pct"/>
            <w:shd w:val="clear" w:color="auto" w:fill="CCEEFF"/>
            <w:hideMark/>
          </w:tcPr>
          <w:p w:rsidR="00000000" w:rsidRDefault="004E30E9">
            <w:pPr>
              <w:rPr>
                <w:rFonts w:eastAsia="Times New Roman"/>
                <w:sz w:val="20"/>
                <w:szCs w:val="20"/>
              </w:rPr>
            </w:pPr>
            <w:r>
              <w:rPr>
                <w:rFonts w:eastAsia="Times New Roman"/>
                <w:sz w:val="20"/>
                <w:szCs w:val="20"/>
              </w:rPr>
              <w:t>Inline XBRL Taxonomy Extension Presentation Linkbase Document</w:t>
            </w:r>
          </w:p>
        </w:tc>
        <w:tc>
          <w:tcPr>
            <w:tcW w:w="41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5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90"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6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405" w:type="pct"/>
            <w:shd w:val="clear" w:color="auto" w:fill="CCEE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CCEEFF"/>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505" w:type="pct"/>
            <w:shd w:val="clear" w:color="auto" w:fill="FFFFFF"/>
            <w:hideMark/>
          </w:tcPr>
          <w:p w:rsidR="00000000" w:rsidRDefault="004E30E9">
            <w:pPr>
              <w:rPr>
                <w:rFonts w:eastAsia="Times New Roman"/>
                <w:sz w:val="20"/>
                <w:szCs w:val="20"/>
              </w:rPr>
            </w:pPr>
            <w:r>
              <w:rPr>
                <w:rFonts w:eastAsia="Times New Roman"/>
                <w:sz w:val="20"/>
                <w:szCs w:val="20"/>
              </w:rPr>
              <w:t>104</w:t>
            </w:r>
          </w:p>
        </w:tc>
        <w:tc>
          <w:tcPr>
            <w:tcW w:w="2050" w:type="pct"/>
            <w:shd w:val="clear" w:color="auto" w:fill="FFFFFF"/>
            <w:hideMark/>
          </w:tcPr>
          <w:p w:rsidR="00000000" w:rsidRDefault="004E30E9">
            <w:pPr>
              <w:rPr>
                <w:rFonts w:eastAsia="Times New Roman"/>
                <w:sz w:val="20"/>
                <w:szCs w:val="20"/>
              </w:rPr>
            </w:pPr>
            <w:r>
              <w:rPr>
                <w:rFonts w:eastAsia="Times New Roman"/>
                <w:sz w:val="20"/>
                <w:szCs w:val="20"/>
              </w:rPr>
              <w:t>Cover Page Interactive Data File (formatted as Inline XBRL and contained in Exhibit 101)</w:t>
            </w:r>
          </w:p>
        </w:tc>
        <w:tc>
          <w:tcPr>
            <w:tcW w:w="410" w:type="pct"/>
            <w:shd w:val="clear" w:color="auto" w:fill="FFFFFF"/>
            <w:hideMark/>
          </w:tcPr>
          <w:p w:rsidR="00000000" w:rsidRDefault="004E30E9">
            <w:pPr>
              <w:jc w:val="center"/>
              <w:rPr>
                <w:rFonts w:eastAsia="Times New Roman"/>
                <w:sz w:val="20"/>
                <w:szCs w:val="20"/>
              </w:rPr>
            </w:pPr>
            <w:r>
              <w:rPr>
                <w:rFonts w:eastAsia="Times New Roman"/>
                <w:sz w:val="20"/>
                <w:szCs w:val="20"/>
              </w:rPr>
              <w:t> </w:t>
            </w:r>
          </w:p>
        </w:tc>
        <w:tc>
          <w:tcPr>
            <w:tcW w:w="450" w:type="pct"/>
            <w:shd w:val="clear" w:color="auto" w:fill="FFFFFF"/>
            <w:hideMark/>
          </w:tcPr>
          <w:p w:rsidR="00000000" w:rsidRDefault="004E30E9">
            <w:pPr>
              <w:jc w:val="center"/>
              <w:rPr>
                <w:rFonts w:eastAsia="Times New Roman"/>
                <w:sz w:val="20"/>
                <w:szCs w:val="20"/>
              </w:rPr>
            </w:pPr>
            <w:r>
              <w:rPr>
                <w:rFonts w:eastAsia="Times New Roman"/>
                <w:sz w:val="20"/>
                <w:szCs w:val="20"/>
              </w:rPr>
              <w:t> </w:t>
            </w:r>
          </w:p>
        </w:tc>
        <w:tc>
          <w:tcPr>
            <w:tcW w:w="490" w:type="pct"/>
            <w:shd w:val="clear" w:color="auto" w:fill="FFFFFF"/>
            <w:hideMark/>
          </w:tcPr>
          <w:p w:rsidR="00000000" w:rsidRDefault="004E30E9">
            <w:pPr>
              <w:jc w:val="center"/>
              <w:rPr>
                <w:rFonts w:eastAsia="Times New Roman"/>
                <w:sz w:val="20"/>
                <w:szCs w:val="20"/>
              </w:rPr>
            </w:pPr>
            <w:r>
              <w:rPr>
                <w:rFonts w:eastAsia="Times New Roman"/>
                <w:sz w:val="20"/>
                <w:szCs w:val="20"/>
              </w:rPr>
              <w:t> </w:t>
            </w:r>
          </w:p>
        </w:tc>
        <w:tc>
          <w:tcPr>
            <w:tcW w:w="365" w:type="pct"/>
            <w:shd w:val="clear" w:color="auto" w:fill="FFFFFF"/>
            <w:hideMark/>
          </w:tcPr>
          <w:p w:rsidR="00000000" w:rsidRDefault="004E30E9">
            <w:pPr>
              <w:jc w:val="center"/>
              <w:rPr>
                <w:rFonts w:eastAsia="Times New Roman"/>
                <w:sz w:val="20"/>
                <w:szCs w:val="20"/>
              </w:rPr>
            </w:pPr>
            <w:r>
              <w:rPr>
                <w:rFonts w:eastAsia="Times New Roman"/>
                <w:sz w:val="20"/>
                <w:szCs w:val="20"/>
              </w:rPr>
              <w:t> </w:t>
            </w:r>
          </w:p>
        </w:tc>
        <w:tc>
          <w:tcPr>
            <w:tcW w:w="405" w:type="pct"/>
            <w:shd w:val="clear" w:color="auto" w:fill="FFFFFF"/>
            <w:hideMark/>
          </w:tcPr>
          <w:p w:rsidR="00000000" w:rsidRDefault="004E30E9">
            <w:pPr>
              <w:jc w:val="center"/>
              <w:rPr>
                <w:rFonts w:eastAsia="Times New Roman"/>
                <w:sz w:val="20"/>
                <w:szCs w:val="20"/>
              </w:rPr>
            </w:pPr>
            <w:r>
              <w:rPr>
                <w:rFonts w:eastAsia="Times New Roman"/>
                <w:sz w:val="20"/>
                <w:szCs w:val="20"/>
              </w:rPr>
              <w:t>*</w:t>
            </w:r>
          </w:p>
        </w:tc>
        <w:tc>
          <w:tcPr>
            <w:tcW w:w="325" w:type="pct"/>
            <w:shd w:val="clear" w:color="auto" w:fill="FFFFFF"/>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rPr>
        <w:t>* Filed herewith</w:t>
      </w:r>
    </w:p>
    <w:p w:rsidR="00000000" w:rsidRDefault="004E30E9">
      <w:pPr>
        <w:pStyle w:val="a3"/>
        <w:spacing w:before="0" w:beforeAutospacing="0" w:after="0" w:afterAutospacing="0"/>
        <w:rPr>
          <w:sz w:val="20"/>
          <w:szCs w:val="20"/>
        </w:rPr>
      </w:pPr>
      <w:r>
        <w:rPr>
          <w:sz w:val="20"/>
          <w:szCs w:val="20"/>
        </w:rPr>
        <w:t>** Furnished herewith</w:t>
      </w:r>
    </w:p>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1783262053"/>
        <w:rPr>
          <w:rFonts w:eastAsia="Times New Roman"/>
          <w:sz w:val="20"/>
          <w:szCs w:val="20"/>
        </w:rPr>
      </w:pPr>
      <w:r>
        <w:rPr>
          <w:rFonts w:eastAsia="Times New Roman"/>
          <w:sz w:val="20"/>
          <w:szCs w:val="20"/>
        </w:rPr>
        <w:t xml:space="preserve">47 </w:t>
      </w:r>
    </w:p>
    <w:p w:rsidR="00000000" w:rsidRDefault="004E30E9">
      <w:pPr>
        <w:divId w:val="2018926137"/>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4E30E9">
      <w:pPr>
        <w:divId w:val="74757995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b/>
          <w:bCs/>
          <w:sz w:val="20"/>
          <w:szCs w:val="20"/>
          <w:u w:val="single"/>
        </w:rPr>
        <w:t>SIGNATURES</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p w:rsidR="00000000" w:rsidRDefault="004E30E9">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39"/>
        <w:gridCol w:w="289"/>
        <w:gridCol w:w="2894"/>
        <w:gridCol w:w="984"/>
      </w:tblGrid>
      <w:tr w:rsidR="00000000">
        <w:trPr>
          <w:tblCellSpacing w:w="0" w:type="dxa"/>
        </w:trPr>
        <w:tc>
          <w:tcPr>
            <w:tcW w:w="2500" w:type="pct"/>
            <w:hideMark/>
          </w:tcPr>
          <w:p w:rsidR="00000000" w:rsidRDefault="004E30E9">
            <w:pPr>
              <w:pStyle w:val="a3"/>
              <w:spacing w:before="0" w:beforeAutospacing="0" w:after="0" w:afterAutospacing="0"/>
              <w:rPr>
                <w:sz w:val="20"/>
                <w:szCs w:val="20"/>
              </w:rPr>
            </w:pPr>
            <w:r>
              <w:rPr>
                <w:sz w:val="20"/>
                <w:szCs w:val="20"/>
              </w:rPr>
              <w:t> </w:t>
            </w:r>
          </w:p>
        </w:tc>
        <w:tc>
          <w:tcPr>
            <w:tcW w:w="1900" w:type="pct"/>
            <w:gridSpan w:val="2"/>
            <w:hideMark/>
          </w:tcPr>
          <w:p w:rsidR="00000000" w:rsidRDefault="004E30E9">
            <w:pPr>
              <w:pStyle w:val="a3"/>
              <w:spacing w:before="0" w:beforeAutospacing="0" w:after="0" w:afterAutospacing="0"/>
              <w:rPr>
                <w:sz w:val="20"/>
                <w:szCs w:val="20"/>
              </w:rPr>
            </w:pPr>
            <w:r>
              <w:rPr>
                <w:sz w:val="20"/>
                <w:szCs w:val="20"/>
              </w:rPr>
              <w:t>KIMCO REALTY CORPORATION</w:t>
            </w:r>
          </w:p>
        </w:tc>
        <w:tc>
          <w:tcPr>
            <w:tcW w:w="600" w:type="pct"/>
            <w:hideMark/>
          </w:tcPr>
          <w:p w:rsidR="00000000" w:rsidRDefault="004E30E9">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4E30E9">
            <w:pPr>
              <w:pStyle w:val="a3"/>
              <w:spacing w:before="0" w:beforeAutospacing="0" w:after="0" w:afterAutospacing="0"/>
              <w:rPr>
                <w:sz w:val="20"/>
                <w:szCs w:val="20"/>
              </w:rPr>
            </w:pPr>
            <w:r>
              <w:rPr>
                <w:sz w:val="20"/>
                <w:szCs w:val="20"/>
              </w:rPr>
              <w:t> </w:t>
            </w:r>
          </w:p>
        </w:tc>
        <w:tc>
          <w:tcPr>
            <w:tcW w:w="150" w:type="pct"/>
            <w:hideMark/>
          </w:tcPr>
          <w:p w:rsidR="00000000" w:rsidRDefault="004E30E9">
            <w:pPr>
              <w:pStyle w:val="a3"/>
              <w:spacing w:before="0" w:beforeAutospacing="0" w:after="0" w:afterAutospacing="0"/>
              <w:rPr>
                <w:sz w:val="20"/>
                <w:szCs w:val="20"/>
              </w:rPr>
            </w:pPr>
            <w:r>
              <w:rPr>
                <w:sz w:val="20"/>
                <w:szCs w:val="20"/>
              </w:rPr>
              <w:t> </w:t>
            </w:r>
          </w:p>
        </w:tc>
        <w:tc>
          <w:tcPr>
            <w:tcW w:w="1750" w:type="pct"/>
            <w:hideMark/>
          </w:tcPr>
          <w:p w:rsidR="00000000" w:rsidRDefault="004E30E9">
            <w:pPr>
              <w:pStyle w:val="a3"/>
              <w:spacing w:before="0" w:beforeAutospacing="0" w:after="0" w:afterAutospacing="0"/>
              <w:rPr>
                <w:sz w:val="20"/>
                <w:szCs w:val="20"/>
              </w:rPr>
            </w:pPr>
            <w:r>
              <w:rPr>
                <w:sz w:val="20"/>
                <w:szCs w:val="20"/>
              </w:rPr>
              <w:t> </w:t>
            </w:r>
          </w:p>
        </w:tc>
        <w:tc>
          <w:tcPr>
            <w:tcW w:w="600" w:type="pct"/>
            <w:hideMark/>
          </w:tcPr>
          <w:p w:rsidR="00000000" w:rsidRDefault="004E30E9">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4E30E9">
            <w:pPr>
              <w:pStyle w:val="a3"/>
              <w:spacing w:before="0" w:beforeAutospacing="0" w:after="0" w:afterAutospacing="0"/>
              <w:rPr>
                <w:sz w:val="20"/>
                <w:szCs w:val="20"/>
              </w:rPr>
            </w:pPr>
            <w:r>
              <w:rPr>
                <w:sz w:val="20"/>
                <w:szCs w:val="20"/>
              </w:rPr>
              <w:t> </w:t>
            </w:r>
          </w:p>
        </w:tc>
        <w:tc>
          <w:tcPr>
            <w:tcW w:w="150" w:type="pct"/>
            <w:hideMark/>
          </w:tcPr>
          <w:p w:rsidR="00000000" w:rsidRDefault="004E30E9">
            <w:pPr>
              <w:pStyle w:val="a3"/>
              <w:spacing w:before="0" w:beforeAutospacing="0" w:after="0" w:afterAutospacing="0"/>
              <w:rPr>
                <w:sz w:val="20"/>
                <w:szCs w:val="20"/>
              </w:rPr>
            </w:pPr>
            <w:r>
              <w:rPr>
                <w:sz w:val="20"/>
                <w:szCs w:val="20"/>
              </w:rPr>
              <w:t> </w:t>
            </w:r>
          </w:p>
        </w:tc>
        <w:tc>
          <w:tcPr>
            <w:tcW w:w="1750" w:type="pct"/>
            <w:vAlign w:val="bottom"/>
            <w:hideMark/>
          </w:tcPr>
          <w:p w:rsidR="00000000" w:rsidRDefault="004E30E9">
            <w:pPr>
              <w:pStyle w:val="a3"/>
              <w:spacing w:before="0" w:beforeAutospacing="0" w:after="0" w:afterAutospacing="0"/>
              <w:rPr>
                <w:sz w:val="20"/>
                <w:szCs w:val="20"/>
              </w:rPr>
            </w:pPr>
            <w:r>
              <w:rPr>
                <w:sz w:val="20"/>
                <w:szCs w:val="20"/>
              </w:rPr>
              <w:t> </w:t>
            </w:r>
          </w:p>
        </w:tc>
        <w:tc>
          <w:tcPr>
            <w:tcW w:w="600" w:type="pct"/>
            <w:hideMark/>
          </w:tcPr>
          <w:p w:rsidR="00000000" w:rsidRDefault="004E30E9">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4E30E9">
            <w:pPr>
              <w:pStyle w:val="a3"/>
              <w:spacing w:before="0" w:beforeAutospacing="0" w:after="0" w:afterAutospacing="0"/>
              <w:rPr>
                <w:sz w:val="20"/>
                <w:szCs w:val="20"/>
              </w:rPr>
            </w:pPr>
            <w:r>
              <w:rPr>
                <w:sz w:val="20"/>
                <w:szCs w:val="20"/>
              </w:rPr>
              <w:t> </w:t>
            </w:r>
          </w:p>
        </w:tc>
        <w:tc>
          <w:tcPr>
            <w:tcW w:w="0" w:type="auto"/>
            <w:hideMark/>
          </w:tcPr>
          <w:p w:rsidR="00000000" w:rsidRDefault="004E30E9">
            <w:pPr>
              <w:pStyle w:val="a3"/>
              <w:spacing w:before="0" w:beforeAutospacing="0" w:after="0" w:afterAutospacing="0"/>
              <w:rPr>
                <w:sz w:val="20"/>
                <w:szCs w:val="20"/>
              </w:rPr>
            </w:pPr>
            <w:r>
              <w:rPr>
                <w:sz w:val="20"/>
                <w:szCs w:val="20"/>
              </w:rPr>
              <w:t xml:space="preserve">By: </w:t>
            </w:r>
          </w:p>
        </w:tc>
        <w:tc>
          <w:tcPr>
            <w:tcW w:w="1750" w:type="pct"/>
            <w:tcBorders>
              <w:bottom w:val="single" w:sz="6" w:space="0" w:color="000000"/>
            </w:tcBorders>
            <w:hideMark/>
          </w:tcPr>
          <w:p w:rsidR="00000000" w:rsidRDefault="004E30E9">
            <w:pPr>
              <w:rPr>
                <w:rFonts w:eastAsia="Times New Roman"/>
                <w:sz w:val="20"/>
                <w:szCs w:val="20"/>
              </w:rPr>
            </w:pPr>
            <w:r>
              <w:rPr>
                <w:rFonts w:eastAsia="Times New Roman"/>
                <w:sz w:val="20"/>
                <w:szCs w:val="20"/>
              </w:rPr>
              <w:t>/s/ Conor C. Flynn</w:t>
            </w:r>
          </w:p>
        </w:tc>
        <w:tc>
          <w:tcPr>
            <w:tcW w:w="600" w:type="pct"/>
            <w:hideMark/>
          </w:tcPr>
          <w:p w:rsidR="00000000" w:rsidRDefault="004E30E9">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4E30E9">
            <w:pPr>
              <w:pStyle w:val="a3"/>
              <w:spacing w:before="0" w:beforeAutospacing="0" w:after="0" w:afterAutospacing="0"/>
              <w:rPr>
                <w:sz w:val="20"/>
                <w:szCs w:val="20"/>
              </w:rPr>
            </w:pPr>
            <w:r>
              <w:rPr>
                <w:sz w:val="20"/>
                <w:szCs w:val="20"/>
              </w:rPr>
              <w:t> </w:t>
            </w:r>
          </w:p>
        </w:tc>
        <w:tc>
          <w:tcPr>
            <w:tcW w:w="150" w:type="pct"/>
            <w:gridSpan w:val="2"/>
            <w:hideMark/>
          </w:tcPr>
          <w:p w:rsidR="00000000" w:rsidRDefault="004E30E9">
            <w:pPr>
              <w:rPr>
                <w:rFonts w:eastAsia="Times New Roman"/>
                <w:sz w:val="20"/>
                <w:szCs w:val="20"/>
              </w:rPr>
            </w:pPr>
            <w:r>
              <w:rPr>
                <w:rFonts w:eastAsia="Times New Roman"/>
                <w:sz w:val="20"/>
                <w:szCs w:val="20"/>
              </w:rPr>
              <w:t>Conor C. Flynn</w:t>
            </w:r>
          </w:p>
        </w:tc>
        <w:tc>
          <w:tcPr>
            <w:tcW w:w="600" w:type="pct"/>
            <w:hideMark/>
          </w:tcPr>
          <w:p w:rsidR="00000000" w:rsidRDefault="004E30E9">
            <w:pPr>
              <w:pStyle w:val="a3"/>
              <w:spacing w:before="0" w:beforeAutospacing="0" w:after="0" w:afterAutospacing="0"/>
              <w:rPr>
                <w:sz w:val="20"/>
                <w:szCs w:val="20"/>
              </w:rPr>
            </w:pPr>
            <w:r>
              <w:rPr>
                <w:sz w:val="20"/>
                <w:szCs w:val="20"/>
              </w:rPr>
              <w:t> </w:t>
            </w:r>
          </w:p>
        </w:tc>
      </w:tr>
      <w:tr w:rsidR="00000000">
        <w:trPr>
          <w:tblCellSpacing w:w="0" w:type="dxa"/>
        </w:trPr>
        <w:tc>
          <w:tcPr>
            <w:tcW w:w="2500" w:type="pct"/>
            <w:hideMark/>
          </w:tcPr>
          <w:p w:rsidR="00000000" w:rsidRDefault="004E30E9">
            <w:pPr>
              <w:pStyle w:val="a3"/>
              <w:spacing w:before="0" w:beforeAutospacing="0" w:after="0" w:afterAutospacing="0"/>
              <w:rPr>
                <w:sz w:val="20"/>
                <w:szCs w:val="20"/>
              </w:rPr>
            </w:pPr>
            <w:r>
              <w:rPr>
                <w:sz w:val="20"/>
                <w:szCs w:val="20"/>
              </w:rPr>
              <w:t> </w:t>
            </w:r>
          </w:p>
        </w:tc>
        <w:tc>
          <w:tcPr>
            <w:tcW w:w="150" w:type="pct"/>
            <w:gridSpan w:val="2"/>
            <w:hideMark/>
          </w:tcPr>
          <w:p w:rsidR="00000000" w:rsidRDefault="004E30E9">
            <w:pPr>
              <w:rPr>
                <w:rFonts w:eastAsia="Times New Roman"/>
                <w:sz w:val="20"/>
                <w:szCs w:val="20"/>
              </w:rPr>
            </w:pPr>
            <w:r>
              <w:rPr>
                <w:rFonts w:eastAsia="Times New Roman"/>
                <w:sz w:val="20"/>
                <w:szCs w:val="20"/>
              </w:rPr>
              <w:t>Chief Executive Officer</w:t>
            </w:r>
          </w:p>
        </w:tc>
        <w:tc>
          <w:tcPr>
            <w:tcW w:w="600" w:type="pct"/>
            <w:hideMark/>
          </w:tcPr>
          <w:p w:rsidR="00000000" w:rsidRDefault="004E30E9">
            <w:pPr>
              <w:pStyle w:val="a3"/>
              <w:spacing w:before="0" w:beforeAutospacing="0" w:after="0" w:afterAutospacing="0"/>
              <w:rPr>
                <w:sz w:val="20"/>
                <w:szCs w:val="20"/>
              </w:rPr>
            </w:pPr>
            <w:r>
              <w:rPr>
                <w:sz w:val="20"/>
                <w:szCs w:val="20"/>
              </w:rPr>
              <w:t> </w:t>
            </w:r>
          </w:p>
        </w:tc>
      </w:tr>
    </w:tbl>
    <w:p w:rsidR="00000000" w:rsidRDefault="004E30E9">
      <w:pPr>
        <w:pStyle w:val="a3"/>
        <w:spacing w:before="0" w:beforeAutospacing="0" w:after="0" w:afterAutospacing="0"/>
        <w:ind w:left="4680" w:firstLine="360"/>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rPr>
        <w:t>Dated:     February 23, 2021</w:t>
      </w:r>
    </w:p>
    <w:p w:rsidR="00000000" w:rsidRDefault="004E30E9">
      <w:pPr>
        <w:pStyle w:val="a3"/>
        <w:spacing w:before="0" w:beforeAutospacing="0" w:after="0" w:afterAutospacing="0"/>
        <w:ind w:firstLine="360"/>
        <w:rPr>
          <w:sz w:val="20"/>
          <w:szCs w:val="20"/>
        </w:rPr>
      </w:pPr>
      <w:r>
        <w:rPr>
          <w:sz w:val="20"/>
          <w:szCs w:val="20"/>
        </w:rPr>
        <w:t> </w:t>
      </w:r>
    </w:p>
    <w:p w:rsidR="00000000" w:rsidRDefault="004E30E9">
      <w:pPr>
        <w:pStyle w:val="a3"/>
        <w:spacing w:before="0" w:beforeAutospacing="0" w:after="0" w:afterAutospacing="0"/>
        <w:ind w:firstLine="360"/>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4E30E9">
      <w:pPr>
        <w:pStyle w:val="a3"/>
        <w:spacing w:before="0" w:beforeAutospacing="0" w:after="0" w:afterAutospacing="0"/>
        <w:ind w:firstLine="360"/>
        <w:rPr>
          <w:sz w:val="20"/>
          <w:szCs w:val="20"/>
        </w:rPr>
      </w:pPr>
      <w:r>
        <w:rPr>
          <w:sz w:val="20"/>
          <w:szCs w:val="20"/>
        </w:rPr>
        <w:t> </w:t>
      </w:r>
    </w:p>
    <w:tbl>
      <w:tblPr>
        <w:tblW w:w="4760" w:type="pct"/>
        <w:tblCellSpacing w:w="0" w:type="dxa"/>
        <w:tblCellMar>
          <w:left w:w="0" w:type="dxa"/>
          <w:right w:w="0" w:type="dxa"/>
        </w:tblCellMar>
        <w:tblLook w:val="04A0" w:firstRow="1" w:lastRow="0" w:firstColumn="1" w:lastColumn="0" w:noHBand="0" w:noVBand="1"/>
      </w:tblPr>
      <w:tblGrid>
        <w:gridCol w:w="2301"/>
        <w:gridCol w:w="261"/>
        <w:gridCol w:w="3542"/>
        <w:gridCol w:w="1803"/>
      </w:tblGrid>
      <w:tr w:rsidR="00000000">
        <w:trPr>
          <w:tblCellSpacing w:w="0" w:type="dxa"/>
        </w:trPr>
        <w:tc>
          <w:tcPr>
            <w:tcW w:w="1455" w:type="pct"/>
            <w:hideMark/>
          </w:tcPr>
          <w:p w:rsidR="00000000" w:rsidRDefault="004E30E9">
            <w:pPr>
              <w:pStyle w:val="a3"/>
              <w:spacing w:before="0" w:beforeAutospacing="0" w:after="0" w:afterAutospacing="0"/>
              <w:ind w:right="240" w:firstLine="360"/>
              <w:rPr>
                <w:sz w:val="20"/>
                <w:szCs w:val="20"/>
              </w:rPr>
            </w:pPr>
            <w:r>
              <w:rPr>
                <w:sz w:val="20"/>
                <w:szCs w:val="20"/>
                <w:u w:val="single"/>
              </w:rPr>
              <w:t>Signature</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u w:val="single"/>
              </w:rPr>
              <w:t>Title</w:t>
            </w:r>
          </w:p>
        </w:tc>
        <w:tc>
          <w:tcPr>
            <w:tcW w:w="1140" w:type="pct"/>
            <w:hideMark/>
          </w:tcPr>
          <w:p w:rsidR="00000000" w:rsidRDefault="004E30E9">
            <w:pPr>
              <w:pStyle w:val="a3"/>
              <w:spacing w:before="0" w:beforeAutospacing="0" w:after="0" w:afterAutospacing="0"/>
              <w:ind w:right="240" w:firstLine="360"/>
              <w:rPr>
                <w:sz w:val="20"/>
                <w:szCs w:val="20"/>
              </w:rPr>
            </w:pPr>
            <w:r>
              <w:rPr>
                <w:sz w:val="20"/>
                <w:szCs w:val="20"/>
                <w:u w:val="single"/>
              </w:rPr>
              <w:t>Date</w:t>
            </w:r>
          </w:p>
        </w:tc>
      </w:tr>
      <w:tr w:rsidR="00000000">
        <w:trPr>
          <w:tblCellSpacing w:w="0" w:type="dxa"/>
        </w:trPr>
        <w:tc>
          <w:tcPr>
            <w:tcW w:w="1455" w:type="pct"/>
            <w:hideMark/>
          </w:tcPr>
          <w:p w:rsidR="00000000" w:rsidRDefault="004E30E9">
            <w:pPr>
              <w:rPr>
                <w:rFonts w:eastAsia="Times New Roman"/>
                <w:sz w:val="20"/>
                <w:szCs w:val="20"/>
              </w:rPr>
            </w:pPr>
            <w:r>
              <w:rPr>
                <w:rFonts w:eastAsia="Times New Roman"/>
                <w:sz w:val="20"/>
                <w:szCs w:val="20"/>
              </w:rPr>
              <w:t> </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tcBorders>
              <w:bottom w:val="single" w:sz="6" w:space="0" w:color="000000"/>
            </w:tcBorders>
            <w:hideMark/>
          </w:tcPr>
          <w:p w:rsidR="00000000" w:rsidRDefault="004E30E9">
            <w:pPr>
              <w:pStyle w:val="a3"/>
              <w:spacing w:before="0" w:beforeAutospacing="0" w:after="0" w:afterAutospacing="0"/>
              <w:ind w:right="240" w:firstLine="360"/>
              <w:rPr>
                <w:sz w:val="20"/>
                <w:szCs w:val="20"/>
              </w:rPr>
            </w:pPr>
            <w:r>
              <w:rPr>
                <w:sz w:val="20"/>
                <w:szCs w:val="20"/>
              </w:rPr>
              <w:t>/s/ Milton Cooper</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Executive Chairman of the Board of Directors</w:t>
            </w:r>
          </w:p>
        </w:tc>
        <w:tc>
          <w:tcPr>
            <w:tcW w:w="1140" w:type="pct"/>
            <w:hideMark/>
          </w:tcPr>
          <w:p w:rsidR="00000000" w:rsidRDefault="004E30E9">
            <w:pPr>
              <w:pStyle w:val="a3"/>
              <w:spacing w:before="0" w:beforeAutospacing="0" w:after="0" w:afterAutospacing="0"/>
              <w:ind w:firstLine="360"/>
              <w:rPr>
                <w:sz w:val="20"/>
                <w:szCs w:val="20"/>
              </w:rPr>
            </w:pPr>
            <w:r>
              <w:rPr>
                <w:sz w:val="20"/>
                <w:szCs w:val="20"/>
              </w:rPr>
              <w:t>February 23, 2021</w:t>
            </w:r>
          </w:p>
        </w:tc>
      </w:tr>
      <w:tr w:rsidR="00000000">
        <w:trPr>
          <w:tblCellSpacing w:w="0" w:type="dxa"/>
        </w:trPr>
        <w:tc>
          <w:tcPr>
            <w:tcW w:w="1455" w:type="pct"/>
            <w:tcBorders>
              <w:bottom w:val="nil"/>
            </w:tcBorders>
            <w:hideMark/>
          </w:tcPr>
          <w:p w:rsidR="00000000" w:rsidRDefault="004E30E9">
            <w:pPr>
              <w:pStyle w:val="a3"/>
              <w:spacing w:before="0" w:beforeAutospacing="0" w:after="0" w:afterAutospacing="0"/>
              <w:ind w:right="240" w:firstLine="360"/>
              <w:rPr>
                <w:sz w:val="20"/>
                <w:szCs w:val="20"/>
              </w:rPr>
            </w:pPr>
            <w:r>
              <w:rPr>
                <w:sz w:val="20"/>
                <w:szCs w:val="20"/>
              </w:rPr>
              <w:t>Milton Cooper</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hideMark/>
          </w:tcPr>
          <w:p w:rsidR="00000000" w:rsidRDefault="004E30E9">
            <w:pPr>
              <w:rPr>
                <w:rFonts w:eastAsia="Times New Roman"/>
                <w:sz w:val="20"/>
                <w:szCs w:val="20"/>
              </w:rPr>
            </w:pPr>
            <w:r>
              <w:rPr>
                <w:rFonts w:eastAsia="Times New Roman"/>
                <w:sz w:val="20"/>
                <w:szCs w:val="20"/>
              </w:rPr>
              <w:t> </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tcBorders>
              <w:bottom w:val="single" w:sz="6" w:space="0" w:color="000000"/>
            </w:tcBorders>
            <w:hideMark/>
          </w:tcPr>
          <w:p w:rsidR="00000000" w:rsidRDefault="004E30E9">
            <w:pPr>
              <w:pStyle w:val="a3"/>
              <w:spacing w:before="0" w:beforeAutospacing="0" w:after="0" w:afterAutospacing="0"/>
              <w:ind w:right="240" w:firstLine="360"/>
              <w:rPr>
                <w:sz w:val="20"/>
                <w:szCs w:val="20"/>
              </w:rPr>
            </w:pPr>
            <w:r>
              <w:rPr>
                <w:sz w:val="20"/>
                <w:szCs w:val="20"/>
              </w:rPr>
              <w:t>/s/ Conor C. Flynn</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left="360" w:right="240" w:firstLine="9"/>
              <w:rPr>
                <w:sz w:val="20"/>
                <w:szCs w:val="20"/>
              </w:rPr>
            </w:pPr>
            <w:r>
              <w:rPr>
                <w:sz w:val="20"/>
                <w:szCs w:val="20"/>
              </w:rPr>
              <w:t>Chief Executive Officer and Director</w:t>
            </w:r>
          </w:p>
        </w:tc>
        <w:tc>
          <w:tcPr>
            <w:tcW w:w="1140" w:type="pct"/>
            <w:hideMark/>
          </w:tcPr>
          <w:p w:rsidR="00000000" w:rsidRDefault="004E30E9">
            <w:pPr>
              <w:pStyle w:val="a3"/>
              <w:spacing w:before="0" w:beforeAutospacing="0" w:after="0" w:afterAutospacing="0"/>
              <w:ind w:firstLine="360"/>
              <w:rPr>
                <w:sz w:val="20"/>
                <w:szCs w:val="20"/>
              </w:rPr>
            </w:pPr>
            <w:r>
              <w:rPr>
                <w:sz w:val="20"/>
                <w:szCs w:val="20"/>
              </w:rPr>
              <w:t>February 23, 2021</w:t>
            </w:r>
          </w:p>
        </w:tc>
      </w:tr>
      <w:tr w:rsidR="00000000">
        <w:trPr>
          <w:tblCellSpacing w:w="0" w:type="dxa"/>
        </w:trPr>
        <w:tc>
          <w:tcPr>
            <w:tcW w:w="1455" w:type="pct"/>
            <w:tcBorders>
              <w:bottom w:val="nil"/>
            </w:tcBorders>
            <w:hideMark/>
          </w:tcPr>
          <w:p w:rsidR="00000000" w:rsidRDefault="004E30E9">
            <w:pPr>
              <w:pStyle w:val="a3"/>
              <w:spacing w:before="0" w:beforeAutospacing="0" w:after="0" w:afterAutospacing="0"/>
              <w:ind w:right="240" w:firstLine="360"/>
              <w:rPr>
                <w:sz w:val="20"/>
                <w:szCs w:val="20"/>
              </w:rPr>
            </w:pPr>
            <w:r>
              <w:rPr>
                <w:sz w:val="20"/>
                <w:szCs w:val="20"/>
              </w:rPr>
              <w:t>Conor C. Flynn</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hideMark/>
          </w:tcPr>
          <w:p w:rsidR="00000000" w:rsidRDefault="004E30E9">
            <w:pPr>
              <w:rPr>
                <w:rFonts w:eastAsia="Times New Roman"/>
                <w:sz w:val="20"/>
                <w:szCs w:val="20"/>
              </w:rPr>
            </w:pPr>
            <w:r>
              <w:rPr>
                <w:rFonts w:eastAsia="Times New Roman"/>
                <w:sz w:val="20"/>
                <w:szCs w:val="20"/>
              </w:rPr>
              <w:t> </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tcBorders>
              <w:bottom w:val="single" w:sz="6" w:space="0" w:color="000000"/>
            </w:tcBorders>
            <w:hideMark/>
          </w:tcPr>
          <w:p w:rsidR="00000000" w:rsidRDefault="004E30E9">
            <w:pPr>
              <w:pStyle w:val="a3"/>
              <w:spacing w:before="0" w:beforeAutospacing="0" w:after="0" w:afterAutospacing="0"/>
              <w:ind w:right="240" w:firstLine="360"/>
              <w:rPr>
                <w:sz w:val="20"/>
                <w:szCs w:val="20"/>
              </w:rPr>
            </w:pPr>
            <w:r>
              <w:rPr>
                <w:sz w:val="20"/>
                <w:szCs w:val="20"/>
              </w:rPr>
              <w:t>/s/ Frank Lourenso</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Director</w:t>
            </w:r>
          </w:p>
        </w:tc>
        <w:tc>
          <w:tcPr>
            <w:tcW w:w="1140" w:type="pct"/>
            <w:hideMark/>
          </w:tcPr>
          <w:p w:rsidR="00000000" w:rsidRDefault="004E30E9">
            <w:pPr>
              <w:pStyle w:val="a3"/>
              <w:spacing w:before="0" w:beforeAutospacing="0" w:after="0" w:afterAutospacing="0"/>
              <w:ind w:firstLine="360"/>
              <w:rPr>
                <w:sz w:val="20"/>
                <w:szCs w:val="20"/>
              </w:rPr>
            </w:pPr>
            <w:r>
              <w:rPr>
                <w:sz w:val="20"/>
                <w:szCs w:val="20"/>
              </w:rPr>
              <w:t>February 23, 2021</w:t>
            </w:r>
          </w:p>
        </w:tc>
      </w:tr>
      <w:tr w:rsidR="00000000">
        <w:trPr>
          <w:tblCellSpacing w:w="0" w:type="dxa"/>
        </w:trPr>
        <w:tc>
          <w:tcPr>
            <w:tcW w:w="1455" w:type="pct"/>
            <w:tcBorders>
              <w:bottom w:val="nil"/>
            </w:tcBorders>
            <w:hideMark/>
          </w:tcPr>
          <w:p w:rsidR="00000000" w:rsidRDefault="004E30E9">
            <w:pPr>
              <w:pStyle w:val="a3"/>
              <w:spacing w:before="0" w:beforeAutospacing="0" w:after="0" w:afterAutospacing="0"/>
              <w:ind w:right="240" w:firstLine="360"/>
              <w:rPr>
                <w:sz w:val="20"/>
                <w:szCs w:val="20"/>
              </w:rPr>
            </w:pPr>
            <w:r>
              <w:rPr>
                <w:sz w:val="20"/>
                <w:szCs w:val="20"/>
              </w:rPr>
              <w:t>Frank Lourenso</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hideMark/>
          </w:tcPr>
          <w:p w:rsidR="00000000" w:rsidRDefault="004E30E9">
            <w:pPr>
              <w:rPr>
                <w:rFonts w:eastAsia="Times New Roman"/>
                <w:sz w:val="20"/>
                <w:szCs w:val="20"/>
              </w:rPr>
            </w:pPr>
            <w:r>
              <w:rPr>
                <w:rFonts w:eastAsia="Times New Roman"/>
                <w:sz w:val="20"/>
                <w:szCs w:val="20"/>
              </w:rPr>
              <w:t> </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tcBorders>
              <w:bottom w:val="single" w:sz="6" w:space="0" w:color="000000"/>
            </w:tcBorders>
            <w:hideMark/>
          </w:tcPr>
          <w:p w:rsidR="00000000" w:rsidRDefault="004E30E9">
            <w:pPr>
              <w:pStyle w:val="a3"/>
              <w:spacing w:before="0" w:beforeAutospacing="0" w:after="0" w:afterAutospacing="0"/>
              <w:ind w:right="240" w:firstLine="360"/>
              <w:rPr>
                <w:sz w:val="20"/>
                <w:szCs w:val="20"/>
              </w:rPr>
            </w:pPr>
            <w:r>
              <w:rPr>
                <w:sz w:val="20"/>
                <w:szCs w:val="20"/>
              </w:rPr>
              <w:t>/s/ Richard Saltzman</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Director</w:t>
            </w:r>
          </w:p>
        </w:tc>
        <w:tc>
          <w:tcPr>
            <w:tcW w:w="1140" w:type="pct"/>
            <w:hideMark/>
          </w:tcPr>
          <w:p w:rsidR="00000000" w:rsidRDefault="004E30E9">
            <w:pPr>
              <w:pStyle w:val="a3"/>
              <w:spacing w:before="0" w:beforeAutospacing="0" w:after="0" w:afterAutospacing="0"/>
              <w:ind w:firstLine="360"/>
              <w:rPr>
                <w:sz w:val="20"/>
                <w:szCs w:val="20"/>
              </w:rPr>
            </w:pPr>
            <w:r>
              <w:rPr>
                <w:sz w:val="20"/>
                <w:szCs w:val="20"/>
              </w:rPr>
              <w:t>February 23, 2021</w:t>
            </w:r>
          </w:p>
        </w:tc>
      </w:tr>
      <w:tr w:rsidR="00000000">
        <w:trPr>
          <w:tblCellSpacing w:w="0" w:type="dxa"/>
        </w:trPr>
        <w:tc>
          <w:tcPr>
            <w:tcW w:w="1455" w:type="pct"/>
            <w:tcBorders>
              <w:bottom w:val="nil"/>
            </w:tcBorders>
            <w:hideMark/>
          </w:tcPr>
          <w:p w:rsidR="00000000" w:rsidRDefault="004E30E9">
            <w:pPr>
              <w:pStyle w:val="a3"/>
              <w:spacing w:before="0" w:beforeAutospacing="0" w:after="0" w:afterAutospacing="0"/>
              <w:ind w:right="240" w:firstLine="360"/>
              <w:rPr>
                <w:sz w:val="20"/>
                <w:szCs w:val="20"/>
              </w:rPr>
            </w:pPr>
            <w:r>
              <w:rPr>
                <w:sz w:val="20"/>
                <w:szCs w:val="20"/>
              </w:rPr>
              <w:t>Richard Saltzman</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hideMark/>
          </w:tcPr>
          <w:p w:rsidR="00000000" w:rsidRDefault="004E30E9">
            <w:pPr>
              <w:rPr>
                <w:rFonts w:eastAsia="Times New Roman"/>
                <w:sz w:val="20"/>
                <w:szCs w:val="20"/>
              </w:rPr>
            </w:pPr>
            <w:r>
              <w:rPr>
                <w:rFonts w:eastAsia="Times New Roman"/>
                <w:sz w:val="20"/>
                <w:szCs w:val="20"/>
              </w:rPr>
              <w:t> </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tcBorders>
              <w:bottom w:val="single" w:sz="6" w:space="0" w:color="000000"/>
            </w:tcBorders>
            <w:hideMark/>
          </w:tcPr>
          <w:p w:rsidR="00000000" w:rsidRDefault="004E30E9">
            <w:pPr>
              <w:pStyle w:val="a3"/>
              <w:spacing w:before="0" w:beforeAutospacing="0" w:after="0" w:afterAutospacing="0"/>
              <w:ind w:right="240" w:firstLine="360"/>
              <w:rPr>
                <w:sz w:val="20"/>
                <w:szCs w:val="20"/>
              </w:rPr>
            </w:pPr>
            <w:r>
              <w:rPr>
                <w:sz w:val="20"/>
                <w:szCs w:val="20"/>
              </w:rPr>
              <w:t>/s/ Philip Coviello</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Director</w:t>
            </w:r>
          </w:p>
        </w:tc>
        <w:tc>
          <w:tcPr>
            <w:tcW w:w="1140" w:type="pct"/>
            <w:hideMark/>
          </w:tcPr>
          <w:p w:rsidR="00000000" w:rsidRDefault="004E30E9">
            <w:pPr>
              <w:pStyle w:val="a3"/>
              <w:spacing w:before="0" w:beforeAutospacing="0" w:after="0" w:afterAutospacing="0"/>
              <w:ind w:firstLine="360"/>
              <w:rPr>
                <w:sz w:val="20"/>
                <w:szCs w:val="20"/>
              </w:rPr>
            </w:pPr>
            <w:r>
              <w:rPr>
                <w:sz w:val="20"/>
                <w:szCs w:val="20"/>
              </w:rPr>
              <w:t>February 23, 2021</w:t>
            </w:r>
          </w:p>
        </w:tc>
      </w:tr>
      <w:tr w:rsidR="00000000">
        <w:trPr>
          <w:tblCellSpacing w:w="0" w:type="dxa"/>
        </w:trPr>
        <w:tc>
          <w:tcPr>
            <w:tcW w:w="1455" w:type="pct"/>
            <w:tcBorders>
              <w:bottom w:val="nil"/>
            </w:tcBorders>
            <w:hideMark/>
          </w:tcPr>
          <w:p w:rsidR="00000000" w:rsidRDefault="004E30E9">
            <w:pPr>
              <w:pStyle w:val="a3"/>
              <w:spacing w:before="0" w:beforeAutospacing="0" w:after="0" w:afterAutospacing="0"/>
              <w:ind w:right="240" w:firstLine="360"/>
              <w:rPr>
                <w:sz w:val="20"/>
                <w:szCs w:val="20"/>
              </w:rPr>
            </w:pPr>
            <w:r>
              <w:rPr>
                <w:sz w:val="20"/>
                <w:szCs w:val="20"/>
              </w:rPr>
              <w:t>Philip Coviello</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hideMark/>
          </w:tcPr>
          <w:p w:rsidR="00000000" w:rsidRDefault="004E30E9">
            <w:pPr>
              <w:rPr>
                <w:rFonts w:eastAsia="Times New Roman"/>
                <w:sz w:val="20"/>
                <w:szCs w:val="20"/>
              </w:rPr>
            </w:pPr>
            <w:r>
              <w:rPr>
                <w:rFonts w:eastAsia="Times New Roman"/>
                <w:sz w:val="20"/>
                <w:szCs w:val="20"/>
              </w:rPr>
              <w:t> </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tcBorders>
              <w:bottom w:val="single" w:sz="6" w:space="0" w:color="000000"/>
            </w:tcBorders>
            <w:hideMark/>
          </w:tcPr>
          <w:p w:rsidR="00000000" w:rsidRDefault="004E30E9">
            <w:pPr>
              <w:pStyle w:val="a3"/>
              <w:spacing w:before="0" w:beforeAutospacing="0" w:after="0" w:afterAutospacing="0"/>
              <w:ind w:right="240" w:firstLine="360"/>
              <w:rPr>
                <w:sz w:val="20"/>
                <w:szCs w:val="20"/>
              </w:rPr>
            </w:pPr>
            <w:r>
              <w:rPr>
                <w:sz w:val="20"/>
                <w:szCs w:val="20"/>
              </w:rPr>
              <w:t>/s/ Colombe Nicholas</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Director</w:t>
            </w:r>
          </w:p>
        </w:tc>
        <w:tc>
          <w:tcPr>
            <w:tcW w:w="1140" w:type="pct"/>
            <w:hideMark/>
          </w:tcPr>
          <w:p w:rsidR="00000000" w:rsidRDefault="004E30E9">
            <w:pPr>
              <w:pStyle w:val="a3"/>
              <w:spacing w:before="0" w:beforeAutospacing="0" w:after="0" w:afterAutospacing="0"/>
              <w:ind w:firstLine="360"/>
              <w:rPr>
                <w:sz w:val="20"/>
                <w:szCs w:val="20"/>
              </w:rPr>
            </w:pPr>
            <w:r>
              <w:rPr>
                <w:sz w:val="20"/>
                <w:szCs w:val="20"/>
              </w:rPr>
              <w:t>February 23, 2021</w:t>
            </w:r>
          </w:p>
        </w:tc>
      </w:tr>
      <w:tr w:rsidR="00000000">
        <w:trPr>
          <w:tblCellSpacing w:w="0" w:type="dxa"/>
        </w:trPr>
        <w:tc>
          <w:tcPr>
            <w:tcW w:w="1455" w:type="pct"/>
            <w:tcBorders>
              <w:bottom w:val="nil"/>
            </w:tcBorders>
            <w:hideMark/>
          </w:tcPr>
          <w:p w:rsidR="00000000" w:rsidRDefault="004E30E9">
            <w:pPr>
              <w:pStyle w:val="a3"/>
              <w:spacing w:before="0" w:beforeAutospacing="0" w:after="0" w:afterAutospacing="0"/>
              <w:ind w:right="240" w:firstLine="360"/>
              <w:rPr>
                <w:sz w:val="20"/>
                <w:szCs w:val="20"/>
              </w:rPr>
            </w:pPr>
            <w:r>
              <w:rPr>
                <w:sz w:val="20"/>
                <w:szCs w:val="20"/>
              </w:rPr>
              <w:t>Colombe Nicholas</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hideMark/>
          </w:tcPr>
          <w:p w:rsidR="00000000" w:rsidRDefault="004E30E9">
            <w:pPr>
              <w:rPr>
                <w:rFonts w:eastAsia="Times New Roman"/>
                <w:sz w:val="20"/>
                <w:szCs w:val="20"/>
              </w:rPr>
            </w:pPr>
            <w:r>
              <w:rPr>
                <w:rFonts w:eastAsia="Times New Roman"/>
                <w:sz w:val="20"/>
                <w:szCs w:val="20"/>
              </w:rPr>
              <w:t> </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tcBorders>
              <w:bottom w:val="single" w:sz="6" w:space="0" w:color="000000"/>
            </w:tcBorders>
            <w:hideMark/>
          </w:tcPr>
          <w:p w:rsidR="00000000" w:rsidRDefault="004E30E9">
            <w:pPr>
              <w:pStyle w:val="a3"/>
              <w:spacing w:before="0" w:beforeAutospacing="0" w:after="0" w:afterAutospacing="0"/>
              <w:ind w:right="240" w:firstLine="360"/>
              <w:rPr>
                <w:sz w:val="20"/>
                <w:szCs w:val="20"/>
              </w:rPr>
            </w:pPr>
            <w:r>
              <w:rPr>
                <w:sz w:val="20"/>
                <w:szCs w:val="20"/>
              </w:rPr>
              <w:t>/s/ Mary Hogan Preusse</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Director</w:t>
            </w:r>
          </w:p>
        </w:tc>
        <w:tc>
          <w:tcPr>
            <w:tcW w:w="1140" w:type="pct"/>
            <w:hideMark/>
          </w:tcPr>
          <w:p w:rsidR="00000000" w:rsidRDefault="004E30E9">
            <w:pPr>
              <w:pStyle w:val="a3"/>
              <w:spacing w:before="0" w:beforeAutospacing="0" w:after="0" w:afterAutospacing="0"/>
              <w:ind w:firstLine="360"/>
              <w:rPr>
                <w:sz w:val="20"/>
                <w:szCs w:val="20"/>
              </w:rPr>
            </w:pPr>
            <w:r>
              <w:rPr>
                <w:sz w:val="20"/>
                <w:szCs w:val="20"/>
              </w:rPr>
              <w:t>February 23, 2021</w:t>
            </w:r>
          </w:p>
        </w:tc>
      </w:tr>
      <w:tr w:rsidR="00000000">
        <w:trPr>
          <w:tblCellSpacing w:w="0" w:type="dxa"/>
        </w:trPr>
        <w:tc>
          <w:tcPr>
            <w:tcW w:w="1455" w:type="pct"/>
            <w:tcBorders>
              <w:bottom w:val="nil"/>
            </w:tcBorders>
            <w:hideMark/>
          </w:tcPr>
          <w:p w:rsidR="00000000" w:rsidRDefault="004E30E9">
            <w:pPr>
              <w:pStyle w:val="a3"/>
              <w:spacing w:before="0" w:beforeAutospacing="0" w:after="0" w:afterAutospacing="0"/>
              <w:ind w:right="240" w:firstLine="360"/>
              <w:rPr>
                <w:sz w:val="20"/>
                <w:szCs w:val="20"/>
              </w:rPr>
            </w:pPr>
            <w:r>
              <w:rPr>
                <w:sz w:val="20"/>
                <w:szCs w:val="20"/>
              </w:rPr>
              <w:t>Mary Hogan Preusse</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hideMark/>
          </w:tcPr>
          <w:p w:rsidR="00000000" w:rsidRDefault="004E30E9">
            <w:pPr>
              <w:rPr>
                <w:rFonts w:eastAsia="Times New Roman"/>
                <w:sz w:val="20"/>
                <w:szCs w:val="20"/>
              </w:rPr>
            </w:pPr>
            <w:r>
              <w:rPr>
                <w:rFonts w:eastAsia="Times New Roman"/>
                <w:sz w:val="20"/>
                <w:szCs w:val="20"/>
              </w:rPr>
              <w:t> </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tcBorders>
              <w:bottom w:val="single" w:sz="6" w:space="0" w:color="000000"/>
            </w:tcBorders>
            <w:hideMark/>
          </w:tcPr>
          <w:p w:rsidR="00000000" w:rsidRDefault="004E30E9">
            <w:pPr>
              <w:pStyle w:val="a3"/>
              <w:spacing w:before="0" w:beforeAutospacing="0" w:after="0" w:afterAutospacing="0"/>
              <w:ind w:right="240" w:firstLine="360"/>
              <w:rPr>
                <w:sz w:val="20"/>
                <w:szCs w:val="20"/>
              </w:rPr>
            </w:pPr>
            <w:r>
              <w:rPr>
                <w:sz w:val="20"/>
                <w:szCs w:val="20"/>
              </w:rPr>
              <w:t>/s/ Valerie Richardson</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Director</w:t>
            </w:r>
          </w:p>
        </w:tc>
        <w:tc>
          <w:tcPr>
            <w:tcW w:w="1140" w:type="pct"/>
            <w:hideMark/>
          </w:tcPr>
          <w:p w:rsidR="00000000" w:rsidRDefault="004E30E9">
            <w:pPr>
              <w:pStyle w:val="a3"/>
              <w:spacing w:before="0" w:beforeAutospacing="0" w:after="0" w:afterAutospacing="0"/>
              <w:ind w:firstLine="360"/>
              <w:rPr>
                <w:sz w:val="20"/>
                <w:szCs w:val="20"/>
              </w:rPr>
            </w:pPr>
            <w:r>
              <w:rPr>
                <w:sz w:val="20"/>
                <w:szCs w:val="20"/>
              </w:rPr>
              <w:t>February 23, 2021</w:t>
            </w:r>
          </w:p>
        </w:tc>
      </w:tr>
      <w:tr w:rsidR="00000000">
        <w:trPr>
          <w:tblCellSpacing w:w="0" w:type="dxa"/>
        </w:trPr>
        <w:tc>
          <w:tcPr>
            <w:tcW w:w="1455" w:type="pct"/>
            <w:hideMark/>
          </w:tcPr>
          <w:p w:rsidR="00000000" w:rsidRDefault="004E30E9">
            <w:pPr>
              <w:pStyle w:val="a3"/>
              <w:spacing w:before="0" w:beforeAutospacing="0" w:after="0" w:afterAutospacing="0"/>
              <w:ind w:right="240" w:firstLine="360"/>
              <w:rPr>
                <w:sz w:val="20"/>
                <w:szCs w:val="20"/>
              </w:rPr>
            </w:pPr>
            <w:r>
              <w:rPr>
                <w:sz w:val="20"/>
                <w:szCs w:val="20"/>
              </w:rPr>
              <w:t>Valerie Richardson</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hideMark/>
          </w:tcPr>
          <w:p w:rsidR="00000000" w:rsidRDefault="004E30E9">
            <w:pPr>
              <w:rPr>
                <w:rFonts w:eastAsia="Times New Roman"/>
                <w:sz w:val="20"/>
                <w:szCs w:val="20"/>
              </w:rPr>
            </w:pPr>
            <w:r>
              <w:rPr>
                <w:rFonts w:eastAsia="Times New Roman"/>
                <w:sz w:val="20"/>
                <w:szCs w:val="20"/>
              </w:rPr>
              <w:t> </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tcBorders>
              <w:bottom w:val="single" w:sz="6" w:space="0" w:color="000000"/>
            </w:tcBorders>
            <w:hideMark/>
          </w:tcPr>
          <w:p w:rsidR="00000000" w:rsidRDefault="004E30E9">
            <w:pPr>
              <w:pStyle w:val="a3"/>
              <w:spacing w:before="0" w:beforeAutospacing="0" w:after="0" w:afterAutospacing="0"/>
              <w:ind w:right="240" w:firstLine="360"/>
              <w:rPr>
                <w:sz w:val="20"/>
                <w:szCs w:val="20"/>
              </w:rPr>
            </w:pPr>
            <w:r>
              <w:rPr>
                <w:sz w:val="20"/>
                <w:szCs w:val="20"/>
              </w:rPr>
              <w:t>/s/ Henry Moniz</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Director</w:t>
            </w:r>
          </w:p>
        </w:tc>
        <w:tc>
          <w:tcPr>
            <w:tcW w:w="1140" w:type="pct"/>
            <w:hideMark/>
          </w:tcPr>
          <w:p w:rsidR="00000000" w:rsidRDefault="004E30E9">
            <w:pPr>
              <w:pStyle w:val="a3"/>
              <w:spacing w:before="0" w:beforeAutospacing="0" w:after="0" w:afterAutospacing="0"/>
              <w:ind w:firstLine="360"/>
              <w:rPr>
                <w:sz w:val="20"/>
                <w:szCs w:val="20"/>
              </w:rPr>
            </w:pPr>
            <w:r>
              <w:rPr>
                <w:sz w:val="20"/>
                <w:szCs w:val="20"/>
              </w:rPr>
              <w:t>February 23, 2021</w:t>
            </w:r>
          </w:p>
        </w:tc>
      </w:tr>
      <w:tr w:rsidR="00000000">
        <w:trPr>
          <w:tblCellSpacing w:w="0" w:type="dxa"/>
        </w:trPr>
        <w:tc>
          <w:tcPr>
            <w:tcW w:w="1455" w:type="pct"/>
            <w:tcBorders>
              <w:bottom w:val="nil"/>
            </w:tcBorders>
            <w:hideMark/>
          </w:tcPr>
          <w:p w:rsidR="00000000" w:rsidRDefault="004E30E9">
            <w:pPr>
              <w:pStyle w:val="a3"/>
              <w:spacing w:before="0" w:beforeAutospacing="0" w:after="0" w:afterAutospacing="0"/>
              <w:ind w:right="240" w:firstLine="360"/>
              <w:rPr>
                <w:sz w:val="20"/>
                <w:szCs w:val="20"/>
              </w:rPr>
            </w:pPr>
            <w:r>
              <w:rPr>
                <w:sz w:val="20"/>
                <w:szCs w:val="20"/>
              </w:rPr>
              <w:t>Henry Moniz</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hideMark/>
          </w:tcPr>
          <w:p w:rsidR="00000000" w:rsidRDefault="004E30E9">
            <w:pPr>
              <w:rPr>
                <w:rFonts w:eastAsia="Times New Roman"/>
                <w:sz w:val="20"/>
                <w:szCs w:val="20"/>
              </w:rPr>
            </w:pPr>
            <w:r>
              <w:rPr>
                <w:rFonts w:eastAsia="Times New Roman"/>
                <w:sz w:val="20"/>
                <w:szCs w:val="20"/>
              </w:rPr>
              <w:t> </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tcBorders>
              <w:bottom w:val="single" w:sz="6" w:space="0" w:color="000000"/>
            </w:tcBorders>
            <w:hideMark/>
          </w:tcPr>
          <w:p w:rsidR="00000000" w:rsidRDefault="004E30E9">
            <w:pPr>
              <w:pStyle w:val="a3"/>
              <w:spacing w:before="0" w:beforeAutospacing="0" w:after="0" w:afterAutospacing="0"/>
              <w:ind w:right="240" w:firstLine="360"/>
              <w:rPr>
                <w:sz w:val="20"/>
                <w:szCs w:val="20"/>
              </w:rPr>
            </w:pPr>
            <w:r>
              <w:rPr>
                <w:sz w:val="20"/>
                <w:szCs w:val="20"/>
              </w:rPr>
              <w:t>/s/ Glenn G. Cohen</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Executive Vice President -</w:t>
            </w:r>
          </w:p>
        </w:tc>
        <w:tc>
          <w:tcPr>
            <w:tcW w:w="1140" w:type="pct"/>
            <w:hideMark/>
          </w:tcPr>
          <w:p w:rsidR="00000000" w:rsidRDefault="004E30E9">
            <w:pPr>
              <w:pStyle w:val="a3"/>
              <w:spacing w:before="0" w:beforeAutospacing="0" w:after="0" w:afterAutospacing="0"/>
              <w:ind w:firstLine="360"/>
              <w:rPr>
                <w:sz w:val="20"/>
                <w:szCs w:val="20"/>
              </w:rPr>
            </w:pPr>
            <w:r>
              <w:rPr>
                <w:sz w:val="20"/>
                <w:szCs w:val="20"/>
              </w:rPr>
              <w:t>February 23, 2021</w:t>
            </w:r>
          </w:p>
        </w:tc>
      </w:tr>
      <w:tr w:rsidR="00000000">
        <w:trPr>
          <w:tblCellSpacing w:w="0" w:type="dxa"/>
        </w:trPr>
        <w:tc>
          <w:tcPr>
            <w:tcW w:w="1455" w:type="pct"/>
            <w:tcBorders>
              <w:bottom w:val="nil"/>
            </w:tcBorders>
            <w:hideMark/>
          </w:tcPr>
          <w:p w:rsidR="00000000" w:rsidRDefault="004E30E9">
            <w:pPr>
              <w:pStyle w:val="a3"/>
              <w:spacing w:before="0" w:beforeAutospacing="0" w:after="0" w:afterAutospacing="0"/>
              <w:ind w:right="240" w:firstLine="360"/>
              <w:rPr>
                <w:sz w:val="20"/>
                <w:szCs w:val="20"/>
              </w:rPr>
            </w:pPr>
            <w:r>
              <w:rPr>
                <w:sz w:val="20"/>
                <w:szCs w:val="20"/>
              </w:rPr>
              <w:t>Glenn G. Cohen</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Chief Financial Officer and Treasurer</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hideMark/>
          </w:tcPr>
          <w:p w:rsidR="00000000" w:rsidRDefault="004E30E9">
            <w:pPr>
              <w:rPr>
                <w:rFonts w:eastAsia="Times New Roman"/>
                <w:sz w:val="20"/>
                <w:szCs w:val="20"/>
              </w:rPr>
            </w:pPr>
            <w:r>
              <w:rPr>
                <w:rFonts w:eastAsia="Times New Roman"/>
                <w:sz w:val="20"/>
                <w:szCs w:val="20"/>
              </w:rPr>
              <w:t> </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rPr>
                <w:rFonts w:eastAsia="Times New Roman"/>
                <w:sz w:val="20"/>
                <w:szCs w:val="20"/>
              </w:rPr>
            </w:pPr>
            <w:r>
              <w:rPr>
                <w:rFonts w:eastAsia="Times New Roman"/>
                <w:sz w:val="20"/>
                <w:szCs w:val="20"/>
              </w:rPr>
              <w:t> </w:t>
            </w:r>
          </w:p>
        </w:tc>
        <w:tc>
          <w:tcPr>
            <w:tcW w:w="1140" w:type="pct"/>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55" w:type="pct"/>
            <w:tcBorders>
              <w:bottom w:val="single" w:sz="6" w:space="0" w:color="000000"/>
            </w:tcBorders>
            <w:hideMark/>
          </w:tcPr>
          <w:p w:rsidR="00000000" w:rsidRDefault="004E30E9">
            <w:pPr>
              <w:pStyle w:val="a3"/>
              <w:spacing w:before="0" w:beforeAutospacing="0" w:after="0" w:afterAutospacing="0"/>
              <w:ind w:right="240" w:firstLine="360"/>
              <w:rPr>
                <w:sz w:val="20"/>
                <w:szCs w:val="20"/>
              </w:rPr>
            </w:pPr>
            <w:r>
              <w:rPr>
                <w:sz w:val="20"/>
                <w:szCs w:val="20"/>
              </w:rPr>
              <w:t>/s/ Paul Westbrook</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Vice President -</w:t>
            </w:r>
          </w:p>
        </w:tc>
        <w:tc>
          <w:tcPr>
            <w:tcW w:w="1140" w:type="pct"/>
            <w:hideMark/>
          </w:tcPr>
          <w:p w:rsidR="00000000" w:rsidRDefault="004E30E9">
            <w:pPr>
              <w:pStyle w:val="a3"/>
              <w:spacing w:before="0" w:beforeAutospacing="0" w:after="0" w:afterAutospacing="0"/>
              <w:ind w:firstLine="360"/>
              <w:rPr>
                <w:sz w:val="20"/>
                <w:szCs w:val="20"/>
              </w:rPr>
            </w:pPr>
            <w:r>
              <w:rPr>
                <w:sz w:val="20"/>
                <w:szCs w:val="20"/>
              </w:rPr>
              <w:t>February 23, 2021</w:t>
            </w:r>
          </w:p>
        </w:tc>
      </w:tr>
      <w:tr w:rsidR="00000000">
        <w:trPr>
          <w:tblCellSpacing w:w="0" w:type="dxa"/>
        </w:trPr>
        <w:tc>
          <w:tcPr>
            <w:tcW w:w="1455" w:type="pct"/>
            <w:tcBorders>
              <w:bottom w:val="nil"/>
            </w:tcBorders>
            <w:hideMark/>
          </w:tcPr>
          <w:p w:rsidR="00000000" w:rsidRDefault="004E30E9">
            <w:pPr>
              <w:pStyle w:val="a3"/>
              <w:spacing w:before="0" w:beforeAutospacing="0" w:after="0" w:afterAutospacing="0"/>
              <w:ind w:right="240" w:firstLine="360"/>
              <w:rPr>
                <w:sz w:val="20"/>
                <w:szCs w:val="20"/>
              </w:rPr>
            </w:pPr>
            <w:r>
              <w:rPr>
                <w:sz w:val="20"/>
                <w:szCs w:val="20"/>
              </w:rPr>
              <w:t>Paul Westbrook</w:t>
            </w:r>
          </w:p>
        </w:tc>
        <w:tc>
          <w:tcPr>
            <w:tcW w:w="165" w:type="pct"/>
            <w:hideMark/>
          </w:tcPr>
          <w:p w:rsidR="00000000" w:rsidRDefault="004E30E9">
            <w:pPr>
              <w:rPr>
                <w:rFonts w:eastAsia="Times New Roman"/>
                <w:sz w:val="20"/>
                <w:szCs w:val="20"/>
              </w:rPr>
            </w:pPr>
            <w:r>
              <w:rPr>
                <w:rFonts w:eastAsia="Times New Roman"/>
                <w:sz w:val="20"/>
                <w:szCs w:val="20"/>
              </w:rPr>
              <w:t> </w:t>
            </w:r>
          </w:p>
        </w:tc>
        <w:tc>
          <w:tcPr>
            <w:tcW w:w="2240" w:type="pct"/>
            <w:hideMark/>
          </w:tcPr>
          <w:p w:rsidR="00000000" w:rsidRDefault="004E30E9">
            <w:pPr>
              <w:pStyle w:val="a3"/>
              <w:spacing w:before="0" w:beforeAutospacing="0" w:after="0" w:afterAutospacing="0"/>
              <w:ind w:right="240" w:firstLine="360"/>
              <w:rPr>
                <w:sz w:val="20"/>
                <w:szCs w:val="20"/>
              </w:rPr>
            </w:pPr>
            <w:r>
              <w:rPr>
                <w:sz w:val="20"/>
                <w:szCs w:val="20"/>
              </w:rPr>
              <w:t>Chief Accounting Officer</w:t>
            </w:r>
          </w:p>
        </w:tc>
        <w:tc>
          <w:tcPr>
            <w:tcW w:w="1140" w:type="pct"/>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240" w:right="240" w:firstLine="360"/>
        <w:rPr>
          <w:sz w:val="20"/>
          <w:szCs w:val="20"/>
        </w:rPr>
      </w:pPr>
      <w:r>
        <w:rPr>
          <w:sz w:val="20"/>
          <w:szCs w:val="20"/>
        </w:rPr>
        <w:t> </w:t>
      </w:r>
    </w:p>
    <w:p w:rsidR="00000000" w:rsidRDefault="004E30E9">
      <w:pPr>
        <w:jc w:val="center"/>
        <w:divId w:val="1145121240"/>
        <w:rPr>
          <w:rFonts w:eastAsia="Times New Roman"/>
          <w:sz w:val="20"/>
          <w:szCs w:val="20"/>
        </w:rPr>
      </w:pPr>
      <w:r>
        <w:rPr>
          <w:rFonts w:eastAsia="Times New Roman"/>
          <w:sz w:val="20"/>
          <w:szCs w:val="20"/>
        </w:rPr>
        <w:t xml:space="preserve">48 </w:t>
      </w:r>
    </w:p>
    <w:p w:rsidR="00000000" w:rsidRDefault="004E30E9">
      <w:pPr>
        <w:divId w:val="1536116873"/>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4E30E9">
      <w:pPr>
        <w:divId w:val="175886053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ANNUAL REPORT ON FORM 10-K</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ITEM 8, ITEM 15 (a) (1) and (2)</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INDEX TO FINANCIAL STATEMENTS</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AND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FINANCIAL STATEMENT SCHEDULES</w:t>
      </w:r>
    </w:p>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42"/>
        <w:gridCol w:w="6214"/>
        <w:gridCol w:w="750"/>
      </w:tblGrid>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sz w:val="20"/>
                <w:szCs w:val="20"/>
              </w:rPr>
              <w:t>Form 10-K</w:t>
            </w:r>
            <w:r>
              <w:rPr>
                <w:sz w:val="20"/>
                <w:szCs w:val="20"/>
              </w:rPr>
              <w:br/>
              <w:t>Page</w:t>
            </w:r>
          </w:p>
        </w:tc>
      </w:tr>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tcBorders>
              <w:bottom w:val="nil"/>
            </w:tcBorders>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pStyle w:val="a3"/>
              <w:spacing w:before="0" w:beforeAutospacing="0" w:after="0" w:afterAutospacing="0"/>
              <w:rPr>
                <w:sz w:val="20"/>
                <w:szCs w:val="20"/>
              </w:rPr>
            </w:pPr>
            <w:r>
              <w:rPr>
                <w:sz w:val="20"/>
                <w:szCs w:val="20"/>
              </w:rPr>
              <w:t>KIMCO REALTY CORPORATION AND SUBSIDIARIES</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pStyle w:val="a3"/>
              <w:spacing w:before="0" w:beforeAutospacing="0" w:after="0" w:afterAutospacing="0"/>
              <w:rPr>
                <w:sz w:val="20"/>
                <w:szCs w:val="20"/>
              </w:rPr>
            </w:pPr>
            <w:hyperlink w:anchor="reportaccountfirm" w:history="1">
              <w:r>
                <w:rPr>
                  <w:rStyle w:val="a4"/>
                  <w:sz w:val="20"/>
                  <w:szCs w:val="20"/>
                </w:rPr>
                <w:t>Report of Independent Registered Public Accounting Firm</w:t>
              </w:r>
            </w:hyperlink>
          </w:p>
        </w:tc>
        <w:tc>
          <w:tcPr>
            <w:tcW w:w="450" w:type="pct"/>
            <w:vAlign w:val="bottom"/>
            <w:hideMark/>
          </w:tcPr>
          <w:p w:rsidR="00000000" w:rsidRDefault="004E30E9">
            <w:pPr>
              <w:pStyle w:val="a3"/>
              <w:spacing w:before="0" w:beforeAutospacing="0" w:after="0" w:afterAutospacing="0"/>
              <w:jc w:val="center"/>
              <w:rPr>
                <w:sz w:val="20"/>
                <w:szCs w:val="20"/>
              </w:rPr>
            </w:pPr>
            <w:hyperlink w:anchor="reportaccountfirm" w:history="1">
              <w:r>
                <w:rPr>
                  <w:rStyle w:val="a4"/>
                  <w:sz w:val="20"/>
                  <w:szCs w:val="20"/>
                </w:rPr>
                <w:t>50</w:t>
              </w:r>
            </w:hyperlink>
          </w:p>
        </w:tc>
      </w:tr>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pStyle w:val="a3"/>
              <w:spacing w:before="0" w:beforeAutospacing="0" w:after="0" w:afterAutospacing="0"/>
              <w:rPr>
                <w:sz w:val="20"/>
                <w:szCs w:val="20"/>
              </w:rPr>
            </w:pPr>
            <w:r>
              <w:rPr>
                <w:sz w:val="20"/>
                <w:szCs w:val="20"/>
              </w:rPr>
              <w:t>Consolidated Financial Statements and Financial Statement</w:t>
            </w:r>
            <w:r>
              <w:rPr>
                <w:sz w:val="20"/>
                <w:szCs w:val="20"/>
              </w:rPr>
              <w:t xml:space="preserve"> Schedules:</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pStyle w:val="a3"/>
              <w:spacing w:before="0" w:beforeAutospacing="0" w:after="0" w:afterAutospacing="0"/>
              <w:ind w:left="540"/>
              <w:rPr>
                <w:sz w:val="20"/>
                <w:szCs w:val="20"/>
              </w:rPr>
            </w:pPr>
            <w:hyperlink w:anchor="balsheets" w:history="1">
              <w:r>
                <w:rPr>
                  <w:rStyle w:val="a4"/>
                  <w:sz w:val="20"/>
                  <w:szCs w:val="20"/>
                </w:rPr>
                <w:t>Consolidated Balance Sheets as of December 31, 2020 and 2019</w:t>
              </w:r>
            </w:hyperlink>
          </w:p>
        </w:tc>
        <w:tc>
          <w:tcPr>
            <w:tcW w:w="450" w:type="pct"/>
            <w:vAlign w:val="bottom"/>
            <w:hideMark/>
          </w:tcPr>
          <w:p w:rsidR="00000000" w:rsidRDefault="004E30E9">
            <w:pPr>
              <w:pStyle w:val="a3"/>
              <w:spacing w:before="0" w:beforeAutospacing="0" w:after="0" w:afterAutospacing="0"/>
              <w:jc w:val="center"/>
              <w:rPr>
                <w:sz w:val="20"/>
                <w:szCs w:val="20"/>
              </w:rPr>
            </w:pPr>
            <w:hyperlink w:anchor="balsheets" w:history="1">
              <w:r>
                <w:rPr>
                  <w:rStyle w:val="a4"/>
                  <w:sz w:val="20"/>
                  <w:szCs w:val="20"/>
                </w:rPr>
                <w:t>52</w:t>
              </w:r>
            </w:hyperlink>
          </w:p>
        </w:tc>
      </w:tr>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pStyle w:val="a3"/>
              <w:spacing w:before="0" w:beforeAutospacing="0" w:after="0" w:afterAutospacing="0"/>
              <w:ind w:left="540"/>
              <w:rPr>
                <w:sz w:val="20"/>
                <w:szCs w:val="20"/>
              </w:rPr>
            </w:pPr>
            <w:hyperlink w:anchor="stateofincome" w:history="1">
              <w:r>
                <w:rPr>
                  <w:rStyle w:val="a4"/>
                  <w:sz w:val="20"/>
                  <w:szCs w:val="20"/>
                </w:rPr>
                <w:t>Consolidated Statements of Income for the years ended December 31, 2020, 2019 and 2018</w:t>
              </w:r>
            </w:hyperlink>
          </w:p>
        </w:tc>
        <w:tc>
          <w:tcPr>
            <w:tcW w:w="450" w:type="pct"/>
            <w:vAlign w:val="bottom"/>
            <w:hideMark/>
          </w:tcPr>
          <w:p w:rsidR="00000000" w:rsidRDefault="004E30E9">
            <w:pPr>
              <w:pStyle w:val="a3"/>
              <w:spacing w:before="0" w:beforeAutospacing="0" w:after="0" w:afterAutospacing="0"/>
              <w:jc w:val="center"/>
              <w:rPr>
                <w:sz w:val="20"/>
                <w:szCs w:val="20"/>
              </w:rPr>
            </w:pPr>
            <w:hyperlink w:anchor="stateofincome" w:history="1">
              <w:r>
                <w:rPr>
                  <w:rStyle w:val="a4"/>
                  <w:sz w:val="20"/>
                  <w:szCs w:val="20"/>
                </w:rPr>
                <w:t>53</w:t>
              </w:r>
            </w:hyperlink>
          </w:p>
        </w:tc>
      </w:tr>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pStyle w:val="a3"/>
              <w:spacing w:before="0" w:beforeAutospacing="0" w:after="0" w:afterAutospacing="0"/>
              <w:ind w:left="540"/>
              <w:rPr>
                <w:sz w:val="20"/>
                <w:szCs w:val="20"/>
              </w:rPr>
            </w:pPr>
            <w:hyperlink w:anchor="stateofcompincome" w:history="1">
              <w:r>
                <w:rPr>
                  <w:rStyle w:val="a4"/>
                  <w:sz w:val="20"/>
                  <w:szCs w:val="20"/>
                </w:rPr>
                <w:t>Consolidated Statements of Comprehensive Income for the years ended December 31, 2</w:t>
              </w:r>
              <w:r>
                <w:rPr>
                  <w:rStyle w:val="a4"/>
                  <w:sz w:val="20"/>
                  <w:szCs w:val="20"/>
                </w:rPr>
                <w:t>020, 2019 and 2018</w:t>
              </w:r>
            </w:hyperlink>
          </w:p>
        </w:tc>
        <w:tc>
          <w:tcPr>
            <w:tcW w:w="450" w:type="pct"/>
            <w:vAlign w:val="bottom"/>
            <w:hideMark/>
          </w:tcPr>
          <w:p w:rsidR="00000000" w:rsidRDefault="004E30E9">
            <w:pPr>
              <w:pStyle w:val="a3"/>
              <w:spacing w:before="0" w:beforeAutospacing="0" w:after="0" w:afterAutospacing="0"/>
              <w:jc w:val="center"/>
              <w:rPr>
                <w:sz w:val="20"/>
                <w:szCs w:val="20"/>
              </w:rPr>
            </w:pPr>
            <w:hyperlink w:anchor="stateofcompincome" w:history="1">
              <w:r>
                <w:rPr>
                  <w:rStyle w:val="a4"/>
                  <w:sz w:val="20"/>
                  <w:szCs w:val="20"/>
                </w:rPr>
                <w:t>54</w:t>
              </w:r>
            </w:hyperlink>
          </w:p>
        </w:tc>
      </w:tr>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pStyle w:val="a3"/>
              <w:spacing w:before="0" w:beforeAutospacing="0" w:after="0" w:afterAutospacing="0"/>
              <w:ind w:left="540"/>
              <w:rPr>
                <w:sz w:val="20"/>
                <w:szCs w:val="20"/>
              </w:rPr>
            </w:pPr>
            <w:hyperlink w:anchor="statechangesequity" w:history="1">
              <w:r>
                <w:rPr>
                  <w:rStyle w:val="a4"/>
                  <w:sz w:val="20"/>
                  <w:szCs w:val="20"/>
                </w:rPr>
                <w:t>Consolidated Statements of Changes in Equity for the years ended December 31, 2020, 2019 and 2018</w:t>
              </w:r>
            </w:hyperlink>
          </w:p>
        </w:tc>
        <w:tc>
          <w:tcPr>
            <w:tcW w:w="450" w:type="pct"/>
            <w:vAlign w:val="bottom"/>
            <w:hideMark/>
          </w:tcPr>
          <w:p w:rsidR="00000000" w:rsidRDefault="004E30E9">
            <w:pPr>
              <w:pStyle w:val="a3"/>
              <w:spacing w:before="0" w:beforeAutospacing="0" w:after="0" w:afterAutospacing="0"/>
              <w:jc w:val="center"/>
              <w:rPr>
                <w:sz w:val="20"/>
                <w:szCs w:val="20"/>
              </w:rPr>
            </w:pPr>
            <w:hyperlink w:anchor="statechangesequity" w:history="1">
              <w:r>
                <w:rPr>
                  <w:rStyle w:val="a4"/>
                  <w:sz w:val="20"/>
                  <w:szCs w:val="20"/>
                </w:rPr>
                <w:t>55</w:t>
              </w:r>
            </w:hyperlink>
          </w:p>
        </w:tc>
      </w:tr>
      <w:tr w:rsidR="00000000">
        <w:trPr>
          <w:tblCellSpacing w:w="0" w:type="dxa"/>
        </w:trPr>
        <w:tc>
          <w:tcPr>
            <w:tcW w:w="4550" w:type="pct"/>
            <w:gridSpan w:val="2"/>
            <w:hideMark/>
          </w:tcPr>
          <w:p w:rsidR="00000000" w:rsidRDefault="004E30E9">
            <w:pPr>
              <w:pStyle w:val="a3"/>
              <w:spacing w:before="0" w:beforeAutospacing="0" w:after="0" w:afterAutospacing="0"/>
              <w:rPr>
                <w:sz w:val="20"/>
                <w:szCs w:val="20"/>
              </w:rPr>
            </w:pPr>
            <w:r>
              <w:rPr>
                <w:sz w:val="20"/>
                <w:szCs w:val="20"/>
              </w:rPr>
              <w:t> </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pStyle w:val="a3"/>
              <w:spacing w:before="0" w:beforeAutospacing="0" w:after="0" w:afterAutospacing="0"/>
              <w:ind w:left="540"/>
              <w:rPr>
                <w:sz w:val="20"/>
                <w:szCs w:val="20"/>
              </w:rPr>
            </w:pPr>
            <w:hyperlink w:anchor="statecashflows" w:history="1">
              <w:r>
                <w:rPr>
                  <w:rStyle w:val="a4"/>
                  <w:sz w:val="20"/>
                  <w:szCs w:val="20"/>
                </w:rPr>
                <w:t>Consolidated Statements of Cash Flows for the years ended December 31</w:t>
              </w:r>
              <w:r>
                <w:rPr>
                  <w:rStyle w:val="a4"/>
                  <w:sz w:val="20"/>
                  <w:szCs w:val="20"/>
                </w:rPr>
                <w:t>, 2020, 2019 and 2018</w:t>
              </w:r>
            </w:hyperlink>
          </w:p>
        </w:tc>
        <w:tc>
          <w:tcPr>
            <w:tcW w:w="450" w:type="pct"/>
            <w:vAlign w:val="bottom"/>
            <w:hideMark/>
          </w:tcPr>
          <w:p w:rsidR="00000000" w:rsidRDefault="004E30E9">
            <w:pPr>
              <w:pStyle w:val="a3"/>
              <w:spacing w:before="0" w:beforeAutospacing="0" w:after="0" w:afterAutospacing="0"/>
              <w:jc w:val="center"/>
              <w:rPr>
                <w:sz w:val="20"/>
                <w:szCs w:val="20"/>
              </w:rPr>
            </w:pPr>
            <w:hyperlink w:anchor="statecashflows" w:history="1">
              <w:r>
                <w:rPr>
                  <w:rStyle w:val="a4"/>
                  <w:sz w:val="20"/>
                  <w:szCs w:val="20"/>
                </w:rPr>
                <w:t>56</w:t>
              </w:r>
            </w:hyperlink>
          </w:p>
        </w:tc>
      </w:tr>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pStyle w:val="a3"/>
              <w:spacing w:before="0" w:beforeAutospacing="0" w:after="0" w:afterAutospacing="0"/>
              <w:rPr>
                <w:sz w:val="20"/>
                <w:szCs w:val="20"/>
              </w:rPr>
            </w:pPr>
            <w:hyperlink w:anchor="finnotes" w:history="1">
              <w:r>
                <w:rPr>
                  <w:rStyle w:val="a4"/>
                  <w:sz w:val="20"/>
                  <w:szCs w:val="20"/>
                </w:rPr>
                <w:t>Notes to Consolidated Financial Statements</w:t>
              </w:r>
            </w:hyperlink>
          </w:p>
        </w:tc>
        <w:tc>
          <w:tcPr>
            <w:tcW w:w="450" w:type="pct"/>
            <w:vAlign w:val="bottom"/>
            <w:hideMark/>
          </w:tcPr>
          <w:p w:rsidR="00000000" w:rsidRDefault="004E30E9">
            <w:pPr>
              <w:pStyle w:val="a3"/>
              <w:spacing w:before="0" w:beforeAutospacing="0" w:after="0" w:afterAutospacing="0"/>
              <w:jc w:val="center"/>
              <w:rPr>
                <w:sz w:val="20"/>
                <w:szCs w:val="20"/>
              </w:rPr>
            </w:pPr>
            <w:hyperlink w:anchor="finnotes" w:history="1">
              <w:r>
                <w:rPr>
                  <w:rStyle w:val="a4"/>
                  <w:sz w:val="20"/>
                  <w:szCs w:val="20"/>
                </w:rPr>
                <w:t>57</w:t>
              </w:r>
            </w:hyperlink>
          </w:p>
        </w:tc>
      </w:tr>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pStyle w:val="a3"/>
              <w:spacing w:before="0" w:beforeAutospacing="0" w:after="0" w:afterAutospacing="0"/>
              <w:rPr>
                <w:sz w:val="20"/>
                <w:szCs w:val="20"/>
              </w:rPr>
            </w:pPr>
            <w:r>
              <w:rPr>
                <w:sz w:val="20"/>
                <w:szCs w:val="20"/>
              </w:rPr>
              <w:t>Financial Statement Schedules:</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550" w:type="pct"/>
            <w:gridSpan w:val="2"/>
            <w:hideMark/>
          </w:tcPr>
          <w:p w:rsidR="00000000" w:rsidRDefault="004E30E9">
            <w:pPr>
              <w:rPr>
                <w:rFonts w:eastAsia="Times New Roman"/>
                <w:sz w:val="20"/>
                <w:szCs w:val="20"/>
              </w:rPr>
            </w:pPr>
            <w:r>
              <w:rPr>
                <w:rFonts w:eastAsia="Times New Roman"/>
                <w:sz w:val="20"/>
                <w:szCs w:val="20"/>
              </w:rPr>
              <w:t> </w:t>
            </w:r>
          </w:p>
        </w:tc>
        <w:tc>
          <w:tcPr>
            <w:tcW w:w="4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775" w:type="pct"/>
            <w:hideMark/>
          </w:tcPr>
          <w:p w:rsidR="00000000" w:rsidRDefault="004E30E9">
            <w:pPr>
              <w:pStyle w:val="a3"/>
              <w:spacing w:before="0" w:beforeAutospacing="0" w:after="0" w:afterAutospacing="0"/>
              <w:ind w:left="1080"/>
              <w:rPr>
                <w:sz w:val="20"/>
                <w:szCs w:val="20"/>
              </w:rPr>
            </w:pPr>
            <w:r>
              <w:rPr>
                <w:sz w:val="20"/>
                <w:szCs w:val="20"/>
              </w:rPr>
              <w:t>II.</w:t>
            </w:r>
          </w:p>
        </w:tc>
        <w:tc>
          <w:tcPr>
            <w:tcW w:w="3775" w:type="pct"/>
            <w:hideMark/>
          </w:tcPr>
          <w:p w:rsidR="00000000" w:rsidRDefault="004E30E9">
            <w:pPr>
              <w:pStyle w:val="a3"/>
              <w:spacing w:before="0" w:beforeAutospacing="0" w:after="0" w:afterAutospacing="0"/>
              <w:rPr>
                <w:sz w:val="20"/>
                <w:szCs w:val="20"/>
              </w:rPr>
            </w:pPr>
            <w:hyperlink w:anchor="scheduleii" w:history="1">
              <w:r>
                <w:rPr>
                  <w:rStyle w:val="a4"/>
                  <w:sz w:val="20"/>
                  <w:szCs w:val="20"/>
                </w:rPr>
                <w:t>Valuation and Qualifying Accounts years ended December 31, 2020, 2019 and 2018</w:t>
              </w:r>
            </w:hyperlink>
          </w:p>
        </w:tc>
        <w:tc>
          <w:tcPr>
            <w:tcW w:w="450" w:type="pct"/>
            <w:vAlign w:val="bottom"/>
            <w:hideMark/>
          </w:tcPr>
          <w:p w:rsidR="00000000" w:rsidRDefault="004E30E9">
            <w:pPr>
              <w:pStyle w:val="a3"/>
              <w:spacing w:before="0" w:beforeAutospacing="0" w:after="0" w:afterAutospacing="0"/>
              <w:jc w:val="center"/>
              <w:rPr>
                <w:sz w:val="20"/>
                <w:szCs w:val="20"/>
              </w:rPr>
            </w:pPr>
            <w:hyperlink w:anchor="scheduleii" w:history="1">
              <w:r>
                <w:rPr>
                  <w:rStyle w:val="a4"/>
                  <w:sz w:val="20"/>
                  <w:szCs w:val="20"/>
                </w:rPr>
                <w:t>96</w:t>
              </w:r>
            </w:hyperlink>
          </w:p>
        </w:tc>
      </w:tr>
      <w:tr w:rsidR="00000000">
        <w:trPr>
          <w:tblCellSpacing w:w="0" w:type="dxa"/>
        </w:trPr>
        <w:tc>
          <w:tcPr>
            <w:tcW w:w="775" w:type="pct"/>
            <w:hideMark/>
          </w:tcPr>
          <w:p w:rsidR="00000000" w:rsidRDefault="004E30E9">
            <w:pPr>
              <w:pStyle w:val="a3"/>
              <w:spacing w:before="0" w:beforeAutospacing="0" w:after="0" w:afterAutospacing="0"/>
              <w:ind w:left="1080"/>
              <w:rPr>
                <w:sz w:val="20"/>
                <w:szCs w:val="20"/>
              </w:rPr>
            </w:pPr>
            <w:r>
              <w:rPr>
                <w:sz w:val="20"/>
                <w:szCs w:val="20"/>
              </w:rPr>
              <w:t>III.</w:t>
            </w:r>
          </w:p>
        </w:tc>
        <w:tc>
          <w:tcPr>
            <w:tcW w:w="3775" w:type="pct"/>
            <w:hideMark/>
          </w:tcPr>
          <w:p w:rsidR="00000000" w:rsidRDefault="004E30E9">
            <w:pPr>
              <w:pStyle w:val="a3"/>
              <w:spacing w:before="0" w:beforeAutospacing="0" w:after="0" w:afterAutospacing="0"/>
              <w:rPr>
                <w:sz w:val="20"/>
                <w:szCs w:val="20"/>
              </w:rPr>
            </w:pPr>
            <w:hyperlink w:anchor="sched3" w:history="1">
              <w:r>
                <w:rPr>
                  <w:rStyle w:val="a4"/>
                  <w:sz w:val="20"/>
                  <w:szCs w:val="20"/>
                </w:rPr>
                <w:t>Real Estate and Accumulated Depreciation as of December 31, 2020</w:t>
              </w:r>
            </w:hyperlink>
          </w:p>
        </w:tc>
        <w:tc>
          <w:tcPr>
            <w:tcW w:w="450" w:type="pct"/>
            <w:vAlign w:val="bottom"/>
            <w:hideMark/>
          </w:tcPr>
          <w:p w:rsidR="00000000" w:rsidRDefault="004E30E9">
            <w:pPr>
              <w:pStyle w:val="a3"/>
              <w:spacing w:before="0" w:beforeAutospacing="0" w:after="0" w:afterAutospacing="0"/>
              <w:jc w:val="center"/>
              <w:rPr>
                <w:sz w:val="20"/>
                <w:szCs w:val="20"/>
              </w:rPr>
            </w:pPr>
            <w:hyperlink w:anchor="sched3" w:history="1">
              <w:r>
                <w:rPr>
                  <w:rStyle w:val="a4"/>
                  <w:sz w:val="20"/>
                  <w:szCs w:val="20"/>
                </w:rPr>
                <w:t>97</w:t>
              </w:r>
            </w:hyperlink>
          </w:p>
        </w:tc>
      </w:tr>
      <w:tr w:rsidR="00000000">
        <w:trPr>
          <w:tblCellSpacing w:w="0" w:type="dxa"/>
        </w:trPr>
        <w:tc>
          <w:tcPr>
            <w:tcW w:w="775" w:type="pct"/>
            <w:hideMark/>
          </w:tcPr>
          <w:p w:rsidR="00000000" w:rsidRDefault="004E30E9">
            <w:pPr>
              <w:pStyle w:val="a3"/>
              <w:spacing w:before="0" w:beforeAutospacing="0" w:after="0" w:afterAutospacing="0"/>
              <w:ind w:left="1080"/>
              <w:rPr>
                <w:sz w:val="20"/>
                <w:szCs w:val="20"/>
              </w:rPr>
            </w:pPr>
            <w:r>
              <w:rPr>
                <w:sz w:val="20"/>
                <w:szCs w:val="20"/>
              </w:rPr>
              <w:t>IV.</w:t>
            </w:r>
          </w:p>
        </w:tc>
        <w:tc>
          <w:tcPr>
            <w:tcW w:w="3775" w:type="pct"/>
            <w:hideMark/>
          </w:tcPr>
          <w:p w:rsidR="00000000" w:rsidRDefault="004E30E9">
            <w:pPr>
              <w:pStyle w:val="a3"/>
              <w:spacing w:before="0" w:beforeAutospacing="0" w:after="0" w:afterAutospacing="0"/>
              <w:rPr>
                <w:sz w:val="20"/>
                <w:szCs w:val="20"/>
              </w:rPr>
            </w:pPr>
            <w:hyperlink w:anchor="sched4" w:history="1">
              <w:r>
                <w:rPr>
                  <w:rStyle w:val="a4"/>
                  <w:sz w:val="20"/>
                  <w:szCs w:val="20"/>
                </w:rPr>
                <w:t>Mortgage Loans on Real Estate as of December 31, 2020</w:t>
              </w:r>
            </w:hyperlink>
          </w:p>
        </w:tc>
        <w:tc>
          <w:tcPr>
            <w:tcW w:w="450" w:type="pct"/>
            <w:vAlign w:val="bottom"/>
            <w:hideMark/>
          </w:tcPr>
          <w:p w:rsidR="00000000" w:rsidRDefault="004E30E9">
            <w:pPr>
              <w:pStyle w:val="a3"/>
              <w:spacing w:before="0" w:beforeAutospacing="0" w:after="0" w:afterAutospacing="0"/>
              <w:jc w:val="center"/>
              <w:rPr>
                <w:sz w:val="20"/>
                <w:szCs w:val="20"/>
              </w:rPr>
            </w:pPr>
            <w:hyperlink w:anchor="sched4" w:history="1">
              <w:r>
                <w:rPr>
                  <w:rStyle w:val="a4"/>
                  <w:sz w:val="20"/>
                  <w:szCs w:val="20"/>
                </w:rPr>
                <w:t>99</w:t>
              </w:r>
            </w:hyperlink>
          </w:p>
        </w:tc>
      </w:tr>
    </w:tbl>
    <w:p w:rsidR="00000000" w:rsidRDefault="004E30E9">
      <w:pPr>
        <w:pStyle w:val="a3"/>
        <w:spacing w:before="0" w:beforeAutospacing="0" w:after="0" w:afterAutospacing="0"/>
        <w:ind w:firstLine="360"/>
        <w:rPr>
          <w:sz w:val="20"/>
          <w:szCs w:val="20"/>
        </w:rPr>
      </w:pPr>
      <w:r>
        <w:rPr>
          <w:sz w:val="20"/>
          <w:szCs w:val="20"/>
        </w:rPr>
        <w:t> </w:t>
      </w:r>
    </w:p>
    <w:p w:rsidR="00000000" w:rsidRDefault="004E30E9">
      <w:pPr>
        <w:jc w:val="center"/>
        <w:divId w:val="944046361"/>
        <w:rPr>
          <w:rFonts w:eastAsia="Times New Roman"/>
          <w:sz w:val="20"/>
          <w:szCs w:val="20"/>
        </w:rPr>
      </w:pPr>
      <w:r>
        <w:rPr>
          <w:rFonts w:eastAsia="Times New Roman"/>
          <w:sz w:val="20"/>
          <w:szCs w:val="20"/>
        </w:rPr>
        <w:t xml:space="preserve">49 </w:t>
      </w:r>
    </w:p>
    <w:p w:rsidR="00000000" w:rsidRDefault="004E30E9">
      <w:pPr>
        <w:divId w:val="1357580943"/>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4E30E9">
      <w:pPr>
        <w:divId w:val="33862800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540" w:right="240"/>
        <w:jc w:val="center"/>
        <w:rPr>
          <w:sz w:val="20"/>
          <w:szCs w:val="20"/>
        </w:rPr>
      </w:pPr>
      <w:r>
        <w:rPr>
          <w:b/>
          <w:bCs/>
          <w:sz w:val="20"/>
          <w:szCs w:val="20"/>
        </w:rPr>
        <w:t>Report of Independent Registered Public Accounting Firm</w:t>
      </w:r>
    </w:p>
    <w:p w:rsidR="00000000" w:rsidRDefault="004E30E9">
      <w:pPr>
        <w:pStyle w:val="a3"/>
        <w:spacing w:before="0" w:beforeAutospacing="0" w:after="0" w:afterAutospacing="0"/>
        <w:rPr>
          <w:sz w:val="20"/>
          <w:szCs w:val="20"/>
        </w:rPr>
      </w:pPr>
      <w:r>
        <w:rPr>
          <w:b/>
          <w:bCs/>
          <w:sz w:val="20"/>
          <w:szCs w:val="20"/>
        </w:rPr>
        <w:t> </w:t>
      </w:r>
    </w:p>
    <w:p w:rsidR="00000000" w:rsidRDefault="004E30E9">
      <w:pPr>
        <w:pStyle w:val="a3"/>
        <w:spacing w:before="0" w:beforeAutospacing="0" w:after="0" w:afterAutospacing="0"/>
        <w:rPr>
          <w:sz w:val="20"/>
          <w:szCs w:val="20"/>
        </w:rPr>
      </w:pPr>
      <w:r>
        <w:rPr>
          <w:sz w:val="20"/>
          <w:szCs w:val="20"/>
        </w:rPr>
        <w:t>To the Board of Directors and Stockholders</w:t>
      </w:r>
    </w:p>
    <w:p w:rsidR="00000000" w:rsidRDefault="004E30E9">
      <w:pPr>
        <w:pStyle w:val="a3"/>
        <w:spacing w:before="0" w:beforeAutospacing="0" w:after="0" w:afterAutospacing="0"/>
        <w:rPr>
          <w:sz w:val="20"/>
          <w:szCs w:val="20"/>
        </w:rPr>
      </w:pPr>
      <w:r>
        <w:rPr>
          <w:sz w:val="20"/>
          <w:szCs w:val="20"/>
        </w:rPr>
        <w:t>of Kimco Realty Corporation:</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b/>
          <w:bCs/>
          <w:i/>
          <w:iCs/>
          <w:sz w:val="20"/>
          <w:szCs w:val="20"/>
        </w:rPr>
        <w:t>Opinions on the Financial Statements and Internal Control over Financial Reporting</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 xml:space="preserve">We have audited the consolidated financial statements, including the related notes, as listed in </w:t>
      </w:r>
      <w:r>
        <w:rPr>
          <w:sz w:val="20"/>
          <w:szCs w:val="20"/>
        </w:rPr>
        <w:t>the index appearing under Item 15(a)(1), and the financial statement schedules listed in the index appearing under Item 15(a)(2), of Kimco Realty Corporation and its subsidiaries (the “Company”) (collectively referred to as the “consolidated financial stat</w:t>
      </w:r>
      <w:r>
        <w:rPr>
          <w:sz w:val="20"/>
          <w:szCs w:val="20"/>
        </w:rPr>
        <w:t>ements”). We also have audited the Company's internal control over financial reporting as of December 31, 2020, based on criteria established in Internal Control - Integrated Framework (2013) issued by the Committee of Sponsoring Organizations of the Tread</w:t>
      </w:r>
      <w:r>
        <w:rPr>
          <w:sz w:val="20"/>
          <w:szCs w:val="20"/>
        </w:rPr>
        <w:t>way Commission (COSO). </w:t>
      </w:r>
    </w:p>
    <w:p w:rsidR="00000000" w:rsidRDefault="004E30E9">
      <w:pPr>
        <w:pStyle w:val="a3"/>
        <w:spacing w:before="0" w:beforeAutospacing="0" w:after="0" w:afterAutospacing="0"/>
        <w:jc w:val="both"/>
        <w:rPr>
          <w:sz w:val="20"/>
          <w:szCs w:val="20"/>
        </w:rPr>
      </w:pPr>
      <w:r>
        <w:rPr>
          <w:sz w:val="20"/>
          <w:szCs w:val="20"/>
          <w:vertAlign w:val="superscript"/>
        </w:rPr>
        <w:t> </w:t>
      </w:r>
    </w:p>
    <w:p w:rsidR="00000000" w:rsidRDefault="004E30E9">
      <w:pPr>
        <w:pStyle w:val="a3"/>
        <w:spacing w:before="0" w:beforeAutospacing="0" w:after="0" w:afterAutospacing="0"/>
        <w:jc w:val="both"/>
        <w:rPr>
          <w:sz w:val="20"/>
          <w:szCs w:val="20"/>
        </w:rPr>
      </w:pPr>
      <w:r>
        <w:rPr>
          <w:sz w:val="20"/>
          <w:szCs w:val="20"/>
        </w:rPr>
        <w:t>In our opinion, the consolidated financial statements referred to above present fairly, in all material respects, the financial position of the Company as of December 31, 2020 and 2019, and the results of its operations and its cash flows for each of the t</w:t>
      </w:r>
      <w:r>
        <w:rPr>
          <w:sz w:val="20"/>
          <w:szCs w:val="20"/>
        </w:rPr>
        <w:t>hree years in the period ended December 31, 2020 in conformity with accounting principles generally accepted in the United States of America. Also in our opinion, the Company maintained, in all material respects, effective internal control over financial r</w:t>
      </w:r>
      <w:r>
        <w:rPr>
          <w:sz w:val="20"/>
          <w:szCs w:val="20"/>
        </w:rPr>
        <w:t>eporting as of December 31, 2020, based on criteria established in Internal Control - Integrated Framework (2013) issued by the COSO.</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b/>
          <w:bCs/>
          <w:i/>
          <w:iCs/>
          <w:sz w:val="20"/>
          <w:szCs w:val="20"/>
        </w:rPr>
        <w:t>Basis for Opinions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The Company's management is responsible for these consolidated financial statements, for maintainin</w:t>
      </w:r>
      <w:r>
        <w:rPr>
          <w:sz w:val="20"/>
          <w:szCs w:val="20"/>
        </w:rPr>
        <w:t>g effective internal control over financial reporting, and for its assessment of the effectiveness of internal control over financial reporting, included in Management’s Report on Internal Control Over Financial Reporting appearing under Item 9A. Our respo</w:t>
      </w:r>
      <w:r>
        <w:rPr>
          <w:sz w:val="20"/>
          <w:szCs w:val="20"/>
        </w:rPr>
        <w:t xml:space="preserve">nsibility is to express opinions on the Company’s consolidated financial statements and on the Company's internal control over financial reporting based on our audits. We are a public accounting firm registered with the Public Company Accounting Oversight </w:t>
      </w:r>
      <w:r>
        <w:rPr>
          <w:sz w:val="20"/>
          <w:szCs w:val="20"/>
        </w:rPr>
        <w:t>Board (United States) (PCAOB) and are required to be independent with respect to the Company in accordance with the U.S. federal securities laws and the applicable rules and regulations of the Securities and Exchange Commission and the PCAOB.</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We conducte</w:t>
      </w:r>
      <w:r>
        <w:rPr>
          <w:sz w:val="20"/>
          <w:szCs w:val="20"/>
        </w:rPr>
        <w:t>d our audits in accordance with the standards of the PCAOB. Those standards require that we plan and perform the audits to obtain reasonable assurance about whether the consolidated financial statements are free of material misstatement, whether due to err</w:t>
      </w:r>
      <w:r>
        <w:rPr>
          <w:sz w:val="20"/>
          <w:szCs w:val="20"/>
        </w:rPr>
        <w:t>or or fraud, and whether effective internal control over financial reporting was maintained in all material respects.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Our audits of the consolidated financial statements included performing procedures to assess the risks of material misstatement of the c</w:t>
      </w:r>
      <w:r>
        <w:rPr>
          <w:sz w:val="20"/>
          <w:szCs w:val="20"/>
        </w:rPr>
        <w:t>onsolidated financial statements, whether due to error or fraud, and performing procedures that respond to those risks. Such procedures included examining, on a test basis, evidence regarding the amounts and disclosures in the consolidated financial statem</w:t>
      </w:r>
      <w:r>
        <w:rPr>
          <w:sz w:val="20"/>
          <w:szCs w:val="20"/>
        </w:rPr>
        <w:t>ents. Our audits also included evaluating the accounting principles used and significant estimates made by management, as well as evaluating the overall presentation of the consolidated financial statements. Our audit of internal control over financial rep</w:t>
      </w:r>
      <w:r>
        <w:rPr>
          <w:sz w:val="20"/>
          <w:szCs w:val="20"/>
        </w:rPr>
        <w:t>orting included obtaining an understanding of internal control over financial reporting, assessing the risk that a material weakness exists, and testing and evaluating the design and operating effectiveness of internal control based on the assessed risk. O</w:t>
      </w:r>
      <w:r>
        <w:rPr>
          <w:sz w:val="20"/>
          <w:szCs w:val="20"/>
        </w:rPr>
        <w:t>ur audits also included performing such other procedures as we considered necessary in the circumstances. We believe that our audits provide a reasonable basis for our opinions.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b/>
          <w:bCs/>
          <w:i/>
          <w:iCs/>
          <w:sz w:val="20"/>
          <w:szCs w:val="20"/>
        </w:rPr>
        <w:t>Definition and Limitations of Internal Control over Financial Reporting</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 xml:space="preserve">A </w:t>
      </w:r>
      <w:r>
        <w:rPr>
          <w:sz w:val="20"/>
          <w:szCs w:val="20"/>
        </w:rPr>
        <w:t>company’s internal control over financial reporting is a process designed to provide reasonable assurance regarding the reliability of financial reporting and the preparation of financial statements for external purposes in accordance with generally accept</w:t>
      </w:r>
      <w:r>
        <w:rPr>
          <w:sz w:val="20"/>
          <w:szCs w:val="20"/>
        </w:rPr>
        <w:t>ed accounting principles. A company’s internal control over financial reporting includes those policies and procedures that (i) pertain to the maintenance of records that, in reasonable detail, accurately and fairly reflect the transactions and disposition</w:t>
      </w:r>
      <w:r>
        <w:rPr>
          <w:sz w:val="20"/>
          <w:szCs w:val="20"/>
        </w:rPr>
        <w:t>s of the assets of the company; (ii) provide reasonable assurance that transactions are recorded as necessary to permit preparation of financial statements in accordance with generally accepted accounting principles, and that receipts and expenditures of t</w:t>
      </w:r>
      <w:r>
        <w:rPr>
          <w:sz w:val="20"/>
          <w:szCs w:val="20"/>
        </w:rPr>
        <w:t>he company are being made only in accordance with authorizations of management and directors of the company; and (iii) provide reasonable assurance regarding prevention or timely detection of unauthorized acquisition, use, or disposition of the company’s a</w:t>
      </w:r>
      <w:r>
        <w:rPr>
          <w:sz w:val="20"/>
          <w:szCs w:val="20"/>
        </w:rPr>
        <w:t>ssets that could have a material effect on the financial statements.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Because of its inherent limitations, internal control over financial reporting may not prevent or detect misstatements. Also, projections of any evaluation of effectiveness to future pe</w:t>
      </w:r>
      <w:r>
        <w:rPr>
          <w:sz w:val="20"/>
          <w:szCs w:val="20"/>
        </w:rPr>
        <w:t>riods are subject to the risk that controls may become inadequate because of changes in conditions, or that the degree of compliance with the policies or procedures may deteriorate.</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b/>
          <w:bCs/>
          <w:i/>
          <w:iCs/>
          <w:sz w:val="20"/>
          <w:szCs w:val="20"/>
        </w:rPr>
        <w:t>Critical Audit Matters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The critical audit matters communicated below a</w:t>
      </w:r>
      <w:r>
        <w:rPr>
          <w:sz w:val="20"/>
          <w:szCs w:val="20"/>
        </w:rPr>
        <w:t>re matters arising from the current period audit of the consolidated financial statements that were communicated or required to be communicated to the audit committee and that (i) relate to accounts or disclosures that are material to the consolidated fina</w:t>
      </w:r>
      <w:r>
        <w:rPr>
          <w:sz w:val="20"/>
          <w:szCs w:val="20"/>
        </w:rPr>
        <w:t>ncial statements and (ii) involved our especially challenging, subjective, or complex judgments. The communication of critical audit matters does not alter in any way our opinion on the consolidated financial statements, taken as a whole, and we are not, b</w:t>
      </w:r>
      <w:r>
        <w:rPr>
          <w:sz w:val="20"/>
          <w:szCs w:val="20"/>
        </w:rPr>
        <w:t>y communicating the critical audit matters below, providing separate opinions on the critical audit matters or on the accounts or disclosures to which they relate.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Analysis of Real Estate Properties for Indicators of Impairment</w:t>
      </w:r>
      <w:r>
        <w:rPr>
          <w:i/>
          <w:iCs/>
          <w:sz w:val="20"/>
          <w:szCs w:val="20"/>
        </w:rPr>
        <w:t xml:space="preserve"> </w:t>
      </w:r>
      <w:r>
        <w:rPr>
          <w:i/>
          <w:iCs/>
          <w:sz w:val="20"/>
          <w:szCs w:val="20"/>
          <w:vertAlign w:val="superscript"/>
        </w:rPr>
        <w:t>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As described in Notes</w:t>
      </w:r>
      <w:r>
        <w:rPr>
          <w:sz w:val="20"/>
          <w:szCs w:val="20"/>
        </w:rPr>
        <w:t xml:space="preserve"> 1 and 6 to the consolidated financial statements, the net carrying value of the Company’s real estate, net was $9.3 billion. On a continuous basis, management assesses whether there are indicators, including property operating performance, changes in anti</w:t>
      </w:r>
      <w:r>
        <w:rPr>
          <w:sz w:val="20"/>
          <w:szCs w:val="20"/>
        </w:rPr>
        <w:t>cipated holding period, and general market conditions, that the value of the Company’s real estate properties may be impaired. An impairment is recognized on properties held for use when the expected undiscounted cash flows for a property are less than its</w:t>
      </w:r>
      <w:r>
        <w:rPr>
          <w:sz w:val="20"/>
          <w:szCs w:val="20"/>
        </w:rPr>
        <w:t xml:space="preserve"> carrying amount, at which time, the property is written-down to its estimated fair value.</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490945160"/>
        <w:rPr>
          <w:rFonts w:eastAsia="Times New Roman"/>
          <w:sz w:val="20"/>
          <w:szCs w:val="20"/>
        </w:rPr>
      </w:pPr>
      <w:r>
        <w:rPr>
          <w:rFonts w:eastAsia="Times New Roman"/>
          <w:sz w:val="20"/>
          <w:szCs w:val="20"/>
        </w:rPr>
        <w:t xml:space="preserve">50 </w:t>
      </w:r>
    </w:p>
    <w:p w:rsidR="00000000" w:rsidRDefault="004E30E9">
      <w:pPr>
        <w:divId w:val="946277660"/>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4E30E9">
      <w:pPr>
        <w:divId w:val="207928034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The principal considerations for our determination that performing procedures relating to the analysis of real estate properties for indicators of impairment of property carrying values is a critical audit matter are (i) the significant judgment by managem</w:t>
      </w:r>
      <w:r>
        <w:rPr>
          <w:sz w:val="20"/>
          <w:szCs w:val="20"/>
        </w:rPr>
        <w:t xml:space="preserve">ent to identify indicators of impairment related to property operating performance, changes in anticipated holding period, and general market conditions which led to (ii) a high degree of auditor judgment, subjectivity, and effort in performing procedures </w:t>
      </w:r>
      <w:r>
        <w:rPr>
          <w:sz w:val="20"/>
          <w:szCs w:val="20"/>
        </w:rPr>
        <w:t>and evaluating audit evidence related to management’s determination of impairment indicators related to property operating performance, changes in anticipated holding period, and general market conditions.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Addressing the matter involved performing proced</w:t>
      </w:r>
      <w:r>
        <w:rPr>
          <w:sz w:val="20"/>
          <w:szCs w:val="20"/>
        </w:rPr>
        <w:t>ures and evaluating audit evidence in connection with forming our overall opinion on the consolidated financial statements. These procedures included testing the effectiveness of controls relating to management’s analysis of real estate properties for indi</w:t>
      </w:r>
      <w:r>
        <w:rPr>
          <w:sz w:val="20"/>
          <w:szCs w:val="20"/>
        </w:rPr>
        <w:t>cators of impairment. These procedures also included, among others (i) testing management’s process for identifying real estate properties for indicators of impairment, (ii) evaluating the appropriateness of management’s undiscounted cash flow analysis, (i</w:t>
      </w:r>
      <w:r>
        <w:rPr>
          <w:sz w:val="20"/>
          <w:szCs w:val="20"/>
        </w:rPr>
        <w:t>ii) testing the underlying data used in the analysis, and (iv) evaluating the reasonableness of management’s determination of impairment indicators related to property operating performance, changes in anticipated holding period, and general market conditi</w:t>
      </w:r>
      <w:r>
        <w:rPr>
          <w:sz w:val="20"/>
          <w:szCs w:val="20"/>
        </w:rPr>
        <w:t xml:space="preserve">ons. Evaluating the reasonableness of management’s determination of impairment indicators included (i) evaluating property operating performance and management’s intent with respect to holding or disposing of properties, (ii) evaluating the consistency of </w:t>
      </w:r>
      <w:r>
        <w:rPr>
          <w:sz w:val="20"/>
          <w:szCs w:val="20"/>
        </w:rPr>
        <w:t>the sales prices utilized by management with external market and industry data, and (iii) assessing management’s considerations of general market conditions.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i/>
          <w:iCs/>
          <w:sz w:val="20"/>
          <w:szCs w:val="20"/>
        </w:rPr>
        <w:t>Estimate of Collectability of Accounts Receivable, Including the Corresponding Straight-Line Ren</w:t>
      </w:r>
      <w:r>
        <w:rPr>
          <w:i/>
          <w:iCs/>
          <w:sz w:val="20"/>
          <w:szCs w:val="20"/>
        </w:rPr>
        <w:t>t Receivable</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As described in Notes 1 and 11 to the consolidated financial statements, the Company's accounts receivable and notes receivable, net of $219.2 million as of December 31, 2020, including the corresponding straight- line rent receivable, was r</w:t>
      </w:r>
      <w:r>
        <w:rPr>
          <w:sz w:val="20"/>
          <w:szCs w:val="20"/>
        </w:rPr>
        <w:t xml:space="preserve">educed by $81.0 million during the year associated with potentially uncollectible receivables, which included $15.2 million for straight-line rent receivables. The Company’s analysis of its accounts receivable included (i) customer credit worthiness, (ii) </w:t>
      </w:r>
      <w:r>
        <w:rPr>
          <w:sz w:val="20"/>
          <w:szCs w:val="20"/>
        </w:rPr>
        <w:t>assessment of risk associated with the tenant, and (iii) current economic trends. If a lessee’s accounts receivable balance is considered uncollectible, the Company will write-off the receivable balances associated with the lease and will only recognize le</w:t>
      </w:r>
      <w:r>
        <w:rPr>
          <w:sz w:val="20"/>
          <w:szCs w:val="20"/>
        </w:rPr>
        <w:t>ase income on a cash basis. This analysis also recognizes a general reserve, as a reduction to revenues from rental properties, for its portfolio of operating lease receivables which are not expected to be fully collectible based on the Company’s historica</w:t>
      </w:r>
      <w:r>
        <w:rPr>
          <w:sz w:val="20"/>
          <w:szCs w:val="20"/>
        </w:rPr>
        <w:t>l and current collection experience and the potential for settlement of arrears.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The principal considerations for our determination that performing procedures relating to the estimate of the collectability of accounts receivable, including the correspond</w:t>
      </w:r>
      <w:r>
        <w:rPr>
          <w:sz w:val="20"/>
          <w:szCs w:val="20"/>
        </w:rPr>
        <w:t>ing straight-line rent receivable, is a critical audit matter is (i) the significant judgment by management when determining the estimate of collectability of accounts receivable, including the corresponding straight-line rent receivable, which led to (ii)</w:t>
      </w:r>
      <w:r>
        <w:rPr>
          <w:sz w:val="20"/>
          <w:szCs w:val="20"/>
        </w:rPr>
        <w:t xml:space="preserve"> a high degree of auditor judgment, subjectivity, and effort in performing procedures and evaluating audit evidence relating to management’s analysis of the customer credit worthiness, risk associated with the tenant, and current economic trends.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Address</w:t>
      </w:r>
      <w:r>
        <w:rPr>
          <w:sz w:val="20"/>
          <w:szCs w:val="20"/>
        </w:rPr>
        <w:t>ing the matter involved performing procedures and evaluating audit evidence in connection with forming our overall opinion on the consolidated financial statements. These procedures included testing the effectiveness of controls relating to the estimate of</w:t>
      </w:r>
      <w:r>
        <w:rPr>
          <w:sz w:val="20"/>
          <w:szCs w:val="20"/>
        </w:rPr>
        <w:t xml:space="preserve"> collectability of accounts receivable, including the corresponding straight-line rent receivable. These procedures also included, among others (i) testing management’s process for determining the estimate of the collectability of accounts receivable, incl</w:t>
      </w:r>
      <w:r>
        <w:rPr>
          <w:sz w:val="20"/>
          <w:szCs w:val="20"/>
        </w:rPr>
        <w:t>uding the corresponding straight-line rent receivables, (ii) evaluating the appropriateness of the method, (iii) evaluating the reasonableness of the customer credit worthiness, risk associated with the tenant, and current economic trends used by managemen</w:t>
      </w:r>
      <w:r>
        <w:rPr>
          <w:sz w:val="20"/>
          <w:szCs w:val="20"/>
        </w:rPr>
        <w:t>t when evaluating the probability of the collection of the lessee’s total accounts receivable, including the corresponding straight-line rent receivable, and (iv) testing the underlying data used in the estimate. Evaluating the reasonableness of the custom</w:t>
      </w:r>
      <w:r>
        <w:rPr>
          <w:sz w:val="20"/>
          <w:szCs w:val="20"/>
        </w:rPr>
        <w:t>er credit worthiness, risk associated with the tenant, and current economic trends involved evaluating whether they were reasonable considering (i) the current and past performance of the tenant and the customer credit; and (ii) the consistency with extern</w:t>
      </w:r>
      <w:r>
        <w:rPr>
          <w:sz w:val="20"/>
          <w:szCs w:val="20"/>
        </w:rPr>
        <w:t>al market and industry data.</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/s/ PricewaterhouseCoopers LLP</w:t>
      </w:r>
    </w:p>
    <w:p w:rsidR="00000000" w:rsidRDefault="004E30E9">
      <w:pPr>
        <w:pStyle w:val="a3"/>
        <w:spacing w:before="0" w:beforeAutospacing="0" w:after="0" w:afterAutospacing="0"/>
        <w:jc w:val="both"/>
        <w:rPr>
          <w:sz w:val="20"/>
          <w:szCs w:val="20"/>
        </w:rPr>
      </w:pPr>
      <w:r>
        <w:rPr>
          <w:sz w:val="20"/>
          <w:szCs w:val="20"/>
        </w:rPr>
        <w:t>New York, New York</w:t>
      </w:r>
    </w:p>
    <w:p w:rsidR="00000000" w:rsidRDefault="004E30E9">
      <w:pPr>
        <w:pStyle w:val="a3"/>
        <w:spacing w:before="0" w:beforeAutospacing="0" w:after="0" w:afterAutospacing="0"/>
        <w:jc w:val="both"/>
        <w:rPr>
          <w:sz w:val="20"/>
          <w:szCs w:val="20"/>
        </w:rPr>
      </w:pPr>
      <w:r>
        <w:rPr>
          <w:sz w:val="20"/>
          <w:szCs w:val="20"/>
        </w:rPr>
        <w:t>February 23, 2021</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rPr>
        <w:t>We have served as the Company’s auditor since at least 1991.We have not been able to determine the specific year we began serving as auditor of the Compa</w:t>
      </w:r>
      <w:r>
        <w:rPr>
          <w:sz w:val="20"/>
          <w:szCs w:val="20"/>
        </w:rPr>
        <w:t>ny.</w:t>
      </w:r>
    </w:p>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140584504"/>
        <w:rPr>
          <w:rFonts w:eastAsia="Times New Roman"/>
          <w:sz w:val="20"/>
          <w:szCs w:val="20"/>
        </w:rPr>
      </w:pPr>
      <w:r>
        <w:rPr>
          <w:rFonts w:eastAsia="Times New Roman"/>
          <w:sz w:val="20"/>
          <w:szCs w:val="20"/>
        </w:rPr>
        <w:t xml:space="preserve">51 </w:t>
      </w:r>
    </w:p>
    <w:p w:rsidR="00000000" w:rsidRDefault="004E30E9">
      <w:pPr>
        <w:divId w:val="1049571573"/>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4E30E9">
      <w:pPr>
        <w:divId w:val="126419285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divId w:val="1042752226"/>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KIMCO REALTY CORPORATION AND SUBSIDIARIES</w:t>
      </w:r>
    </w:p>
    <w:p w:rsidR="00000000" w:rsidRDefault="004E30E9">
      <w:pPr>
        <w:pStyle w:val="a3"/>
        <w:spacing w:before="0" w:beforeAutospacing="0" w:after="0" w:afterAutospacing="0"/>
        <w:jc w:val="center"/>
        <w:rPr>
          <w:sz w:val="20"/>
          <w:szCs w:val="20"/>
        </w:rPr>
      </w:pPr>
      <w:r>
        <w:rPr>
          <w:sz w:val="20"/>
          <w:szCs w:val="20"/>
        </w:rPr>
        <w:t>CONSOLIDATED BALANCE SHEETS</w:t>
      </w:r>
    </w:p>
    <w:p w:rsidR="00000000" w:rsidRDefault="004E30E9">
      <w:pPr>
        <w:pStyle w:val="a3"/>
        <w:spacing w:before="0" w:beforeAutospacing="0" w:after="0" w:afterAutospacing="0"/>
        <w:jc w:val="center"/>
        <w:rPr>
          <w:sz w:val="20"/>
          <w:szCs w:val="20"/>
        </w:rPr>
      </w:pPr>
      <w:r>
        <w:rPr>
          <w:sz w:val="20"/>
          <w:szCs w:val="20"/>
        </w:rPr>
        <w:t>(in thousands, except share data)</w:t>
      </w:r>
    </w:p>
    <w:p w:rsidR="00000000" w:rsidRDefault="004E30E9">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98057085"/>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35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Real estate:</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720"/>
              <w:rPr>
                <w:sz w:val="20"/>
                <w:szCs w:val="20"/>
              </w:rPr>
            </w:pPr>
            <w:r>
              <w:rPr>
                <w:sz w:val="20"/>
                <w:szCs w:val="20"/>
              </w:rPr>
              <w:t>Land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2,781,888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2,788,155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ind w:left="720"/>
              <w:rPr>
                <w:sz w:val="20"/>
                <w:szCs w:val="20"/>
              </w:rPr>
            </w:pPr>
            <w:r>
              <w:rPr>
                <w:sz w:val="20"/>
                <w:szCs w:val="20"/>
              </w:rPr>
              <w:t>Building and improvements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9,281,267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8,920,951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720"/>
              <w:rPr>
                <w:sz w:val="20"/>
                <w:szCs w:val="20"/>
              </w:rPr>
            </w:pPr>
            <w:r>
              <w:rPr>
                <w:sz w:val="20"/>
                <w:szCs w:val="20"/>
              </w:rPr>
              <w:t>Real estate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12,063,155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11,709,106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ind w:left="720"/>
              <w:rPr>
                <w:sz w:val="20"/>
                <w:szCs w:val="20"/>
              </w:rPr>
            </w:pPr>
            <w:r>
              <w:rPr>
                <w:sz w:val="20"/>
                <w:szCs w:val="20"/>
              </w:rPr>
              <w:t>Less: accumulated depreciation and amortization</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(2,717,114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(2,500,053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Total real estate,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9,346,041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9,209,053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Real estate under development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220,170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590,694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578,118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Other real estate investments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117,140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194,400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Cash and cash equivalents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293,188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123,947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Marketable securities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9,353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Accounts and notes receivable,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219,248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218,689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Deferred charges and prepaid expenses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135,967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150,330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Operating lease right-of-use assets,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102,369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99,125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97,225</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194,682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assets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11,614,498</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10,997,867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Liabilities: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Notes payable,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5,044,208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4,831,759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Mortgages and construction loan payable,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311,272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484,008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Accounts payable and accrued expenses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146,457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170,082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Dividends payable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126,274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Operating lease liabilities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96,619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92,711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324,538</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346,183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liabilities (2)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5,928,460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6,051,017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Redeemable noncontrolling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15,784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17,943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Commitments and contingencies (Footnote 20)</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Stockholders' equity:</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 xml:space="preserve">Preferred stock, </w:t>
            </w:r>
            <w:r>
              <w:rPr>
                <w:sz w:val="20"/>
                <w:szCs w:val="20"/>
              </w:rPr>
              <w:t>$</w:t>
            </w:r>
            <w:r>
              <w:rPr>
                <w:sz w:val="20"/>
                <w:szCs w:val="20"/>
              </w:rPr>
              <w:t>1.0</w:t>
            </w:r>
            <w:r>
              <w:rPr>
                <w:sz w:val="20"/>
                <w:szCs w:val="20"/>
              </w:rPr>
              <w:t>0</w:t>
            </w:r>
            <w:r>
              <w:rPr>
                <w:sz w:val="20"/>
                <w:szCs w:val="20"/>
              </w:rPr>
              <w:t xml:space="preserve"> par value, authorized</w:t>
            </w:r>
            <w:r>
              <w:rPr>
                <w:sz w:val="20"/>
                <w:szCs w:val="20"/>
              </w:rPr>
              <w:t xml:space="preserve"> </w:t>
            </w:r>
            <w:r>
              <w:rPr>
                <w:sz w:val="20"/>
                <w:szCs w:val="20"/>
              </w:rPr>
              <w:t>7,054,00</w:t>
            </w:r>
            <w:r>
              <w:rPr>
                <w:sz w:val="20"/>
                <w:szCs w:val="20"/>
              </w:rPr>
              <w:t>0</w:t>
            </w:r>
            <w:r>
              <w:rPr>
                <w:sz w:val="20"/>
                <w:szCs w:val="20"/>
              </w:rPr>
              <w:t xml:space="preserve"> </w:t>
            </w:r>
            <w:r>
              <w:rPr>
                <w:sz w:val="20"/>
                <w:szCs w:val="20"/>
              </w:rPr>
              <w:t>shares; Issued and outstanding (in series)</w:t>
            </w:r>
            <w:r>
              <w:rPr>
                <w:sz w:val="20"/>
                <w:szCs w:val="20"/>
              </w:rPr>
              <w:t xml:space="preserve"> </w:t>
            </w:r>
            <w:r>
              <w:rPr>
                <w:sz w:val="20"/>
                <w:szCs w:val="20"/>
              </w:rPr>
              <w:t>19,58</w:t>
            </w:r>
            <w:r>
              <w:rPr>
                <w:sz w:val="20"/>
                <w:szCs w:val="20"/>
              </w:rPr>
              <w:t>0</w:t>
            </w:r>
            <w:r>
              <w:rPr>
                <w:sz w:val="20"/>
                <w:szCs w:val="20"/>
              </w:rPr>
              <w:t xml:space="preserve"> shares; Aggregate liquidation preference </w:t>
            </w:r>
            <w:r>
              <w:rPr>
                <w:sz w:val="20"/>
                <w:szCs w:val="20"/>
              </w:rPr>
              <w:t>$</w:t>
            </w:r>
            <w:r>
              <w:rPr>
                <w:sz w:val="20"/>
                <w:szCs w:val="20"/>
              </w:rPr>
              <w:t>489,50</w:t>
            </w:r>
            <w:r>
              <w:rPr>
                <w:sz w:val="20"/>
                <w:szCs w:val="20"/>
              </w:rPr>
              <w:t>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 xml:space="preserve">Common stock, </w:t>
            </w:r>
            <w:r>
              <w:rPr>
                <w:sz w:val="20"/>
                <w:szCs w:val="20"/>
              </w:rPr>
              <w:t>$</w:t>
            </w:r>
            <w:r>
              <w:rPr>
                <w:sz w:val="20"/>
                <w:szCs w:val="20"/>
              </w:rPr>
              <w:t>.0</w:t>
            </w:r>
            <w:r>
              <w:rPr>
                <w:sz w:val="20"/>
                <w:szCs w:val="20"/>
              </w:rPr>
              <w:t>1</w:t>
            </w:r>
            <w:r>
              <w:rPr>
                <w:sz w:val="20"/>
                <w:szCs w:val="20"/>
              </w:rPr>
              <w:t xml:space="preserve"> par value, authorized</w:t>
            </w:r>
            <w:r>
              <w:rPr>
                <w:sz w:val="20"/>
                <w:szCs w:val="20"/>
              </w:rPr>
              <w:t xml:space="preserve"> </w:t>
            </w:r>
            <w:r>
              <w:rPr>
                <w:sz w:val="20"/>
                <w:szCs w:val="20"/>
              </w:rPr>
              <w:t>750,000,00</w:t>
            </w:r>
            <w:r>
              <w:rPr>
                <w:sz w:val="20"/>
                <w:szCs w:val="20"/>
              </w:rPr>
              <w:t>0</w:t>
            </w:r>
            <w:r>
              <w:rPr>
                <w:sz w:val="20"/>
                <w:szCs w:val="20"/>
              </w:rPr>
              <w:t xml:space="preserve"> shares; issued and outstanding</w:t>
            </w:r>
            <w:r>
              <w:rPr>
                <w:sz w:val="20"/>
                <w:szCs w:val="20"/>
              </w:rPr>
              <w:t xml:space="preserve"> </w:t>
            </w:r>
            <w:r>
              <w:rPr>
                <w:sz w:val="20"/>
                <w:szCs w:val="20"/>
              </w:rPr>
              <w:t>432,518,74</w:t>
            </w:r>
            <w:r>
              <w:rPr>
                <w:sz w:val="20"/>
                <w:szCs w:val="20"/>
              </w:rPr>
              <w:t>3</w:t>
            </w:r>
            <w:r>
              <w:rPr>
                <w:sz w:val="20"/>
                <w:szCs w:val="20"/>
              </w:rPr>
              <w:t>, and</w:t>
            </w:r>
            <w:r>
              <w:rPr>
                <w:sz w:val="20"/>
                <w:szCs w:val="20"/>
              </w:rPr>
              <w:t xml:space="preserve"> </w:t>
            </w:r>
            <w:r>
              <w:rPr>
                <w:sz w:val="20"/>
                <w:szCs w:val="20"/>
              </w:rPr>
              <w:t>431,814,95</w:t>
            </w:r>
            <w:r>
              <w:rPr>
                <w:sz w:val="20"/>
                <w:szCs w:val="20"/>
              </w:rPr>
              <w:t>1</w:t>
            </w:r>
            <w:r>
              <w:rPr>
                <w:sz w:val="20"/>
                <w:szCs w:val="20"/>
              </w:rPr>
              <w:t xml:space="preserve"> shares, respectively</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4,325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4,318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Paid-in capital</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5,766,511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5,765,233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Cumulative distributions in excess of net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(162,812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(904,679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divId w:val="198057085"/>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stockholders' equity</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5,608,044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4,864,892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Noncontrolling interests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62,210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64,015</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equity</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5,670,254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4,928,907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8057085"/>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liabilities and equity</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11,614,498</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10,997,867</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rPr>
                <w:sz w:val="20"/>
                <w:szCs w:val="20"/>
              </w:rPr>
            </w:pPr>
            <w:r>
              <w:rPr>
                <w:sz w:val="20"/>
                <w:szCs w:val="20"/>
              </w:rPr>
              <w:t>(1)</w:t>
            </w:r>
          </w:p>
        </w:tc>
        <w:tc>
          <w:tcPr>
            <w:tcW w:w="0" w:type="auto"/>
            <w:hideMark/>
          </w:tcPr>
          <w:p w:rsidR="00000000" w:rsidRDefault="004E30E9">
            <w:pPr>
              <w:pStyle w:val="a3"/>
              <w:spacing w:before="0" w:beforeAutospacing="0" w:after="0" w:afterAutospacing="0"/>
              <w:rPr>
                <w:sz w:val="20"/>
                <w:szCs w:val="20"/>
              </w:rPr>
            </w:pPr>
            <w:r>
              <w:rPr>
                <w:sz w:val="20"/>
                <w:szCs w:val="20"/>
              </w:rPr>
              <w:t>Includes restricted assets of consolidated variable interest entities (“VIEs”) at December 31, 2020 and December 31, 2019 of $102,482 and $245,489, respectively. See Footnote 10 of the Notes to Consolidated Financial Statements.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rPr>
                <w:sz w:val="20"/>
                <w:szCs w:val="20"/>
              </w:rPr>
            </w:pPr>
            <w:r>
              <w:rPr>
                <w:sz w:val="20"/>
                <w:szCs w:val="20"/>
              </w:rPr>
              <w:t>(2)</w:t>
            </w:r>
          </w:p>
        </w:tc>
        <w:tc>
          <w:tcPr>
            <w:tcW w:w="0" w:type="auto"/>
            <w:hideMark/>
          </w:tcPr>
          <w:p w:rsidR="00000000" w:rsidRDefault="004E30E9">
            <w:pPr>
              <w:pStyle w:val="a3"/>
              <w:spacing w:before="0" w:beforeAutospacing="0" w:after="0" w:afterAutospacing="0"/>
              <w:rPr>
                <w:sz w:val="20"/>
                <w:szCs w:val="20"/>
              </w:rPr>
            </w:pPr>
            <w:r>
              <w:rPr>
                <w:sz w:val="20"/>
                <w:szCs w:val="20"/>
              </w:rPr>
              <w:t>Includes non-recourse</w:t>
            </w:r>
            <w:r>
              <w:rPr>
                <w:sz w:val="20"/>
                <w:szCs w:val="20"/>
              </w:rPr>
              <w:t xml:space="preserve"> liabilities of consolidated VIEs at December 31, 2020 and December 31, 2019 of $62,076 and $153,436, respectively. See Footnote 10 of the Notes to Consolidated Financial Statements.</w:t>
            </w:r>
          </w:p>
        </w:tc>
      </w:tr>
    </w:tbl>
    <w:p w:rsidR="00000000" w:rsidRDefault="004E30E9">
      <w:pPr>
        <w:pStyle w:val="a3"/>
        <w:spacing w:before="0" w:beforeAutospacing="0" w:after="0" w:afterAutospacing="0"/>
        <w:jc w:val="center"/>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The accompanying notes are an integral part of these consolidated fina</w:t>
      </w:r>
      <w:r>
        <w:rPr>
          <w:sz w:val="20"/>
          <w:szCs w:val="20"/>
        </w:rPr>
        <w:t>ncial statements.</w:t>
      </w:r>
    </w:p>
    <w:p w:rsidR="00000000" w:rsidRDefault="004E30E9">
      <w:pPr>
        <w:pStyle w:val="a3"/>
        <w:spacing w:before="0" w:beforeAutospacing="0" w:after="0" w:afterAutospacing="0"/>
        <w:jc w:val="center"/>
        <w:rPr>
          <w:sz w:val="20"/>
          <w:szCs w:val="20"/>
        </w:rPr>
      </w:pPr>
      <w:r>
        <w:rPr>
          <w:sz w:val="20"/>
          <w:szCs w:val="20"/>
        </w:rPr>
        <w:t> </w:t>
      </w:r>
    </w:p>
    <w:p w:rsidR="00000000" w:rsidRDefault="004E30E9">
      <w:pPr>
        <w:jc w:val="center"/>
        <w:divId w:val="177087242"/>
        <w:rPr>
          <w:rFonts w:eastAsia="Times New Roman"/>
          <w:sz w:val="20"/>
          <w:szCs w:val="20"/>
        </w:rPr>
      </w:pPr>
      <w:r>
        <w:rPr>
          <w:rFonts w:eastAsia="Times New Roman"/>
          <w:sz w:val="20"/>
          <w:szCs w:val="20"/>
        </w:rPr>
        <w:t xml:space="preserve">52 </w:t>
      </w:r>
    </w:p>
    <w:p w:rsidR="00000000" w:rsidRDefault="004E30E9">
      <w:pPr>
        <w:divId w:val="1926106968"/>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4E30E9">
      <w:pPr>
        <w:divId w:val="104602340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divId w:val="830214011"/>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KIMCO REALTY CORPORATION AND SUBSIDIARIES</w:t>
      </w:r>
    </w:p>
    <w:p w:rsidR="00000000" w:rsidRDefault="004E30E9">
      <w:pPr>
        <w:pStyle w:val="a3"/>
        <w:spacing w:before="0" w:beforeAutospacing="0" w:after="0" w:afterAutospacing="0"/>
        <w:jc w:val="center"/>
        <w:rPr>
          <w:sz w:val="20"/>
          <w:szCs w:val="20"/>
        </w:rPr>
      </w:pPr>
      <w:r>
        <w:rPr>
          <w:sz w:val="20"/>
          <w:szCs w:val="20"/>
        </w:rPr>
        <w:t>CONSOLIDATED STATEMENTS OF INCOME</w:t>
      </w:r>
    </w:p>
    <w:p w:rsidR="00000000" w:rsidRDefault="004E30E9">
      <w:pPr>
        <w:pStyle w:val="a3"/>
        <w:spacing w:before="0" w:beforeAutospacing="0" w:after="0" w:afterAutospacing="0"/>
        <w:jc w:val="center"/>
        <w:rPr>
          <w:sz w:val="20"/>
          <w:szCs w:val="20"/>
        </w:rPr>
      </w:pPr>
      <w:r>
        <w:rPr>
          <w:sz w:val="20"/>
          <w:szCs w:val="20"/>
        </w:rPr>
        <w:t>(in thousands, except per share data)</w:t>
      </w:r>
    </w:p>
    <w:p w:rsidR="00000000" w:rsidRDefault="004E30E9">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2029092023"/>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r>
      <w:tr w:rsidR="00000000">
        <w:trPr>
          <w:divId w:val="2029092023"/>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Revenues from rental properties,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1,044,888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1,142,334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1,149,603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Management and other fee income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13,005</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16,550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15,159</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ind w:firstLine="1080"/>
              <w:rPr>
                <w:rFonts w:eastAsia="Times New Roman"/>
                <w:sz w:val="20"/>
                <w:szCs w:val="20"/>
              </w:rPr>
            </w:pPr>
            <w:r>
              <w:rPr>
                <w:rFonts w:eastAsia="Times New Roman"/>
                <w:sz w:val="20"/>
                <w:szCs w:val="20"/>
              </w:rPr>
              <w:t>Total revenues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1,057,893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1,158,884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1,164,762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Rent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(11,270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(11,311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r>
              <w:rPr>
                <w:rFonts w:eastAsia="Times New Roman"/>
                <w:sz w:val="20"/>
                <w:szCs w:val="20"/>
              </w:rPr>
              <w:t>10,929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Real estate taxes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(157,661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(153,659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(153,336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Operating and maintenance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(174,038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(171,981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(164,294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General and administrative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(93,217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(96,942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(87,797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Provision for doubtful accounts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(6,253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Impairment charges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(6,624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(48,743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(79,207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Depreciation and amortization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(288,955</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(277,879</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(310,380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FFFFFF"/>
            <w:tcMar>
              <w:top w:w="0" w:type="dxa"/>
              <w:left w:w="1080" w:type="dxa"/>
              <w:bottom w:w="0" w:type="dxa"/>
              <w:right w:w="0" w:type="dxa"/>
            </w:tcMar>
            <w:vAlign w:val="bottom"/>
            <w:hideMark/>
          </w:tcPr>
          <w:p w:rsidR="00000000" w:rsidRDefault="004E30E9">
            <w:pPr>
              <w:rPr>
                <w:rFonts w:eastAsia="Times New Roman"/>
                <w:sz w:val="20"/>
                <w:szCs w:val="20"/>
              </w:rPr>
            </w:pPr>
            <w:r>
              <w:rPr>
                <w:rFonts w:eastAsia="Times New Roman"/>
                <w:sz w:val="20"/>
                <w:szCs w:val="20"/>
              </w:rPr>
              <w:t>Total operating expenses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(731,765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r>
              <w:rPr>
                <w:rFonts w:eastAsia="Times New Roman"/>
                <w:sz w:val="20"/>
                <w:szCs w:val="20"/>
              </w:rPr>
              <w:t>760,515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(812,196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6,484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79,218</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229,840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Operating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332,612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477,587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582,406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Other income,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4,119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10,985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16,528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Gain/(loss) on marketable securities,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594,753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829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(3,487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Gain on sale of cost method investment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Interest expense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(186,904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(177,395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(183,339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Early extinguishment of debt charges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(7,538</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(12,762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180" w:hanging="180"/>
              <w:rPr>
                <w:sz w:val="20"/>
                <w:szCs w:val="20"/>
              </w:rPr>
            </w:pPr>
            <w:r>
              <w:rPr>
                <w:sz w:val="20"/>
                <w:szCs w:val="20"/>
              </w:rPr>
              <w:t>Income before income taxes, net, equity in income of joint ventures, net, and equity in income from other real estate investments,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927,874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312,006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399,346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(Provision)/benefit for income taxes,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(978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3,317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(1,600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Equity in income of joint ventures,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47,353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72,162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71,617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Equity in income of other real estate investments,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28,628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26,076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29,100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720"/>
              <w:rPr>
                <w:sz w:val="20"/>
                <w:szCs w:val="20"/>
              </w:rPr>
            </w:pPr>
            <w:r>
              <w:rPr>
                <w:sz w:val="20"/>
                <w:szCs w:val="20"/>
              </w:rPr>
              <w:t>Net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1,002,877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413,561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498,463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Net income attributable to noncontrolling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(2,044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(2,956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(668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720"/>
              <w:rPr>
                <w:sz w:val="20"/>
                <w:szCs w:val="20"/>
              </w:rPr>
            </w:pPr>
            <w:r>
              <w:rPr>
                <w:sz w:val="20"/>
                <w:szCs w:val="20"/>
              </w:rPr>
              <w:t>Net income attributable to the Company</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1,000,833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410,605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497,795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Preferred stock redemption charges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(18,528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Preferred dividends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(25,416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(52,089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(58,191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2029092023"/>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Net income available to the Company's common shareholders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975,417</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339,988</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439,604</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Per common share:</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Net income available to the Company's common shareholders: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720"/>
              <w:rPr>
                <w:sz w:val="20"/>
                <w:szCs w:val="20"/>
              </w:rPr>
            </w:pPr>
            <w:r>
              <w:rPr>
                <w:sz w:val="20"/>
                <w:szCs w:val="20"/>
              </w:rPr>
              <w:t>-Basic</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2.26</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0.80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1.02</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720"/>
              <w:rPr>
                <w:sz w:val="20"/>
                <w:szCs w:val="20"/>
              </w:rPr>
            </w:pPr>
            <w:r>
              <w:rPr>
                <w:sz w:val="20"/>
                <w:szCs w:val="20"/>
              </w:rPr>
              <w:t>-Diluted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2.25</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0.80</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1.02</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Weighted average shares: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CCEEFF"/>
            <w:vAlign w:val="bottom"/>
            <w:hideMark/>
          </w:tcPr>
          <w:p w:rsidR="00000000" w:rsidRDefault="004E30E9">
            <w:pPr>
              <w:pStyle w:val="a3"/>
              <w:spacing w:before="0" w:beforeAutospacing="0" w:after="0" w:afterAutospacing="0"/>
              <w:ind w:left="720"/>
              <w:rPr>
                <w:sz w:val="20"/>
                <w:szCs w:val="20"/>
              </w:rPr>
            </w:pPr>
            <w:r>
              <w:rPr>
                <w:sz w:val="20"/>
                <w:szCs w:val="20"/>
              </w:rPr>
              <w:t>-Basic</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429,950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420,370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420,641</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2029092023"/>
          <w:tblCellSpacing w:w="0" w:type="dxa"/>
        </w:trPr>
        <w:tc>
          <w:tcPr>
            <w:tcW w:w="0" w:type="auto"/>
            <w:shd w:val="clear" w:color="auto" w:fill="FFFFFF"/>
            <w:vAlign w:val="bottom"/>
            <w:hideMark/>
          </w:tcPr>
          <w:p w:rsidR="00000000" w:rsidRDefault="004E30E9">
            <w:pPr>
              <w:pStyle w:val="a3"/>
              <w:spacing w:before="0" w:beforeAutospacing="0" w:after="0" w:afterAutospacing="0"/>
              <w:ind w:left="720"/>
              <w:rPr>
                <w:sz w:val="20"/>
                <w:szCs w:val="20"/>
              </w:rPr>
            </w:pPr>
            <w:r>
              <w:rPr>
                <w:sz w:val="20"/>
                <w:szCs w:val="20"/>
              </w:rPr>
              <w:t>-Diluted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431,633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421,799</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421,379</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center"/>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4E30E9">
      <w:pPr>
        <w:pStyle w:val="a3"/>
        <w:spacing w:before="0" w:beforeAutospacing="0" w:after="0" w:afterAutospacing="0"/>
        <w:jc w:val="center"/>
        <w:rPr>
          <w:sz w:val="20"/>
          <w:szCs w:val="20"/>
        </w:rPr>
      </w:pPr>
      <w:r>
        <w:rPr>
          <w:sz w:val="20"/>
          <w:szCs w:val="20"/>
        </w:rPr>
        <w:t> </w:t>
      </w:r>
    </w:p>
    <w:p w:rsidR="00000000" w:rsidRDefault="004E30E9">
      <w:pPr>
        <w:jc w:val="center"/>
        <w:divId w:val="907811795"/>
        <w:rPr>
          <w:rFonts w:eastAsia="Times New Roman"/>
          <w:sz w:val="20"/>
          <w:szCs w:val="20"/>
        </w:rPr>
      </w:pPr>
      <w:r>
        <w:rPr>
          <w:rFonts w:eastAsia="Times New Roman"/>
          <w:sz w:val="20"/>
          <w:szCs w:val="20"/>
        </w:rPr>
        <w:t xml:space="preserve">53 </w:t>
      </w:r>
    </w:p>
    <w:p w:rsidR="00000000" w:rsidRDefault="004E30E9">
      <w:pPr>
        <w:divId w:val="512888621"/>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4E30E9">
      <w:pPr>
        <w:divId w:val="9197440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divId w:val="721366447"/>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KIMCO REALTY CORPORATION AND SUBSIDI</w:t>
      </w:r>
      <w:r>
        <w:rPr>
          <w:sz w:val="20"/>
          <w:szCs w:val="20"/>
        </w:rPr>
        <w:t>ARIES</w:t>
      </w:r>
    </w:p>
    <w:p w:rsidR="00000000" w:rsidRDefault="004E30E9">
      <w:pPr>
        <w:pStyle w:val="a3"/>
        <w:spacing w:before="0" w:beforeAutospacing="0" w:after="0" w:afterAutospacing="0"/>
        <w:jc w:val="center"/>
        <w:rPr>
          <w:sz w:val="20"/>
          <w:szCs w:val="20"/>
        </w:rPr>
      </w:pPr>
      <w:r>
        <w:rPr>
          <w:sz w:val="20"/>
          <w:szCs w:val="20"/>
        </w:rPr>
        <w:t>CONSOLIDATED STATEMENTS OF COMPREHENSIVE INCOME</w:t>
      </w:r>
    </w:p>
    <w:p w:rsidR="00000000" w:rsidRDefault="004E30E9">
      <w:pPr>
        <w:pStyle w:val="a3"/>
        <w:spacing w:before="0" w:beforeAutospacing="0" w:after="0" w:afterAutospacing="0"/>
        <w:jc w:val="center"/>
        <w:rPr>
          <w:sz w:val="20"/>
          <w:szCs w:val="20"/>
        </w:rPr>
      </w:pPr>
      <w:r>
        <w:rPr>
          <w:sz w:val="20"/>
          <w:szCs w:val="20"/>
        </w:rPr>
        <w:t>(in thousands)</w:t>
      </w:r>
    </w:p>
    <w:p w:rsidR="00000000" w:rsidRDefault="004E30E9">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divId w:val="1936478155"/>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r>
      <w:tr w:rsidR="00000000">
        <w:trPr>
          <w:divId w:val="1936478155"/>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36478155"/>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36478155"/>
          <w:tblCellSpacing w:w="0" w:type="dxa"/>
        </w:trPr>
        <w:tc>
          <w:tcPr>
            <w:tcW w:w="27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1,002,877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413,561</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498,463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36478155"/>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comprehensive income:</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36478155"/>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Change in unrealized value on interest rate swaps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344</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36478155"/>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comprehensive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344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36478155"/>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36478155"/>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Comprehensive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1,002,877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413,561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498,807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36478155"/>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36478155"/>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Comprehensive income attributable to noncontrolling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(2,044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(2,956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(668</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divId w:val="1936478155"/>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936478155"/>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Comprehensive income attributable to the Company</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1,000,833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410,605</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498,139</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center"/>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4E30E9">
      <w:pPr>
        <w:pStyle w:val="a3"/>
        <w:spacing w:before="0" w:beforeAutospacing="0" w:after="0" w:afterAutospacing="0"/>
        <w:jc w:val="center"/>
        <w:rPr>
          <w:sz w:val="20"/>
          <w:szCs w:val="20"/>
        </w:rPr>
      </w:pPr>
      <w:r>
        <w:rPr>
          <w:sz w:val="20"/>
          <w:szCs w:val="20"/>
        </w:rPr>
        <w:t> </w:t>
      </w:r>
    </w:p>
    <w:p w:rsidR="00000000" w:rsidRDefault="004E30E9">
      <w:pPr>
        <w:jc w:val="center"/>
        <w:divId w:val="1071121998"/>
        <w:rPr>
          <w:rFonts w:eastAsia="Times New Roman"/>
          <w:sz w:val="20"/>
          <w:szCs w:val="20"/>
        </w:rPr>
      </w:pPr>
      <w:r>
        <w:rPr>
          <w:rFonts w:eastAsia="Times New Roman"/>
          <w:sz w:val="20"/>
          <w:szCs w:val="20"/>
        </w:rPr>
        <w:t xml:space="preserve">54 </w:t>
      </w:r>
    </w:p>
    <w:p w:rsidR="00000000" w:rsidRDefault="004E30E9">
      <w:pPr>
        <w:divId w:val="1919634097"/>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4E30E9">
      <w:pPr>
        <w:divId w:val="196708061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divId w:val="2142961935"/>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KIMCO REALTY CORPORATION AND SUBSIDIARIES</w:t>
      </w:r>
    </w:p>
    <w:p w:rsidR="00000000" w:rsidRDefault="004E30E9">
      <w:pPr>
        <w:pStyle w:val="a3"/>
        <w:spacing w:before="0" w:beforeAutospacing="0" w:after="0" w:afterAutospacing="0"/>
        <w:jc w:val="center"/>
        <w:rPr>
          <w:sz w:val="20"/>
          <w:szCs w:val="20"/>
        </w:rPr>
      </w:pPr>
      <w:r>
        <w:rPr>
          <w:sz w:val="20"/>
          <w:szCs w:val="20"/>
        </w:rPr>
        <w:t>CONSOLIDATED STATEMENTS OF CHANGES IN EQUITY</w:t>
      </w:r>
    </w:p>
    <w:p w:rsidR="00000000" w:rsidRDefault="004E30E9">
      <w:pPr>
        <w:pStyle w:val="a3"/>
        <w:spacing w:before="0" w:beforeAutospacing="0" w:after="0" w:afterAutospacing="0"/>
        <w:jc w:val="center"/>
        <w:rPr>
          <w:sz w:val="20"/>
          <w:szCs w:val="20"/>
        </w:rPr>
      </w:pPr>
      <w:r>
        <w:rPr>
          <w:sz w:val="20"/>
          <w:szCs w:val="20"/>
        </w:rPr>
        <w:t>For the Years Ended December 31, 2020, 2019 and 2018</w:t>
      </w:r>
    </w:p>
    <w:p w:rsidR="00000000" w:rsidRDefault="004E30E9">
      <w:pPr>
        <w:pStyle w:val="a3"/>
        <w:spacing w:before="0" w:beforeAutospacing="0" w:after="0" w:afterAutospacing="0"/>
        <w:jc w:val="center"/>
        <w:rPr>
          <w:sz w:val="20"/>
          <w:szCs w:val="20"/>
        </w:rPr>
      </w:pPr>
      <w:r>
        <w:rPr>
          <w:sz w:val="20"/>
          <w:szCs w:val="20"/>
        </w:rPr>
        <w:t>(in thousands) </w:t>
      </w:r>
    </w:p>
    <w:p w:rsidR="00000000" w:rsidRDefault="004E30E9">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5"/>
        <w:gridCol w:w="40"/>
        <w:gridCol w:w="150"/>
        <w:gridCol w:w="748"/>
        <w:gridCol w:w="54"/>
        <w:gridCol w:w="40"/>
        <w:gridCol w:w="178"/>
        <w:gridCol w:w="889"/>
        <w:gridCol w:w="54"/>
        <w:gridCol w:w="40"/>
        <w:gridCol w:w="73"/>
        <w:gridCol w:w="364"/>
        <w:gridCol w:w="55"/>
        <w:gridCol w:w="47"/>
        <w:gridCol w:w="94"/>
        <w:gridCol w:w="467"/>
        <w:gridCol w:w="54"/>
        <w:gridCol w:w="40"/>
        <w:gridCol w:w="40"/>
        <w:gridCol w:w="520"/>
        <w:gridCol w:w="54"/>
        <w:gridCol w:w="40"/>
        <w:gridCol w:w="94"/>
        <w:gridCol w:w="467"/>
        <w:gridCol w:w="54"/>
        <w:gridCol w:w="40"/>
        <w:gridCol w:w="80"/>
        <w:gridCol w:w="640"/>
        <w:gridCol w:w="54"/>
        <w:gridCol w:w="40"/>
        <w:gridCol w:w="156"/>
        <w:gridCol w:w="778"/>
        <w:gridCol w:w="54"/>
        <w:gridCol w:w="40"/>
        <w:gridCol w:w="172"/>
        <w:gridCol w:w="860"/>
        <w:gridCol w:w="54"/>
        <w:gridCol w:w="40"/>
        <w:gridCol w:w="80"/>
        <w:gridCol w:w="640"/>
        <w:gridCol w:w="54"/>
      </w:tblGrid>
      <w:tr w:rsidR="00000000">
        <w:trPr>
          <w:divId w:val="1671905010"/>
          <w:tblCellSpacing w:w="0" w:type="dxa"/>
        </w:trPr>
        <w:tc>
          <w:tcPr>
            <w:tcW w:w="100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vAlign w:val="bottom"/>
            <w:hideMark/>
          </w:tcPr>
          <w:p w:rsidR="00000000" w:rsidRDefault="004E30E9">
            <w:pPr>
              <w:pStyle w:val="a3"/>
              <w:spacing w:before="0" w:beforeAutospacing="0" w:after="0" w:afterAutospacing="0"/>
              <w:jc w:val="center"/>
              <w:rPr>
                <w:sz w:val="16"/>
                <w:szCs w:val="16"/>
              </w:rPr>
            </w:pPr>
            <w:r>
              <w:rPr>
                <w:b/>
                <w:bCs/>
                <w:sz w:val="16"/>
                <w:szCs w:val="16"/>
              </w:rPr>
              <w:t xml:space="preserve">Cumulative Distributions in Excess of Net </w:t>
            </w:r>
          </w:p>
        </w:tc>
        <w:tc>
          <w:tcPr>
            <w:tcW w:w="50" w:type="pct"/>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vAlign w:val="bottom"/>
            <w:hideMark/>
          </w:tcPr>
          <w:p w:rsidR="00000000" w:rsidRDefault="004E30E9">
            <w:pPr>
              <w:pStyle w:val="a3"/>
              <w:spacing w:before="0" w:beforeAutospacing="0" w:after="0" w:afterAutospacing="0"/>
              <w:jc w:val="center"/>
              <w:rPr>
                <w:sz w:val="16"/>
                <w:szCs w:val="16"/>
              </w:rPr>
            </w:pPr>
            <w:r>
              <w:rPr>
                <w:b/>
                <w:bCs/>
                <w:sz w:val="16"/>
                <w:szCs w:val="16"/>
              </w:rPr>
              <w:t>Accumulated Other Comprehensive</w:t>
            </w:r>
          </w:p>
        </w:tc>
        <w:tc>
          <w:tcPr>
            <w:tcW w:w="50" w:type="pct"/>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Common Stock</w:t>
            </w:r>
          </w:p>
        </w:tc>
        <w:tc>
          <w:tcPr>
            <w:tcW w:w="50" w:type="pct"/>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vAlign w:val="bottom"/>
            <w:hideMark/>
          </w:tcPr>
          <w:p w:rsidR="00000000" w:rsidRDefault="004E30E9">
            <w:pPr>
              <w:pStyle w:val="a3"/>
              <w:spacing w:before="0" w:beforeAutospacing="0" w:after="0" w:afterAutospacing="0"/>
              <w:jc w:val="center"/>
              <w:rPr>
                <w:sz w:val="16"/>
                <w:szCs w:val="16"/>
              </w:rPr>
            </w:pPr>
            <w:r>
              <w:rPr>
                <w:b/>
                <w:bCs/>
                <w:sz w:val="16"/>
                <w:szCs w:val="16"/>
              </w:rPr>
              <w:t>Paid-in</w:t>
            </w:r>
          </w:p>
        </w:tc>
        <w:tc>
          <w:tcPr>
            <w:tcW w:w="50" w:type="pct"/>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vAlign w:val="bottom"/>
            <w:hideMark/>
          </w:tcPr>
          <w:p w:rsidR="00000000" w:rsidRDefault="004E30E9">
            <w:pPr>
              <w:pStyle w:val="a3"/>
              <w:spacing w:before="0" w:beforeAutospacing="0" w:after="0" w:afterAutospacing="0"/>
              <w:jc w:val="center"/>
              <w:rPr>
                <w:sz w:val="16"/>
                <w:szCs w:val="16"/>
              </w:rPr>
            </w:pPr>
            <w:r>
              <w:rPr>
                <w:b/>
                <w:bCs/>
                <w:sz w:val="16"/>
                <w:szCs w:val="16"/>
              </w:rPr>
              <w:t>Total Stockholders'</w:t>
            </w:r>
          </w:p>
        </w:tc>
        <w:tc>
          <w:tcPr>
            <w:tcW w:w="50" w:type="pct"/>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vAlign w:val="bottom"/>
            <w:hideMark/>
          </w:tcPr>
          <w:p w:rsidR="00000000" w:rsidRDefault="004E30E9">
            <w:pPr>
              <w:pStyle w:val="a3"/>
              <w:spacing w:before="0" w:beforeAutospacing="0" w:after="0" w:afterAutospacing="0"/>
              <w:jc w:val="center"/>
              <w:rPr>
                <w:sz w:val="16"/>
                <w:szCs w:val="16"/>
              </w:rPr>
            </w:pPr>
            <w:r>
              <w:rPr>
                <w:b/>
                <w:bCs/>
                <w:sz w:val="16"/>
                <w:szCs w:val="16"/>
              </w:rPr>
              <w:t>Noncontrolling</w:t>
            </w:r>
          </w:p>
        </w:tc>
        <w:tc>
          <w:tcPr>
            <w:tcW w:w="50" w:type="pct"/>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vAlign w:val="bottom"/>
            <w:hideMark/>
          </w:tcPr>
          <w:p w:rsidR="00000000" w:rsidRDefault="004E30E9">
            <w:pPr>
              <w:pStyle w:val="a3"/>
              <w:spacing w:before="0" w:beforeAutospacing="0" w:after="0" w:afterAutospacing="0"/>
              <w:jc w:val="center"/>
              <w:rPr>
                <w:sz w:val="16"/>
                <w:szCs w:val="16"/>
              </w:rPr>
            </w:pPr>
            <w:r>
              <w:rPr>
                <w:b/>
                <w:bCs/>
                <w:sz w:val="16"/>
                <w:szCs w:val="16"/>
              </w:rPr>
              <w:t>Total</w:t>
            </w:r>
          </w:p>
        </w:tc>
        <w:tc>
          <w:tcPr>
            <w:tcW w:w="50" w:type="pct"/>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r>
      <w:tr w:rsidR="00000000">
        <w:trPr>
          <w:divId w:val="1671905010"/>
          <w:tblCellSpacing w:w="0" w:type="dxa"/>
        </w:trPr>
        <w:tc>
          <w:tcPr>
            <w:tcW w:w="1000" w:type="pct"/>
            <w:vAlign w:val="bottom"/>
            <w:hideMark/>
          </w:tcPr>
          <w:p w:rsidR="00000000" w:rsidRDefault="004E30E9">
            <w:pPr>
              <w:rPr>
                <w:rFonts w:eastAsia="Times New Roman"/>
                <w:sz w:val="16"/>
                <w:szCs w:val="16"/>
              </w:rPr>
            </w:pPr>
            <w:r>
              <w:rPr>
                <w:rFonts w:eastAsia="Times New Roman"/>
                <w:sz w:val="16"/>
                <w:szCs w:val="16"/>
              </w:rPr>
              <w:t> </w:t>
            </w:r>
          </w:p>
        </w:tc>
        <w:tc>
          <w:tcPr>
            <w:tcW w:w="50" w:type="pct"/>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Income</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Income /(Loss)</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Equity</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Interests</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Balance, January 1, 2018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(754,375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425,646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6,152,764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5,402,342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127,903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5,530,245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Contributions/deemed contributions from noncontrolling interests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Comprehensive income:</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ind w:left="360"/>
              <w:rPr>
                <w:sz w:val="16"/>
                <w:szCs w:val="16"/>
              </w:rPr>
            </w:pPr>
            <w:r>
              <w:rPr>
                <w:sz w:val="16"/>
                <w:szCs w:val="16"/>
              </w:rPr>
              <w:t>Net income</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497,795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497,795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498,463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ind w:left="360"/>
              <w:rPr>
                <w:sz w:val="16"/>
                <w:szCs w:val="16"/>
              </w:rPr>
            </w:pPr>
            <w:r>
              <w:rPr>
                <w:sz w:val="16"/>
                <w:szCs w:val="16"/>
              </w:rPr>
              <w:t>Other comprehensive income:</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ind w:left="720"/>
              <w:rPr>
                <w:sz w:val="16"/>
                <w:szCs w:val="16"/>
              </w:rPr>
            </w:pPr>
            <w:r>
              <w:rPr>
                <w:sz w:val="16"/>
                <w:szCs w:val="16"/>
              </w:rPr>
              <w:t>Change in unrealized value on interest rate swaps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Redeemable noncontrolling interests income</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(531,127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(531,127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(531,127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Issuance of common stock</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Issuance of preferred stock</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33,112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33,114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33,114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Repurchase of common stock</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(5,100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(75,075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(75,126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(75,126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Surrender of restricted stock</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r>
              <w:rPr>
                <w:rFonts w:eastAsia="Times New Roman"/>
                <w:sz w:val="16"/>
                <w:szCs w:val="16"/>
              </w:rPr>
              <w:t>4,357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Exercise of common stock options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16,548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16,548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16,548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Acquisition/deconsolidation of noncontrolling interests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(48,395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(47,192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Adjustment of redeemable noncontrolling interests to estimated fair value</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(7,521</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(7,521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(7,521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Balance, December 31, 2018</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(787,707</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43</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43</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421,389</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4,214</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6,117,254</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5,333,804</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77,249</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5,411,053</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Net income</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410,605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410,605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413,561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Redeemable noncontrolling interests income</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(527,577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(527,577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(527,577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(10,638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(10,638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Issuance of common stock</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10,399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200,028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200,133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200,133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Surrender of restricted common stock</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Exercise of common stock options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3,878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3,880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3,880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19,083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19,083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19,083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Acquisition of noncontrolling interests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3,994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3,994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(5,194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Redemption of preferred stock</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(23</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(23</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(574,977</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(575,000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(575,000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Balance, December 31, 2019</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(904,679</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20</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20</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431,815</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4,318</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5,765,233</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4,864,892</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64,015</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nil"/>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4,928,907</w:t>
            </w:r>
          </w:p>
        </w:tc>
        <w:tc>
          <w:tcPr>
            <w:tcW w:w="50" w:type="pct"/>
            <w:tcBorders>
              <w:bottom w:val="nil"/>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Contributions from noncontrolling interests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Net income</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1,000,833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1,000,833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2,044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1,002,877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Redeemable noncontrolling interests income</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(258,966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(258,966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(258,966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Distributions to noncontrolling interests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Issuance of common stock</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944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Surrender of restricted common stock</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Amortization of equity awards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22,887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22,887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22,887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Acquisition of noncontrolling interests</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r>
              <w:rPr>
                <w:rFonts w:eastAsia="Times New Roman"/>
                <w:sz w:val="16"/>
                <w:szCs w:val="16"/>
              </w:rPr>
              <w:t>19,348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(19,348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(20,619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r>
      <w:tr w:rsidR="004E30E9">
        <w:trPr>
          <w:divId w:val="1671905010"/>
          <w:tblCellSpacing w:w="0" w:type="dxa"/>
        </w:trPr>
        <w:tc>
          <w:tcPr>
            <w:tcW w:w="1000" w:type="pct"/>
            <w:shd w:val="clear" w:color="auto" w:fill="CCEEFF"/>
            <w:vAlign w:val="bottom"/>
            <w:hideMark/>
          </w:tcPr>
          <w:p w:rsidR="00000000" w:rsidRDefault="004E30E9">
            <w:pPr>
              <w:pStyle w:val="a3"/>
              <w:spacing w:before="0" w:beforeAutospacing="0" w:after="0" w:afterAutospacing="0"/>
              <w:rPr>
                <w:sz w:val="16"/>
                <w:szCs w:val="16"/>
              </w:rPr>
            </w:pPr>
            <w:r>
              <w:rPr>
                <w:sz w:val="16"/>
                <w:szCs w:val="16"/>
              </w:rPr>
              <w:t>Adjustment of redeemable noncontrolling interests to estimated fair value</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2,160</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2,160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jc w:val="right"/>
              <w:rPr>
                <w:rFonts w:eastAsia="Times New Roman"/>
                <w:sz w:val="16"/>
                <w:szCs w:val="16"/>
              </w:rPr>
            </w:pPr>
            <w:r>
              <w:rPr>
                <w:rFonts w:eastAsia="Times New Roman"/>
                <w:sz w:val="16"/>
                <w:szCs w:val="16"/>
              </w:rPr>
              <w:t>2,160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r>
      <w:tr w:rsidR="004E30E9">
        <w:trPr>
          <w:divId w:val="1671905010"/>
          <w:tblCellSpacing w:w="0" w:type="dxa"/>
        </w:trPr>
        <w:tc>
          <w:tcPr>
            <w:tcW w:w="10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Balance, December 31, 2020</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(162,812</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432,519</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4,325</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5,766,511</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5,608,044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62,210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4E30E9">
            <w:pPr>
              <w:jc w:val="right"/>
              <w:rPr>
                <w:rFonts w:eastAsia="Times New Roman"/>
                <w:sz w:val="16"/>
                <w:szCs w:val="16"/>
              </w:rPr>
            </w:pPr>
            <w:r>
              <w:rPr>
                <w:rFonts w:eastAsia="Times New Roman"/>
                <w:sz w:val="16"/>
                <w:szCs w:val="16"/>
              </w:rPr>
              <w:t>5,670,254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16"/>
                <w:szCs w:val="16"/>
              </w:rPr>
            </w:pPr>
            <w:r>
              <w:rPr>
                <w:rFonts w:eastAsia="Times New Roman"/>
                <w:sz w:val="16"/>
                <w:szCs w:val="16"/>
              </w:rPr>
              <w:t> </w:t>
            </w:r>
          </w:p>
        </w:tc>
      </w:tr>
    </w:tbl>
    <w:p w:rsidR="00000000" w:rsidRDefault="004E30E9">
      <w:pPr>
        <w:pStyle w:val="a3"/>
        <w:spacing w:before="0" w:beforeAutospacing="0" w:after="0" w:afterAutospacing="0"/>
        <w:jc w:val="center"/>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4E30E9">
      <w:pPr>
        <w:pStyle w:val="a3"/>
        <w:spacing w:before="0" w:beforeAutospacing="0" w:after="0" w:afterAutospacing="0"/>
        <w:jc w:val="center"/>
        <w:rPr>
          <w:sz w:val="20"/>
          <w:szCs w:val="20"/>
        </w:rPr>
      </w:pPr>
      <w:r>
        <w:rPr>
          <w:sz w:val="20"/>
          <w:szCs w:val="20"/>
        </w:rPr>
        <w:t> </w:t>
      </w:r>
    </w:p>
    <w:p w:rsidR="00000000" w:rsidRDefault="004E30E9">
      <w:pPr>
        <w:jc w:val="center"/>
        <w:divId w:val="1680230782"/>
        <w:rPr>
          <w:rFonts w:eastAsia="Times New Roman"/>
          <w:sz w:val="20"/>
          <w:szCs w:val="20"/>
        </w:rPr>
      </w:pPr>
      <w:r>
        <w:rPr>
          <w:rFonts w:eastAsia="Times New Roman"/>
          <w:sz w:val="20"/>
          <w:szCs w:val="20"/>
        </w:rPr>
        <w:t xml:space="preserve">55 </w:t>
      </w:r>
    </w:p>
    <w:p w:rsidR="00000000" w:rsidRDefault="004E30E9">
      <w:pPr>
        <w:divId w:val="296883480"/>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4E30E9">
      <w:pPr>
        <w:divId w:val="12238690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divId w:val="1491873820"/>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KIMCO REALTY CORPORATION AND SUBSIDIARIES</w:t>
      </w:r>
    </w:p>
    <w:p w:rsidR="00000000" w:rsidRDefault="004E30E9">
      <w:pPr>
        <w:pStyle w:val="a3"/>
        <w:spacing w:before="0" w:beforeAutospacing="0" w:after="0" w:afterAutospacing="0"/>
        <w:jc w:val="center"/>
        <w:rPr>
          <w:sz w:val="20"/>
          <w:szCs w:val="20"/>
        </w:rPr>
      </w:pPr>
      <w:r>
        <w:rPr>
          <w:sz w:val="20"/>
          <w:szCs w:val="20"/>
        </w:rPr>
        <w:t>CONSOLIDATED STATEMENTS OF CASH FLOWS</w:t>
      </w:r>
    </w:p>
    <w:p w:rsidR="00000000" w:rsidRDefault="004E30E9">
      <w:pPr>
        <w:pStyle w:val="a3"/>
        <w:spacing w:before="0" w:beforeAutospacing="0" w:after="0" w:afterAutospacing="0"/>
        <w:jc w:val="center"/>
        <w:rPr>
          <w:sz w:val="20"/>
          <w:szCs w:val="20"/>
        </w:rPr>
      </w:pPr>
      <w:r>
        <w:rPr>
          <w:sz w:val="20"/>
          <w:szCs w:val="20"/>
        </w:rPr>
        <w:t>(in thousands)</w:t>
      </w:r>
    </w:p>
    <w:p w:rsidR="00000000" w:rsidRDefault="004E30E9">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304"/>
        <w:gridCol w:w="71"/>
        <w:gridCol w:w="100"/>
        <w:gridCol w:w="800"/>
        <w:gridCol w:w="71"/>
        <w:gridCol w:w="71"/>
        <w:gridCol w:w="100"/>
        <w:gridCol w:w="736"/>
        <w:gridCol w:w="72"/>
        <w:gridCol w:w="72"/>
        <w:gridCol w:w="100"/>
        <w:gridCol w:w="737"/>
        <w:gridCol w:w="72"/>
      </w:tblGrid>
      <w:tr w:rsidR="00000000">
        <w:trPr>
          <w:divId w:val="1772630065"/>
          <w:tblCellSpacing w:w="0" w:type="dxa"/>
        </w:trPr>
        <w:tc>
          <w:tcPr>
            <w:tcW w:w="32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50" w:type="pct"/>
            <w:gridSpan w:val="6"/>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b/>
                <w:bCs/>
                <w:sz w:val="20"/>
                <w:szCs w:val="20"/>
              </w:rPr>
              <w:t> </w:t>
            </w:r>
          </w:p>
        </w:tc>
        <w:tc>
          <w:tcPr>
            <w:tcW w:w="450" w:type="pct"/>
            <w:vAlign w:val="bottom"/>
            <w:hideMark/>
          </w:tcPr>
          <w:p w:rsidR="00000000" w:rsidRDefault="004E30E9">
            <w:pPr>
              <w:jc w:val="center"/>
              <w:rPr>
                <w:rFonts w:eastAsia="Times New Roman"/>
                <w:sz w:val="20"/>
                <w:szCs w:val="20"/>
              </w:rPr>
            </w:pPr>
            <w:r>
              <w:rPr>
                <w:rFonts w:eastAsia="Times New Roman"/>
                <w:b/>
                <w:bCs/>
                <w:sz w:val="20"/>
                <w:szCs w:val="20"/>
              </w:rPr>
              <w:t> </w:t>
            </w:r>
          </w:p>
        </w:tc>
        <w:tc>
          <w:tcPr>
            <w:tcW w:w="50" w:type="pct"/>
            <w:vAlign w:val="bottom"/>
            <w:hideMark/>
          </w:tcPr>
          <w:p w:rsidR="00000000" w:rsidRDefault="004E30E9">
            <w:pPr>
              <w:rPr>
                <w:rFonts w:eastAsia="Times New Roman"/>
                <w:sz w:val="20"/>
                <w:szCs w:val="20"/>
              </w:rPr>
            </w:pPr>
            <w:r>
              <w:rPr>
                <w:rFonts w:eastAsia="Times New Roman"/>
                <w:b/>
                <w:bCs/>
                <w:sz w:val="20"/>
                <w:szCs w:val="20"/>
              </w:rPr>
              <w:t> </w:t>
            </w:r>
          </w:p>
        </w:tc>
      </w:tr>
      <w:tr w:rsidR="00000000">
        <w:trPr>
          <w:divId w:val="1772630065"/>
          <w:tblCellSpacing w:w="0" w:type="dxa"/>
        </w:trPr>
        <w:tc>
          <w:tcPr>
            <w:tcW w:w="32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Cash flow from operating activities: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1,002,877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413,561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498,463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288,955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277,879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310,380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6,624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48,743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79,207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12,762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Equity award expense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23,685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20,200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18,221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Gain on sale of operating properties/change in control of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(6,484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(79,218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(229,840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(Gain)/loss on marketable securities,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(594,753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(829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3,487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Gain on sale of cost method investment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(47,353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(72,162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(71,617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Equity in income from other real estate investments,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(28,628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(26,076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(29,100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Distributions from joint ventures and other real estate investments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149,022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93,877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104,626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Change in accounts and notes receivable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(559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(34,160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5,229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5,576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(3,611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(9,175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Change in other operating assets and liabilities</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(25,755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(54,576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(54,707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720"/>
              <w:rPr>
                <w:sz w:val="20"/>
                <w:szCs w:val="20"/>
              </w:rPr>
            </w:pPr>
            <w:r>
              <w:rPr>
                <w:sz w:val="20"/>
                <w:szCs w:val="20"/>
              </w:rPr>
              <w:t>Net cash flow provided by operating activities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589,913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583,628</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637,936</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Cash flow from investing activities: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Acquisition of operating real estate and other related net assets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(12,644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(1,957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(5,407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(221,278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(324,821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(290,874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Acquisition of real estate under development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(4,592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Improvements to real estate under development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(22,358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(118,841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(235,988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Investment in marketable securities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(244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Proceeds from sale/repayments of marketable securities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931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2,023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957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Proceeds from sale of cost method investment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227,270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(15,882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(27,665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(36,139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4,499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21,759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21,127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Investment in and advances to other real estate investments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(14,918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(12,816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(524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Reimbursements of investments in and advances to other real estate investments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13,435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5,960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12,878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10,449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22,299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Investment in other investments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(857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Proceeds from sale of properties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30,545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324,280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754,731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Proceeds from insurance casualty claims</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2,450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4,000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16,222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720"/>
              <w:rPr>
                <w:sz w:val="20"/>
                <w:szCs w:val="20"/>
              </w:rPr>
            </w:pPr>
            <w:r>
              <w:rPr>
                <w:sz w:val="20"/>
                <w:szCs w:val="20"/>
              </w:rPr>
              <w:t>Net cash flow (used for)/provided by investing activities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(33,273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(120,421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253,645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Cash flow from financing activities: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(158,556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(6,539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(204,746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(10,693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(12,212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(13,113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Proceeds from mortgage and construction loan financings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16,028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50,972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Proceeds from issuance of unsecured term loan</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590,000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Proceeds from issuance of unsecured notes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900,000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350,000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(Repayments)/proceeds from the unsecured revolving credit facility,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(200,000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100,000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92,254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Repayments of unsecured term loan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(590,000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Repayments under unsecured notes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(484,905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(315,095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Financing origination costs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(18,040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(7,707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Payment of early extinguishment of debt charges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(7,538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(1,531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(13,308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Contributions from noncontrolling interests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(23,345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(15,134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(6,660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Dividends paid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(379,874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(531,565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(529,756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981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204,012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33,705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Redemption of preferred stock</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(575,000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Repurchase of common stock</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(75,126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Change in other financing liabilities</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(5,578</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(3,193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(4,528</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720"/>
              <w:rPr>
                <w:sz w:val="20"/>
                <w:szCs w:val="20"/>
              </w:rPr>
            </w:pPr>
            <w:r>
              <w:rPr>
                <w:sz w:val="20"/>
                <w:szCs w:val="20"/>
              </w:rPr>
              <w:t>Net cash flow used for financing activities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(387,399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(482,841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(986,513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Net change in cash and cash equivalents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169,241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(19,634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(94,932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divId w:val="1772630065"/>
          <w:tblCellSpacing w:w="0" w:type="dxa"/>
        </w:trPr>
        <w:tc>
          <w:tcPr>
            <w:tcW w:w="32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Cash and cash equivalents, beginning of year</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143,581</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238,513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720"/>
              <w:rPr>
                <w:sz w:val="20"/>
                <w:szCs w:val="20"/>
              </w:rPr>
            </w:pPr>
            <w:r>
              <w:rPr>
                <w:sz w:val="20"/>
                <w:szCs w:val="20"/>
              </w:rPr>
              <w:t>Cash and cash equivalents, end of year</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293,188</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123,947</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143,581</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ind w:left="180" w:hanging="180"/>
              <w:rPr>
                <w:sz w:val="20"/>
                <w:szCs w:val="20"/>
              </w:rPr>
            </w:pPr>
            <w:r>
              <w:rPr>
                <w:sz w:val="20"/>
                <w:szCs w:val="20"/>
              </w:rPr>
              <w:t xml:space="preserve">Interest paid during the year including payment of early extinguishment of debt charges of </w:t>
            </w:r>
            <w:r>
              <w:rPr>
                <w:sz w:val="20"/>
                <w:szCs w:val="20"/>
              </w:rPr>
              <w:t>$</w:t>
            </w:r>
            <w:r>
              <w:rPr>
                <w:sz w:val="20"/>
                <w:szCs w:val="20"/>
              </w:rPr>
              <w:t>7,53</w:t>
            </w:r>
            <w:r>
              <w:rPr>
                <w:sz w:val="20"/>
                <w:szCs w:val="20"/>
              </w:rPr>
              <w:t>8</w:t>
            </w:r>
            <w:r>
              <w:rPr>
                <w:sz w:val="20"/>
                <w:szCs w:val="20"/>
              </w:rPr>
              <w:t xml:space="preserve">, </w:t>
            </w:r>
            <w:r>
              <w:rPr>
                <w:sz w:val="20"/>
                <w:szCs w:val="20"/>
              </w:rPr>
              <w:t>$</w:t>
            </w:r>
            <w:r>
              <w:rPr>
                <w:sz w:val="20"/>
                <w:szCs w:val="20"/>
              </w:rPr>
              <w:t>1,53</w:t>
            </w:r>
            <w:r>
              <w:rPr>
                <w:sz w:val="20"/>
                <w:szCs w:val="20"/>
              </w:rPr>
              <w:t>1</w:t>
            </w:r>
            <w:r>
              <w:rPr>
                <w:sz w:val="20"/>
                <w:szCs w:val="20"/>
              </w:rPr>
              <w:t xml:space="preserve"> and </w:t>
            </w:r>
            <w:r>
              <w:rPr>
                <w:sz w:val="20"/>
                <w:szCs w:val="20"/>
              </w:rPr>
              <w:t>$</w:t>
            </w:r>
            <w:r>
              <w:rPr>
                <w:sz w:val="20"/>
                <w:szCs w:val="20"/>
              </w:rPr>
              <w:t>13,30</w:t>
            </w:r>
            <w:r>
              <w:rPr>
                <w:sz w:val="20"/>
                <w:szCs w:val="20"/>
              </w:rPr>
              <w:t>8</w:t>
            </w:r>
            <w:r>
              <w:rPr>
                <w:sz w:val="20"/>
                <w:szCs w:val="20"/>
              </w:rPr>
              <w:t xml:space="preserve">, respectively (net of capitalized interest of </w:t>
            </w:r>
            <w:r>
              <w:rPr>
                <w:sz w:val="20"/>
                <w:szCs w:val="20"/>
              </w:rPr>
              <w:t>$</w:t>
            </w:r>
            <w:r>
              <w:rPr>
                <w:sz w:val="20"/>
                <w:szCs w:val="20"/>
              </w:rPr>
              <w:t>13,68</w:t>
            </w:r>
            <w:r>
              <w:rPr>
                <w:sz w:val="20"/>
                <w:szCs w:val="20"/>
              </w:rPr>
              <w:t>3</w:t>
            </w:r>
            <w:r>
              <w:rPr>
                <w:sz w:val="20"/>
                <w:szCs w:val="20"/>
              </w:rPr>
              <w:t xml:space="preserve">, </w:t>
            </w:r>
            <w:r>
              <w:rPr>
                <w:sz w:val="20"/>
                <w:szCs w:val="20"/>
              </w:rPr>
              <w:t>$</w:t>
            </w:r>
            <w:r>
              <w:rPr>
                <w:sz w:val="20"/>
                <w:szCs w:val="20"/>
              </w:rPr>
              <w:t>15,69</w:t>
            </w:r>
            <w:r>
              <w:rPr>
                <w:sz w:val="20"/>
                <w:szCs w:val="20"/>
              </w:rPr>
              <w:t>0</w:t>
            </w:r>
            <w:r>
              <w:rPr>
                <w:sz w:val="20"/>
                <w:szCs w:val="20"/>
              </w:rPr>
              <w:t xml:space="preserve"> and </w:t>
            </w:r>
            <w:r>
              <w:rPr>
                <w:sz w:val="20"/>
                <w:szCs w:val="20"/>
              </w:rPr>
              <w:t>$</w:t>
            </w:r>
            <w:r>
              <w:rPr>
                <w:sz w:val="20"/>
                <w:szCs w:val="20"/>
              </w:rPr>
              <w:t>17,54</w:t>
            </w:r>
            <w:r>
              <w:rPr>
                <w:sz w:val="20"/>
                <w:szCs w:val="20"/>
              </w:rPr>
              <w:t>9</w:t>
            </w:r>
            <w:r>
              <w:rPr>
                <w:sz w:val="20"/>
                <w:szCs w:val="20"/>
              </w:rPr>
              <w:t>, respectively)</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183,558</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169,026</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199,701</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divId w:val="1772630065"/>
          <w:tblCellSpacing w:w="0" w:type="dxa"/>
        </w:trPr>
        <w:tc>
          <w:tcPr>
            <w:tcW w:w="32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 xml:space="preserve">Income taxes paid/(received) during the year (net of refunds received of </w:t>
            </w:r>
            <w:r>
              <w:rPr>
                <w:sz w:val="20"/>
                <w:szCs w:val="20"/>
              </w:rPr>
              <w:t>$</w:t>
            </w:r>
            <w:r>
              <w:rPr>
                <w:sz w:val="20"/>
                <w:szCs w:val="20"/>
              </w:rPr>
              <w:t>4</w:t>
            </w:r>
            <w:r>
              <w:rPr>
                <w:sz w:val="20"/>
                <w:szCs w:val="20"/>
              </w:rPr>
              <w:t>7</w:t>
            </w:r>
            <w:r>
              <w:rPr>
                <w:sz w:val="20"/>
                <w:szCs w:val="20"/>
              </w:rPr>
              <w:t xml:space="preserve">, </w:t>
            </w:r>
            <w:r>
              <w:rPr>
                <w:sz w:val="20"/>
                <w:szCs w:val="20"/>
              </w:rPr>
              <w:t>$</w:t>
            </w:r>
            <w:r>
              <w:rPr>
                <w:sz w:val="20"/>
                <w:szCs w:val="20"/>
              </w:rPr>
              <w:t>3,45</w:t>
            </w:r>
            <w:r>
              <w:rPr>
                <w:sz w:val="20"/>
                <w:szCs w:val="20"/>
              </w:rPr>
              <w:t>2</w:t>
            </w:r>
            <w:r>
              <w:rPr>
                <w:sz w:val="20"/>
                <w:szCs w:val="20"/>
              </w:rPr>
              <w:t xml:space="preserve"> and </w:t>
            </w:r>
            <w:r>
              <w:rPr>
                <w:sz w:val="20"/>
                <w:szCs w:val="20"/>
              </w:rPr>
              <w:t>$</w:t>
            </w:r>
            <w:r>
              <w:rPr>
                <w:sz w:val="20"/>
                <w:szCs w:val="20"/>
              </w:rPr>
              <w:t>1,00</w:t>
            </w:r>
            <w:r>
              <w:rPr>
                <w:sz w:val="20"/>
                <w:szCs w:val="20"/>
              </w:rPr>
              <w:t>7</w:t>
            </w:r>
            <w:r>
              <w:rPr>
                <w:sz w:val="20"/>
                <w:szCs w:val="20"/>
              </w:rPr>
              <w:t>, respectively)</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747</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(1,106</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514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center"/>
        <w:rPr>
          <w:sz w:val="20"/>
          <w:szCs w:val="20"/>
        </w:rPr>
      </w:pPr>
      <w:r>
        <w:rPr>
          <w:sz w:val="20"/>
          <w:szCs w:val="20"/>
        </w:rPr>
        <w:t> </w:t>
      </w:r>
    </w:p>
    <w:p w:rsidR="00000000" w:rsidRDefault="004E30E9">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4E30E9">
      <w:pPr>
        <w:pStyle w:val="a3"/>
        <w:spacing w:before="0" w:beforeAutospacing="0" w:after="0" w:afterAutospacing="0"/>
        <w:jc w:val="center"/>
        <w:rPr>
          <w:sz w:val="20"/>
          <w:szCs w:val="20"/>
        </w:rPr>
      </w:pPr>
      <w:r>
        <w:rPr>
          <w:sz w:val="20"/>
          <w:szCs w:val="20"/>
        </w:rPr>
        <w:t> </w:t>
      </w:r>
    </w:p>
    <w:p w:rsidR="00000000" w:rsidRDefault="004E30E9">
      <w:pPr>
        <w:jc w:val="center"/>
        <w:divId w:val="1386297861"/>
        <w:rPr>
          <w:rFonts w:eastAsia="Times New Roman"/>
          <w:sz w:val="20"/>
          <w:szCs w:val="20"/>
        </w:rPr>
      </w:pPr>
      <w:r>
        <w:rPr>
          <w:rFonts w:eastAsia="Times New Roman"/>
          <w:sz w:val="20"/>
          <w:szCs w:val="20"/>
        </w:rPr>
        <w:t xml:space="preserve">56 </w:t>
      </w:r>
    </w:p>
    <w:p w:rsidR="00000000" w:rsidRDefault="004E30E9">
      <w:pPr>
        <w:divId w:val="1663198936"/>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4E30E9">
      <w:pPr>
        <w:divId w:val="186524262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w:t>
      </w:r>
      <w:r>
        <w:rPr>
          <w:sz w:val="20"/>
          <w:szCs w:val="20"/>
        </w:rPr>
        <w:t>S TO CONSOLIDATED FINANCIAL STATEMENTS</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Amounts relating to the number of buildings, square footage, tenant and occupancy data, joint venture debt average interest rates and terms and estimated project costs are unaudited.</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The terms “Kimco”, the “Company” and “our” each refer to Kimco Realty C</w:t>
      </w:r>
      <w:r>
        <w:rPr>
          <w:sz w:val="20"/>
          <w:szCs w:val="20"/>
        </w:rPr>
        <w:t>orporation and its subsidiaries, unless the context indicates otherwise. In statements regarding qualification as a REIT, such terms refer solely to Kimco Realty Corporation.</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divId w:val="295795222"/>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1.</w:t>
      </w:r>
      <w:r>
        <w:rPr>
          <w:sz w:val="20"/>
          <w:szCs w:val="20"/>
        </w:rPr>
        <w:t>   </w:t>
      </w:r>
      <w:r>
        <w:rPr>
          <w:sz w:val="20"/>
          <w:szCs w:val="20"/>
          <w:u w:val="single"/>
        </w:rPr>
        <w:t>Summary of Significant Accounting Policies: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Business and Organization</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operates as a Real Estate Investment Trust (“REIT”) and is engaged principally in the ownership, management, development and operation of open-air shopping centers, which are anchored primarily by grocery stores, off-price retailers, discoun</w:t>
      </w:r>
      <w:r>
        <w:rPr>
          <w:sz w:val="20"/>
          <w:szCs w:val="20"/>
        </w:rPr>
        <w:t xml:space="preserve">ters or service-oriented tenants. Additionally, the Company provides complementary services that capitalize on the Company’s established retail real estate expertise. The Company evaluates performance on a property specific or transactional basis and does </w:t>
      </w:r>
      <w:r>
        <w:rPr>
          <w:rStyle w:val="a6"/>
          <w:sz w:val="20"/>
          <w:szCs w:val="20"/>
        </w:rPr>
        <w:t>not</w:t>
      </w:r>
      <w:r>
        <w:rPr>
          <w:sz w:val="20"/>
          <w:szCs w:val="20"/>
        </w:rPr>
        <w:t xml:space="preserve"> distinguish its principal business or group its operations on a geographical basis for purposes of measuring performance. Accordingly, the Company believes it has a single reportable segment for disclosure purposes in accordance with accounting princip</w:t>
      </w:r>
      <w:r>
        <w:rPr>
          <w:sz w:val="20"/>
          <w:szCs w:val="20"/>
        </w:rPr>
        <w:t>les generally accepted in the United States of America ("GAAP").</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has elected to be taxed as a REIT for federal income tax purposes under the Internal Revenue Code of </w:t>
      </w:r>
      <w:r>
        <w:rPr>
          <w:rStyle w:val="a6"/>
          <w:sz w:val="20"/>
          <w:szCs w:val="20"/>
        </w:rPr>
        <w:t>1986,</w:t>
      </w:r>
      <w:r>
        <w:rPr>
          <w:sz w:val="20"/>
          <w:szCs w:val="20"/>
        </w:rPr>
        <w:t xml:space="preserve"> as amended (the "Code"). The Company is organized and operates in a ma</w:t>
      </w:r>
      <w:r>
        <w:rPr>
          <w:sz w:val="20"/>
          <w:szCs w:val="20"/>
        </w:rPr>
        <w:t>nner that enables it to qualify as a REIT under the Code.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 xml:space="preserve">Coronavirus Disease </w:t>
      </w:r>
      <w:r>
        <w:rPr>
          <w:rStyle w:val="a6"/>
          <w:sz w:val="20"/>
          <w:szCs w:val="20"/>
          <w:u w:val="single"/>
        </w:rPr>
        <w:t>2019</w:t>
      </w:r>
      <w:r>
        <w:rPr>
          <w:sz w:val="20"/>
          <w:szCs w:val="20"/>
          <w:u w:val="single"/>
        </w:rPr>
        <w:t xml:space="preserve"> ("COVID-</w:t>
      </w:r>
      <w:r>
        <w:rPr>
          <w:rStyle w:val="a6"/>
          <w:sz w:val="20"/>
          <w:szCs w:val="20"/>
          <w:u w:val="single"/>
        </w:rPr>
        <w:t>19"</w:t>
      </w:r>
      <w:r>
        <w:rPr>
          <w:sz w:val="20"/>
          <w:szCs w:val="20"/>
          <w:u w:val="single"/>
        </w:rPr>
        <w:t>) Pandemic</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COVID-</w:t>
      </w:r>
      <w:r>
        <w:rPr>
          <w:rStyle w:val="a6"/>
          <w:sz w:val="20"/>
          <w:szCs w:val="20"/>
        </w:rPr>
        <w:t>19</w:t>
      </w:r>
      <w:r>
        <w:rPr>
          <w:sz w:val="20"/>
          <w:szCs w:val="20"/>
        </w:rPr>
        <w:t> </w:t>
      </w:r>
      <w:r>
        <w:rPr>
          <w:sz w:val="20"/>
          <w:szCs w:val="20"/>
        </w:rPr>
        <w:t>pandemic has resulted in a widespread health crisis that has adversely affected businesses, economies, and financial markets worldwide and has caused significant volatility in U.S. and international debt and equity markets. The impact of COVID-</w:t>
      </w:r>
      <w:r>
        <w:rPr>
          <w:rStyle w:val="a6"/>
          <w:sz w:val="20"/>
          <w:szCs w:val="20"/>
        </w:rPr>
        <w:t>19</w:t>
      </w:r>
      <w:r>
        <w:rPr>
          <w:sz w:val="20"/>
          <w:szCs w:val="20"/>
        </w:rPr>
        <w:t xml:space="preserve"> on the re</w:t>
      </w:r>
      <w:r>
        <w:rPr>
          <w:sz w:val="20"/>
          <w:szCs w:val="20"/>
        </w:rPr>
        <w:t xml:space="preserve">tail industry for both landlords and tenants has been wide ranging, including, but </w:t>
      </w:r>
      <w:r>
        <w:rPr>
          <w:rStyle w:val="a6"/>
          <w:sz w:val="20"/>
          <w:szCs w:val="20"/>
        </w:rPr>
        <w:t>not</w:t>
      </w:r>
      <w:r>
        <w:rPr>
          <w:sz w:val="20"/>
          <w:szCs w:val="20"/>
        </w:rPr>
        <w:t xml:space="preserve"> limited to, the temporary closures of many businesses, "shelter in place" orders, social distancing guidelines and other governmental, business and individual actions ta</w:t>
      </w:r>
      <w:r>
        <w:rPr>
          <w:sz w:val="20"/>
          <w:szCs w:val="20"/>
        </w:rPr>
        <w:t>ken in response to the COVID-</w:t>
      </w:r>
      <w:r>
        <w:rPr>
          <w:rStyle w:val="a6"/>
          <w:sz w:val="20"/>
          <w:szCs w:val="20"/>
        </w:rPr>
        <w:t>19</w:t>
      </w:r>
      <w:r>
        <w:rPr>
          <w:sz w:val="20"/>
          <w:szCs w:val="20"/>
        </w:rPr>
        <w:t xml:space="preserve"> pandemic. There has also been reduced consumer spending due to job losses, government restrictions in response to COVID-</w:t>
      </w:r>
      <w:r>
        <w:rPr>
          <w:rStyle w:val="a6"/>
          <w:sz w:val="20"/>
          <w:szCs w:val="20"/>
        </w:rPr>
        <w:t>19</w:t>
      </w:r>
      <w:r>
        <w:rPr>
          <w:sz w:val="20"/>
          <w:szCs w:val="20"/>
        </w:rPr>
        <w:t xml:space="preserve"> and other effects attributable to COVID-</w:t>
      </w:r>
      <w:r>
        <w:rPr>
          <w:rStyle w:val="a6"/>
          <w:sz w:val="20"/>
          <w:szCs w:val="20"/>
        </w:rPr>
        <w:t>19.</w:t>
      </w: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COVID-</w:t>
      </w:r>
      <w:r>
        <w:rPr>
          <w:rStyle w:val="a6"/>
          <w:sz w:val="20"/>
          <w:szCs w:val="20"/>
        </w:rPr>
        <w:t>19</w:t>
      </w:r>
      <w:r>
        <w:rPr>
          <w:sz w:val="20"/>
          <w:szCs w:val="20"/>
        </w:rPr>
        <w:t xml:space="preserve"> pandemic has created significant economic</w:t>
      </w:r>
      <w:r>
        <w:rPr>
          <w:sz w:val="20"/>
          <w:szCs w:val="20"/>
        </w:rPr>
        <w:t xml:space="preserve"> uncertainty and volatility and has considerably impacted the Company’s stakeholders. The COVID-</w:t>
      </w:r>
      <w:r>
        <w:rPr>
          <w:rStyle w:val="a6"/>
          <w:sz w:val="20"/>
          <w:szCs w:val="20"/>
        </w:rPr>
        <w:t>19</w:t>
      </w:r>
      <w:r>
        <w:rPr>
          <w:sz w:val="20"/>
          <w:szCs w:val="20"/>
        </w:rPr>
        <w:t xml:space="preserve"> pandemic has impacted the Company's financial condition, results of operations and cash flows since its onset. The extent to which the COVID-</w:t>
      </w:r>
      <w:r>
        <w:rPr>
          <w:rStyle w:val="a6"/>
          <w:sz w:val="20"/>
          <w:szCs w:val="20"/>
        </w:rPr>
        <w:t>19</w:t>
      </w:r>
      <w:r>
        <w:rPr>
          <w:sz w:val="20"/>
          <w:szCs w:val="20"/>
        </w:rPr>
        <w:t xml:space="preserve"> pandemic will</w:t>
      </w:r>
      <w:r>
        <w:rPr>
          <w:sz w:val="20"/>
          <w:szCs w:val="20"/>
        </w:rPr>
        <w:t xml:space="preserve"> continue to impact the Company’s financial condition, results of operations and cash flows, will depend on future developments, which continue to be highly uncertain and difficult to predict. The Company’s business, operations and financial results will d</w:t>
      </w:r>
      <w:r>
        <w:rPr>
          <w:sz w:val="20"/>
          <w:szCs w:val="20"/>
        </w:rPr>
        <w:t xml:space="preserve">epend on numerous evolving factors that the Company is </w:t>
      </w:r>
      <w:r>
        <w:rPr>
          <w:rStyle w:val="a6"/>
          <w:sz w:val="20"/>
          <w:szCs w:val="20"/>
        </w:rPr>
        <w:t>not</w:t>
      </w:r>
      <w:r>
        <w:rPr>
          <w:sz w:val="20"/>
          <w:szCs w:val="20"/>
        </w:rPr>
        <w:t xml:space="preserve"> able to predict, including the duration and scope of the pandemic, governmental, business and individual actions that have been and continue to be, taken in response to the pandemic, the distributi</w:t>
      </w:r>
      <w:r>
        <w:rPr>
          <w:sz w:val="20"/>
          <w:szCs w:val="20"/>
        </w:rPr>
        <w:t>on and effectiveness of vaccines, the impact on economic activity from the pandemic and actions taken in response, the effect on the Company’s tenants and their businesses, the ability of tenants to make their rental payments, additional closures of tenant</w:t>
      </w:r>
      <w:r>
        <w:rPr>
          <w:sz w:val="20"/>
          <w:szCs w:val="20"/>
        </w:rPr>
        <w:t>s’ businesses and the impact of opening and reclosing of communities in response to COVID-</w:t>
      </w:r>
      <w:r>
        <w:rPr>
          <w:rStyle w:val="a6"/>
          <w:sz w:val="20"/>
          <w:szCs w:val="20"/>
        </w:rPr>
        <w:t>19.</w:t>
      </w:r>
      <w:r>
        <w:rPr>
          <w:sz w:val="20"/>
          <w:szCs w:val="20"/>
        </w:rPr>
        <w:t xml:space="preserve"> Any of these events could materially adversely impact the Company’s business, financial condition, results of operations or stock price. The Company will continue</w:t>
      </w:r>
      <w:r>
        <w:rPr>
          <w:sz w:val="20"/>
          <w:szCs w:val="20"/>
        </w:rPr>
        <w:t xml:space="preserve"> to monitor the economic, financial, and social conditions resulting from the COVID-</w:t>
      </w:r>
      <w:r>
        <w:rPr>
          <w:rStyle w:val="a6"/>
          <w:sz w:val="20"/>
          <w:szCs w:val="20"/>
        </w:rPr>
        <w:t>19</w:t>
      </w:r>
      <w:r>
        <w:rPr>
          <w:sz w:val="20"/>
          <w:szCs w:val="20"/>
        </w:rPr>
        <w:t xml:space="preserve"> pandemic and will assess its asset portfolio for any impairment indicators. In addition, the Company will continue to monitor for any material or adverse effects resulti</w:t>
      </w:r>
      <w:r>
        <w:rPr>
          <w:sz w:val="20"/>
          <w:szCs w:val="20"/>
        </w:rPr>
        <w:t>ng from the COVID-</w:t>
      </w:r>
      <w:r>
        <w:rPr>
          <w:rStyle w:val="a6"/>
          <w:sz w:val="20"/>
          <w:szCs w:val="20"/>
        </w:rPr>
        <w:t>19</w:t>
      </w:r>
      <w:r>
        <w:rPr>
          <w:sz w:val="20"/>
          <w:szCs w:val="20"/>
        </w:rPr>
        <w:t xml:space="preserve"> pandemic.</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Basis of Presentation</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accompanying Consolidated Financial Statements include the accounts of the Company. The Company’</w:t>
      </w:r>
      <w:r>
        <w:rPr>
          <w:sz w:val="20"/>
          <w:szCs w:val="20"/>
        </w:rPr>
        <w:t>s subsidiaries include subsidiaries which are wholly owned or which the Company has a controlling interest, including where the Company has been determined to be a primary beneficiary of a variable interest entity (“VIE”) in accordance with the consolidati</w:t>
      </w:r>
      <w:r>
        <w:rPr>
          <w:sz w:val="20"/>
          <w:szCs w:val="20"/>
        </w:rPr>
        <w:t>on guidance of the Financial Accounting Standards Board (“FASB”) Accounting Standards Codification (“ASC”). All inter-company balances and transactions have been eliminated in consolidation.</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jc w:val="center"/>
        <w:divId w:val="1405840302"/>
        <w:rPr>
          <w:rFonts w:eastAsia="Times New Roman"/>
          <w:sz w:val="20"/>
          <w:szCs w:val="20"/>
        </w:rPr>
      </w:pPr>
      <w:r>
        <w:rPr>
          <w:rStyle w:val="a6"/>
          <w:rFonts w:eastAsia="Times New Roman"/>
          <w:sz w:val="20"/>
          <w:szCs w:val="20"/>
        </w:rPr>
        <w:t>57</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091" style="width:415.3pt;height:1.5pt" o:hralign="center" o:hrstd="t" o:hrnoshade="t" o:hr="t" fillcolor="black" stroked="f"/>
        </w:pict>
      </w:r>
    </w:p>
    <w:p w:rsidR="00000000" w:rsidRDefault="004E30E9">
      <w:pPr>
        <w:divId w:val="68132464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ind w:left="360"/>
        <w:jc w:val="both"/>
        <w:rPr>
          <w:sz w:val="20"/>
          <w:szCs w:val="20"/>
        </w:rPr>
      </w:pPr>
      <w:r>
        <w:rPr>
          <w:sz w:val="20"/>
          <w:szCs w:val="20"/>
          <w:u w:val="single"/>
        </w:rPr>
        <w:t>Use of Estimates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GAAP requires the Co</w:t>
      </w:r>
      <w:r>
        <w:rPr>
          <w:sz w:val="20"/>
          <w:szCs w:val="20"/>
        </w:rPr>
        <w:t>mpany's management to make estimates and assumptions that affect the reported amounts of assets and liabilities, the disclosure of contingent assets and liabilities and the reported amounts of revenues and expenses during a reporting period. The most signi</w:t>
      </w:r>
      <w:r>
        <w:rPr>
          <w:sz w:val="20"/>
          <w:szCs w:val="20"/>
        </w:rPr>
        <w:t>ficant assumptions and estimates relate to the valuation of real estate and related intangible assets and liabilities, equity method investments, other investments, including the assessment of impairments, as well as, depreciable lives, revenue recognition</w:t>
      </w:r>
      <w:r>
        <w:rPr>
          <w:sz w:val="20"/>
          <w:szCs w:val="20"/>
        </w:rPr>
        <w:t>, the collectability of trade accounts receivable, realizability of deferred tax assets and the assessment of uncertain tax positions. Application of these assumptions requires the exercise of judgment as to future uncertainties, and, as a result, actual r</w:t>
      </w:r>
      <w:r>
        <w:rPr>
          <w:sz w:val="20"/>
          <w:szCs w:val="20"/>
        </w:rPr>
        <w:t>esults could differ from these estimates.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u w:val="single"/>
        </w:rPr>
        <w:t>Subsequent Events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rPr>
        <w:t>The Company has evaluated subsequent events and transactions for potential recognition or disclosure in its consolidated financial statements.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Real Estate</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Real estate assets are stated at </w:t>
      </w:r>
      <w:r>
        <w:rPr>
          <w:sz w:val="20"/>
          <w:szCs w:val="20"/>
        </w:rPr>
        <w:t>cost, less accumulated depreciation and amortization. Upon acquisition of real estate operating properties, the Company estimates the fair value of acquired tangible assets (consisting of land, building, building improvements and tenant improvements) and i</w:t>
      </w:r>
      <w:r>
        <w:rPr>
          <w:sz w:val="20"/>
          <w:szCs w:val="20"/>
        </w:rPr>
        <w:t>dentified intangible assets and liabilities (consisting of above-market and below-market leases, in-place leases and tenant relationships, where applicable), assumed debt and redeemable units issued at the date of acquisition, based on evaluation of inform</w:t>
      </w:r>
      <w:r>
        <w:rPr>
          <w:sz w:val="20"/>
          <w:szCs w:val="20"/>
        </w:rPr>
        <w:t>ation and estimates available at that date. Fair value is determined based on a market approach, which contemplates the price that would be received to sell an asset or paid to transfer a liability in an orderly transaction between market participants at t</w:t>
      </w:r>
      <w:r>
        <w:rPr>
          <w:sz w:val="20"/>
          <w:szCs w:val="20"/>
        </w:rPr>
        <w:t>he measurement date. Acquisitions of operating properties are categorized as asset acquisitions and as such the Company capitalizes the acquisition costs associated with these acquisitions.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In allocating the purchase price to identified intangible assets and liabilities of an acquired property, the value of above-market and below-market leases is estimated based on the present value of the difference between the contractual amounts, including</w:t>
      </w:r>
      <w:r>
        <w:rPr>
          <w:sz w:val="20"/>
          <w:szCs w:val="20"/>
        </w:rPr>
        <w:t xml:space="preserve"> fixed rate below-market lease renewal options, to be paid pursuant to the leases and management’s estimate of the market lease rates and other lease provisions (i.e., expense recapture, base rental changes, etc.) measured over a period equal to the estima</w:t>
      </w:r>
      <w:r>
        <w:rPr>
          <w:sz w:val="20"/>
          <w:szCs w:val="20"/>
        </w:rPr>
        <w:t>ted remaining term of the lease. The capitalized above-market or below-market intangible is amortized to rental income over the estimated remaining term of the respective leases, which includes the expected renewal option period for below-market leases. Mo</w:t>
      </w:r>
      <w:r>
        <w:rPr>
          <w:sz w:val="20"/>
          <w:szCs w:val="20"/>
        </w:rPr>
        <w:t>rtgage debt discounts or premiums are amortized into interest expense over the remaining term of the related debt instrument.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 determining the value of in-place leases, management considers current market conditions and costs to execute similar leases </w:t>
      </w:r>
      <w:r>
        <w:rPr>
          <w:sz w:val="20"/>
          <w:szCs w:val="20"/>
        </w:rPr>
        <w:t>in arriving at an estimate of the carrying costs during the expected lease-up period from vacant to existing occupancy. In estimating carrying costs, management includes real estate taxes, insurance, other operating expenses, estimates of lost rental reven</w:t>
      </w:r>
      <w:r>
        <w:rPr>
          <w:sz w:val="20"/>
          <w:szCs w:val="20"/>
        </w:rPr>
        <w:t>ue during the expected lease-up periods and costs to execute similar leases including leasing commissions, legal and other related costs based on current market demand. The value assigned to in-place leases and tenant relationships is amortized over the es</w:t>
      </w:r>
      <w:r>
        <w:rPr>
          <w:sz w:val="20"/>
          <w:szCs w:val="20"/>
        </w:rPr>
        <w:t>timated remaining term of the leases. If a lease were to be terminated prior to its scheduled expiration, all unamortized costs relating to that lease would be written off.</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Depreciation and amortization are provided on the straight-line method over the e</w:t>
      </w:r>
      <w:r>
        <w:rPr>
          <w:sz w:val="20"/>
          <w:szCs w:val="20"/>
        </w:rPr>
        <w:t>stimated useful lives of the assets, as follows:</w:t>
      </w:r>
    </w:p>
    <w:p w:rsidR="00000000" w:rsidRDefault="004E30E9">
      <w:pPr>
        <w:pStyle w:val="a3"/>
        <w:spacing w:before="0" w:beforeAutospacing="0" w:after="0" w:afterAutospacing="0"/>
        <w:ind w:left="360"/>
        <w:rPr>
          <w:sz w:val="20"/>
          <w:szCs w:val="20"/>
        </w:rPr>
      </w:pPr>
      <w:r>
        <w:rPr>
          <w:sz w:val="20"/>
          <w:szCs w:val="20"/>
        </w:rPr>
        <w:t> </w:t>
      </w:r>
    </w:p>
    <w:tbl>
      <w:tblPr>
        <w:tblW w:w="3545" w:type="pct"/>
        <w:tblCellSpacing w:w="0" w:type="dxa"/>
        <w:tblInd w:w="14" w:type="dxa"/>
        <w:tblCellMar>
          <w:left w:w="0" w:type="dxa"/>
          <w:right w:w="0" w:type="dxa"/>
        </w:tblCellMar>
        <w:tblLook w:val="04A0" w:firstRow="1" w:lastRow="0" w:firstColumn="1" w:lastColumn="0" w:noHBand="0" w:noVBand="1"/>
      </w:tblPr>
      <w:tblGrid>
        <w:gridCol w:w="3474"/>
        <w:gridCol w:w="177"/>
        <w:gridCol w:w="2238"/>
      </w:tblGrid>
      <w:tr w:rsidR="00000000">
        <w:trPr>
          <w:tblCellSpacing w:w="0" w:type="dxa"/>
        </w:trPr>
        <w:tc>
          <w:tcPr>
            <w:tcW w:w="2950" w:type="pct"/>
            <w:shd w:val="clear" w:color="auto" w:fill="CCEEFF"/>
            <w:hideMark/>
          </w:tcPr>
          <w:p w:rsidR="00000000" w:rsidRDefault="004E30E9">
            <w:pPr>
              <w:pStyle w:val="a3"/>
              <w:spacing w:before="0" w:beforeAutospacing="0" w:after="0" w:afterAutospacing="0"/>
              <w:rPr>
                <w:sz w:val="20"/>
                <w:szCs w:val="20"/>
              </w:rPr>
            </w:pPr>
            <w:r>
              <w:rPr>
                <w:sz w:val="20"/>
                <w:szCs w:val="20"/>
              </w:rPr>
              <w:t>Buildings and building improvements (in years)</w:t>
            </w:r>
          </w:p>
        </w:tc>
        <w:tc>
          <w:tcPr>
            <w:tcW w:w="150" w:type="pct"/>
            <w:shd w:val="clear" w:color="auto" w:fill="CCEEFF"/>
            <w:hideMark/>
          </w:tcPr>
          <w:p w:rsidR="00000000" w:rsidRDefault="004E30E9">
            <w:pPr>
              <w:rPr>
                <w:rFonts w:eastAsia="Times New Roman"/>
                <w:sz w:val="20"/>
                <w:szCs w:val="20"/>
              </w:rPr>
            </w:pPr>
            <w:r>
              <w:rPr>
                <w:rFonts w:eastAsia="Times New Roman"/>
                <w:sz w:val="20"/>
                <w:szCs w:val="20"/>
              </w:rPr>
              <w:t> </w:t>
            </w:r>
          </w:p>
        </w:tc>
        <w:tc>
          <w:tcPr>
            <w:tcW w:w="1900" w:type="pct"/>
            <w:shd w:val="clear" w:color="auto" w:fill="CCEEFF"/>
            <w:hideMark/>
          </w:tcPr>
          <w:p w:rsidR="00000000" w:rsidRDefault="004E30E9">
            <w:pPr>
              <w:pStyle w:val="a3"/>
              <w:spacing w:before="0" w:beforeAutospacing="0" w:after="0" w:afterAutospacing="0"/>
              <w:rPr>
                <w:sz w:val="20"/>
                <w:szCs w:val="20"/>
              </w:rPr>
            </w:pPr>
            <w:r>
              <w:rPr>
                <w:sz w:val="20"/>
                <w:szCs w:val="20"/>
              </w:rPr>
              <w:t>5 to 50</w:t>
            </w:r>
          </w:p>
        </w:tc>
      </w:tr>
      <w:tr w:rsidR="00000000">
        <w:trPr>
          <w:tblCellSpacing w:w="0" w:type="dxa"/>
        </w:trPr>
        <w:tc>
          <w:tcPr>
            <w:tcW w:w="2950" w:type="pct"/>
            <w:shd w:val="clear" w:color="auto" w:fill="FFFFFF"/>
            <w:hideMark/>
          </w:tcPr>
          <w:p w:rsidR="00000000" w:rsidRDefault="004E30E9">
            <w:pPr>
              <w:pStyle w:val="a3"/>
              <w:spacing w:before="0" w:beforeAutospacing="0" w:after="0" w:afterAutospacing="0"/>
              <w:ind w:left="558" w:hanging="540"/>
              <w:rPr>
                <w:sz w:val="20"/>
                <w:szCs w:val="20"/>
              </w:rPr>
            </w:pPr>
            <w:r>
              <w:rPr>
                <w:sz w:val="20"/>
                <w:szCs w:val="20"/>
              </w:rPr>
              <w:t>Fixtures, leasehold and tenant improvements</w:t>
            </w:r>
          </w:p>
          <w:p w:rsidR="00000000" w:rsidRDefault="004E30E9">
            <w:pPr>
              <w:pStyle w:val="a3"/>
              <w:spacing w:before="0" w:beforeAutospacing="0" w:after="0" w:afterAutospacing="0"/>
              <w:ind w:left="558" w:hanging="540"/>
              <w:rPr>
                <w:sz w:val="20"/>
                <w:szCs w:val="20"/>
              </w:rPr>
            </w:pPr>
            <w:r>
              <w:rPr>
                <w:sz w:val="20"/>
                <w:szCs w:val="20"/>
              </w:rPr>
              <w:t>     (including certain identified intangible assets)</w:t>
            </w:r>
          </w:p>
        </w:tc>
        <w:tc>
          <w:tcPr>
            <w:tcW w:w="150" w:type="pct"/>
            <w:shd w:val="clear" w:color="auto" w:fill="FFFFFF"/>
            <w:hideMark/>
          </w:tcPr>
          <w:p w:rsidR="00000000" w:rsidRDefault="004E30E9">
            <w:pPr>
              <w:rPr>
                <w:rFonts w:eastAsia="Times New Roman"/>
                <w:sz w:val="20"/>
                <w:szCs w:val="20"/>
              </w:rPr>
            </w:pPr>
            <w:r>
              <w:rPr>
                <w:rFonts w:eastAsia="Times New Roman"/>
                <w:sz w:val="20"/>
                <w:szCs w:val="20"/>
              </w:rPr>
              <w:t> </w:t>
            </w:r>
          </w:p>
        </w:tc>
        <w:tc>
          <w:tcPr>
            <w:tcW w:w="1900" w:type="pct"/>
            <w:shd w:val="clear" w:color="auto" w:fill="FFFFFF"/>
            <w:hideMark/>
          </w:tcPr>
          <w:p w:rsidR="00000000" w:rsidRDefault="004E30E9">
            <w:pPr>
              <w:pStyle w:val="a3"/>
              <w:spacing w:before="0" w:beforeAutospacing="0" w:after="0" w:afterAutospacing="0"/>
              <w:rPr>
                <w:sz w:val="20"/>
                <w:szCs w:val="20"/>
              </w:rPr>
            </w:pPr>
            <w:r>
              <w:rPr>
                <w:sz w:val="20"/>
                <w:szCs w:val="20"/>
              </w:rPr>
              <w:t>Terms of leases or useful</w:t>
            </w:r>
          </w:p>
          <w:p w:rsidR="00000000" w:rsidRDefault="004E30E9">
            <w:pPr>
              <w:pStyle w:val="a3"/>
              <w:spacing w:before="0" w:beforeAutospacing="0" w:after="0" w:afterAutospacing="0"/>
              <w:rPr>
                <w:sz w:val="20"/>
                <w:szCs w:val="20"/>
              </w:rPr>
            </w:pPr>
            <w:r>
              <w:rPr>
                <w:sz w:val="20"/>
                <w:szCs w:val="20"/>
              </w:rPr>
              <w:t>lives, whichever is s</w:t>
            </w:r>
            <w:r>
              <w:rPr>
                <w:sz w:val="20"/>
                <w:szCs w:val="20"/>
              </w:rPr>
              <w:t>horter</w:t>
            </w:r>
          </w:p>
        </w:tc>
      </w:tr>
    </w:tbl>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periodically assesses the useful lives of its depreciable real estate assets, including those expected to be redeveloped in future periods, and accounts for any revisions prospectively. Expenditures for maintenance, repairs and demolition costs</w:t>
      </w:r>
      <w:r>
        <w:rPr>
          <w:sz w:val="20"/>
          <w:szCs w:val="20"/>
        </w:rPr>
        <w:t xml:space="preserve"> are charged to operations as incurred. Significant renovations and replacements, which improve or extend the life of the asset, are capitalized. The useful lives of amortizable intangible assets are evaluated each reporting period with any changes in esti</w:t>
      </w:r>
      <w:r>
        <w:rPr>
          <w:sz w:val="20"/>
          <w:szCs w:val="20"/>
        </w:rPr>
        <w:t>mated useful lives being accounted for over the revised remaining useful life.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When a real estate asset is identified by management as held-for-sale, the Company ceases depreciation of the asset and estimates the fair value. If the fair value of the asse</w:t>
      </w:r>
      <w:r>
        <w:rPr>
          <w:sz w:val="20"/>
          <w:szCs w:val="20"/>
        </w:rPr>
        <w:t>t, less cost to sell, is less than the net book value of the asset, an adjustment to the carrying value would be recorded to reflect the estimated fair value of the property, less estimated costs of sale and the asset is classified as other assets.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75060835"/>
        <w:rPr>
          <w:rFonts w:eastAsia="Times New Roman"/>
          <w:sz w:val="20"/>
          <w:szCs w:val="20"/>
        </w:rPr>
      </w:pPr>
      <w:r>
        <w:rPr>
          <w:rStyle w:val="a6"/>
          <w:rFonts w:eastAsia="Times New Roman"/>
          <w:sz w:val="20"/>
          <w:szCs w:val="20"/>
        </w:rPr>
        <w:t>58</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092" style="width:415.3pt;height:1.5pt" o:hralign="center" o:hrstd="t" o:hrnoshade="t" o:hr="t" fillcolor="black" stroked="f"/>
        </w:pict>
      </w:r>
    </w:p>
    <w:p w:rsidR="00000000" w:rsidRDefault="004E30E9">
      <w:pPr>
        <w:divId w:val="504517010"/>
        <w:rPr>
          <w:rFonts w:eastAsia="Times New Roman"/>
          <w:sz w:val="20"/>
          <w:szCs w:val="20"/>
        </w:rPr>
      </w:pPr>
      <w:r>
        <w:rPr>
          <w:rFonts w:eastAsia="Times New Roman"/>
          <w:sz w:val="20"/>
          <w:szCs w:val="20"/>
        </w:rPr>
        <w:pict>
          <v:rect id="_x0000_i1093" style="width:415.3pt;height:1.5pt" o:hralign="center" o:hrstd="t" o:hrnoshade="t" o:hr="t" fillcolor="black" stroked="f"/>
        </w:pict>
      </w:r>
    </w:p>
    <w:p w:rsidR="00000000" w:rsidRDefault="004E30E9">
      <w:pPr>
        <w:divId w:val="87651034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On a continuous basis, management assesses whether there are any indicators, including property operating performance, changes in anticipated holding period and general market conditions, that the val</w:t>
      </w:r>
      <w:r>
        <w:rPr>
          <w:sz w:val="20"/>
          <w:szCs w:val="20"/>
        </w:rPr>
        <w:t xml:space="preserve">ue of the real estate properties (including any related amortizable intangible assets or liabilities) </w:t>
      </w:r>
      <w:r>
        <w:rPr>
          <w:rStyle w:val="a6"/>
          <w:sz w:val="20"/>
          <w:szCs w:val="20"/>
        </w:rPr>
        <w:t xml:space="preserve">may </w:t>
      </w:r>
      <w:r>
        <w:rPr>
          <w:sz w:val="20"/>
          <w:szCs w:val="20"/>
        </w:rPr>
        <w:t>be impaired. A property value is considered impaired only if management’s estimated fair value is less than the net carrying value of the property. Th</w:t>
      </w:r>
      <w:r>
        <w:rPr>
          <w:sz w:val="20"/>
          <w:szCs w:val="20"/>
        </w:rPr>
        <w:t xml:space="preserve">e Company’s estimated fair value is primarily based upon (i) estimated sales prices from signed contracts or letters of intent from </w:t>
      </w:r>
      <w:r>
        <w:rPr>
          <w:rStyle w:val="a6"/>
          <w:sz w:val="20"/>
          <w:szCs w:val="20"/>
        </w:rPr>
        <w:t>third</w:t>
      </w:r>
      <w:r>
        <w:rPr>
          <w:sz w:val="20"/>
          <w:szCs w:val="20"/>
        </w:rPr>
        <w:t xml:space="preserve">-party offers, (ii) discounted cash flow models of the property over its remaining hold period or (iii) </w:t>
      </w:r>
      <w:r>
        <w:rPr>
          <w:rStyle w:val="a6"/>
          <w:sz w:val="20"/>
          <w:szCs w:val="20"/>
        </w:rPr>
        <w:t>third</w:t>
      </w:r>
      <w:r>
        <w:rPr>
          <w:sz w:val="20"/>
          <w:szCs w:val="20"/>
        </w:rPr>
        <w:t>-party app</w:t>
      </w:r>
      <w:r>
        <w:rPr>
          <w:sz w:val="20"/>
          <w:szCs w:val="20"/>
        </w:rPr>
        <w:t>raisals. An impairment is recognized on properties held for use when the expected undiscounted cash flows for a property are less than its carrying amount, at which time, the property is written-down to its estimated fair value. Estimated fair values which</w:t>
      </w:r>
      <w:r>
        <w:rPr>
          <w:sz w:val="20"/>
          <w:szCs w:val="20"/>
        </w:rPr>
        <w:t xml:space="preserve"> are based on discounted cash flow models include all estimated cash inflows and outflows over a specified holding period, capitalization rates and discount rates utilized in these models are based upon unobservable rates that the Company believes to be wi</w:t>
      </w:r>
      <w:r>
        <w:rPr>
          <w:sz w:val="20"/>
          <w:szCs w:val="20"/>
        </w:rPr>
        <w:t>thin a reasonable range of current market rates. In addition, such cash flow models consider factors such as expected future operating income, trends and prospects, as well as the effects of demand, competition and other factors. To the extent impairment h</w:t>
      </w:r>
      <w:r>
        <w:rPr>
          <w:sz w:val="20"/>
          <w:szCs w:val="20"/>
        </w:rPr>
        <w:t xml:space="preserve">as occurred, the carrying value of the property would be adjusted to an amount to reflect the estimated fair value of the property. The Company does </w:t>
      </w:r>
      <w:r>
        <w:rPr>
          <w:rStyle w:val="a6"/>
          <w:sz w:val="20"/>
          <w:szCs w:val="20"/>
        </w:rPr>
        <w:t>not</w:t>
      </w:r>
      <w:r>
        <w:rPr>
          <w:sz w:val="20"/>
          <w:szCs w:val="20"/>
        </w:rPr>
        <w:t xml:space="preserve"> have access to the unobservable inputs used to determine the estimated fair values of </w:t>
      </w:r>
      <w:r>
        <w:rPr>
          <w:rStyle w:val="a6"/>
          <w:sz w:val="20"/>
          <w:szCs w:val="20"/>
        </w:rPr>
        <w:t>third</w:t>
      </w:r>
      <w:r>
        <w:rPr>
          <w:sz w:val="20"/>
          <w:szCs w:val="20"/>
        </w:rPr>
        <w:t>-party offer</w:t>
      </w:r>
      <w:r>
        <w:rPr>
          <w:sz w:val="20"/>
          <w:szCs w:val="20"/>
        </w:rPr>
        <w:t>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Real Estate Under Development</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Real estate under development represents the development of open-air shopping center projects, which </w:t>
      </w:r>
      <w:r>
        <w:rPr>
          <w:rStyle w:val="a6"/>
          <w:sz w:val="20"/>
          <w:szCs w:val="20"/>
        </w:rPr>
        <w:t xml:space="preserve">may </w:t>
      </w:r>
      <w:r>
        <w:rPr>
          <w:sz w:val="20"/>
          <w:szCs w:val="20"/>
        </w:rPr>
        <w:t>include residential and mixed-use components, that the Company plans to hold as long-term investments. These prope</w:t>
      </w:r>
      <w:r>
        <w:rPr>
          <w:sz w:val="20"/>
          <w:szCs w:val="20"/>
        </w:rPr>
        <w:t>rties are carried at cost. The cost of land and buildings under development includes specifically identifiable costs. Capitalized costs include pre-construction costs essential to the development of the property, construction costs, interest costs, real es</w:t>
      </w:r>
      <w:r>
        <w:rPr>
          <w:sz w:val="20"/>
          <w:szCs w:val="20"/>
        </w:rPr>
        <w:t>tate taxes, insurance, legal costs, salaries and related costs of personnel directly involved and other costs incurred during the period of development. The Company ceases cost capitalization when the property is held available for occupancy and placed int</w:t>
      </w:r>
      <w:r>
        <w:rPr>
          <w:sz w:val="20"/>
          <w:szCs w:val="20"/>
        </w:rPr>
        <w:t xml:space="preserve">o service. This usually occurs upon substantial completion of all development activity necessary to bring the property to the condition needed for its intended use, but </w:t>
      </w:r>
      <w:r>
        <w:rPr>
          <w:rStyle w:val="a6"/>
          <w:sz w:val="20"/>
          <w:szCs w:val="20"/>
        </w:rPr>
        <w:t>no</w:t>
      </w:r>
      <w:r>
        <w:rPr>
          <w:sz w:val="20"/>
          <w:szCs w:val="20"/>
        </w:rPr>
        <w:t xml:space="preserve"> later than</w:t>
      </w:r>
      <w:r>
        <w:rPr>
          <w:sz w:val="20"/>
          <w:szCs w:val="20"/>
        </w:rPr>
        <w:t xml:space="preserve"> </w:t>
      </w:r>
      <w:r>
        <w:rPr>
          <w:sz w:val="20"/>
          <w:szCs w:val="20"/>
        </w:rPr>
        <w:t>on</w:t>
      </w:r>
      <w:r>
        <w:rPr>
          <w:sz w:val="20"/>
          <w:szCs w:val="20"/>
        </w:rPr>
        <w:t>e</w:t>
      </w:r>
      <w:r>
        <w:rPr>
          <w:sz w:val="20"/>
          <w:szCs w:val="20"/>
        </w:rPr>
        <w:t xml:space="preserve"> year from the completion of major construction activity. However, the</w:t>
      </w:r>
      <w:r>
        <w:rPr>
          <w:sz w:val="20"/>
          <w:szCs w:val="20"/>
        </w:rPr>
        <w:t xml:space="preserve"> Company </w:t>
      </w:r>
      <w:r>
        <w:rPr>
          <w:rStyle w:val="a6"/>
          <w:sz w:val="20"/>
          <w:szCs w:val="20"/>
        </w:rPr>
        <w:t xml:space="preserve">may </w:t>
      </w:r>
      <w:r>
        <w:rPr>
          <w:sz w:val="20"/>
          <w:szCs w:val="20"/>
        </w:rPr>
        <w:t xml:space="preserve">continue to capitalize costs even though a project is substantially completed if construction is still ongoing at the site. If, in management’s opinion, the current and projected undiscounted cash flows of these assets to be held as long-term </w:t>
      </w:r>
      <w:r>
        <w:rPr>
          <w:sz w:val="20"/>
          <w:szCs w:val="20"/>
        </w:rPr>
        <w:t>investments is less than the net carrying value plus estimated costs to complete the development, the carrying value would be adjusted to an amount that reflects the estimated fair value of the property.</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Investments in Unconsolidated Joint Ventures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accounts for its investments in unconsolidated joint ventures under the equity method of accounting as the Company exercises significant influence, but does </w:t>
      </w:r>
      <w:r>
        <w:rPr>
          <w:rStyle w:val="a6"/>
          <w:sz w:val="20"/>
          <w:szCs w:val="20"/>
        </w:rPr>
        <w:t>not</w:t>
      </w:r>
      <w:r>
        <w:rPr>
          <w:sz w:val="20"/>
          <w:szCs w:val="20"/>
        </w:rPr>
        <w:t xml:space="preserve"> control, these entities. These inves</w:t>
      </w:r>
      <w:r>
        <w:rPr>
          <w:sz w:val="20"/>
          <w:szCs w:val="20"/>
        </w:rPr>
        <w:t>tments are recorded initially at cost and are subsequently adjusted for cash contributions and distributions. Earnings for each investment are recognized in accordance with each respective investment agreement and where applicable, are based upon an alloca</w:t>
      </w:r>
      <w:r>
        <w:rPr>
          <w:sz w:val="20"/>
          <w:szCs w:val="20"/>
        </w:rPr>
        <w:t>tion of the investment’s net assets at book value as if the investment was hypothetically liquidated at the end of each reporting period.</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Company’s joint ventures primarily consist of co-investments with institutional and other joint venture partners</w:t>
      </w:r>
      <w:r>
        <w:rPr>
          <w:sz w:val="20"/>
          <w:szCs w:val="20"/>
        </w:rPr>
        <w:t xml:space="preserve"> in open-air shopping center properties, consistent with its core business. These joint ventures typically obtain non-recourse </w:t>
      </w:r>
      <w:r>
        <w:rPr>
          <w:rStyle w:val="a6"/>
          <w:sz w:val="20"/>
          <w:szCs w:val="20"/>
        </w:rPr>
        <w:t>third</w:t>
      </w:r>
      <w:r>
        <w:rPr>
          <w:sz w:val="20"/>
          <w:szCs w:val="20"/>
        </w:rPr>
        <w:t>-party financing on their property investments, thus contractually limiting the Company’s exposure to losses primarily to th</w:t>
      </w:r>
      <w:r>
        <w:rPr>
          <w:sz w:val="20"/>
          <w:szCs w:val="20"/>
        </w:rPr>
        <w:t xml:space="preserve">e amount of its equity investment; and due to the lender’s exposure to losses, a lender typically will require a minimum level of equity in order to mitigate its risk. The Company, on a limited selective basis, has obtained unsecured financing for certain </w:t>
      </w:r>
      <w:r>
        <w:rPr>
          <w:sz w:val="20"/>
          <w:szCs w:val="20"/>
        </w:rPr>
        <w:t xml:space="preserve">joint ventures. These unsecured financings </w:t>
      </w:r>
      <w:r>
        <w:rPr>
          <w:rStyle w:val="a6"/>
          <w:sz w:val="20"/>
          <w:szCs w:val="20"/>
        </w:rPr>
        <w:t xml:space="preserve">may </w:t>
      </w:r>
      <w:r>
        <w:rPr>
          <w:sz w:val="20"/>
          <w:szCs w:val="20"/>
        </w:rPr>
        <w:t xml:space="preserve">be guaranteed by the Company with guarantees from the joint venture partners for their proportionate amounts of any guaranty payment the Company is obligated to make. As of </w:t>
      </w:r>
      <w:r>
        <w:rPr>
          <w:rStyle w:val="a6"/>
          <w:sz w:val="20"/>
          <w:szCs w:val="20"/>
        </w:rPr>
        <w:t xml:space="preserve">December 31, 2020, </w:t>
      </w:r>
      <w:r>
        <w:rPr>
          <w:sz w:val="20"/>
          <w:szCs w:val="20"/>
        </w:rPr>
        <w:t xml:space="preserve">the Company did </w:t>
      </w:r>
      <w:r>
        <w:rPr>
          <w:rStyle w:val="a6"/>
          <w:sz w:val="20"/>
          <w:szCs w:val="20"/>
        </w:rPr>
        <w:t>n</w:t>
      </w:r>
      <w:r>
        <w:rPr>
          <w:rStyle w:val="a6"/>
          <w:sz w:val="20"/>
          <w:szCs w:val="20"/>
        </w:rPr>
        <w:t>ot</w:t>
      </w:r>
      <w:r>
        <w:rPr>
          <w:sz w:val="20"/>
          <w:szCs w:val="20"/>
        </w:rPr>
        <w:t xml:space="preserve"> guaranty any unsecured joint venture debt.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To recognize the character of distributions from equity investees within its Consolidated Statements of Cash Flows, all distributions received are presumed to be returns on investment and classified as cash i</w:t>
      </w:r>
      <w:r>
        <w:rPr>
          <w:sz w:val="20"/>
          <w:szCs w:val="20"/>
        </w:rPr>
        <w:t>nflows from operating activities unless the Company’s cumulative distributions received less distributions received in prior periods that were determined to be returns of investment exceed its cumulative equity in earnings recognized by the investor (as ad</w:t>
      </w:r>
      <w:r>
        <w:rPr>
          <w:sz w:val="20"/>
          <w:szCs w:val="20"/>
        </w:rPr>
        <w:t>justed for amortization of basis differences). When such an excess occurs, the current-period distribution up to this excess is considered a return of investment and classified as cash inflows from investing.</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574436884"/>
        <w:rPr>
          <w:rFonts w:eastAsia="Times New Roman"/>
          <w:sz w:val="20"/>
          <w:szCs w:val="20"/>
        </w:rPr>
      </w:pPr>
      <w:r>
        <w:rPr>
          <w:rStyle w:val="a6"/>
          <w:rFonts w:eastAsia="Times New Roman"/>
          <w:sz w:val="20"/>
          <w:szCs w:val="20"/>
        </w:rPr>
        <w:t>59</w:t>
      </w:r>
    </w:p>
    <w:p w:rsidR="00000000" w:rsidRDefault="004E30E9">
      <w:pPr>
        <w:divId w:val="872881232"/>
        <w:rPr>
          <w:rFonts w:eastAsia="Times New Roman"/>
          <w:sz w:val="20"/>
          <w:szCs w:val="20"/>
        </w:rPr>
      </w:pPr>
      <w:r>
        <w:rPr>
          <w:rFonts w:eastAsia="Times New Roman"/>
          <w:sz w:val="20"/>
          <w:szCs w:val="20"/>
        </w:rPr>
        <w:pict>
          <v:rect id="_x0000_i1094" style="width:415.3pt;height:1.5pt" o:hralign="center" o:hrstd="t" o:hrnoshade="t" o:hr="t" fillcolor="black" stroked="f"/>
        </w:pict>
      </w:r>
    </w:p>
    <w:p w:rsidR="00000000" w:rsidRDefault="004E30E9">
      <w:pPr>
        <w:divId w:val="201545223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 xml:space="preserve">KIMCO REALTY CORPORATION AND </w:t>
      </w:r>
      <w:r>
        <w:rPr>
          <w:sz w:val="20"/>
          <w:szCs w:val="20"/>
        </w:rPr>
        <w:t>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On a continuous basis, management assesses whether there are any indicators, including the underlying investment property operating performance and general market conditions, that the v</w:t>
      </w:r>
      <w:r>
        <w:rPr>
          <w:sz w:val="20"/>
          <w:szCs w:val="20"/>
        </w:rPr>
        <w:t xml:space="preserve">alue of the Company’s investments in unconsolidated joint ventures </w:t>
      </w:r>
      <w:r>
        <w:rPr>
          <w:rStyle w:val="a6"/>
          <w:sz w:val="20"/>
          <w:szCs w:val="20"/>
        </w:rPr>
        <w:t xml:space="preserve">may </w:t>
      </w:r>
      <w:r>
        <w:rPr>
          <w:sz w:val="20"/>
          <w:szCs w:val="20"/>
        </w:rPr>
        <w:t>be impaired. An investment’s value is impaired only if management’s estimate of the fair value of the investment is less than the carrying value of the investment and such difference is</w:t>
      </w:r>
      <w:r>
        <w:rPr>
          <w:sz w:val="20"/>
          <w:szCs w:val="20"/>
        </w:rPr>
        <w:t xml:space="preserve"> deemed to be other-than-temporary. To the extent impairment has occurred, the loss will be measured as the excess of the carrying amount of the investment over the estimated fair value of the investment. Estimated fair values which are based on discounted</w:t>
      </w:r>
      <w:r>
        <w:rPr>
          <w:sz w:val="20"/>
          <w:szCs w:val="20"/>
        </w:rPr>
        <w:t xml:space="preserve"> cash flow models include all estimated cash inflows and outflows over a specified holding period, and, where applicable, any estimated debt premiums. Capitalization rates and discount rates utilized in these models are based upon unobservable rates that t</w:t>
      </w:r>
      <w:r>
        <w:rPr>
          <w:sz w:val="20"/>
          <w:szCs w:val="20"/>
        </w:rPr>
        <w:t>he Company believes to be within a reasonable range of current market rates.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Other Real Estate Investments and Other Assets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Other real estate investments primarily consist of preferred equity investments for which the Company provides capital to owners and developers of real estate. The Company typically accounts for its preferred equity investments on the equity method of acco</w:t>
      </w:r>
      <w:r>
        <w:rPr>
          <w:sz w:val="20"/>
          <w:szCs w:val="20"/>
        </w:rPr>
        <w:t>unting, whereby earnings for each investment are recognized in accordance with each respective investment agreement and based upon an allocation of the investment’s net assets at book value as if the investment was hypothetically liquidated at the end of e</w:t>
      </w:r>
      <w:r>
        <w:rPr>
          <w:sz w:val="20"/>
          <w:szCs w:val="20"/>
        </w:rPr>
        <w:t>ach reporting period.</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On a continuous basis, management assesses whether there are any indicators, including the underlying investment property operating performance and general market conditions, that the value of the Company’s Other real estate investm</w:t>
      </w:r>
      <w:r>
        <w:rPr>
          <w:sz w:val="20"/>
          <w:szCs w:val="20"/>
        </w:rPr>
        <w:t xml:space="preserve">ents </w:t>
      </w:r>
      <w:r>
        <w:rPr>
          <w:rStyle w:val="a6"/>
          <w:sz w:val="20"/>
          <w:szCs w:val="20"/>
        </w:rPr>
        <w:t xml:space="preserve">may </w:t>
      </w:r>
      <w:r>
        <w:rPr>
          <w:sz w:val="20"/>
          <w:szCs w:val="20"/>
        </w:rPr>
        <w:t>be impaired. An investment’s value is impaired only if management’s estimate of the fair value of the investment is less than the carrying value of the investment and such difference is deemed to be other-than-temporary. To the extent impairment h</w:t>
      </w:r>
      <w:r>
        <w:rPr>
          <w:sz w:val="20"/>
          <w:szCs w:val="20"/>
        </w:rPr>
        <w:t>as occurred, the loss shall be measured as the excess of the carrying amount of the investment over the estimated fair value of the investment.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Company’s estimated fair values are based upon a discounted cash flow model for each investment that inclu</w:t>
      </w:r>
      <w:r>
        <w:rPr>
          <w:sz w:val="20"/>
          <w:szCs w:val="20"/>
        </w:rPr>
        <w:t xml:space="preserve">des all estimated cash inflows and outflows over a specified holding period and, where applicable, any estimated debt premiums. Capitalization rates, discount rates and credit spreads utilized in these models are based upon rates that the Company believes </w:t>
      </w:r>
      <w:r>
        <w:rPr>
          <w:sz w:val="20"/>
          <w:szCs w:val="20"/>
        </w:rPr>
        <w:t>to be within a reasonable range of current market rates.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Other assets include investments for which the Company applies the cost method of accounting. The Company recognizes as income distributions from net accumulated earnings of the investee since the </w:t>
      </w:r>
      <w:r>
        <w:rPr>
          <w:sz w:val="20"/>
          <w:szCs w:val="20"/>
        </w:rPr>
        <w:t>date of acquisition. The net accumulated earnings of an investee subsequent to the date of investment are recognized by the Company only to the extent distributed by the investee. Distributions received in excess of earnings subsequent to the date of inves</w:t>
      </w:r>
      <w:r>
        <w:rPr>
          <w:sz w:val="20"/>
          <w:szCs w:val="20"/>
        </w:rPr>
        <w:t>tment are considered a return of investment and are recorded as reductions of cost of the investment.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Cash and Cash Equivalents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rPr>
        <w:t>Cash and cash equivalents include demand deposits in banks, commercial paper and certificates of deposit with original matur</w:t>
      </w:r>
      <w:r>
        <w:rPr>
          <w:sz w:val="20"/>
          <w:szCs w:val="20"/>
        </w:rPr>
        <w:t xml:space="preserve">ities of </w:t>
      </w:r>
      <w:r>
        <w:rPr>
          <w:rStyle w:val="a6"/>
          <w:sz w:val="20"/>
          <w:szCs w:val="20"/>
        </w:rPr>
        <w:t>three</w:t>
      </w:r>
      <w:r>
        <w:rPr>
          <w:sz w:val="20"/>
          <w:szCs w:val="20"/>
        </w:rPr>
        <w:t xml:space="preserve"> months or less. Cash and cash equivalent balances </w:t>
      </w:r>
      <w:r>
        <w:rPr>
          <w:rStyle w:val="a6"/>
          <w:sz w:val="20"/>
          <w:szCs w:val="20"/>
        </w:rPr>
        <w:t xml:space="preserve">may, </w:t>
      </w:r>
      <w:r>
        <w:rPr>
          <w:sz w:val="20"/>
          <w:szCs w:val="20"/>
        </w:rPr>
        <w:t>at a limited number of banks and financial institutions, exceed insurable amounts. The Company believes it mitigates risk by investing in or through major financial institutions and prim</w:t>
      </w:r>
      <w:r>
        <w:rPr>
          <w:sz w:val="20"/>
          <w:szCs w:val="20"/>
        </w:rPr>
        <w:t>arily in funds that are currently U.S. federal government insured up to applicable account limits. Recoverability of investments is dependent upon the performance of the issuers.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Mortgages and Other Financing Receivables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Mortgages and other financing r</w:t>
      </w:r>
      <w:r>
        <w:rPr>
          <w:sz w:val="20"/>
          <w:szCs w:val="20"/>
        </w:rPr>
        <w:t xml:space="preserve">eceivables consist of loans acquired and loans originated by the Company, which are included within Other assets on the Company's Consolidated Balance Sheets. Borrowers of these loans are primarily experienced owners, operators or developers of commercial </w:t>
      </w:r>
      <w:r>
        <w:rPr>
          <w:sz w:val="20"/>
          <w:szCs w:val="20"/>
        </w:rPr>
        <w:t>real estate. The Company’s loans are primarily mortgage loans that are collateralized by real estate. Mortgages and other financing receivables are recorded at stated principal amounts, net of any discount or premium or deferred loan origination costs or f</w:t>
      </w:r>
      <w:r>
        <w:rPr>
          <w:sz w:val="20"/>
          <w:szCs w:val="20"/>
        </w:rPr>
        <w:t>ees. The related discounts or premiums on mortgages and other loans purchased are amortized or accreted over the life of the related loan receivable. The Company defers certain loan origination and commitment fees, net of certain origination costs and amor</w:t>
      </w:r>
      <w:r>
        <w:rPr>
          <w:sz w:val="20"/>
          <w:szCs w:val="20"/>
        </w:rPr>
        <w:t>tizes them as an adjustment of the loan’s yield over the term of the related loan.</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121263248"/>
        <w:rPr>
          <w:rFonts w:eastAsia="Times New Roman"/>
          <w:sz w:val="20"/>
          <w:szCs w:val="20"/>
        </w:rPr>
      </w:pPr>
      <w:r>
        <w:rPr>
          <w:rStyle w:val="a6"/>
          <w:rFonts w:eastAsia="Times New Roman"/>
          <w:sz w:val="20"/>
          <w:szCs w:val="20"/>
        </w:rPr>
        <w:t>60</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095" style="width:415.3pt;height:1.5pt" o:hralign="center" o:hrstd="t" o:hrnoshade="t" o:hr="t" fillcolor="black" stroked="f"/>
        </w:pict>
      </w:r>
    </w:p>
    <w:p w:rsidR="00000000" w:rsidRDefault="004E30E9">
      <w:pPr>
        <w:divId w:val="283539977"/>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January 1, 2020, </w:t>
      </w:r>
      <w:r>
        <w:rPr>
          <w:sz w:val="20"/>
          <w:szCs w:val="20"/>
        </w:rPr>
        <w:t xml:space="preserve">the Company adopted Accounting Standards Update ("ASU") </w:t>
      </w:r>
      <w:r>
        <w:rPr>
          <w:rStyle w:val="a6"/>
          <w:sz w:val="20"/>
          <w:szCs w:val="20"/>
        </w:rPr>
        <w:t>2016</w:t>
      </w:r>
      <w:r>
        <w:rPr>
          <w:sz w:val="20"/>
          <w:szCs w:val="20"/>
        </w:rPr>
        <w:t>-</w:t>
      </w:r>
      <w:r>
        <w:rPr>
          <w:rStyle w:val="a6"/>
          <w:sz w:val="20"/>
          <w:szCs w:val="20"/>
        </w:rPr>
        <w:t>13</w:t>
      </w:r>
      <w:r>
        <w:rPr>
          <w:sz w:val="20"/>
          <w:szCs w:val="20"/>
        </w:rPr>
        <w:t xml:space="preserve"> </w:t>
      </w:r>
      <w:r>
        <w:rPr>
          <w:i/>
          <w:iCs/>
          <w:sz w:val="20"/>
          <w:szCs w:val="20"/>
        </w:rPr>
        <w:t xml:space="preserve">Financial Instruments – Credit Losses (Topic </w:t>
      </w:r>
      <w:r>
        <w:rPr>
          <w:rStyle w:val="a6"/>
          <w:sz w:val="20"/>
          <w:szCs w:val="20"/>
        </w:rPr>
        <w:t>326</w:t>
      </w:r>
      <w:r>
        <w:rPr>
          <w:i/>
          <w:iCs/>
          <w:sz w:val="20"/>
          <w:szCs w:val="20"/>
        </w:rPr>
        <w:t>): Measurement of Credit Losses on Financial Instruments</w:t>
      </w:r>
      <w:r>
        <w:rPr>
          <w:sz w:val="20"/>
          <w:szCs w:val="20"/>
        </w:rPr>
        <w:t>, which replaces the incurred loss methodology with an expected loss methodology that is</w:t>
      </w:r>
      <w:r>
        <w:rPr>
          <w:sz w:val="20"/>
          <w:szCs w:val="20"/>
        </w:rPr>
        <w:t xml:space="preserve"> referred to as the current expected credit loss (CECL) methodology. The measurement of expected credit losses under the CECL methodology is applicable to financial assets measured at amortized cost, including loan receivables and held-to-maturity debt sec</w:t>
      </w:r>
      <w:r>
        <w:rPr>
          <w:sz w:val="20"/>
          <w:szCs w:val="20"/>
        </w:rPr>
        <w:t xml:space="preserve">urities. The Company adopted this standard using the modified retrospective method for all financial assets measured at amortized cost. Results for reporting periods beginning after </w:t>
      </w:r>
      <w:r>
        <w:rPr>
          <w:rStyle w:val="a6"/>
          <w:sz w:val="20"/>
          <w:szCs w:val="20"/>
        </w:rPr>
        <w:t xml:space="preserve">January 1, 2020 </w:t>
      </w:r>
      <w:r>
        <w:rPr>
          <w:sz w:val="20"/>
          <w:szCs w:val="20"/>
        </w:rPr>
        <w:t xml:space="preserve">are presented under ASC </w:t>
      </w:r>
      <w:r>
        <w:rPr>
          <w:rStyle w:val="a6"/>
          <w:sz w:val="20"/>
          <w:szCs w:val="20"/>
        </w:rPr>
        <w:t>326</w:t>
      </w:r>
      <w:r>
        <w:rPr>
          <w:sz w:val="20"/>
          <w:szCs w:val="20"/>
        </w:rPr>
        <w:t xml:space="preserve"> while prior period amounts con</w:t>
      </w:r>
      <w:r>
        <w:rPr>
          <w:sz w:val="20"/>
          <w:szCs w:val="20"/>
        </w:rPr>
        <w:t>tinue to be reported in accordance with previously applicable GAAP.</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On a quarterly basis, the Company reviews credit quality indicators such as (i) payment status to identify performing versus non-performing loans, (ii) changes affecting the underlying r</w:t>
      </w:r>
      <w:r>
        <w:rPr>
          <w:sz w:val="20"/>
          <w:szCs w:val="20"/>
        </w:rPr>
        <w:t>eal estate collateral and (iii) national and regional economic factors. The Company has determined that it has</w:t>
      </w:r>
      <w:r>
        <w:rPr>
          <w:sz w:val="20"/>
          <w:szCs w:val="20"/>
        </w:rPr>
        <w:t xml:space="preserve"> </w:t>
      </w:r>
      <w:r>
        <w:rPr>
          <w:sz w:val="20"/>
          <w:szCs w:val="20"/>
        </w:rPr>
        <w:t>on</w:t>
      </w:r>
      <w:r>
        <w:rPr>
          <w:sz w:val="20"/>
          <w:szCs w:val="20"/>
        </w:rPr>
        <w:t>e</w:t>
      </w:r>
      <w:r>
        <w:rPr>
          <w:sz w:val="20"/>
          <w:szCs w:val="20"/>
        </w:rPr>
        <w:t xml:space="preserve"> portfolio segment, primarily represented by loans collateralized by real estate, whereby it determines, as needed, reserves for loan losses o</w:t>
      </w:r>
      <w:r>
        <w:rPr>
          <w:sz w:val="20"/>
          <w:szCs w:val="20"/>
        </w:rPr>
        <w:t>n an asset-specific basis. The reserve for loan losses reflects management's estimate of loan losses as of the balance sheet date and are included in Other income, net on the Company's Consolidated Statements of Income. The reserve is increased through loa</w:t>
      </w:r>
      <w:r>
        <w:rPr>
          <w:sz w:val="20"/>
          <w:szCs w:val="20"/>
        </w:rPr>
        <w:t>n loss expense and is decreased by charge-offs when losses are confirmed through the receipt of assets such as cash or via ownership control of the underlying collateral in full satisfaction of the loan upon foreclosure or when significant collection effor</w:t>
      </w:r>
      <w:r>
        <w:rPr>
          <w:sz w:val="20"/>
          <w:szCs w:val="20"/>
        </w:rPr>
        <w:t>ts have ceased.</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Interest income on performing loans is accrued as earned. A non-performing loan is placed on non-accrual status when it is probable that the borrower </w:t>
      </w:r>
      <w:r>
        <w:rPr>
          <w:rStyle w:val="a6"/>
          <w:sz w:val="20"/>
          <w:szCs w:val="20"/>
        </w:rPr>
        <w:t xml:space="preserve">may </w:t>
      </w:r>
      <w:r>
        <w:rPr>
          <w:sz w:val="20"/>
          <w:szCs w:val="20"/>
        </w:rPr>
        <w:t xml:space="preserve">be unable to meet interest payments as they become due. Generally, loans 90 days or </w:t>
      </w:r>
      <w:r>
        <w:rPr>
          <w:sz w:val="20"/>
          <w:szCs w:val="20"/>
        </w:rPr>
        <w:t>more past due are placed on non-accrual status unless there is sufficient collateral to assure collectability of principal and interest. Upon the designation of non-accrual status, all unpaid accrued interest is reserved and charged against current income.</w:t>
      </w:r>
      <w:r>
        <w:rPr>
          <w:sz w:val="20"/>
          <w:szCs w:val="20"/>
        </w:rPr>
        <w:t xml:space="preserve"> Interest income on non-performing loans is generally recognized on a cash basis. Recognition of interest income on non-performing loans on an accrual basis is resumed when it is probable that the Company will be able to collect amounts due according to th</w:t>
      </w:r>
      <w:r>
        <w:rPr>
          <w:sz w:val="20"/>
          <w:szCs w:val="20"/>
        </w:rPr>
        <w:t>e contractual terms.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Marketable Securities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classifies its marketable equity securities as available-for-sale in accordance with the FASB’s Investments-Debt and Equity Securities guidance. In accordance with ASU </w:t>
      </w:r>
      <w:r>
        <w:rPr>
          <w:rStyle w:val="a6"/>
          <w:sz w:val="20"/>
          <w:szCs w:val="20"/>
        </w:rPr>
        <w:t>2016</w:t>
      </w:r>
      <w:r>
        <w:rPr>
          <w:sz w:val="20"/>
          <w:szCs w:val="20"/>
        </w:rPr>
        <w:t>-</w:t>
      </w:r>
      <w:r>
        <w:rPr>
          <w:rStyle w:val="a6"/>
          <w:sz w:val="20"/>
          <w:szCs w:val="20"/>
        </w:rPr>
        <w:t>01,</w:t>
      </w:r>
      <w:r>
        <w:rPr>
          <w:sz w:val="20"/>
          <w:szCs w:val="20"/>
        </w:rPr>
        <w:t xml:space="preserve"> </w:t>
      </w:r>
      <w:r>
        <w:rPr>
          <w:i/>
          <w:iCs/>
          <w:sz w:val="20"/>
          <w:szCs w:val="20"/>
        </w:rPr>
        <w:t xml:space="preserve">Financial Instruments—Overall (Subtopic </w:t>
      </w:r>
      <w:r>
        <w:rPr>
          <w:rStyle w:val="a6"/>
          <w:sz w:val="20"/>
          <w:szCs w:val="20"/>
        </w:rPr>
        <w:t>825</w:t>
      </w:r>
      <w:r>
        <w:rPr>
          <w:i/>
          <w:iCs/>
          <w:sz w:val="20"/>
          <w:szCs w:val="20"/>
        </w:rPr>
        <w:t>-</w:t>
      </w:r>
      <w:r>
        <w:rPr>
          <w:rStyle w:val="a6"/>
          <w:sz w:val="20"/>
          <w:szCs w:val="20"/>
        </w:rPr>
        <w:t>10</w:t>
      </w:r>
      <w:r>
        <w:rPr>
          <w:i/>
          <w:iCs/>
          <w:sz w:val="20"/>
          <w:szCs w:val="20"/>
        </w:rPr>
        <w:t>): Recognition and Me</w:t>
      </w:r>
      <w:r>
        <w:rPr>
          <w:i/>
          <w:iCs/>
          <w:sz w:val="20"/>
          <w:szCs w:val="20"/>
        </w:rPr>
        <w:t>asurement of Financial Assets and Financial Liabilities</w:t>
      </w:r>
      <w:r>
        <w:rPr>
          <w:sz w:val="20"/>
          <w:szCs w:val="20"/>
        </w:rPr>
        <w:t>, the Company recognizes changes in the fair value of equity investments with readily determinable fair values in net income.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Deferred Leasing Costs</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Effective </w:t>
      </w:r>
      <w:r>
        <w:rPr>
          <w:rStyle w:val="a6"/>
          <w:sz w:val="20"/>
          <w:szCs w:val="20"/>
        </w:rPr>
        <w:t xml:space="preserve">January 1, 2019, </w:t>
      </w:r>
      <w:r>
        <w:rPr>
          <w:sz w:val="20"/>
          <w:szCs w:val="20"/>
        </w:rPr>
        <w:t>in accordance with th</w:t>
      </w:r>
      <w:r>
        <w:rPr>
          <w:sz w:val="20"/>
          <w:szCs w:val="20"/>
        </w:rPr>
        <w:t xml:space="preserve">e adoption of ASU </w:t>
      </w:r>
      <w:r>
        <w:rPr>
          <w:rStyle w:val="a6"/>
          <w:sz w:val="20"/>
          <w:szCs w:val="20"/>
        </w:rPr>
        <w:t>2016</w:t>
      </w:r>
      <w:r>
        <w:rPr>
          <w:sz w:val="20"/>
          <w:szCs w:val="20"/>
        </w:rPr>
        <w:t>-</w:t>
      </w:r>
      <w:r>
        <w:rPr>
          <w:rStyle w:val="a6"/>
          <w:sz w:val="20"/>
          <w:szCs w:val="20"/>
        </w:rPr>
        <w:t>02,</w:t>
      </w:r>
      <w:r>
        <w:rPr>
          <w:sz w:val="20"/>
          <w:szCs w:val="20"/>
        </w:rPr>
        <w:t xml:space="preserve"> </w:t>
      </w:r>
      <w:r>
        <w:rPr>
          <w:i/>
          <w:iCs/>
          <w:sz w:val="20"/>
          <w:szCs w:val="20"/>
        </w:rPr>
        <w:t xml:space="preserve">Leases (Topic </w:t>
      </w:r>
      <w:r>
        <w:rPr>
          <w:rStyle w:val="a6"/>
          <w:sz w:val="20"/>
          <w:szCs w:val="20"/>
        </w:rPr>
        <w:t>842</w:t>
      </w:r>
      <w:r>
        <w:rPr>
          <w:i/>
          <w:iCs/>
          <w:sz w:val="20"/>
          <w:szCs w:val="20"/>
        </w:rPr>
        <w:t xml:space="preserve">) </w:t>
      </w:r>
      <w:r>
        <w:rPr>
          <w:sz w:val="20"/>
          <w:szCs w:val="20"/>
        </w:rPr>
        <w:t xml:space="preserve">(“ASU </w:t>
      </w:r>
      <w:r>
        <w:rPr>
          <w:rStyle w:val="a6"/>
          <w:sz w:val="20"/>
          <w:szCs w:val="20"/>
        </w:rPr>
        <w:t>2016</w:t>
      </w:r>
      <w:r>
        <w:rPr>
          <w:sz w:val="20"/>
          <w:szCs w:val="20"/>
        </w:rPr>
        <w:t>-</w:t>
      </w:r>
      <w:r>
        <w:rPr>
          <w:rStyle w:val="a6"/>
          <w:sz w:val="20"/>
          <w:szCs w:val="20"/>
        </w:rPr>
        <w:t>02”</w:t>
      </w:r>
      <w:r>
        <w:rPr>
          <w:sz w:val="20"/>
          <w:szCs w:val="20"/>
        </w:rPr>
        <w:t>), indirect internal leasing costs previously capitalized are expensed. However, external leasing costs and direct internal leasing costs will continue to be capitalized and amortized on a straigh</w:t>
      </w:r>
      <w:r>
        <w:rPr>
          <w:sz w:val="20"/>
          <w:szCs w:val="20"/>
        </w:rPr>
        <w:t xml:space="preserve">t-line basis, over the terms of the related leases, as applicable. Previously, capitalized indirect internal leasing costs were deferred and included in Other assets, on the Company’s Consolidated Balance Sheets; however, upon adoption of ASU </w:t>
      </w:r>
      <w:r>
        <w:rPr>
          <w:rStyle w:val="a6"/>
          <w:sz w:val="20"/>
          <w:szCs w:val="20"/>
        </w:rPr>
        <w:t>2016</w:t>
      </w:r>
      <w:r>
        <w:rPr>
          <w:sz w:val="20"/>
          <w:szCs w:val="20"/>
        </w:rPr>
        <w:t>-</w:t>
      </w:r>
      <w:r>
        <w:rPr>
          <w:rStyle w:val="a6"/>
          <w:sz w:val="20"/>
          <w:szCs w:val="20"/>
        </w:rPr>
        <w:t>02</w:t>
      </w:r>
      <w:r>
        <w:rPr>
          <w:sz w:val="20"/>
          <w:szCs w:val="20"/>
        </w:rPr>
        <w:t xml:space="preserve"> they </w:t>
      </w:r>
      <w:r>
        <w:rPr>
          <w:sz w:val="20"/>
          <w:szCs w:val="20"/>
        </w:rPr>
        <w:t>are expensed and included in General and administrative expense. Deferred leasing costs are classified as operating activities on the Company’s Consolidated Statements of Cash Flows.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Software Development Costs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Expenditures for major software purchases </w:t>
      </w:r>
      <w:r>
        <w:rPr>
          <w:sz w:val="20"/>
          <w:szCs w:val="20"/>
        </w:rPr>
        <w:t>and software developed for internal use are capitalized and amortized on a straight-line basis generally over a period of</w:t>
      </w:r>
      <w:r>
        <w:rPr>
          <w:sz w:val="20"/>
          <w:szCs w:val="20"/>
        </w:rPr>
        <w:t xml:space="preserve"> </w:t>
      </w:r>
      <w:r>
        <w:rPr>
          <w:sz w:val="20"/>
          <w:szCs w:val="20"/>
        </w:rPr>
        <w:t>thre</w:t>
      </w:r>
      <w:r>
        <w:rPr>
          <w:sz w:val="20"/>
          <w:szCs w:val="20"/>
        </w:rPr>
        <w:t>e</w:t>
      </w:r>
      <w:r>
        <w:rPr>
          <w:sz w:val="20"/>
          <w:szCs w:val="20"/>
        </w:rPr>
        <w:t xml:space="preserve"> to</w:t>
      </w:r>
      <w:r>
        <w:rPr>
          <w:sz w:val="20"/>
          <w:szCs w:val="20"/>
        </w:rPr>
        <w:t xml:space="preserve"> </w:t>
      </w:r>
      <w:r>
        <w:rPr>
          <w:sz w:val="20"/>
          <w:szCs w:val="20"/>
        </w:rPr>
        <w:t>te</w:t>
      </w:r>
      <w:r>
        <w:rPr>
          <w:sz w:val="20"/>
          <w:szCs w:val="20"/>
        </w:rPr>
        <w:t>n</w:t>
      </w:r>
      <w:r>
        <w:rPr>
          <w:sz w:val="20"/>
          <w:szCs w:val="20"/>
        </w:rPr>
        <w:t xml:space="preserve"> years. The Company’s policy provides for the capitalization of external direct costs of materials and services associated</w:t>
      </w:r>
      <w:r>
        <w:rPr>
          <w:sz w:val="20"/>
          <w:szCs w:val="20"/>
        </w:rPr>
        <w:t xml:space="preserve"> with developing or obtaining internal use computer software. In addition, the Company also capitalizes certain payroll and payroll-related costs for employees who are directly associated with internal use computer software projects. The amount of payroll </w:t>
      </w:r>
      <w:r>
        <w:rPr>
          <w:sz w:val="20"/>
          <w:szCs w:val="20"/>
        </w:rPr>
        <w:t>costs that can be capitalized with respect to these employees is limited to the time directly spent on such projects. Costs associated with preliminary project stage activities, training, maintenance and all other post-implementation stage activities are e</w:t>
      </w:r>
      <w:r>
        <w:rPr>
          <w:sz w:val="20"/>
          <w:szCs w:val="20"/>
        </w:rPr>
        <w:t xml:space="preserve">xpensed as incurred.  As of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the Company had unamortized software development costs of $19.1 million and $14.5 million, respectively, which are included in Other assets on the Company’s Consolidated Balance Sheets.  The Company </w:t>
      </w:r>
      <w:r>
        <w:rPr>
          <w:sz w:val="20"/>
          <w:szCs w:val="20"/>
        </w:rPr>
        <w:t xml:space="preserve">expensed $3.2 million, $1.7 million and $5.3 million in amortization of software development costs during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respectively.</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jc w:val="center"/>
        <w:divId w:val="1579629460"/>
        <w:rPr>
          <w:rFonts w:eastAsia="Times New Roman"/>
          <w:sz w:val="20"/>
          <w:szCs w:val="20"/>
        </w:rPr>
      </w:pPr>
      <w:r>
        <w:rPr>
          <w:rStyle w:val="a6"/>
          <w:rFonts w:eastAsia="Times New Roman"/>
          <w:sz w:val="20"/>
          <w:szCs w:val="20"/>
        </w:rPr>
        <w:t>61</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096" style="width:415.3pt;height:1.5pt" o:hralign="center" o:hrstd="t" o:hrnoshade="t" o:hr="t" fillcolor="black" stroked="f"/>
        </w:pict>
      </w:r>
    </w:p>
    <w:p w:rsidR="00000000" w:rsidRDefault="004E30E9">
      <w:pPr>
        <w:divId w:val="788354072"/>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w:t>
      </w:r>
      <w:r>
        <w:rPr>
          <w:sz w:val="20"/>
          <w:szCs w:val="20"/>
        </w:rPr>
        <w:t>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Deferred Financing Costs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Costs incurred in obtaining long-term financing, included in Notes payable, net and Mortgages and construction loan payable, net in the accompanying Consolidated Balance</w:t>
      </w:r>
      <w:r>
        <w:rPr>
          <w:sz w:val="20"/>
          <w:szCs w:val="20"/>
        </w:rPr>
        <w:t xml:space="preserve"> Sheets, are amortized on a straight-line basis, which approximates the effective interest method, over the terms of the related debt agreements, as applicable.</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u w:val="single"/>
        </w:rPr>
        <w:t>Revenue, Trade Accounts Receivable and Gain Recognition</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determines the proper a</w:t>
      </w:r>
      <w:r>
        <w:rPr>
          <w:sz w:val="20"/>
          <w:szCs w:val="20"/>
        </w:rPr>
        <w:t xml:space="preserve">mount of revenue to be recognized in accordance with ASU </w:t>
      </w:r>
      <w:r>
        <w:rPr>
          <w:rStyle w:val="a6"/>
          <w:sz w:val="20"/>
          <w:szCs w:val="20"/>
        </w:rPr>
        <w:t>2014</w:t>
      </w:r>
      <w:r>
        <w:rPr>
          <w:sz w:val="20"/>
          <w:szCs w:val="20"/>
        </w:rPr>
        <w:t>-</w:t>
      </w:r>
      <w:r>
        <w:rPr>
          <w:rStyle w:val="a6"/>
          <w:sz w:val="20"/>
          <w:szCs w:val="20"/>
        </w:rPr>
        <w:t>09,</w:t>
      </w:r>
      <w:r>
        <w:rPr>
          <w:sz w:val="20"/>
          <w:szCs w:val="20"/>
        </w:rPr>
        <w:t xml:space="preserve"> </w:t>
      </w:r>
      <w:r>
        <w:rPr>
          <w:i/>
          <w:iCs/>
          <w:sz w:val="20"/>
          <w:szCs w:val="20"/>
        </w:rPr>
        <w:t xml:space="preserve">Revenue from Contracts with Customers (Topic </w:t>
      </w:r>
      <w:r>
        <w:rPr>
          <w:rStyle w:val="a6"/>
          <w:sz w:val="20"/>
          <w:szCs w:val="20"/>
        </w:rPr>
        <w:t>606</w:t>
      </w:r>
      <w:r>
        <w:rPr>
          <w:i/>
          <w:iCs/>
          <w:sz w:val="20"/>
          <w:szCs w:val="20"/>
        </w:rPr>
        <w:t>)</w:t>
      </w:r>
      <w:r>
        <w:rPr>
          <w:sz w:val="20"/>
          <w:szCs w:val="20"/>
        </w:rPr>
        <w:t xml:space="preserve">, (“Topic </w:t>
      </w:r>
      <w:r>
        <w:rPr>
          <w:rStyle w:val="a6"/>
          <w:sz w:val="20"/>
          <w:szCs w:val="20"/>
        </w:rPr>
        <w:t>606”</w:t>
      </w:r>
      <w:r>
        <w:rPr>
          <w:sz w:val="20"/>
          <w:szCs w:val="20"/>
        </w:rPr>
        <w:t>), by performing the following steps: (i) identify the contract with the customer, (ii) identify the performance obligations wi</w:t>
      </w:r>
      <w:r>
        <w:rPr>
          <w:sz w:val="20"/>
          <w:szCs w:val="20"/>
        </w:rPr>
        <w:t xml:space="preserve">thin the contract, (iii) determine the transaction price, (iv) allocate the transaction price to the performance obligations and (v) recognize revenue when (or as) a performance obligation is satisfied. As of </w:t>
      </w:r>
      <w:r>
        <w:rPr>
          <w:rStyle w:val="a6"/>
          <w:sz w:val="20"/>
          <w:szCs w:val="20"/>
        </w:rPr>
        <w:t xml:space="preserve">December 31, 2020, </w:t>
      </w:r>
      <w:r>
        <w:rPr>
          <w:sz w:val="20"/>
          <w:szCs w:val="20"/>
        </w:rPr>
        <w:t xml:space="preserve">the Company had </w:t>
      </w:r>
      <w:r>
        <w:rPr>
          <w:rStyle w:val="a6"/>
          <w:sz w:val="20"/>
          <w:szCs w:val="20"/>
        </w:rPr>
        <w:t>no</w:t>
      </w:r>
      <w:r>
        <w:rPr>
          <w:sz w:val="20"/>
          <w:szCs w:val="20"/>
        </w:rPr>
        <w:t xml:space="preserve"> outstandi</w:t>
      </w:r>
      <w:r>
        <w:rPr>
          <w:sz w:val="20"/>
          <w:szCs w:val="20"/>
        </w:rPr>
        <w:t>ng contract assets or contract liabilities.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Company’s primary source of revenues are derived from lease agreements which fall under the scope of ASU </w:t>
      </w:r>
      <w:r>
        <w:rPr>
          <w:rStyle w:val="a6"/>
          <w:sz w:val="20"/>
          <w:szCs w:val="20"/>
        </w:rPr>
        <w:t>2016</w:t>
      </w:r>
      <w:r>
        <w:rPr>
          <w:sz w:val="20"/>
          <w:szCs w:val="20"/>
        </w:rPr>
        <w:t>-</w:t>
      </w:r>
      <w:r>
        <w:rPr>
          <w:rStyle w:val="a6"/>
          <w:sz w:val="20"/>
          <w:szCs w:val="20"/>
        </w:rPr>
        <w:t>02,</w:t>
      </w:r>
      <w:r>
        <w:rPr>
          <w:sz w:val="20"/>
          <w:szCs w:val="20"/>
        </w:rPr>
        <w:t xml:space="preserve"> </w:t>
      </w:r>
      <w:r>
        <w:rPr>
          <w:i/>
          <w:iCs/>
          <w:sz w:val="20"/>
          <w:szCs w:val="20"/>
        </w:rPr>
        <w:t xml:space="preserve">Leases (Topic </w:t>
      </w:r>
      <w:r>
        <w:rPr>
          <w:rStyle w:val="a6"/>
          <w:sz w:val="20"/>
          <w:szCs w:val="20"/>
        </w:rPr>
        <w:t>842</w:t>
      </w:r>
      <w:r>
        <w:rPr>
          <w:i/>
          <w:iCs/>
          <w:sz w:val="20"/>
          <w:szCs w:val="20"/>
        </w:rPr>
        <w:t>),</w:t>
      </w:r>
      <w:r>
        <w:rPr>
          <w:sz w:val="20"/>
          <w:szCs w:val="20"/>
        </w:rPr>
        <w:t xml:space="preserve"> (“Topic </w:t>
      </w:r>
      <w:r>
        <w:rPr>
          <w:rStyle w:val="a6"/>
          <w:sz w:val="20"/>
          <w:szCs w:val="20"/>
        </w:rPr>
        <w:t>842”</w:t>
      </w:r>
      <w:r>
        <w:rPr>
          <w:sz w:val="20"/>
          <w:szCs w:val="20"/>
        </w:rPr>
        <w:t>), which includes rental income and expense reimbursement in</w:t>
      </w:r>
      <w:r>
        <w:rPr>
          <w:sz w:val="20"/>
          <w:szCs w:val="20"/>
        </w:rPr>
        <w:t xml:space="preserve">come. The Company also has revenues which are accounted for under Topic </w:t>
      </w:r>
      <w:r>
        <w:rPr>
          <w:rStyle w:val="a6"/>
          <w:sz w:val="20"/>
          <w:szCs w:val="20"/>
        </w:rPr>
        <w:t>606,</w:t>
      </w:r>
      <w:r>
        <w:rPr>
          <w:sz w:val="20"/>
          <w:szCs w:val="20"/>
        </w:rPr>
        <w:t xml:space="preserve"> which include fees for services performed at various unconsolidated joint ventures for which the Company is the manager. These fees primarily include property and asset management</w:t>
      </w:r>
      <w:r>
        <w:rPr>
          <w:sz w:val="20"/>
          <w:szCs w:val="20"/>
        </w:rPr>
        <w:t xml:space="preserve"> fees, leasing fees, development fees and property acquisition/disposition fees. Also affected by Topic </w:t>
      </w:r>
      <w:r>
        <w:rPr>
          <w:rStyle w:val="a6"/>
          <w:sz w:val="20"/>
          <w:szCs w:val="20"/>
        </w:rPr>
        <w:t>606</w:t>
      </w:r>
      <w:r>
        <w:rPr>
          <w:sz w:val="20"/>
          <w:szCs w:val="20"/>
        </w:rPr>
        <w:t xml:space="preserve"> are gains on sales of properties and tax increment financing (“TIF”) contracts. The Company presents its revenue streams on the Company’s Consolidat</w:t>
      </w:r>
      <w:r>
        <w:rPr>
          <w:sz w:val="20"/>
          <w:szCs w:val="20"/>
        </w:rPr>
        <w:t>ed Statements of Income as Revenues from rental properties, net and Management and other fee income.</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Revenues from rental properties, net</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Revenues from rental properties, net are comprised of minimum base rent, percentage rent, lease termination fee in</w:t>
      </w:r>
      <w:r>
        <w:rPr>
          <w:sz w:val="20"/>
          <w:szCs w:val="20"/>
        </w:rPr>
        <w:t xml:space="preserve">come, amortization of above-market and below-market rent adjustments and straight-line rent adjustments. The Company accounts for lease and non-lease components, as combined components under Topic </w:t>
      </w:r>
      <w:r>
        <w:rPr>
          <w:rStyle w:val="a6"/>
          <w:sz w:val="20"/>
          <w:szCs w:val="20"/>
        </w:rPr>
        <w:t>842.</w:t>
      </w:r>
      <w:r>
        <w:rPr>
          <w:sz w:val="20"/>
          <w:szCs w:val="20"/>
        </w:rPr>
        <w:t xml:space="preserve"> Non-lease components include reimbursements paid to th</w:t>
      </w:r>
      <w:r>
        <w:rPr>
          <w:sz w:val="20"/>
          <w:szCs w:val="20"/>
        </w:rPr>
        <w:t>e Company from tenants for common area maintenance costs and other operating expenses. The combined components are included in Revenues from rental properties, net on the Company’s Consolidated Statements of Income.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Base rental revenues from rental prope</w:t>
      </w:r>
      <w:r>
        <w:rPr>
          <w:sz w:val="20"/>
          <w:szCs w:val="20"/>
        </w:rPr>
        <w:t>rties are recognized on a straight-line basis over the terms of the related leases. Certain of these leases also provide for percentage rents based upon the level of sales achieved by the lessee.  These percentage rents are recognized once the required sal</w:t>
      </w:r>
      <w:r>
        <w:rPr>
          <w:sz w:val="20"/>
          <w:szCs w:val="20"/>
        </w:rPr>
        <w:t xml:space="preserve">es level is achieved.  Rental income </w:t>
      </w:r>
      <w:r>
        <w:rPr>
          <w:rStyle w:val="a6"/>
          <w:sz w:val="20"/>
          <w:szCs w:val="20"/>
        </w:rPr>
        <w:t xml:space="preserve">may </w:t>
      </w:r>
      <w:r>
        <w:rPr>
          <w:sz w:val="20"/>
          <w:szCs w:val="20"/>
        </w:rPr>
        <w:t>also include payments received in connection with lease termination agreements.  Lease termination fee income is recognized when the lessee provides consideration in order to terminate an existing lease agreement an</w:t>
      </w:r>
      <w:r>
        <w:rPr>
          <w:sz w:val="20"/>
          <w:szCs w:val="20"/>
        </w:rPr>
        <w:t>d has vacated the leased space. If the lessee continues to occupy the leased space for a period of time after the lease termination is agreed upon, the termination fee is accounted for as a lease modification based on the modified lease term. Upon acquisit</w:t>
      </w:r>
      <w:r>
        <w:rPr>
          <w:sz w:val="20"/>
          <w:szCs w:val="20"/>
        </w:rPr>
        <w:t xml:space="preserve">ion of real estate operating properties, the Company estimates the fair value of identified intangible assets and liabilities (including above-market and below-market leases, where applicable). The capitalized above-market or below-market intangible asset </w:t>
      </w:r>
      <w:r>
        <w:rPr>
          <w:sz w:val="20"/>
          <w:szCs w:val="20"/>
        </w:rPr>
        <w:t>or liability is amortized to rental income over the estimated remaining term of the respective leases, which includes the expected renewal option period for below-market leases.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Also included in Revenues from rental properties, net are ancillary income and TIF income. Ancillary income is derived through various agreements relating to parking lots, clothing bins, temporary storage, vending machines, ATMs, trash bins and trash colle</w:t>
      </w:r>
      <w:r>
        <w:rPr>
          <w:sz w:val="20"/>
          <w:szCs w:val="20"/>
        </w:rPr>
        <w:t>ctions, seasonal leases, etc. The majority of the revenue derived from these sources is through lease agreements/arrangements and is recognized in accordance with the lease terms described in the lease. The Company has TIF agreements with certain municipal</w:t>
      </w:r>
      <w:r>
        <w:rPr>
          <w:sz w:val="20"/>
          <w:szCs w:val="20"/>
        </w:rPr>
        <w:t>ities and receives payments in accordance with the agreements. TIF reimbursement income is recognized on a cash basis when received.</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jc w:val="center"/>
        <w:divId w:val="1165052133"/>
        <w:rPr>
          <w:rFonts w:eastAsia="Times New Roman"/>
          <w:sz w:val="20"/>
          <w:szCs w:val="20"/>
        </w:rPr>
      </w:pPr>
      <w:r>
        <w:rPr>
          <w:rStyle w:val="a6"/>
          <w:rFonts w:eastAsia="Times New Roman"/>
          <w:sz w:val="20"/>
          <w:szCs w:val="20"/>
        </w:rPr>
        <w:t>62</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097" style="width:415.3pt;height:1.5pt" o:hralign="center" o:hrstd="t" o:hrnoshade="t" o:hr="t" fillcolor="black" stroked="f"/>
        </w:pict>
      </w:r>
    </w:p>
    <w:p w:rsidR="00000000" w:rsidRDefault="004E30E9">
      <w:pPr>
        <w:divId w:val="625281438"/>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Management and other fee income</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Property management fees, property acquisition and disposition fees, construction management fees, leasing fees and asset management fees all fall within the scope of Topic </w:t>
      </w:r>
      <w:r>
        <w:rPr>
          <w:rStyle w:val="a6"/>
          <w:sz w:val="20"/>
          <w:szCs w:val="20"/>
        </w:rPr>
        <w:t>606.</w:t>
      </w:r>
      <w:r>
        <w:rPr>
          <w:sz w:val="20"/>
          <w:szCs w:val="20"/>
        </w:rPr>
        <w:t xml:space="preserve"> These fees arise from contractual agreements with </w:t>
      </w:r>
      <w:r>
        <w:rPr>
          <w:rStyle w:val="a6"/>
          <w:sz w:val="20"/>
          <w:szCs w:val="20"/>
        </w:rPr>
        <w:t>third</w:t>
      </w:r>
      <w:r>
        <w:rPr>
          <w:sz w:val="20"/>
          <w:szCs w:val="20"/>
        </w:rPr>
        <w:t>-parties or with entiti</w:t>
      </w:r>
      <w:r>
        <w:rPr>
          <w:sz w:val="20"/>
          <w:szCs w:val="20"/>
        </w:rPr>
        <w:t>es in which the Company has a noncontrolling interest. Management and other fee income related to partially owned entities are recognized to the extent attributable to the unaffiliated interest. Property and asset management fee income is recognized as a s</w:t>
      </w:r>
      <w:r>
        <w:rPr>
          <w:sz w:val="20"/>
          <w:szCs w:val="20"/>
        </w:rPr>
        <w:t>ingle performance obligation (managing the property) comprised of a series of distinct services (maintaining property, handling tenant inquiries, etc.). The Company believes that the overall service of property management is substantially the same each day</w:t>
      </w:r>
      <w:r>
        <w:rPr>
          <w:sz w:val="20"/>
          <w:szCs w:val="20"/>
        </w:rPr>
        <w:t xml:space="preserve"> and has the same pattern of performance over the term of the agreement. As a result, each day of service represents a performance obligation satisfied at that point in time. These fees are recognized at the end of each period for services performed during</w:t>
      </w:r>
      <w:r>
        <w:rPr>
          <w:sz w:val="20"/>
          <w:szCs w:val="20"/>
        </w:rPr>
        <w:t xml:space="preserve"> that period, primarily billed to the customer monthly with payment due upon receipt.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Leasing fee income is recognized as a single performance obligation primarily upon the rent commencement date. The Company believes the leasing services it provides are</w:t>
      </w:r>
      <w:r>
        <w:rPr>
          <w:sz w:val="20"/>
          <w:szCs w:val="20"/>
        </w:rPr>
        <w:t xml:space="preserve"> similar for each available space leased and </w:t>
      </w:r>
      <w:r>
        <w:rPr>
          <w:rStyle w:val="a6"/>
          <w:sz w:val="20"/>
          <w:szCs w:val="20"/>
        </w:rPr>
        <w:t>none</w:t>
      </w:r>
      <w:r>
        <w:rPr>
          <w:sz w:val="20"/>
          <w:szCs w:val="20"/>
        </w:rPr>
        <w:t xml:space="preserve"> of the individual activities necessary to facilitate the execution of each lease are distinct. These fees are billed to the customer monthly with payment due upon receipt.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Property acquisition and disposi</w:t>
      </w:r>
      <w:r>
        <w:rPr>
          <w:sz w:val="20"/>
          <w:szCs w:val="20"/>
        </w:rPr>
        <w:t>tion fees are recognized when the Company satisfies a performance obligation by acquiring a property or transferring control of a property. These fees are billed subsequent to the acquisition or sale of the property and payment is due upon receipt.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Const</w:t>
      </w:r>
      <w:r>
        <w:rPr>
          <w:sz w:val="20"/>
          <w:szCs w:val="20"/>
        </w:rPr>
        <w:t>ruction management fees are recognized as a single performance obligation (managing the construction of the project) composed of a series of distinct services. The Company believes that the overall service of construction management is substantially the sa</w:t>
      </w:r>
      <w:r>
        <w:rPr>
          <w:sz w:val="20"/>
          <w:szCs w:val="20"/>
        </w:rPr>
        <w:t>me each day and has the same pattern of performance over the term of the agreement. As a result, each day of service represents a performance obligation satisfied at that point in time. These fees are based on the amount spent on the construction at the en</w:t>
      </w:r>
      <w:r>
        <w:rPr>
          <w:sz w:val="20"/>
          <w:szCs w:val="20"/>
        </w:rPr>
        <w:t>d of each period for services performed during that period, primarily billed to the customer monthly with payment due upon receipt.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Trade Accounts Receivable</w:t>
      </w:r>
    </w:p>
    <w:p w:rsidR="00000000" w:rsidRDefault="004E30E9">
      <w:pPr>
        <w:pStyle w:val="a3"/>
        <w:spacing w:before="0" w:beforeAutospacing="0" w:after="0" w:afterAutospacing="0"/>
        <w:ind w:left="360"/>
        <w:rPr>
          <w:sz w:val="20"/>
          <w:szCs w:val="20"/>
        </w:rPr>
      </w:pPr>
      <w:r>
        <w:rPr>
          <w:i/>
          <w:iCs/>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reviews its trade accounts receivable, including its straight-line rent receivable, related to base rents, straight-line rent, expense reimbursements and other revenues for collectability. When evaluating the probability of the collection of th</w:t>
      </w:r>
      <w:r>
        <w:rPr>
          <w:sz w:val="20"/>
          <w:szCs w:val="20"/>
        </w:rPr>
        <w:t>e lessee’s total accounts receivable, including the corresponding straight-line rent receivable balance on a lease-by-lease basis; the Company considered the effects COVID-</w:t>
      </w:r>
      <w:r>
        <w:rPr>
          <w:rStyle w:val="a6"/>
          <w:sz w:val="20"/>
          <w:szCs w:val="20"/>
        </w:rPr>
        <w:t>19</w:t>
      </w:r>
      <w:r>
        <w:rPr>
          <w:sz w:val="20"/>
          <w:szCs w:val="20"/>
        </w:rPr>
        <w:t xml:space="preserve"> has had on its tenants, including the corresponding straight-line rent receivable</w:t>
      </w:r>
      <w:r>
        <w:rPr>
          <w:sz w:val="20"/>
          <w:szCs w:val="20"/>
        </w:rPr>
        <w:t xml:space="preserve">. The Company’s analysis of its accounts receivable included (i) customer credit worthiness, (ii) assessment of risk associated with the tenant, and (iii) current economic trends. In addition, tenants in bankruptcy are analyzed and considerations are made </w:t>
      </w:r>
      <w:r>
        <w:rPr>
          <w:sz w:val="20"/>
          <w:szCs w:val="20"/>
        </w:rPr>
        <w:t xml:space="preserve">in connection with the expected recovery of pre-petition and post-petition bankruptcy claims. Effective </w:t>
      </w:r>
      <w:r>
        <w:rPr>
          <w:rStyle w:val="a6"/>
          <w:sz w:val="20"/>
          <w:szCs w:val="20"/>
        </w:rPr>
        <w:t xml:space="preserve">January 1, 2019, </w:t>
      </w:r>
      <w:r>
        <w:rPr>
          <w:sz w:val="20"/>
          <w:szCs w:val="20"/>
        </w:rPr>
        <w:t xml:space="preserve">in accordance with the adoption of Topic </w:t>
      </w:r>
      <w:r>
        <w:rPr>
          <w:rStyle w:val="a6"/>
          <w:sz w:val="20"/>
          <w:szCs w:val="20"/>
        </w:rPr>
        <w:t>842,</w:t>
      </w:r>
      <w:r>
        <w:rPr>
          <w:sz w:val="20"/>
          <w:szCs w:val="20"/>
        </w:rPr>
        <w:t xml:space="preserve"> the Company includes provision for doubtful accounts in Revenues from rental properties, </w:t>
      </w:r>
      <w:r>
        <w:rPr>
          <w:sz w:val="20"/>
          <w:szCs w:val="20"/>
        </w:rPr>
        <w:t xml:space="preserve">net. If a lessee’s accounts receivable balance is considered uncollectible, the Company will write-off the receivable balances associated with the lease and will only recognize lease income on a cash basis. In addition to the lease-specific collectability </w:t>
      </w:r>
      <w:r>
        <w:rPr>
          <w:sz w:val="20"/>
          <w:szCs w:val="20"/>
        </w:rPr>
        <w:t xml:space="preserve">assessment performed under Topic </w:t>
      </w:r>
      <w:r>
        <w:rPr>
          <w:rStyle w:val="a6"/>
          <w:sz w:val="20"/>
          <w:szCs w:val="20"/>
        </w:rPr>
        <w:t>842,</w:t>
      </w:r>
      <w:r>
        <w:rPr>
          <w:sz w:val="20"/>
          <w:szCs w:val="20"/>
        </w:rPr>
        <w:t xml:space="preserve"> the analysis also recognizes a general reserve, as a reduction to Revenues from rental properties, for its portfolio of operating lease receivables which are </w:t>
      </w:r>
      <w:r>
        <w:rPr>
          <w:rStyle w:val="a6"/>
          <w:sz w:val="20"/>
          <w:szCs w:val="20"/>
        </w:rPr>
        <w:t>not</w:t>
      </w:r>
      <w:r>
        <w:rPr>
          <w:sz w:val="20"/>
          <w:szCs w:val="20"/>
        </w:rPr>
        <w:t xml:space="preserve"> expected to be fully collectible based on the Company’s </w:t>
      </w:r>
      <w:r>
        <w:rPr>
          <w:sz w:val="20"/>
          <w:szCs w:val="20"/>
        </w:rPr>
        <w:t xml:space="preserve">historical and current collection experience and the potential for settlement of arrears. Although the Company estimates uncollectible receivables and provides for them through charges against revenues from rental properties, actual results </w:t>
      </w:r>
      <w:r>
        <w:rPr>
          <w:rStyle w:val="a6"/>
          <w:sz w:val="20"/>
          <w:szCs w:val="20"/>
        </w:rPr>
        <w:t xml:space="preserve">may </w:t>
      </w:r>
      <w:r>
        <w:rPr>
          <w:sz w:val="20"/>
          <w:szCs w:val="20"/>
        </w:rPr>
        <w:t>differ from</w:t>
      </w:r>
      <w:r>
        <w:rPr>
          <w:sz w:val="20"/>
          <w:szCs w:val="20"/>
        </w:rPr>
        <w:t xml:space="preserve"> those estimates. If the Company subsequently determines that it is probable it will collect the remaining lessee’s lease payments under the lease term, the Company will then reinstate the straight-line balance and the lease income will then be limited to </w:t>
      </w:r>
      <w:r>
        <w:rPr>
          <w:sz w:val="20"/>
          <w:szCs w:val="20"/>
        </w:rPr>
        <w:t>the lesser of (i) the straight-line rental income or (ii) the lease payments that have been collected from the lessee.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Since the outbreak of the COVID-</w:t>
      </w:r>
      <w:r>
        <w:rPr>
          <w:rStyle w:val="a6"/>
          <w:sz w:val="20"/>
          <w:szCs w:val="20"/>
        </w:rPr>
        <w:t>19</w:t>
      </w:r>
      <w:r>
        <w:rPr>
          <w:sz w:val="20"/>
          <w:szCs w:val="20"/>
        </w:rPr>
        <w:t xml:space="preserve"> pandemic, the Company’s shopping centers have remained open; however, a substantial number of tenant</w:t>
      </w:r>
      <w:r>
        <w:rPr>
          <w:sz w:val="20"/>
          <w:szCs w:val="20"/>
        </w:rPr>
        <w:t>s had or continue to have temporarily or permanently closed their businesses. Others had, or continue to have, shortened their operating hours or offered reduced services. The Company has also had a substantial number of tenants that have made late or part</w:t>
      </w:r>
      <w:r>
        <w:rPr>
          <w:sz w:val="20"/>
          <w:szCs w:val="20"/>
        </w:rPr>
        <w:t>ial rent payments, requested a deferral of rent payments or defaulted on rent payments. Since the COVID-</w:t>
      </w:r>
      <w:r>
        <w:rPr>
          <w:rStyle w:val="a6"/>
          <w:sz w:val="20"/>
          <w:szCs w:val="20"/>
        </w:rPr>
        <w:t>19</w:t>
      </w:r>
      <w:r>
        <w:rPr>
          <w:sz w:val="20"/>
          <w:szCs w:val="20"/>
        </w:rPr>
        <w:t xml:space="preserve"> pandemic began, the Company has seen an increase in the number of tenants filing for bankruptcy. The Company continues to evaluate the impact these b</w:t>
      </w:r>
      <w:r>
        <w:rPr>
          <w:sz w:val="20"/>
          <w:szCs w:val="20"/>
        </w:rPr>
        <w:t>ankruptcy filings have or will have on collections, vacancies and future rental income. The Company considered the effects COVID-</w:t>
      </w:r>
      <w:r>
        <w:rPr>
          <w:rStyle w:val="a6"/>
          <w:sz w:val="20"/>
          <w:szCs w:val="20"/>
        </w:rPr>
        <w:t>19</w:t>
      </w:r>
      <w:r>
        <w:rPr>
          <w:sz w:val="20"/>
          <w:szCs w:val="20"/>
        </w:rPr>
        <w:t xml:space="preserve"> has had on its tenants when evaluating the adequacy of the collectability of the lessee’s total accounts receivable balance,</w:t>
      </w:r>
      <w:r>
        <w:rPr>
          <w:sz w:val="20"/>
          <w:szCs w:val="20"/>
        </w:rPr>
        <w:t xml:space="preserve"> including the corresponding straight-line rent receivable. During the year ended </w:t>
      </w:r>
      <w:r>
        <w:rPr>
          <w:rStyle w:val="a6"/>
          <w:sz w:val="20"/>
          <w:szCs w:val="20"/>
        </w:rPr>
        <w:t>December 31,</w:t>
      </w:r>
      <w:r>
        <w:rPr>
          <w:sz w:val="20"/>
          <w:szCs w:val="20"/>
        </w:rPr>
        <w:t> </w:t>
      </w:r>
      <w:r>
        <w:rPr>
          <w:rStyle w:val="a6"/>
          <w:sz w:val="20"/>
          <w:szCs w:val="20"/>
        </w:rPr>
        <w:t>2020,</w:t>
      </w:r>
      <w:r>
        <w:rPr>
          <w:sz w:val="20"/>
          <w:szCs w:val="20"/>
        </w:rPr>
        <w:t xml:space="preserve"> the Company’s revenue was reduced by $81.0 million associated with potentially uncollectible revenues, including revenues from tenants that are being accou</w:t>
      </w:r>
      <w:r>
        <w:rPr>
          <w:sz w:val="20"/>
          <w:szCs w:val="20"/>
        </w:rPr>
        <w:t>nted for on a cash basis, which includes $15.2 million for straight-line rent receivables, primarily attributable to the COVID-</w:t>
      </w:r>
      <w:r>
        <w:rPr>
          <w:rStyle w:val="a6"/>
          <w:sz w:val="20"/>
          <w:szCs w:val="20"/>
        </w:rPr>
        <w:t>19</w:t>
      </w:r>
      <w:r>
        <w:rPr>
          <w:sz w:val="20"/>
          <w:szCs w:val="20"/>
        </w:rPr>
        <w:t xml:space="preserve"> pandemic. Management’s estimate of the collectability of accrued rents and accounts receivable is based on the best informatio</w:t>
      </w:r>
      <w:r>
        <w:rPr>
          <w:sz w:val="20"/>
          <w:szCs w:val="20"/>
        </w:rPr>
        <w:t xml:space="preserve">n available to management at the time of evaluation. The Company has, and continues to have, worked with tenants to grant rent deferrals or rent waivers on a lease by lease basis. The deferrals generally have a repayment period of </w:t>
      </w:r>
      <w:r>
        <w:rPr>
          <w:rStyle w:val="a6"/>
          <w:sz w:val="20"/>
          <w:szCs w:val="20"/>
        </w:rPr>
        <w:t>six</w:t>
      </w:r>
      <w:r>
        <w:rPr>
          <w:sz w:val="20"/>
          <w:szCs w:val="20"/>
        </w:rPr>
        <w:t xml:space="preserve"> to </w:t>
      </w:r>
      <w:r>
        <w:rPr>
          <w:rStyle w:val="a6"/>
          <w:sz w:val="20"/>
          <w:szCs w:val="20"/>
        </w:rPr>
        <w:t>18</w:t>
      </w:r>
      <w:r>
        <w:rPr>
          <w:sz w:val="20"/>
          <w:szCs w:val="20"/>
        </w:rPr>
        <w:t xml:space="preserve"> months.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56263027"/>
        <w:rPr>
          <w:rFonts w:eastAsia="Times New Roman"/>
          <w:sz w:val="20"/>
          <w:szCs w:val="20"/>
        </w:rPr>
      </w:pPr>
      <w:r>
        <w:rPr>
          <w:rStyle w:val="a6"/>
          <w:rFonts w:eastAsia="Times New Roman"/>
          <w:sz w:val="20"/>
          <w:szCs w:val="20"/>
        </w:rPr>
        <w:t>63</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098" style="width:415.3pt;height:1.5pt" o:hralign="center" o:hrstd="t" o:hrnoshade="t" o:hr="t" fillcolor="black" stroked="f"/>
        </w:pict>
      </w:r>
    </w:p>
    <w:p w:rsidR="00000000" w:rsidRDefault="004E30E9">
      <w:pPr>
        <w:divId w:val="116681046"/>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 xml:space="preserve">NOTES TO CONSOLIDATED FINANCIAL </w:t>
      </w:r>
      <w:r>
        <w:rPr>
          <w:sz w:val="20"/>
          <w:szCs w:val="20"/>
        </w:rPr>
        <w:t>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Gains on sale of properties/change in control of interests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January 1, 2018, </w:t>
      </w:r>
      <w:r>
        <w:rPr>
          <w:sz w:val="20"/>
          <w:szCs w:val="20"/>
        </w:rPr>
        <w:t xml:space="preserve">the Company adopted ASU </w:t>
      </w:r>
      <w:r>
        <w:rPr>
          <w:rStyle w:val="a6"/>
          <w:sz w:val="20"/>
          <w:szCs w:val="20"/>
        </w:rPr>
        <w:t>2017</w:t>
      </w:r>
      <w:r>
        <w:rPr>
          <w:sz w:val="20"/>
          <w:szCs w:val="20"/>
        </w:rPr>
        <w:t>-</w:t>
      </w:r>
      <w:r>
        <w:rPr>
          <w:rStyle w:val="a6"/>
          <w:sz w:val="20"/>
          <w:szCs w:val="20"/>
        </w:rPr>
        <w:t>05,</w:t>
      </w:r>
      <w:r>
        <w:rPr>
          <w:sz w:val="20"/>
          <w:szCs w:val="20"/>
        </w:rPr>
        <w:t xml:space="preserve"> </w:t>
      </w:r>
      <w:r>
        <w:rPr>
          <w:i/>
          <w:iCs/>
          <w:sz w:val="20"/>
          <w:szCs w:val="20"/>
        </w:rPr>
        <w:t xml:space="preserve">Other Income–Gains and Losses from the Derecognition of Nonfinancial Assets (Subtopic </w:t>
      </w:r>
      <w:r>
        <w:rPr>
          <w:rStyle w:val="a6"/>
          <w:sz w:val="20"/>
          <w:szCs w:val="20"/>
        </w:rPr>
        <w:t>610</w:t>
      </w:r>
      <w:r>
        <w:rPr>
          <w:i/>
          <w:iCs/>
          <w:sz w:val="20"/>
          <w:szCs w:val="20"/>
        </w:rPr>
        <w:t>-</w:t>
      </w:r>
      <w:r>
        <w:rPr>
          <w:rStyle w:val="a6"/>
          <w:sz w:val="20"/>
          <w:szCs w:val="20"/>
        </w:rPr>
        <w:t>20</w:t>
      </w:r>
      <w:r>
        <w:rPr>
          <w:i/>
          <w:iCs/>
          <w:sz w:val="20"/>
          <w:szCs w:val="20"/>
        </w:rPr>
        <w:t>): Clarifying the Scope of</w:t>
      </w:r>
      <w:r>
        <w:rPr>
          <w:i/>
          <w:iCs/>
          <w:sz w:val="20"/>
          <w:szCs w:val="20"/>
        </w:rPr>
        <w:t xml:space="preserve"> Asset Derecognition Guidance and Accounting for Partial Sales of Nonfinancial Assets</w:t>
      </w:r>
      <w:r>
        <w:rPr>
          <w:sz w:val="20"/>
          <w:szCs w:val="20"/>
        </w:rPr>
        <w:t xml:space="preserve"> (“Topic </w:t>
      </w:r>
      <w:r>
        <w:rPr>
          <w:rStyle w:val="a6"/>
          <w:sz w:val="20"/>
          <w:szCs w:val="20"/>
        </w:rPr>
        <w:t>610”</w:t>
      </w:r>
      <w:r>
        <w:rPr>
          <w:sz w:val="20"/>
          <w:szCs w:val="20"/>
        </w:rPr>
        <w:t xml:space="preserve">) for gains and losses from the sale and/or transfer of real estate property. Topic </w:t>
      </w:r>
      <w:r>
        <w:rPr>
          <w:rStyle w:val="a6"/>
          <w:sz w:val="20"/>
          <w:szCs w:val="20"/>
        </w:rPr>
        <w:t>610</w:t>
      </w:r>
      <w:r>
        <w:rPr>
          <w:sz w:val="20"/>
          <w:szCs w:val="20"/>
        </w:rPr>
        <w:t xml:space="preserve"> provides that sales of nonfinancial assets, such as real estate, are t</w:t>
      </w:r>
      <w:r>
        <w:rPr>
          <w:sz w:val="20"/>
          <w:szCs w:val="20"/>
        </w:rPr>
        <w:t>o be recognized when control of the asset transfers to the buyer, which will occur when the buyer has the ability to direct the use of or obtain substantially all of the remaining benefits from the asset. This generally occurs when the transaction closes a</w:t>
      </w:r>
      <w:r>
        <w:rPr>
          <w:sz w:val="20"/>
          <w:szCs w:val="20"/>
        </w:rPr>
        <w:t>nd consideration is exchanged for control of the property.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u w:val="single"/>
        </w:rPr>
        <w:t>Leases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FASB issued Topic </w:t>
      </w:r>
      <w:r>
        <w:rPr>
          <w:rStyle w:val="a6"/>
          <w:sz w:val="20"/>
          <w:szCs w:val="20"/>
        </w:rPr>
        <w:t>842,</w:t>
      </w:r>
      <w:r>
        <w:rPr>
          <w:sz w:val="20"/>
          <w:szCs w:val="20"/>
        </w:rPr>
        <w:t xml:space="preserve"> which amended the guidance in former ASC Topic </w:t>
      </w:r>
      <w:r>
        <w:rPr>
          <w:rStyle w:val="a6"/>
          <w:sz w:val="20"/>
          <w:szCs w:val="20"/>
        </w:rPr>
        <w:t>840,</w:t>
      </w:r>
      <w:r>
        <w:rPr>
          <w:sz w:val="20"/>
          <w:szCs w:val="20"/>
        </w:rPr>
        <w:t xml:space="preserve"> </w:t>
      </w:r>
      <w:r>
        <w:rPr>
          <w:i/>
          <w:iCs/>
          <w:sz w:val="20"/>
          <w:szCs w:val="20"/>
        </w:rPr>
        <w:t>Leases</w:t>
      </w:r>
      <w:r>
        <w:rPr>
          <w:sz w:val="20"/>
          <w:szCs w:val="20"/>
        </w:rPr>
        <w:t>. The new standard increases transparency and comparability by requiring the recognition by lessees o</w:t>
      </w:r>
      <w:r>
        <w:rPr>
          <w:sz w:val="20"/>
          <w:szCs w:val="20"/>
        </w:rPr>
        <w:t>f right-of-use (“ROU”) assets and lease liabilities on the balance sheet for those leases classified as operating leases.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adopted this standard effective </w:t>
      </w:r>
      <w:r>
        <w:rPr>
          <w:rStyle w:val="a6"/>
          <w:sz w:val="20"/>
          <w:szCs w:val="20"/>
        </w:rPr>
        <w:t xml:space="preserve">January 1, 2019 </w:t>
      </w:r>
      <w:r>
        <w:rPr>
          <w:sz w:val="20"/>
          <w:szCs w:val="20"/>
        </w:rPr>
        <w:t>under the modified retrospective approach and elected the optional trans</w:t>
      </w:r>
      <w:r>
        <w:rPr>
          <w:sz w:val="20"/>
          <w:szCs w:val="20"/>
        </w:rPr>
        <w:t xml:space="preserve">ition method to apply the provisions of Topic </w:t>
      </w:r>
      <w:r>
        <w:rPr>
          <w:rStyle w:val="a6"/>
          <w:sz w:val="20"/>
          <w:szCs w:val="20"/>
        </w:rPr>
        <w:t>842</w:t>
      </w:r>
      <w:r>
        <w:rPr>
          <w:sz w:val="20"/>
          <w:szCs w:val="20"/>
        </w:rPr>
        <w:t xml:space="preserve"> as of the adoption date, rather than the earliest period presented. As such, the requirements of Topic </w:t>
      </w:r>
      <w:r>
        <w:rPr>
          <w:rStyle w:val="a6"/>
          <w:sz w:val="20"/>
          <w:szCs w:val="20"/>
        </w:rPr>
        <w:t>842</w:t>
      </w:r>
      <w:r>
        <w:rPr>
          <w:sz w:val="20"/>
          <w:szCs w:val="20"/>
        </w:rPr>
        <w:t xml:space="preserve"> were </w:t>
      </w:r>
      <w:r>
        <w:rPr>
          <w:rStyle w:val="a6"/>
          <w:sz w:val="20"/>
          <w:szCs w:val="20"/>
        </w:rPr>
        <w:t>not</w:t>
      </w:r>
      <w:r>
        <w:rPr>
          <w:sz w:val="20"/>
          <w:szCs w:val="20"/>
        </w:rPr>
        <w:t xml:space="preserve"> applied in the comparative periods presented in the Company’s Consolidated Financial State</w:t>
      </w:r>
      <w:r>
        <w:rPr>
          <w:sz w:val="20"/>
          <w:szCs w:val="20"/>
        </w:rPr>
        <w:t xml:space="preserve">ments. The Company also elected the package of practical expedients, which permits the Company to </w:t>
      </w:r>
      <w:r>
        <w:rPr>
          <w:rStyle w:val="a6"/>
          <w:sz w:val="20"/>
          <w:szCs w:val="20"/>
        </w:rPr>
        <w:t>not</w:t>
      </w:r>
      <w:r>
        <w:rPr>
          <w:sz w:val="20"/>
          <w:szCs w:val="20"/>
        </w:rPr>
        <w:t xml:space="preserve"> reassess (i) whether any expired or existing contracts are or contain leases, (ii) the lease classification for any expired or existing leases and (iii) a</w:t>
      </w:r>
      <w:r>
        <w:rPr>
          <w:sz w:val="20"/>
          <w:szCs w:val="20"/>
        </w:rPr>
        <w:t xml:space="preserve">ny initial direct costs for any existing leases as of the effective date. The Company did </w:t>
      </w:r>
      <w:r>
        <w:rPr>
          <w:rStyle w:val="a6"/>
          <w:sz w:val="20"/>
          <w:szCs w:val="20"/>
        </w:rPr>
        <w:t>not</w:t>
      </w:r>
      <w:r>
        <w:rPr>
          <w:sz w:val="20"/>
          <w:szCs w:val="20"/>
        </w:rPr>
        <w:t xml:space="preserve"> elect the hindsight practical expedient, which permits entities to use hindsight in determining the lease term and assessing impairment.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Lessor</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accounts for non-lease components and related lease components combined under Topic </w:t>
      </w:r>
      <w:r>
        <w:rPr>
          <w:rStyle w:val="a6"/>
          <w:sz w:val="20"/>
          <w:szCs w:val="20"/>
        </w:rPr>
        <w:t>842,</w:t>
      </w:r>
      <w:r>
        <w:rPr>
          <w:sz w:val="20"/>
          <w:szCs w:val="20"/>
        </w:rPr>
        <w:t xml:space="preserve"> in accordance with the defined criteria in ASU </w:t>
      </w:r>
      <w:r>
        <w:rPr>
          <w:rStyle w:val="a6"/>
          <w:sz w:val="20"/>
          <w:szCs w:val="20"/>
        </w:rPr>
        <w:t>2018</w:t>
      </w:r>
      <w:r>
        <w:rPr>
          <w:sz w:val="20"/>
          <w:szCs w:val="20"/>
        </w:rPr>
        <w:t>-</w:t>
      </w:r>
      <w:r>
        <w:rPr>
          <w:rStyle w:val="a6"/>
          <w:sz w:val="20"/>
          <w:szCs w:val="20"/>
        </w:rPr>
        <w:t>11,</w:t>
      </w:r>
      <w:r>
        <w:rPr>
          <w:sz w:val="20"/>
          <w:szCs w:val="20"/>
        </w:rPr>
        <w:t xml:space="preserve"> </w:t>
      </w:r>
      <w:r>
        <w:rPr>
          <w:i/>
          <w:iCs/>
          <w:sz w:val="20"/>
          <w:szCs w:val="20"/>
        </w:rPr>
        <w:t>Leases</w:t>
      </w:r>
      <w:r>
        <w:rPr>
          <w:sz w:val="20"/>
          <w:szCs w:val="20"/>
        </w:rPr>
        <w:t xml:space="preserve"> - </w:t>
      </w:r>
      <w:r>
        <w:rPr>
          <w:i/>
          <w:iCs/>
          <w:sz w:val="20"/>
          <w:szCs w:val="20"/>
        </w:rPr>
        <w:t>Targeted Improvements</w:t>
      </w:r>
      <w:r>
        <w:rPr>
          <w:sz w:val="20"/>
          <w:szCs w:val="20"/>
        </w:rPr>
        <w:t xml:space="preserve"> (“ASU </w:t>
      </w:r>
      <w:r>
        <w:rPr>
          <w:rStyle w:val="a6"/>
          <w:sz w:val="20"/>
          <w:szCs w:val="20"/>
        </w:rPr>
        <w:t>2018</w:t>
      </w:r>
      <w:r>
        <w:rPr>
          <w:sz w:val="20"/>
          <w:szCs w:val="20"/>
        </w:rPr>
        <w:t>-</w:t>
      </w:r>
      <w:r>
        <w:rPr>
          <w:rStyle w:val="a6"/>
          <w:sz w:val="20"/>
          <w:szCs w:val="20"/>
        </w:rPr>
        <w:t>11”</w:t>
      </w:r>
      <w:r>
        <w:rPr>
          <w:sz w:val="20"/>
          <w:szCs w:val="20"/>
        </w:rPr>
        <w:t>). As a lessor, the Company’</w:t>
      </w:r>
      <w:r>
        <w:rPr>
          <w:sz w:val="20"/>
          <w:szCs w:val="20"/>
        </w:rPr>
        <w:t xml:space="preserve">s recognition of rental revenue under Topic </w:t>
      </w:r>
      <w:r>
        <w:rPr>
          <w:rStyle w:val="a6"/>
          <w:sz w:val="20"/>
          <w:szCs w:val="20"/>
        </w:rPr>
        <w:t>842</w:t>
      </w:r>
      <w:r>
        <w:rPr>
          <w:sz w:val="20"/>
          <w:szCs w:val="20"/>
        </w:rPr>
        <w:t xml:space="preserve"> remained mainly consistent with recognition of rental revenue under the previous guidance, Topic </w:t>
      </w:r>
      <w:r>
        <w:rPr>
          <w:rStyle w:val="a6"/>
          <w:sz w:val="20"/>
          <w:szCs w:val="20"/>
        </w:rPr>
        <w:t>840,</w:t>
      </w:r>
      <w:r>
        <w:rPr>
          <w:sz w:val="20"/>
          <w:szCs w:val="20"/>
        </w:rPr>
        <w:t xml:space="preserve"> apart from the narrower definition of initial direct costs that can be capitalized. The new standard defin</w:t>
      </w:r>
      <w:r>
        <w:rPr>
          <w:sz w:val="20"/>
          <w:szCs w:val="20"/>
        </w:rPr>
        <w:t xml:space="preserve">es initial direct costs as only the incremental costs that would </w:t>
      </w:r>
      <w:r>
        <w:rPr>
          <w:rStyle w:val="a6"/>
          <w:sz w:val="20"/>
          <w:szCs w:val="20"/>
        </w:rPr>
        <w:t>not</w:t>
      </w:r>
      <w:r>
        <w:rPr>
          <w:sz w:val="20"/>
          <w:szCs w:val="20"/>
        </w:rPr>
        <w:t xml:space="preserve"> have been incurred if the lease had </w:t>
      </w:r>
      <w:r>
        <w:rPr>
          <w:rStyle w:val="a6"/>
          <w:sz w:val="20"/>
          <w:szCs w:val="20"/>
        </w:rPr>
        <w:t>not</w:t>
      </w:r>
      <w:r>
        <w:rPr>
          <w:sz w:val="20"/>
          <w:szCs w:val="20"/>
        </w:rPr>
        <w:t xml:space="preserve"> been obtained. Under Topic </w:t>
      </w:r>
      <w:r>
        <w:rPr>
          <w:rStyle w:val="a6"/>
          <w:sz w:val="20"/>
          <w:szCs w:val="20"/>
        </w:rPr>
        <w:t>842</w:t>
      </w:r>
      <w:r>
        <w:rPr>
          <w:sz w:val="20"/>
          <w:szCs w:val="20"/>
        </w:rPr>
        <w:t xml:space="preserve"> initial direct costs include commissions paid to </w:t>
      </w:r>
      <w:r>
        <w:rPr>
          <w:rStyle w:val="a6"/>
          <w:sz w:val="20"/>
          <w:szCs w:val="20"/>
        </w:rPr>
        <w:t>third</w:t>
      </w:r>
      <w:r>
        <w:rPr>
          <w:sz w:val="20"/>
          <w:szCs w:val="20"/>
        </w:rPr>
        <w:t>-parties, including brokers, leasing and referral agents and i</w:t>
      </w:r>
      <w:r>
        <w:rPr>
          <w:sz w:val="20"/>
          <w:szCs w:val="20"/>
        </w:rPr>
        <w:t>nternal leasing commissions paid to employees for successful execution of lease agreements. These initial direct costs are capitalized and generally amortized over the term of the related leases using the straight-line method. Internal employee compensatio</w:t>
      </w:r>
      <w:r>
        <w:rPr>
          <w:sz w:val="20"/>
          <w:szCs w:val="20"/>
        </w:rPr>
        <w:t xml:space="preserve">n, payroll-related benefits and certain external legal fees are considered indirect costs associated with the execution of lease agreements and will </w:t>
      </w:r>
      <w:r>
        <w:rPr>
          <w:rStyle w:val="a6"/>
          <w:sz w:val="20"/>
          <w:szCs w:val="20"/>
        </w:rPr>
        <w:t>no</w:t>
      </w:r>
      <w:r>
        <w:rPr>
          <w:sz w:val="20"/>
          <w:szCs w:val="20"/>
        </w:rPr>
        <w:t xml:space="preserve"> longer be capitalized; these costs will be included in general and administrative expense. As a result o</w:t>
      </w:r>
      <w:r>
        <w:rPr>
          <w:sz w:val="20"/>
          <w:szCs w:val="20"/>
        </w:rPr>
        <w:t xml:space="preserve">f electing the package of practical expedients described above, existing leases and related initial direct costs have </w:t>
      </w:r>
      <w:r>
        <w:rPr>
          <w:rStyle w:val="a6"/>
          <w:sz w:val="20"/>
          <w:szCs w:val="20"/>
        </w:rPr>
        <w:t>not</w:t>
      </w:r>
      <w:r>
        <w:rPr>
          <w:sz w:val="20"/>
          <w:szCs w:val="20"/>
        </w:rPr>
        <w:t xml:space="preserve"> been reassessed prior to the effective date, and therefore, adoption of the lease standard did </w:t>
      </w:r>
      <w:r>
        <w:rPr>
          <w:rStyle w:val="a6"/>
          <w:sz w:val="20"/>
          <w:szCs w:val="20"/>
        </w:rPr>
        <w:t>not</w:t>
      </w:r>
      <w:r>
        <w:rPr>
          <w:sz w:val="20"/>
          <w:szCs w:val="20"/>
        </w:rPr>
        <w:t xml:space="preserve"> have an impact on the Company’s pre</w:t>
      </w:r>
      <w:r>
        <w:rPr>
          <w:sz w:val="20"/>
          <w:szCs w:val="20"/>
        </w:rPr>
        <w:t>viously reported Consolidated Statements of Income for initial direct costs.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April 2020, </w:t>
      </w:r>
      <w:r>
        <w:rPr>
          <w:sz w:val="20"/>
          <w:szCs w:val="20"/>
        </w:rPr>
        <w:t xml:space="preserve">the FASB staff developed a question-and-answer document, </w:t>
      </w:r>
      <w:r>
        <w:rPr>
          <w:i/>
          <w:iCs/>
          <w:sz w:val="20"/>
          <w:szCs w:val="20"/>
        </w:rPr>
        <w:t xml:space="preserve">Topic </w:t>
      </w:r>
      <w:r>
        <w:rPr>
          <w:rStyle w:val="a6"/>
          <w:sz w:val="20"/>
          <w:szCs w:val="20"/>
        </w:rPr>
        <w:t>842</w:t>
      </w:r>
      <w:r>
        <w:rPr>
          <w:i/>
          <w:iCs/>
          <w:sz w:val="20"/>
          <w:szCs w:val="20"/>
        </w:rPr>
        <w:t xml:space="preserve"> and Topic </w:t>
      </w:r>
      <w:r>
        <w:rPr>
          <w:rStyle w:val="a6"/>
          <w:sz w:val="20"/>
          <w:szCs w:val="20"/>
        </w:rPr>
        <w:t>840:</w:t>
      </w:r>
      <w:r>
        <w:rPr>
          <w:i/>
          <w:iCs/>
          <w:sz w:val="20"/>
          <w:szCs w:val="20"/>
        </w:rPr>
        <w:t xml:space="preserve"> Accounting for Lease Concessions related to the Effects of the COVID-</w:t>
      </w:r>
      <w:r>
        <w:rPr>
          <w:rStyle w:val="a6"/>
          <w:sz w:val="20"/>
          <w:szCs w:val="20"/>
        </w:rPr>
        <w:t>19</w:t>
      </w:r>
      <w:r>
        <w:rPr>
          <w:i/>
          <w:iCs/>
          <w:sz w:val="20"/>
          <w:szCs w:val="20"/>
        </w:rPr>
        <w:t xml:space="preserve"> Pandemic</w:t>
      </w:r>
      <w:r>
        <w:rPr>
          <w:sz w:val="20"/>
          <w:szCs w:val="20"/>
        </w:rPr>
        <w:t xml:space="preserve">, which focuses on the application of the lease guidance in Topic </w:t>
      </w:r>
      <w:r>
        <w:rPr>
          <w:rStyle w:val="a6"/>
          <w:sz w:val="20"/>
          <w:szCs w:val="20"/>
        </w:rPr>
        <w:t>842,</w:t>
      </w:r>
      <w:r>
        <w:rPr>
          <w:sz w:val="20"/>
          <w:szCs w:val="20"/>
        </w:rPr>
        <w:t xml:space="preserve"> Leases for lease concessions related to the effects of the COVID-</w:t>
      </w:r>
      <w:r>
        <w:rPr>
          <w:rStyle w:val="a6"/>
          <w:sz w:val="20"/>
          <w:szCs w:val="20"/>
        </w:rPr>
        <w:t>19</w:t>
      </w:r>
      <w:r>
        <w:rPr>
          <w:sz w:val="20"/>
          <w:szCs w:val="20"/>
        </w:rPr>
        <w:t xml:space="preserve"> pandemic. The FASB staff has been made aware that, given the unprecedented and global nature of the COVID-</w:t>
      </w:r>
      <w:r>
        <w:rPr>
          <w:rStyle w:val="a6"/>
          <w:sz w:val="20"/>
          <w:szCs w:val="20"/>
        </w:rPr>
        <w:t>19</w:t>
      </w:r>
      <w:r>
        <w:rPr>
          <w:sz w:val="20"/>
          <w:szCs w:val="20"/>
        </w:rPr>
        <w:t xml:space="preserve"> pandemic</w:t>
      </w:r>
      <w:r>
        <w:rPr>
          <w:sz w:val="20"/>
          <w:szCs w:val="20"/>
        </w:rPr>
        <w:t xml:space="preserve">, it </w:t>
      </w:r>
      <w:r>
        <w:rPr>
          <w:rStyle w:val="a6"/>
          <w:sz w:val="20"/>
          <w:szCs w:val="20"/>
        </w:rPr>
        <w:t xml:space="preserve">may </w:t>
      </w:r>
      <w:r>
        <w:rPr>
          <w:sz w:val="20"/>
          <w:szCs w:val="20"/>
        </w:rPr>
        <w:t>be exceedingly challenging for entities to determine whether existing contracts provide enforceable rights and obligations for lease concessions and, if so, whether those concessions are consistent with the terms of the contract or are modificatio</w:t>
      </w:r>
      <w:r>
        <w:rPr>
          <w:sz w:val="20"/>
          <w:szCs w:val="20"/>
        </w:rPr>
        <w:t xml:space="preserve">ns to a contract. As such, an entity can elect </w:t>
      </w:r>
      <w:r>
        <w:rPr>
          <w:rStyle w:val="a6"/>
          <w:sz w:val="20"/>
          <w:szCs w:val="20"/>
        </w:rPr>
        <w:t>not</w:t>
      </w:r>
      <w:r>
        <w:rPr>
          <w:sz w:val="20"/>
          <w:szCs w:val="20"/>
        </w:rPr>
        <w:t xml:space="preserve"> to evaluate whether certain relief provided by a lessor in response to the COVID-</w:t>
      </w:r>
      <w:r>
        <w:rPr>
          <w:rStyle w:val="a6"/>
          <w:sz w:val="20"/>
          <w:szCs w:val="20"/>
        </w:rPr>
        <w:t>19</w:t>
      </w:r>
      <w:r>
        <w:rPr>
          <w:sz w:val="20"/>
          <w:szCs w:val="20"/>
        </w:rPr>
        <w:t xml:space="preserve"> pandemic is a lease modification. An entity that makes this election can then elect to apply the modification guidance to</w:t>
      </w:r>
      <w:r>
        <w:rPr>
          <w:sz w:val="20"/>
          <w:szCs w:val="20"/>
        </w:rPr>
        <w:t xml:space="preserve"> that relief or account for the concession as if it were contemplated as part of the existing contract. This election is available for concessions related to the effects of the COVID-</w:t>
      </w:r>
      <w:r>
        <w:rPr>
          <w:rStyle w:val="a6"/>
          <w:sz w:val="20"/>
          <w:szCs w:val="20"/>
        </w:rPr>
        <w:t>19</w:t>
      </w:r>
      <w:r>
        <w:rPr>
          <w:sz w:val="20"/>
          <w:szCs w:val="20"/>
        </w:rPr>
        <w:t xml:space="preserve"> pandemic that do </w:t>
      </w:r>
      <w:r>
        <w:rPr>
          <w:rStyle w:val="a6"/>
          <w:sz w:val="20"/>
          <w:szCs w:val="20"/>
        </w:rPr>
        <w:t>not</w:t>
      </w:r>
      <w:r>
        <w:rPr>
          <w:sz w:val="20"/>
          <w:szCs w:val="20"/>
        </w:rPr>
        <w:t xml:space="preserve"> result in a substantial increase in the rights of</w:t>
      </w:r>
      <w:r>
        <w:rPr>
          <w:sz w:val="20"/>
          <w:szCs w:val="20"/>
        </w:rPr>
        <w:t xml:space="preserve"> the lessor or the obligations of the lessee. For example, this election is available for concessions that result in the total payments required by the modified contract being substantially the same as or less than total payments required by the original c</w:t>
      </w:r>
      <w:r>
        <w:rPr>
          <w:sz w:val="20"/>
          <w:szCs w:val="20"/>
        </w:rPr>
        <w:t>ontract.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589824212"/>
        <w:rPr>
          <w:rFonts w:eastAsia="Times New Roman"/>
          <w:sz w:val="20"/>
          <w:szCs w:val="20"/>
        </w:rPr>
      </w:pPr>
      <w:r>
        <w:rPr>
          <w:rStyle w:val="a6"/>
          <w:rFonts w:eastAsia="Times New Roman"/>
          <w:sz w:val="20"/>
          <w:szCs w:val="20"/>
        </w:rPr>
        <w:t>64</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099" style="width:415.3pt;height:1.5pt" o:hralign="center" o:hrstd="t" o:hrnoshade="t" o:hr="t" fillcolor="black" stroked="f"/>
        </w:pict>
      </w:r>
    </w:p>
    <w:p w:rsidR="00000000" w:rsidRDefault="004E30E9">
      <w:pPr>
        <w:divId w:val="1436054974"/>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Some concessions will provide a deferral of payments with </w:t>
      </w:r>
      <w:r>
        <w:rPr>
          <w:rStyle w:val="a6"/>
          <w:sz w:val="20"/>
          <w:szCs w:val="20"/>
        </w:rPr>
        <w:t>no</w:t>
      </w:r>
      <w:r>
        <w:rPr>
          <w:sz w:val="20"/>
          <w:szCs w:val="20"/>
        </w:rPr>
        <w:t xml:space="preserve"> substantive changes to the consideration in the original contra</w:t>
      </w:r>
      <w:r>
        <w:rPr>
          <w:sz w:val="20"/>
          <w:szCs w:val="20"/>
        </w:rPr>
        <w:t xml:space="preserve">ct. A deferral affects the timing of cash receipts, but the amount of the consideration is substantially the same as that required by the original contract. The FASB staff expects that there will be multiple ways to account for those deferrals, </w:t>
      </w:r>
      <w:r>
        <w:rPr>
          <w:rStyle w:val="a6"/>
          <w:sz w:val="20"/>
          <w:szCs w:val="20"/>
        </w:rPr>
        <w:t>none</w:t>
      </w:r>
      <w:r>
        <w:rPr>
          <w:sz w:val="20"/>
          <w:szCs w:val="20"/>
        </w:rPr>
        <w:t xml:space="preserve"> of whi</w:t>
      </w:r>
      <w:r>
        <w:rPr>
          <w:sz w:val="20"/>
          <w:szCs w:val="20"/>
        </w:rPr>
        <w:t>ch the FASB staff believes are preferable to the others. Two of those methods are:</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(i)</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Account for the concessions as if </w:t>
            </w:r>
            <w:r>
              <w:rPr>
                <w:rStyle w:val="a6"/>
                <w:sz w:val="20"/>
                <w:szCs w:val="20"/>
              </w:rPr>
              <w:t>no</w:t>
            </w:r>
            <w:r>
              <w:rPr>
                <w:sz w:val="20"/>
                <w:szCs w:val="20"/>
              </w:rPr>
              <w:t xml:space="preserve"> changes to the lease contract were made. Under that accounting, a lessor would increase its lease receivable and a lessee would </w:t>
            </w:r>
            <w:r>
              <w:rPr>
                <w:sz w:val="20"/>
                <w:szCs w:val="20"/>
              </w:rPr>
              <w:t>increase its accounts payable as receivables/payments accrue. In its income statement, a lessor would continue to recognize income and a lessee would continue to recognize expense during the deferral period.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(ii)</w:t>
            </w:r>
          </w:p>
        </w:tc>
        <w:tc>
          <w:tcPr>
            <w:tcW w:w="0" w:type="auto"/>
            <w:hideMark/>
          </w:tcPr>
          <w:p w:rsidR="00000000" w:rsidRDefault="004E30E9">
            <w:pPr>
              <w:pStyle w:val="a3"/>
              <w:spacing w:before="0" w:beforeAutospacing="0" w:after="0" w:afterAutospacing="0"/>
              <w:jc w:val="both"/>
              <w:rPr>
                <w:sz w:val="20"/>
                <w:szCs w:val="20"/>
              </w:rPr>
            </w:pPr>
            <w:r>
              <w:rPr>
                <w:sz w:val="20"/>
                <w:szCs w:val="20"/>
              </w:rPr>
              <w:t>Account for the deferred payments as variable lease payments.</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has elected to apply the modification relief as described in (i) above to the lease concessions it has entered into during the year ended </w:t>
      </w:r>
      <w:r>
        <w:rPr>
          <w:rStyle w:val="a6"/>
          <w:sz w:val="20"/>
          <w:szCs w:val="20"/>
        </w:rPr>
        <w:t xml:space="preserve">December 31, 2020, </w:t>
      </w:r>
      <w:r>
        <w:rPr>
          <w:sz w:val="20"/>
          <w:szCs w:val="20"/>
        </w:rPr>
        <w:t>related to the COVID-</w:t>
      </w:r>
      <w:r>
        <w:rPr>
          <w:rStyle w:val="a6"/>
          <w:sz w:val="20"/>
          <w:szCs w:val="20"/>
        </w:rPr>
        <w:t>1</w:t>
      </w:r>
      <w:r>
        <w:rPr>
          <w:rStyle w:val="a6"/>
          <w:sz w:val="20"/>
          <w:szCs w:val="20"/>
        </w:rPr>
        <w:t>9</w:t>
      </w:r>
      <w:r>
        <w:rPr>
          <w:sz w:val="20"/>
          <w:szCs w:val="20"/>
        </w:rPr>
        <w:t xml:space="preserve"> pandemic as a lessor related to rental income recognized.</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Lessee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Company’s leases where it is the lessee primarily consist of ground leases and administrative office leases. ROU assets represent the Company’s right to use an underlying asset for </w:t>
      </w:r>
      <w:r>
        <w:rPr>
          <w:sz w:val="20"/>
          <w:szCs w:val="20"/>
        </w:rPr>
        <w:t>the lease term and lease liabilities represent the Company’s obligation to make lease payments arising from the lease. ROU assets and lease liabilities are recognized at the commencement date of the lease and are based on the present value of lease payment</w:t>
      </w:r>
      <w:r>
        <w:rPr>
          <w:sz w:val="20"/>
          <w:szCs w:val="20"/>
        </w:rPr>
        <w:t xml:space="preserve">s over the lease term. The Company utilized an incremental borrowing rate based on the information available at adoption of Topic </w:t>
      </w:r>
      <w:r>
        <w:rPr>
          <w:rStyle w:val="a6"/>
          <w:sz w:val="20"/>
          <w:szCs w:val="20"/>
        </w:rPr>
        <w:t>842</w:t>
      </w:r>
      <w:r>
        <w:rPr>
          <w:sz w:val="20"/>
          <w:szCs w:val="20"/>
        </w:rPr>
        <w:t xml:space="preserve"> in determining the present value of lease payments since these leases do </w:t>
      </w:r>
      <w:r>
        <w:rPr>
          <w:rStyle w:val="a6"/>
          <w:sz w:val="20"/>
          <w:szCs w:val="20"/>
        </w:rPr>
        <w:t>not</w:t>
      </w:r>
      <w:r>
        <w:rPr>
          <w:sz w:val="20"/>
          <w:szCs w:val="20"/>
        </w:rPr>
        <w:t xml:space="preserve"> provide an implicit rate. Variable lease paym</w:t>
      </w:r>
      <w:r>
        <w:rPr>
          <w:sz w:val="20"/>
          <w:szCs w:val="20"/>
        </w:rPr>
        <w:t xml:space="preserve">ents are excluded from the lease liabilities and corresponding ROU assets, as they are recognized in the period in which the obligation for those payments is incurred. Many of the Company’s lessee agreements include options to extend the lease, which were </w:t>
      </w:r>
      <w:r>
        <w:rPr>
          <w:rStyle w:val="a6"/>
          <w:sz w:val="20"/>
          <w:szCs w:val="20"/>
        </w:rPr>
        <w:t>not</w:t>
      </w:r>
      <w:r>
        <w:rPr>
          <w:sz w:val="20"/>
          <w:szCs w:val="20"/>
        </w:rPr>
        <w:t xml:space="preserve"> included in the Company’s minimum lease terms unless reasonably certain to be exercised. Rental expense for lease payments related to operating leases is recognized on a straight-line basis over the lease term. See Note </w:t>
      </w:r>
      <w:r>
        <w:rPr>
          <w:rStyle w:val="a6"/>
          <w:sz w:val="20"/>
          <w:szCs w:val="20"/>
        </w:rPr>
        <w:t>11</w:t>
      </w:r>
      <w:r>
        <w:rPr>
          <w:sz w:val="20"/>
          <w:szCs w:val="20"/>
        </w:rPr>
        <w:t xml:space="preserve"> to the Company’</w:t>
      </w:r>
      <w:r>
        <w:rPr>
          <w:sz w:val="20"/>
          <w:szCs w:val="20"/>
        </w:rPr>
        <w:t>s Consolidated Financial Statements for further details.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u w:val="single"/>
        </w:rPr>
        <w:t>Income Taxes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elected to qualify as a REIT for federal income tax purposes commencing with its taxable year </w:t>
      </w:r>
      <w:r>
        <w:rPr>
          <w:rStyle w:val="a6"/>
          <w:sz w:val="20"/>
          <w:szCs w:val="20"/>
        </w:rPr>
        <w:t xml:space="preserve">January 1, 1992 </w:t>
      </w:r>
      <w:r>
        <w:rPr>
          <w:sz w:val="20"/>
          <w:szCs w:val="20"/>
        </w:rPr>
        <w:t>and operates in a manner that enables the Company to qualify</w:t>
      </w:r>
      <w:r>
        <w:rPr>
          <w:sz w:val="20"/>
          <w:szCs w:val="20"/>
        </w:rPr>
        <w:t xml:space="preserve"> and maintain its status as a REIT. Accordingly, the Company generally will </w:t>
      </w:r>
      <w:r>
        <w:rPr>
          <w:rStyle w:val="a6"/>
          <w:sz w:val="20"/>
          <w:szCs w:val="20"/>
        </w:rPr>
        <w:t>not</w:t>
      </w:r>
      <w:r>
        <w:rPr>
          <w:sz w:val="20"/>
          <w:szCs w:val="20"/>
        </w:rPr>
        <w:t xml:space="preserve"> be subject to federal income tax, provided that distributions to its stockholders equal at least the amount of its REIT taxable income as defined under Section </w:t>
      </w:r>
      <w:r>
        <w:rPr>
          <w:rStyle w:val="a6"/>
          <w:sz w:val="20"/>
          <w:szCs w:val="20"/>
        </w:rPr>
        <w:t>856</w:t>
      </w:r>
      <w:r>
        <w:rPr>
          <w:sz w:val="20"/>
          <w:szCs w:val="20"/>
        </w:rPr>
        <w:t xml:space="preserve"> through </w:t>
      </w:r>
      <w:r>
        <w:rPr>
          <w:rStyle w:val="a6"/>
          <w:sz w:val="20"/>
          <w:szCs w:val="20"/>
        </w:rPr>
        <w:t>860</w:t>
      </w:r>
      <w:r>
        <w:rPr>
          <w:sz w:val="20"/>
          <w:szCs w:val="20"/>
        </w:rPr>
        <w:t xml:space="preserve"> </w:t>
      </w:r>
      <w:r>
        <w:rPr>
          <w:sz w:val="20"/>
          <w:szCs w:val="20"/>
        </w:rPr>
        <w:t>of the Code. Most states, in which the Company holds investments in real estate, conform to the federal rules recognizing REITs.  </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maintains certain subsidiaries which made joint elections with the Company to be treated as taxable REIT subsid</w:t>
      </w:r>
      <w:r>
        <w:rPr>
          <w:sz w:val="20"/>
          <w:szCs w:val="20"/>
        </w:rPr>
        <w:t xml:space="preserve">iaries (“TRSs”), which permit the Company to engage through such TRSs in certain business activities that the REIT </w:t>
      </w:r>
      <w:r>
        <w:rPr>
          <w:rStyle w:val="a6"/>
          <w:sz w:val="20"/>
          <w:szCs w:val="20"/>
        </w:rPr>
        <w:t>may not</w:t>
      </w:r>
      <w:r>
        <w:rPr>
          <w:sz w:val="20"/>
          <w:szCs w:val="20"/>
        </w:rPr>
        <w:t xml:space="preserve"> conduct directly. A TRS is subject to federal and state income taxes on its income, and the Company includes a provision for taxes in</w:t>
      </w:r>
      <w:r>
        <w:rPr>
          <w:sz w:val="20"/>
          <w:szCs w:val="20"/>
        </w:rPr>
        <w:t xml:space="preserve"> its consolidated financial statements.  As such, the Company, through its wholly owned TRSs, has been engaged in various retail real estate related opportunities including retail real estate management and disposition services which primarily focuses on l</w:t>
      </w:r>
      <w:r>
        <w:rPr>
          <w:sz w:val="20"/>
          <w:szCs w:val="20"/>
        </w:rPr>
        <w:t xml:space="preserve">easing and disposition strategies of retail real estate controlled by both healthy and distressed and/or bankrupt retailers. The Company </w:t>
      </w:r>
      <w:r>
        <w:rPr>
          <w:rStyle w:val="a6"/>
          <w:sz w:val="20"/>
          <w:szCs w:val="20"/>
        </w:rPr>
        <w:t xml:space="preserve">may </w:t>
      </w:r>
      <w:r>
        <w:rPr>
          <w:sz w:val="20"/>
          <w:szCs w:val="20"/>
        </w:rPr>
        <w:t>consider other investments through its TRSs should suitable opportunities arise. The Company is subject to and also</w:t>
      </w:r>
      <w:r>
        <w:rPr>
          <w:sz w:val="20"/>
          <w:szCs w:val="20"/>
        </w:rPr>
        <w:t xml:space="preserve"> includes in its tax provision non-U.S. income taxes on certain investments located in jurisdictions outside the U.S. These investments are held by the Company at the REIT level and </w:t>
      </w:r>
      <w:r>
        <w:rPr>
          <w:rStyle w:val="a6"/>
          <w:sz w:val="20"/>
          <w:szCs w:val="20"/>
        </w:rPr>
        <w:t>not</w:t>
      </w:r>
      <w:r>
        <w:rPr>
          <w:sz w:val="20"/>
          <w:szCs w:val="20"/>
        </w:rPr>
        <w:t xml:space="preserve"> in the Company’s TRSs. Accordingly, the Company does </w:t>
      </w:r>
      <w:r>
        <w:rPr>
          <w:rStyle w:val="a6"/>
          <w:sz w:val="20"/>
          <w:szCs w:val="20"/>
        </w:rPr>
        <w:t>not</w:t>
      </w:r>
      <w:r>
        <w:rPr>
          <w:sz w:val="20"/>
          <w:szCs w:val="20"/>
        </w:rPr>
        <w:t xml:space="preserve"> expect a U.S.</w:t>
      </w:r>
      <w:r>
        <w:rPr>
          <w:sz w:val="20"/>
          <w:szCs w:val="20"/>
        </w:rPr>
        <w:t xml:space="preserve"> income tax impact associated with the repatriation of undistributed earnings from the Company’s foreign subsidiaries.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865675455"/>
        <w:rPr>
          <w:rFonts w:eastAsia="Times New Roman"/>
          <w:sz w:val="20"/>
          <w:szCs w:val="20"/>
        </w:rPr>
      </w:pPr>
      <w:r>
        <w:rPr>
          <w:rStyle w:val="a6"/>
          <w:rFonts w:eastAsia="Times New Roman"/>
          <w:sz w:val="20"/>
          <w:szCs w:val="20"/>
        </w:rPr>
        <w:t>65</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00" style="width:415.3pt;height:1.5pt" o:hralign="center" o:hrstd="t" o:hrnoshade="t" o:hr="t" fillcolor="black" stroked="f"/>
        </w:pict>
      </w:r>
    </w:p>
    <w:p w:rsidR="00000000" w:rsidRDefault="004E30E9">
      <w:pPr>
        <w:divId w:val="744451510"/>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Income taxes are accounted for under the asset and liability method. Deferred tax assets and liabilities are recognized for the estimated future tax consequences attributable to differences between th</w:t>
      </w:r>
      <w:r>
        <w:rPr>
          <w:sz w:val="20"/>
          <w:szCs w:val="20"/>
        </w:rPr>
        <w:t>e financial statement carrying amounts of existing assets and liabilities and their respective tax bases and operating loss and tax credit carryforwards. Deferred tax assets and liabilities are measured using enacted tax rates in effect for the year in whi</w:t>
      </w:r>
      <w:r>
        <w:rPr>
          <w:sz w:val="20"/>
          <w:szCs w:val="20"/>
        </w:rPr>
        <w:t xml:space="preserve">ch those temporary differences are expected to be recovered or settled. The Company provides a valuation allowance for deferred tax assets for which it does </w:t>
      </w:r>
      <w:r>
        <w:rPr>
          <w:rStyle w:val="a6"/>
          <w:sz w:val="20"/>
          <w:szCs w:val="20"/>
        </w:rPr>
        <w:t>not</w:t>
      </w:r>
      <w:r>
        <w:rPr>
          <w:sz w:val="20"/>
          <w:szCs w:val="20"/>
        </w:rPr>
        <w:t xml:space="preserve"> consider realization of such assets to be more likely than </w:t>
      </w:r>
      <w:r>
        <w:rPr>
          <w:rStyle w:val="a6"/>
          <w:sz w:val="20"/>
          <w:szCs w:val="20"/>
        </w:rPr>
        <w:t>not.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reviews the need </w:t>
      </w:r>
      <w:r>
        <w:rPr>
          <w:sz w:val="20"/>
          <w:szCs w:val="20"/>
        </w:rPr>
        <w:t>to establish a valuation allowance against deferred tax assets on a quarterly basis. The review includes an analysis of various factors, such as future reversals of existing taxable temporary differences, the capacity for the carryback or carryforward of a</w:t>
      </w:r>
      <w:r>
        <w:rPr>
          <w:sz w:val="20"/>
          <w:szCs w:val="20"/>
        </w:rPr>
        <w:t>ny losses, the expected occurrence of future income or loss and available tax planning strategies.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applies the FASB’s guidance relating to uncertainty in income taxes recognized in a Company’s financial statements. Under this guidance the Com</w:t>
      </w:r>
      <w:r>
        <w:rPr>
          <w:sz w:val="20"/>
          <w:szCs w:val="20"/>
        </w:rPr>
        <w:t xml:space="preserve">pany </w:t>
      </w:r>
      <w:r>
        <w:rPr>
          <w:rStyle w:val="a6"/>
          <w:sz w:val="20"/>
          <w:szCs w:val="20"/>
        </w:rPr>
        <w:t xml:space="preserve">may </w:t>
      </w:r>
      <w:r>
        <w:rPr>
          <w:sz w:val="20"/>
          <w:szCs w:val="20"/>
        </w:rPr>
        <w:t xml:space="preserve">recognize the tax benefit from an uncertain tax position only if it is more likely than </w:t>
      </w:r>
      <w:r>
        <w:rPr>
          <w:rStyle w:val="a6"/>
          <w:sz w:val="20"/>
          <w:szCs w:val="20"/>
        </w:rPr>
        <w:t>not</w:t>
      </w:r>
      <w:r>
        <w:rPr>
          <w:sz w:val="20"/>
          <w:szCs w:val="20"/>
        </w:rPr>
        <w:t xml:space="preserve"> that the tax position will be sustained on examination by taxing authorities, based on the technical merits of the position. The tax benefits recognized in</w:t>
      </w:r>
      <w:r>
        <w:rPr>
          <w:sz w:val="20"/>
          <w:szCs w:val="20"/>
        </w:rPr>
        <w:t xml:space="preserve"> the financial statements from such a position are measured based on the largest benefit that has a greater than </w:t>
      </w:r>
      <w:r>
        <w:rPr>
          <w:rStyle w:val="a6"/>
          <w:sz w:val="20"/>
          <w:szCs w:val="20"/>
        </w:rPr>
        <w:t>fifty</w:t>
      </w:r>
      <w:r>
        <w:rPr>
          <w:sz w:val="20"/>
          <w:szCs w:val="20"/>
        </w:rPr>
        <w:t xml:space="preserve"> percent likelihood of being realized upon ultimate settlement. The guidance on accounting for uncertainty in income taxes also provides g</w:t>
      </w:r>
      <w:r>
        <w:rPr>
          <w:sz w:val="20"/>
          <w:szCs w:val="20"/>
        </w:rPr>
        <w:t>uidance on de-recognition, classification, interest and penalties on income taxes, and accounting in interim periods.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u w:val="single"/>
        </w:rPr>
        <w:t>Noncontrolling Interests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accounts for noncontrolling interests in accordance with the Consolidation guidance and the Disti</w:t>
      </w:r>
      <w:r>
        <w:rPr>
          <w:sz w:val="20"/>
          <w:szCs w:val="20"/>
        </w:rPr>
        <w:t xml:space="preserve">nguishing Liabilities from Equity guidance issued by the FASB. Noncontrolling interests represent the portion of equity that the Company does </w:t>
      </w:r>
      <w:r>
        <w:rPr>
          <w:rStyle w:val="a6"/>
          <w:sz w:val="20"/>
          <w:szCs w:val="20"/>
        </w:rPr>
        <w:t>not</w:t>
      </w:r>
      <w:r>
        <w:rPr>
          <w:sz w:val="20"/>
          <w:szCs w:val="20"/>
        </w:rPr>
        <w:t xml:space="preserve"> own in those entities it consolidates. The Company identifies its noncontrolling interests separately within t</w:t>
      </w:r>
      <w:r>
        <w:rPr>
          <w:sz w:val="20"/>
          <w:szCs w:val="20"/>
        </w:rPr>
        <w:t>he equity section on the Company’s Consolidated Balance Sheets. The amounts of consolidated net earnings attributable to the Company and to the noncontrolling interests are presented separately on the Company’s Consolidated Statements of Income. </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Noncont</w:t>
      </w:r>
      <w:r>
        <w:rPr>
          <w:sz w:val="20"/>
          <w:szCs w:val="20"/>
        </w:rPr>
        <w:t>rolling interests also include amounts related to partnership units issued by consolidated subsidiaries of the Company in connection with certain property acquisitions. These units have a stated redemption value or a defined redemption amount based upon th</w:t>
      </w:r>
      <w:r>
        <w:rPr>
          <w:sz w:val="20"/>
          <w:szCs w:val="20"/>
        </w:rPr>
        <w:t xml:space="preserve">e trading price of the Company’s common stock and provides the unit holders various rates of return during the holding period. The unit holders generally have the right to redeem their units for cash at any time after </w:t>
      </w:r>
      <w:r>
        <w:rPr>
          <w:rStyle w:val="a6"/>
          <w:sz w:val="20"/>
          <w:szCs w:val="20"/>
        </w:rPr>
        <w:t>one</w:t>
      </w:r>
      <w:r>
        <w:rPr>
          <w:sz w:val="20"/>
          <w:szCs w:val="20"/>
        </w:rPr>
        <w:t xml:space="preserve"> year from issuance. For convertibl</w:t>
      </w:r>
      <w:r>
        <w:rPr>
          <w:sz w:val="20"/>
          <w:szCs w:val="20"/>
        </w:rPr>
        <w:t>e units, the Company typically has the option to settle redemption amounts in cash or common stock.</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evaluates the terms of the partnership units issued in accordance with the FASB’s Distinguishing Liabilities from Equity guidance. Convertible</w:t>
      </w:r>
      <w:r>
        <w:rPr>
          <w:sz w:val="20"/>
          <w:szCs w:val="20"/>
        </w:rPr>
        <w:t xml:space="preserve"> units for which the Company has the option to settle redemption amounts in cash or common stock are included in the caption Noncontrolling interests within the equity section on the Company’s Consolidated Balance Sheets. Units which embody a conditional o</w:t>
      </w:r>
      <w:r>
        <w:rPr>
          <w:sz w:val="20"/>
          <w:szCs w:val="20"/>
        </w:rPr>
        <w:t xml:space="preserve">bligation requiring the Company to redeem the units for cash after a specified or determinable date (or dates) or upon the occurrence of an event that is </w:t>
      </w:r>
      <w:r>
        <w:rPr>
          <w:rStyle w:val="a6"/>
          <w:sz w:val="20"/>
          <w:szCs w:val="20"/>
        </w:rPr>
        <w:t>not</w:t>
      </w:r>
      <w:r>
        <w:rPr>
          <w:sz w:val="20"/>
          <w:szCs w:val="20"/>
        </w:rPr>
        <w:t xml:space="preserve"> solely within the control of the issuer are determined to be contingently redeemable under this gu</w:t>
      </w:r>
      <w:r>
        <w:rPr>
          <w:sz w:val="20"/>
          <w:szCs w:val="20"/>
        </w:rPr>
        <w:t>idance and are included as Redeemable noncontrolling interests and classified within the mezzanine section between Total liabilities and Stockholders’ equity on the Company’s Consolidated Balance Sheets.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Contingently redeemable noncontrolling interests a</w:t>
      </w:r>
      <w:r>
        <w:rPr>
          <w:sz w:val="20"/>
          <w:szCs w:val="20"/>
        </w:rPr>
        <w:t>re recorded at fair value upon issuance. Any change in the fair value or redemption value of these noncontrolling interests is subsequently recognized through Paid-in capital on the Company’s Consolidated Balance Sheets and is included in the Company’s com</w:t>
      </w:r>
      <w:r>
        <w:rPr>
          <w:sz w:val="20"/>
          <w:szCs w:val="20"/>
        </w:rPr>
        <w:t xml:space="preserve">putation of earnings per share (see Footnote </w:t>
      </w:r>
      <w:r>
        <w:rPr>
          <w:rStyle w:val="a6"/>
          <w:sz w:val="20"/>
          <w:szCs w:val="20"/>
        </w:rPr>
        <w:t>23</w:t>
      </w:r>
      <w:r>
        <w:rPr>
          <w:sz w:val="20"/>
          <w:szCs w:val="20"/>
        </w:rPr>
        <w:t xml:space="preserve"> of the Notes to the Consolidated Financial Statements).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u w:val="single"/>
        </w:rPr>
        <w:t>Stock Compensation</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May 2020, </w:t>
      </w:r>
      <w:r>
        <w:rPr>
          <w:sz w:val="20"/>
          <w:szCs w:val="20"/>
        </w:rPr>
        <w:t xml:space="preserve">the Company’s stockholders approved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w:t>
      </w:r>
      <w:r>
        <w:rPr>
          <w:sz w:val="20"/>
          <w:szCs w:val="20"/>
        </w:rPr>
        <w:t xml:space="preserve">Plan"), which is a successor to the Restated Kimco Realty Corporation </w:t>
      </w:r>
      <w:r>
        <w:rPr>
          <w:rStyle w:val="a6"/>
          <w:sz w:val="20"/>
          <w:szCs w:val="20"/>
        </w:rPr>
        <w:t>2010</w:t>
      </w:r>
      <w:r>
        <w:rPr>
          <w:sz w:val="20"/>
          <w:szCs w:val="20"/>
        </w:rPr>
        <w:t xml:space="preserve"> Equity Participation Plan that expired in </w:t>
      </w:r>
      <w:r>
        <w:rPr>
          <w:rStyle w:val="a6"/>
          <w:sz w:val="20"/>
          <w:szCs w:val="20"/>
        </w:rPr>
        <w:t xml:space="preserve">March 2020. </w:t>
      </w:r>
      <w:r>
        <w:rPr>
          <w:sz w:val="20"/>
          <w:szCs w:val="20"/>
        </w:rPr>
        <w:t xml:space="preserve">The </w:t>
      </w:r>
      <w:r>
        <w:rPr>
          <w:rStyle w:val="a6"/>
          <w:sz w:val="20"/>
          <w:szCs w:val="20"/>
        </w:rPr>
        <w:t>2020</w:t>
      </w:r>
      <w:r>
        <w:rPr>
          <w:sz w:val="20"/>
          <w:szCs w:val="20"/>
        </w:rPr>
        <w:t xml:space="preserve"> Plan provides for a maximum of 10,000,000 shares of the Company’s common stock to be reserved for the issuance of stoc</w:t>
      </w:r>
      <w:r>
        <w:rPr>
          <w:sz w:val="20"/>
          <w:szCs w:val="20"/>
        </w:rPr>
        <w:t>k options, stock appreciation rights, restricted stock units, performance awards, dividend equivalents, stock payments and deferred stock awards. Unless otherwise determined by the Board of Directors at its sole discretion, restricted stock grants generall</w:t>
      </w:r>
      <w:r>
        <w:rPr>
          <w:sz w:val="20"/>
          <w:szCs w:val="20"/>
        </w:rPr>
        <w:t xml:space="preserve">y vest (i) 100% on the </w:t>
      </w:r>
      <w:r>
        <w:rPr>
          <w:rStyle w:val="a6"/>
          <w:sz w:val="20"/>
          <w:szCs w:val="20"/>
        </w:rPr>
        <w:t>fourth</w:t>
      </w:r>
      <w:r>
        <w:rPr>
          <w:sz w:val="20"/>
          <w:szCs w:val="20"/>
        </w:rPr>
        <w:t xml:space="preserve"> or </w:t>
      </w:r>
      <w:r>
        <w:rPr>
          <w:rStyle w:val="a6"/>
          <w:sz w:val="20"/>
          <w:szCs w:val="20"/>
        </w:rPr>
        <w:t>fifth</w:t>
      </w:r>
      <w:r>
        <w:rPr>
          <w:sz w:val="20"/>
          <w:szCs w:val="20"/>
        </w:rPr>
        <w:t xml:space="preserve"> anniversary of the grant, (ii) ratably over three,</w:t>
      </w:r>
      <w:r>
        <w:rPr>
          <w:sz w:val="20"/>
          <w:szCs w:val="20"/>
        </w:rPr>
        <w:t xml:space="preserve"> </w:t>
      </w:r>
      <w:r>
        <w:rPr>
          <w:sz w:val="20"/>
          <w:szCs w:val="20"/>
        </w:rPr>
        <w:t>fou</w:t>
      </w:r>
      <w:r>
        <w:rPr>
          <w:sz w:val="20"/>
          <w:szCs w:val="20"/>
        </w:rPr>
        <w:t>r</w:t>
      </w:r>
      <w:r>
        <w:rPr>
          <w:sz w:val="20"/>
          <w:szCs w:val="20"/>
        </w:rPr>
        <w:t xml:space="preserve"> and</w:t>
      </w:r>
      <w:r>
        <w:rPr>
          <w:sz w:val="20"/>
          <w:szCs w:val="20"/>
        </w:rPr>
        <w:t xml:space="preserve"> </w:t>
      </w:r>
      <w:r>
        <w:rPr>
          <w:sz w:val="20"/>
          <w:szCs w:val="20"/>
        </w:rPr>
        <w:t>fiv</w:t>
      </w:r>
      <w:r>
        <w:rPr>
          <w:sz w:val="20"/>
          <w:szCs w:val="20"/>
        </w:rPr>
        <w:t>e</w:t>
      </w:r>
      <w:r>
        <w:rPr>
          <w:sz w:val="20"/>
          <w:szCs w:val="20"/>
        </w:rPr>
        <w:t xml:space="preserve"> years or (iii) over</w:t>
      </w:r>
      <w:r>
        <w:rPr>
          <w:sz w:val="20"/>
          <w:szCs w:val="20"/>
        </w:rPr>
        <w:t xml:space="preserve"> </w:t>
      </w:r>
      <w:r>
        <w:rPr>
          <w:sz w:val="20"/>
          <w:szCs w:val="20"/>
        </w:rPr>
        <w:t>te</w:t>
      </w:r>
      <w:r>
        <w:rPr>
          <w:sz w:val="20"/>
          <w:szCs w:val="20"/>
        </w:rPr>
        <w:t>n</w:t>
      </w:r>
      <w:r>
        <w:rPr>
          <w:sz w:val="20"/>
          <w:szCs w:val="20"/>
        </w:rPr>
        <w:t xml:space="preserve"> years at 20% per year commencing after the </w:t>
      </w:r>
      <w:r>
        <w:rPr>
          <w:rStyle w:val="a6"/>
          <w:sz w:val="20"/>
          <w:szCs w:val="20"/>
        </w:rPr>
        <w:t>fifth</w:t>
      </w:r>
      <w:r>
        <w:rPr>
          <w:sz w:val="20"/>
          <w:szCs w:val="20"/>
        </w:rPr>
        <w:t xml:space="preserve"> year. Performance share awards, which vest over a period of</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thre</w:t>
      </w:r>
      <w:r>
        <w:rPr>
          <w:sz w:val="20"/>
          <w:szCs w:val="20"/>
        </w:rPr>
        <w:t>e</w:t>
      </w:r>
      <w:r>
        <w:rPr>
          <w:sz w:val="20"/>
          <w:szCs w:val="20"/>
        </w:rPr>
        <w:t xml:space="preserve"> years,</w:t>
      </w:r>
      <w:r>
        <w:rPr>
          <w:sz w:val="20"/>
          <w:szCs w:val="20"/>
        </w:rPr>
        <w:t xml:space="preserve"> </w:t>
      </w:r>
      <w:r>
        <w:rPr>
          <w:rStyle w:val="a6"/>
          <w:sz w:val="20"/>
          <w:szCs w:val="20"/>
        </w:rPr>
        <w:t xml:space="preserve">may </w:t>
      </w:r>
      <w:r>
        <w:rPr>
          <w:sz w:val="20"/>
          <w:szCs w:val="20"/>
        </w:rPr>
        <w:t xml:space="preserve">provide a right to receive shares of the Company’s common stock or restricted stock based on the Company’s performance relative to its peers, as defined, or based on other performance criteria as determined by the Board of Directors. In addition, the </w:t>
      </w:r>
      <w:r>
        <w:rPr>
          <w:rStyle w:val="a6"/>
          <w:sz w:val="20"/>
          <w:szCs w:val="20"/>
        </w:rPr>
        <w:t>2020</w:t>
      </w:r>
      <w:r>
        <w:rPr>
          <w:sz w:val="20"/>
          <w:szCs w:val="20"/>
        </w:rPr>
        <w:t xml:space="preserve"> Plan provides for the granting of restricted stock to each of the Company’s non-employee directors (the “Independent Directors”) and permits such Independent Directors to elect to receive deferred stock awards in lieu of directors’ fees.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358360369"/>
        <w:rPr>
          <w:rFonts w:eastAsia="Times New Roman"/>
          <w:sz w:val="20"/>
          <w:szCs w:val="20"/>
        </w:rPr>
      </w:pPr>
      <w:r>
        <w:rPr>
          <w:rStyle w:val="a6"/>
          <w:rFonts w:eastAsia="Times New Roman"/>
          <w:sz w:val="20"/>
          <w:szCs w:val="20"/>
        </w:rPr>
        <w:t>66</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01" style="width:415.3pt;height:1.5pt" o:hralign="center" o:hrstd="t" o:hrnoshade="t" o:hr="t" fillcolor="black" stroked="f"/>
        </w:pict>
      </w:r>
    </w:p>
    <w:p w:rsidR="00000000" w:rsidRDefault="004E30E9">
      <w:pPr>
        <w:divId w:val="1713381211"/>
        <w:rPr>
          <w:rFonts w:eastAsia="Times New Roman"/>
          <w:sz w:val="20"/>
          <w:szCs w:val="20"/>
        </w:rPr>
      </w:pPr>
      <w:r>
        <w:rPr>
          <w:rFonts w:eastAsia="Times New Roman"/>
          <w:sz w:val="20"/>
          <w:szCs w:val="20"/>
        </w:rPr>
        <w:pict>
          <v:rect id="_x0000_i1102" style="width:415.3pt;height:1.5pt" o:hralign="center" o:hrstd="t" o:hrnoshade="t" o:hr="t" fillcolor="black" stroked="f"/>
        </w:pict>
      </w:r>
    </w:p>
    <w:p w:rsidR="00000000" w:rsidRDefault="004E30E9">
      <w:pPr>
        <w:divId w:val="129383182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w:t>
      </w:r>
      <w:r>
        <w:rPr>
          <w:sz w:val="20"/>
          <w:szCs w:val="20"/>
        </w:rPr>
        <w:t>he Company accounts for equity awards in accordance with the FASB’s Stock Compensation guidance which requires that all share-based payments to employees be recognized in the Statements of Income over the service period based on their fair values. Fair val</w:t>
      </w:r>
      <w:r>
        <w:rPr>
          <w:sz w:val="20"/>
          <w:szCs w:val="20"/>
        </w:rPr>
        <w:t xml:space="preserve">ue of performance awards is determined using the Monte Carlo method, which is intended to estimate the fair value of the awards at the grant date (see Footnote </w:t>
      </w:r>
      <w:r>
        <w:rPr>
          <w:rStyle w:val="a6"/>
          <w:sz w:val="20"/>
          <w:szCs w:val="20"/>
        </w:rPr>
        <w:t>21</w:t>
      </w:r>
      <w:r>
        <w:rPr>
          <w:sz w:val="20"/>
          <w:szCs w:val="20"/>
        </w:rPr>
        <w:t xml:space="preserve"> of the Notes to Consolidated Financial Statements for additional disclosure on the assumption</w:t>
      </w:r>
      <w:r>
        <w:rPr>
          <w:sz w:val="20"/>
          <w:szCs w:val="20"/>
        </w:rPr>
        <w:t>s and methodology).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u w:val="single"/>
        </w:rPr>
        <w:t>Reclassifications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Certain amounts in the prior periods have been reclassified in order to conform to the current period’s presentation. For comparative purposes, the Company reclassified (i) $9.4 million of marketable securities fro</w:t>
      </w:r>
      <w:r>
        <w:rPr>
          <w:sz w:val="20"/>
          <w:szCs w:val="20"/>
        </w:rPr>
        <w:t xml:space="preserve">m Other assets to Marketable securities on the Company’s Consolidated Balance Sheets at </w:t>
      </w:r>
      <w:r>
        <w:rPr>
          <w:rStyle w:val="a6"/>
          <w:sz w:val="20"/>
          <w:szCs w:val="20"/>
        </w:rPr>
        <w:t xml:space="preserve">December 31, 2019 </w:t>
      </w:r>
      <w:r>
        <w:rPr>
          <w:sz w:val="20"/>
          <w:szCs w:val="20"/>
        </w:rPr>
        <w:t>and (ii) $0.8 million of gain on marketable securities, net and $3.5 million of loss on marketable securities, net from Other income, net to Gain/(los</w:t>
      </w:r>
      <w:r>
        <w:rPr>
          <w:sz w:val="20"/>
          <w:szCs w:val="20"/>
        </w:rPr>
        <w:t xml:space="preserve">s) on marketable securities, net on the Company’s Consolidated Statements of Income for the years ended </w:t>
      </w:r>
      <w:r>
        <w:rPr>
          <w:rStyle w:val="a6"/>
          <w:sz w:val="20"/>
          <w:szCs w:val="20"/>
        </w:rPr>
        <w:t xml:space="preserve">December 31, 2019 </w:t>
      </w:r>
      <w:r>
        <w:rPr>
          <w:sz w:val="20"/>
          <w:szCs w:val="20"/>
        </w:rPr>
        <w:t xml:space="preserve">and </w:t>
      </w:r>
      <w:r>
        <w:rPr>
          <w:rStyle w:val="a6"/>
          <w:sz w:val="20"/>
          <w:szCs w:val="20"/>
        </w:rPr>
        <w:t>2018,</w:t>
      </w:r>
      <w:r>
        <w:rPr>
          <w:sz w:val="20"/>
          <w:szCs w:val="20"/>
        </w:rPr>
        <w:t xml:space="preserve"> respectively.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u w:val="single"/>
        </w:rPr>
        <w:t>New Accounting Pronouncements</w:t>
      </w:r>
    </w:p>
    <w:p w:rsidR="00000000" w:rsidRDefault="004E30E9">
      <w:pPr>
        <w:pStyle w:val="a3"/>
        <w:spacing w:before="0" w:beforeAutospacing="0" w:after="0" w:afterAutospacing="0"/>
        <w:rPr>
          <w:sz w:val="20"/>
          <w:szCs w:val="20"/>
        </w:rPr>
      </w:pPr>
      <w:r>
        <w:rPr>
          <w:i/>
          <w:iCs/>
          <w:sz w:val="20"/>
          <w:szCs w:val="20"/>
        </w:rPr>
        <w:t> </w:t>
      </w:r>
    </w:p>
    <w:p w:rsidR="00000000" w:rsidRDefault="004E30E9">
      <w:pPr>
        <w:pStyle w:val="a3"/>
        <w:spacing w:before="0" w:beforeAutospacing="0" w:after="0" w:afterAutospacing="0"/>
        <w:jc w:val="both"/>
        <w:rPr>
          <w:sz w:val="20"/>
          <w:szCs w:val="20"/>
        </w:rPr>
      </w:pPr>
      <w:r>
        <w:rPr>
          <w:sz w:val="20"/>
          <w:szCs w:val="20"/>
        </w:rPr>
        <w:t xml:space="preserve">       The following table represents ASUs to the FASB’s ASCs that, as of </w:t>
      </w:r>
      <w:r>
        <w:rPr>
          <w:rStyle w:val="a6"/>
          <w:sz w:val="20"/>
          <w:szCs w:val="20"/>
        </w:rPr>
        <w:t>De</w:t>
      </w:r>
      <w:r>
        <w:rPr>
          <w:rStyle w:val="a6"/>
          <w:sz w:val="20"/>
          <w:szCs w:val="20"/>
        </w:rPr>
        <w:t xml:space="preserve">cember 31, 2020, </w:t>
      </w:r>
      <w:r>
        <w:rPr>
          <w:sz w:val="20"/>
          <w:szCs w:val="20"/>
        </w:rPr>
        <w:t xml:space="preserve">are </w:t>
      </w:r>
      <w:r>
        <w:rPr>
          <w:rStyle w:val="a6"/>
          <w:sz w:val="20"/>
          <w:szCs w:val="20"/>
        </w:rPr>
        <w:t>not</w:t>
      </w:r>
      <w:r>
        <w:rPr>
          <w:sz w:val="20"/>
          <w:szCs w:val="20"/>
        </w:rPr>
        <w:t xml:space="preserve"> yet effective for the Company and for which the Company has </w:t>
      </w:r>
      <w:r>
        <w:rPr>
          <w:rStyle w:val="a6"/>
          <w:sz w:val="20"/>
          <w:szCs w:val="20"/>
        </w:rPr>
        <w:t>not</w:t>
      </w:r>
      <w:r>
        <w:rPr>
          <w:sz w:val="20"/>
          <w:szCs w:val="20"/>
        </w:rPr>
        <w:t xml:space="preserve"> elected early</w:t>
      </w:r>
    </w:p>
    <w:p w:rsidR="00000000" w:rsidRDefault="004E30E9">
      <w:pPr>
        <w:pStyle w:val="a3"/>
        <w:spacing w:before="0" w:beforeAutospacing="0" w:after="0" w:afterAutospacing="0"/>
        <w:ind w:firstLine="360"/>
        <w:jc w:val="both"/>
        <w:rPr>
          <w:sz w:val="20"/>
          <w:szCs w:val="20"/>
        </w:rPr>
      </w:pPr>
      <w:r>
        <w:rPr>
          <w:sz w:val="20"/>
          <w:szCs w:val="20"/>
        </w:rPr>
        <w:t>adoption, where permitted:</w:t>
      </w:r>
    </w:p>
    <w:p w:rsidR="00000000" w:rsidRDefault="004E30E9">
      <w:pPr>
        <w:pStyle w:val="a3"/>
        <w:spacing w:before="0" w:beforeAutospacing="0" w:after="0" w:afterAutospacing="0"/>
        <w:jc w:val="both"/>
        <w:rPr>
          <w:sz w:val="20"/>
          <w:szCs w:val="20"/>
        </w:rPr>
      </w:pPr>
      <w:r>
        <w:rPr>
          <w:sz w:val="20"/>
          <w:szCs w:val="20"/>
        </w:rPr>
        <w:t> </w:t>
      </w:r>
    </w:p>
    <w:tbl>
      <w:tblPr>
        <w:tblW w:w="5000" w:type="pct"/>
        <w:tblCellSpacing w:w="0" w:type="dxa"/>
        <w:tblCellMar>
          <w:top w:w="36" w:type="dxa"/>
          <w:left w:w="36" w:type="dxa"/>
          <w:bottom w:w="36" w:type="dxa"/>
          <w:right w:w="36" w:type="dxa"/>
        </w:tblCellMar>
        <w:tblLook w:val="04A0" w:firstRow="1" w:lastRow="0" w:firstColumn="1" w:lastColumn="0" w:noHBand="0" w:noVBand="1"/>
      </w:tblPr>
      <w:tblGrid>
        <w:gridCol w:w="1824"/>
        <w:gridCol w:w="3565"/>
        <w:gridCol w:w="928"/>
        <w:gridCol w:w="1973"/>
      </w:tblGrid>
      <w:tr w:rsidR="00000000">
        <w:trPr>
          <w:tblCellSpacing w:w="0" w:type="dxa"/>
        </w:trPr>
        <w:tc>
          <w:tcPr>
            <w:tcW w:w="1100" w:type="pct"/>
            <w:tcBorders>
              <w:top w:val="single" w:sz="6" w:space="0" w:color="000000"/>
              <w:left w:val="single" w:sz="6" w:space="0" w:color="000000"/>
              <w:bottom w:val="single" w:sz="6" w:space="0" w:color="000000"/>
              <w:right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ASU</w:t>
            </w:r>
          </w:p>
        </w:tc>
        <w:tc>
          <w:tcPr>
            <w:tcW w:w="2150" w:type="pct"/>
            <w:tcBorders>
              <w:top w:val="single" w:sz="6" w:space="0" w:color="000000"/>
              <w:bottom w:val="single" w:sz="6" w:space="0" w:color="000000"/>
              <w:right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Description</w:t>
            </w:r>
          </w:p>
        </w:tc>
        <w:tc>
          <w:tcPr>
            <w:tcW w:w="560" w:type="pct"/>
            <w:tcBorders>
              <w:top w:val="single" w:sz="6" w:space="0" w:color="000000"/>
              <w:bottom w:val="single" w:sz="6" w:space="0" w:color="000000"/>
              <w:right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Effective </w:t>
            </w:r>
          </w:p>
          <w:p w:rsidR="00000000" w:rsidRDefault="004E30E9">
            <w:pPr>
              <w:pStyle w:val="a3"/>
              <w:spacing w:before="0" w:beforeAutospacing="0" w:after="0" w:afterAutospacing="0"/>
              <w:jc w:val="center"/>
              <w:rPr>
                <w:sz w:val="20"/>
                <w:szCs w:val="20"/>
              </w:rPr>
            </w:pPr>
            <w:r>
              <w:rPr>
                <w:b/>
                <w:bCs/>
                <w:sz w:val="20"/>
                <w:szCs w:val="20"/>
              </w:rPr>
              <w:t>Date</w:t>
            </w:r>
          </w:p>
        </w:tc>
        <w:tc>
          <w:tcPr>
            <w:tcW w:w="1190" w:type="pct"/>
            <w:tcBorders>
              <w:top w:val="single" w:sz="6" w:space="0" w:color="000000"/>
              <w:bottom w:val="single" w:sz="6" w:space="0" w:color="000000"/>
              <w:right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Effect on the financial </w:t>
            </w:r>
          </w:p>
          <w:p w:rsidR="00000000" w:rsidRDefault="004E30E9">
            <w:pPr>
              <w:pStyle w:val="a3"/>
              <w:spacing w:before="0" w:beforeAutospacing="0" w:after="0" w:afterAutospacing="0"/>
              <w:jc w:val="center"/>
              <w:rPr>
                <w:sz w:val="20"/>
                <w:szCs w:val="20"/>
              </w:rPr>
            </w:pPr>
            <w:r>
              <w:rPr>
                <w:b/>
                <w:bCs/>
                <w:sz w:val="20"/>
                <w:szCs w:val="20"/>
              </w:rPr>
              <w:t>statements or other significant</w:t>
            </w:r>
          </w:p>
          <w:p w:rsidR="00000000" w:rsidRDefault="004E30E9">
            <w:pPr>
              <w:pStyle w:val="a3"/>
              <w:spacing w:before="0" w:beforeAutospacing="0" w:after="0" w:afterAutospacing="0"/>
              <w:jc w:val="center"/>
              <w:rPr>
                <w:sz w:val="20"/>
                <w:szCs w:val="20"/>
              </w:rPr>
            </w:pPr>
            <w:r>
              <w:rPr>
                <w:b/>
                <w:bCs/>
                <w:sz w:val="20"/>
                <w:szCs w:val="20"/>
              </w:rPr>
              <w:t>matters</w:t>
            </w:r>
          </w:p>
        </w:tc>
      </w:tr>
      <w:tr w:rsidR="00000000">
        <w:trPr>
          <w:tblCellSpacing w:w="0" w:type="dxa"/>
        </w:trPr>
        <w:tc>
          <w:tcPr>
            <w:tcW w:w="1100" w:type="pct"/>
            <w:tcBorders>
              <w:left w:val="single" w:sz="6" w:space="0" w:color="000000"/>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01,</w:t>
            </w:r>
            <w:r>
              <w:rPr>
                <w:sz w:val="20"/>
                <w:szCs w:val="20"/>
              </w:rPr>
              <w:t xml:space="preserve"> </w:t>
            </w:r>
            <w:r>
              <w:rPr>
                <w:sz w:val="20"/>
                <w:szCs w:val="20"/>
              </w:rPr>
              <w:t xml:space="preserve">Investments – Equity Securities (Topic </w:t>
            </w:r>
            <w:r>
              <w:rPr>
                <w:rStyle w:val="a6"/>
                <w:sz w:val="20"/>
                <w:szCs w:val="20"/>
              </w:rPr>
              <w:t>321</w:t>
            </w:r>
            <w:r>
              <w:rPr>
                <w:sz w:val="20"/>
                <w:szCs w:val="20"/>
              </w:rPr>
              <w:t xml:space="preserve">), Investments – 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xml:space="preserve">)—Clarifying the Interactions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w:t>
            </w:r>
            <w:r>
              <w:rPr>
                <w:sz w:val="20"/>
                <w:szCs w:val="20"/>
              </w:rPr>
              <w:t>(a consensus of the Emerging Issues Task Force)</w:t>
            </w:r>
          </w:p>
        </w:tc>
        <w:tc>
          <w:tcPr>
            <w:tcW w:w="2150"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jc w:val="both"/>
              <w:rPr>
                <w:sz w:val="20"/>
                <w:szCs w:val="20"/>
              </w:rPr>
            </w:pPr>
            <w:r>
              <w:rPr>
                <w:sz w:val="20"/>
                <w:szCs w:val="20"/>
              </w:rPr>
              <w:t>The amendments clarify the interaction between the accounting for equity securities, equity method investments, and certain derivative instruments. This ASU, among other things, clarifies that an entity shoul</w:t>
            </w:r>
            <w:r>
              <w:rPr>
                <w:sz w:val="20"/>
                <w:szCs w:val="20"/>
              </w:rPr>
              <w:t xml:space="preserve">d consider observable transactions that require a company to either apply or discontinue the equity method of accounting under Topic </w:t>
            </w:r>
            <w:r>
              <w:rPr>
                <w:rStyle w:val="a6"/>
                <w:sz w:val="20"/>
                <w:szCs w:val="20"/>
              </w:rPr>
              <w:t>323</w:t>
            </w:r>
            <w:r>
              <w:rPr>
                <w:sz w:val="20"/>
                <w:szCs w:val="20"/>
              </w:rPr>
              <w:t xml:space="preserve"> for the purposes of applying the measurement alternative in accordance with Topic </w:t>
            </w:r>
            <w:r>
              <w:rPr>
                <w:rStyle w:val="a6"/>
                <w:sz w:val="20"/>
                <w:szCs w:val="20"/>
              </w:rPr>
              <w:t>321</w:t>
            </w:r>
            <w:r>
              <w:rPr>
                <w:sz w:val="20"/>
                <w:szCs w:val="20"/>
              </w:rPr>
              <w:t xml:space="preserve"> immediately before applying or up</w:t>
            </w:r>
            <w:r>
              <w:rPr>
                <w:sz w:val="20"/>
                <w:szCs w:val="20"/>
              </w:rPr>
              <w:t>on discontinuing the equity method.</w:t>
            </w:r>
          </w:p>
        </w:tc>
        <w:tc>
          <w:tcPr>
            <w:tcW w:w="560"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jc w:val="center"/>
              <w:rPr>
                <w:sz w:val="20"/>
                <w:szCs w:val="20"/>
              </w:rPr>
            </w:pPr>
            <w:r>
              <w:rPr>
                <w:rStyle w:val="a6"/>
                <w:sz w:val="20"/>
                <w:szCs w:val="20"/>
              </w:rPr>
              <w:t xml:space="preserve">January 1, 2021; </w:t>
            </w:r>
            <w:r>
              <w:rPr>
                <w:sz w:val="20"/>
                <w:szCs w:val="20"/>
              </w:rPr>
              <w:t>Early adoption permitted</w:t>
            </w:r>
          </w:p>
        </w:tc>
        <w:tc>
          <w:tcPr>
            <w:tcW w:w="1190"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rPr>
                <w:sz w:val="20"/>
                <w:szCs w:val="20"/>
              </w:rPr>
            </w:pPr>
            <w:r>
              <w:rPr>
                <w:sz w:val="20"/>
                <w:szCs w:val="20"/>
              </w:rPr>
              <w:t xml:space="preserve">The adoption of this ASU is </w:t>
            </w:r>
            <w:r>
              <w:rPr>
                <w:rStyle w:val="a6"/>
                <w:sz w:val="20"/>
                <w:szCs w:val="20"/>
              </w:rPr>
              <w:t>not</w:t>
            </w:r>
            <w:r>
              <w:rPr>
                <w:sz w:val="20"/>
                <w:szCs w:val="20"/>
              </w:rPr>
              <w:t xml:space="preserve"> expected to have a material impact on the Company’s financial position and/or results of operations.</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2051147555"/>
        <w:rPr>
          <w:rFonts w:eastAsia="Times New Roman"/>
          <w:sz w:val="20"/>
          <w:szCs w:val="20"/>
        </w:rPr>
      </w:pPr>
      <w:r>
        <w:rPr>
          <w:rStyle w:val="a6"/>
          <w:rFonts w:eastAsia="Times New Roman"/>
          <w:sz w:val="20"/>
          <w:szCs w:val="20"/>
        </w:rPr>
        <w:t>67</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03" style="width:415.3pt;height:1.5pt" o:hralign="center" o:hrstd="t" o:hrnoshade="t" o:hr="t" fillcolor="black" stroked="f"/>
        </w:pict>
      </w:r>
    </w:p>
    <w:p w:rsidR="00000000" w:rsidRDefault="004E30E9">
      <w:pPr>
        <w:divId w:val="1210998253"/>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following ASUs to the FASB’s ASCs have been adopted by the Company as of the date listed:</w:t>
      </w:r>
    </w:p>
    <w:p w:rsidR="00000000" w:rsidRDefault="004E30E9">
      <w:pPr>
        <w:pStyle w:val="a3"/>
        <w:spacing w:before="0" w:beforeAutospacing="0" w:after="0" w:afterAutospacing="0"/>
        <w:rPr>
          <w:sz w:val="20"/>
          <w:szCs w:val="20"/>
        </w:rPr>
      </w:pPr>
      <w:r>
        <w:rPr>
          <w:i/>
          <w:iCs/>
          <w:sz w:val="20"/>
          <w:szCs w:val="20"/>
        </w:rPr>
        <w:t> </w:t>
      </w:r>
    </w:p>
    <w:tbl>
      <w:tblPr>
        <w:tblW w:w="5000" w:type="pct"/>
        <w:tblCellSpacing w:w="0" w:type="dxa"/>
        <w:tblCellMar>
          <w:top w:w="36" w:type="dxa"/>
          <w:left w:w="36" w:type="dxa"/>
          <w:bottom w:w="36" w:type="dxa"/>
          <w:right w:w="36" w:type="dxa"/>
        </w:tblCellMar>
        <w:tblLook w:val="04A0" w:firstRow="1" w:lastRow="0" w:firstColumn="1" w:lastColumn="0" w:noHBand="0" w:noVBand="1"/>
      </w:tblPr>
      <w:tblGrid>
        <w:gridCol w:w="1848"/>
        <w:gridCol w:w="3631"/>
        <w:gridCol w:w="962"/>
        <w:gridCol w:w="1849"/>
      </w:tblGrid>
      <w:tr w:rsidR="00000000">
        <w:trPr>
          <w:tblCellSpacing w:w="0" w:type="dxa"/>
        </w:trPr>
        <w:tc>
          <w:tcPr>
            <w:tcW w:w="1115" w:type="pct"/>
            <w:tcBorders>
              <w:top w:val="single" w:sz="6" w:space="0" w:color="000000"/>
              <w:left w:val="single" w:sz="6" w:space="0" w:color="000000"/>
              <w:bottom w:val="single" w:sz="6" w:space="0" w:color="000000"/>
              <w:right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ASU</w:t>
            </w:r>
          </w:p>
        </w:tc>
        <w:tc>
          <w:tcPr>
            <w:tcW w:w="2190" w:type="pct"/>
            <w:tcBorders>
              <w:top w:val="single" w:sz="6" w:space="0" w:color="000000"/>
              <w:bottom w:val="single" w:sz="6" w:space="0" w:color="000000"/>
              <w:right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Descriptio</w:t>
            </w:r>
            <w:r>
              <w:rPr>
                <w:b/>
                <w:bCs/>
                <w:sz w:val="16"/>
                <w:szCs w:val="16"/>
              </w:rPr>
              <w:t>n</w:t>
            </w:r>
          </w:p>
        </w:tc>
        <w:tc>
          <w:tcPr>
            <w:tcW w:w="580" w:type="pct"/>
            <w:tcBorders>
              <w:top w:val="single" w:sz="6" w:space="0" w:color="000000"/>
              <w:bottom w:val="single" w:sz="6" w:space="0" w:color="000000"/>
              <w:right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Adoption Date</w:t>
            </w:r>
          </w:p>
        </w:tc>
        <w:tc>
          <w:tcPr>
            <w:tcW w:w="1115" w:type="pct"/>
            <w:tcBorders>
              <w:top w:val="single" w:sz="6" w:space="0" w:color="000000"/>
              <w:bottom w:val="single" w:sz="6" w:space="0" w:color="000000"/>
              <w:right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Effect on the financial</w:t>
            </w:r>
            <w:r>
              <w:rPr>
                <w:b/>
                <w:bCs/>
                <w:sz w:val="16"/>
                <w:szCs w:val="16"/>
              </w:rPr>
              <w:br/>
              <w:t>statements or other</w:t>
            </w:r>
            <w:r>
              <w:rPr>
                <w:b/>
                <w:bCs/>
                <w:sz w:val="16"/>
                <w:szCs w:val="16"/>
              </w:rPr>
              <w:br/>
              <w:t>significant matters</w:t>
            </w:r>
          </w:p>
        </w:tc>
      </w:tr>
      <w:tr w:rsidR="00000000">
        <w:trPr>
          <w:tblCellSpacing w:w="0" w:type="dxa"/>
        </w:trPr>
        <w:tc>
          <w:tcPr>
            <w:tcW w:w="1115" w:type="pct"/>
            <w:tcBorders>
              <w:left w:val="single" w:sz="6" w:space="0" w:color="000000"/>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rPr>
                <w:sz w:val="16"/>
                <w:szCs w:val="16"/>
              </w:rPr>
            </w:pPr>
            <w:r>
              <w:rPr>
                <w:sz w:val="16"/>
                <w:szCs w:val="16"/>
              </w:rPr>
              <w:t xml:space="preserve">ASU </w:t>
            </w:r>
            <w:r>
              <w:rPr>
                <w:rStyle w:val="a6"/>
                <w:sz w:val="16"/>
                <w:szCs w:val="16"/>
              </w:rPr>
              <w:t>2020</w:t>
            </w:r>
            <w:r>
              <w:rPr>
                <w:sz w:val="16"/>
                <w:szCs w:val="16"/>
              </w:rPr>
              <w:t>-</w:t>
            </w:r>
            <w:r>
              <w:rPr>
                <w:rStyle w:val="a6"/>
                <w:sz w:val="16"/>
                <w:szCs w:val="16"/>
              </w:rPr>
              <w:t>04,</w:t>
            </w:r>
            <w:r>
              <w:rPr>
                <w:sz w:val="16"/>
                <w:szCs w:val="16"/>
              </w:rPr>
              <w:t xml:space="preserve"> Reference Rate Reform (Topic </w:t>
            </w:r>
            <w:r>
              <w:rPr>
                <w:rStyle w:val="a6"/>
                <w:sz w:val="16"/>
                <w:szCs w:val="16"/>
              </w:rPr>
              <w:t>848</w:t>
            </w:r>
            <w:r>
              <w:rPr>
                <w:sz w:val="16"/>
                <w:szCs w:val="16"/>
              </w:rPr>
              <w:t xml:space="preserve">) – </w:t>
            </w:r>
            <w:r>
              <w:rPr>
                <w:sz w:val="16"/>
                <w:szCs w:val="16"/>
              </w:rPr>
              <w:t>Facilitation of the Effects of Reference Rate Reform on Financial Reporting</w:t>
            </w:r>
          </w:p>
        </w:tc>
        <w:tc>
          <w:tcPr>
            <w:tcW w:w="2190"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jc w:val="both"/>
              <w:rPr>
                <w:sz w:val="16"/>
                <w:szCs w:val="16"/>
              </w:rPr>
            </w:pPr>
            <w:r>
              <w:rPr>
                <w:sz w:val="16"/>
                <w:szCs w:val="16"/>
              </w:rPr>
              <w:t>This ASU is intended to provide temporary optional expedients and exceptions to GAAP guidance on contract modifications and hedge accounting to ease the financial reporting burdens</w:t>
            </w:r>
            <w:r>
              <w:rPr>
                <w:sz w:val="16"/>
                <w:szCs w:val="16"/>
              </w:rPr>
              <w:t xml:space="preserve"> related to the expected market transition from the London Interbank Offered Rate ("LIBOR") and other interbank offered rates to alternative reference rates.</w:t>
            </w:r>
          </w:p>
        </w:tc>
        <w:tc>
          <w:tcPr>
            <w:tcW w:w="580"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jc w:val="center"/>
              <w:rPr>
                <w:sz w:val="16"/>
                <w:szCs w:val="16"/>
              </w:rPr>
            </w:pPr>
            <w:r>
              <w:rPr>
                <w:sz w:val="16"/>
                <w:szCs w:val="16"/>
              </w:rPr>
              <w:t xml:space="preserve">This guidance is effective immediately, and the Company </w:t>
            </w:r>
            <w:r>
              <w:rPr>
                <w:rStyle w:val="a6"/>
                <w:sz w:val="16"/>
                <w:szCs w:val="16"/>
              </w:rPr>
              <w:t xml:space="preserve">may </w:t>
            </w:r>
            <w:r>
              <w:rPr>
                <w:sz w:val="16"/>
                <w:szCs w:val="16"/>
              </w:rPr>
              <w:t>elect to apply the amendments prospect</w:t>
            </w:r>
            <w:r>
              <w:rPr>
                <w:sz w:val="16"/>
                <w:szCs w:val="16"/>
              </w:rPr>
              <w:t xml:space="preserve">ively through </w:t>
            </w:r>
            <w:r>
              <w:rPr>
                <w:rStyle w:val="a6"/>
                <w:sz w:val="16"/>
                <w:szCs w:val="16"/>
              </w:rPr>
              <w:t>December 31, 2022.</w:t>
            </w:r>
          </w:p>
        </w:tc>
        <w:tc>
          <w:tcPr>
            <w:tcW w:w="1115"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rPr>
                <w:sz w:val="16"/>
                <w:szCs w:val="16"/>
              </w:rPr>
            </w:pPr>
            <w:r>
              <w:rPr>
                <w:sz w:val="16"/>
                <w:szCs w:val="16"/>
              </w:rPr>
              <w:t xml:space="preserve">The adoption of this ASU did </w:t>
            </w:r>
            <w:r>
              <w:rPr>
                <w:rStyle w:val="a6"/>
                <w:sz w:val="16"/>
                <w:szCs w:val="16"/>
              </w:rPr>
              <w:t>not</w:t>
            </w:r>
            <w:r>
              <w:rPr>
                <w:sz w:val="16"/>
                <w:szCs w:val="16"/>
              </w:rPr>
              <w:t xml:space="preserve"> have a material impact on the Company’s financial position and/or results of operations.</w:t>
            </w:r>
          </w:p>
        </w:tc>
      </w:tr>
      <w:tr w:rsidR="00000000">
        <w:trPr>
          <w:tblCellSpacing w:w="0" w:type="dxa"/>
        </w:trPr>
        <w:tc>
          <w:tcPr>
            <w:tcW w:w="1115" w:type="pct"/>
            <w:tcBorders>
              <w:left w:val="single" w:sz="6" w:space="0" w:color="000000"/>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rPr>
                <w:sz w:val="16"/>
                <w:szCs w:val="16"/>
              </w:rPr>
            </w:pPr>
            <w:r>
              <w:rPr>
                <w:sz w:val="16"/>
                <w:szCs w:val="16"/>
              </w:rPr>
              <w:t xml:space="preserve">ASU </w:t>
            </w:r>
            <w:r>
              <w:rPr>
                <w:rStyle w:val="a6"/>
                <w:sz w:val="16"/>
                <w:szCs w:val="16"/>
              </w:rPr>
              <w:t>2020</w:t>
            </w:r>
            <w:r>
              <w:rPr>
                <w:sz w:val="16"/>
                <w:szCs w:val="16"/>
              </w:rPr>
              <w:t>-</w:t>
            </w:r>
            <w:r>
              <w:rPr>
                <w:rStyle w:val="a6"/>
                <w:sz w:val="16"/>
                <w:szCs w:val="16"/>
              </w:rPr>
              <w:t>03,</w:t>
            </w:r>
            <w:r>
              <w:rPr>
                <w:sz w:val="16"/>
                <w:szCs w:val="16"/>
              </w:rPr>
              <w:t xml:space="preserve"> Codification Improvements to Financial Instruments</w:t>
            </w:r>
          </w:p>
        </w:tc>
        <w:tc>
          <w:tcPr>
            <w:tcW w:w="2190" w:type="pct"/>
            <w:tcBorders>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jc w:val="both"/>
              <w:rPr>
                <w:sz w:val="16"/>
                <w:szCs w:val="16"/>
              </w:rPr>
            </w:pPr>
            <w:r>
              <w:rPr>
                <w:sz w:val="16"/>
                <w:szCs w:val="16"/>
              </w:rPr>
              <w:t>This ASU improves and clarifies vari</w:t>
            </w:r>
            <w:r>
              <w:rPr>
                <w:sz w:val="16"/>
                <w:szCs w:val="16"/>
              </w:rPr>
              <w:t xml:space="preserve">ous financial instruments topics. The ASU includes </w:t>
            </w:r>
            <w:r>
              <w:rPr>
                <w:rStyle w:val="a6"/>
                <w:sz w:val="16"/>
                <w:szCs w:val="16"/>
              </w:rPr>
              <w:t>seven</w:t>
            </w:r>
            <w:r>
              <w:rPr>
                <w:sz w:val="16"/>
                <w:szCs w:val="16"/>
              </w:rPr>
              <w:t xml:space="preserve"> different issues that describe the areas of improvement and the related amendments to GAAP, intended to make the standards easier to understand and apply by eliminating inconsistencies and providing </w:t>
            </w:r>
            <w:r>
              <w:rPr>
                <w:sz w:val="16"/>
                <w:szCs w:val="16"/>
              </w:rPr>
              <w:t>clarifications.</w:t>
            </w:r>
          </w:p>
        </w:tc>
        <w:tc>
          <w:tcPr>
            <w:tcW w:w="580" w:type="pct"/>
            <w:tcBorders>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jc w:val="center"/>
              <w:rPr>
                <w:sz w:val="16"/>
                <w:szCs w:val="16"/>
              </w:rPr>
            </w:pPr>
            <w:r>
              <w:rPr>
                <w:sz w:val="16"/>
                <w:szCs w:val="16"/>
              </w:rPr>
              <w:t xml:space="preserve">The amendment is divided into issues </w:t>
            </w:r>
            <w:r>
              <w:rPr>
                <w:rStyle w:val="a6"/>
                <w:sz w:val="16"/>
                <w:szCs w:val="16"/>
              </w:rPr>
              <w:t>1</w:t>
            </w:r>
            <w:r>
              <w:rPr>
                <w:sz w:val="16"/>
                <w:szCs w:val="16"/>
              </w:rPr>
              <w:t xml:space="preserve"> to </w:t>
            </w:r>
            <w:r>
              <w:rPr>
                <w:rStyle w:val="a6"/>
                <w:sz w:val="16"/>
                <w:szCs w:val="16"/>
              </w:rPr>
              <w:t>7</w:t>
            </w:r>
            <w:r>
              <w:rPr>
                <w:sz w:val="16"/>
                <w:szCs w:val="16"/>
              </w:rPr>
              <w:t xml:space="preserve"> with different effective dates.</w:t>
            </w:r>
          </w:p>
        </w:tc>
        <w:tc>
          <w:tcPr>
            <w:tcW w:w="1115" w:type="pct"/>
            <w:tcBorders>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rPr>
                <w:sz w:val="16"/>
                <w:szCs w:val="16"/>
              </w:rPr>
            </w:pPr>
            <w:r>
              <w:rPr>
                <w:sz w:val="16"/>
                <w:szCs w:val="16"/>
              </w:rPr>
              <w:t xml:space="preserve">The Company adopted issues </w:t>
            </w:r>
            <w:r>
              <w:rPr>
                <w:rStyle w:val="a6"/>
                <w:sz w:val="16"/>
                <w:szCs w:val="16"/>
              </w:rPr>
              <w:t>1</w:t>
            </w:r>
            <w:r>
              <w:rPr>
                <w:sz w:val="16"/>
                <w:szCs w:val="16"/>
              </w:rPr>
              <w:t>-</w:t>
            </w:r>
            <w:r>
              <w:rPr>
                <w:rStyle w:val="a6"/>
                <w:sz w:val="16"/>
                <w:szCs w:val="16"/>
              </w:rPr>
              <w:t>7</w:t>
            </w:r>
            <w:r>
              <w:rPr>
                <w:sz w:val="16"/>
                <w:szCs w:val="16"/>
              </w:rPr>
              <w:t xml:space="preserve"> of this ASU, the adoption did </w:t>
            </w:r>
            <w:r>
              <w:rPr>
                <w:rStyle w:val="a6"/>
                <w:sz w:val="16"/>
                <w:szCs w:val="16"/>
              </w:rPr>
              <w:t>not</w:t>
            </w:r>
            <w:r>
              <w:rPr>
                <w:sz w:val="16"/>
                <w:szCs w:val="16"/>
              </w:rPr>
              <w:t xml:space="preserve"> have a material impact on the Company’s financial position and/or results of operations.</w:t>
            </w:r>
          </w:p>
        </w:tc>
      </w:tr>
      <w:tr w:rsidR="00000000">
        <w:trPr>
          <w:tblCellSpacing w:w="0" w:type="dxa"/>
        </w:trPr>
        <w:tc>
          <w:tcPr>
            <w:tcW w:w="1115" w:type="pct"/>
            <w:tcBorders>
              <w:left w:val="single" w:sz="6" w:space="0" w:color="000000"/>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rPr>
                <w:sz w:val="16"/>
                <w:szCs w:val="16"/>
              </w:rPr>
            </w:pPr>
            <w:r>
              <w:rPr>
                <w:sz w:val="16"/>
                <w:szCs w:val="16"/>
              </w:rPr>
              <w:t xml:space="preserve">ASU </w:t>
            </w:r>
            <w:r>
              <w:rPr>
                <w:rStyle w:val="a6"/>
                <w:sz w:val="16"/>
                <w:szCs w:val="16"/>
              </w:rPr>
              <w:t>2018</w:t>
            </w:r>
            <w:r>
              <w:rPr>
                <w:sz w:val="16"/>
                <w:szCs w:val="16"/>
              </w:rPr>
              <w:t>-</w:t>
            </w:r>
            <w:r>
              <w:rPr>
                <w:rStyle w:val="a6"/>
                <w:sz w:val="16"/>
                <w:szCs w:val="16"/>
              </w:rPr>
              <w:t>17,</w:t>
            </w:r>
            <w:r>
              <w:rPr>
                <w:sz w:val="16"/>
                <w:szCs w:val="16"/>
              </w:rPr>
              <w:t xml:space="preserve"> Consolidation (Topic </w:t>
            </w:r>
            <w:r>
              <w:rPr>
                <w:rStyle w:val="a6"/>
                <w:sz w:val="16"/>
                <w:szCs w:val="16"/>
              </w:rPr>
              <w:t>810</w:t>
            </w:r>
            <w:r>
              <w:rPr>
                <w:sz w:val="16"/>
                <w:szCs w:val="16"/>
              </w:rPr>
              <w:t>) – Targeted Improvements to Related Party Guidance for Variable Interest Entities</w:t>
            </w:r>
          </w:p>
        </w:tc>
        <w:tc>
          <w:tcPr>
            <w:tcW w:w="2190"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jc w:val="both"/>
              <w:rPr>
                <w:sz w:val="16"/>
                <w:szCs w:val="16"/>
              </w:rPr>
            </w:pPr>
            <w:r>
              <w:rPr>
                <w:sz w:val="16"/>
                <w:szCs w:val="16"/>
              </w:rPr>
              <w:t xml:space="preserve">The amendment to Topic </w:t>
            </w:r>
            <w:r>
              <w:rPr>
                <w:rStyle w:val="a6"/>
                <w:sz w:val="16"/>
                <w:szCs w:val="16"/>
              </w:rPr>
              <w:t>810</w:t>
            </w:r>
            <w:r>
              <w:rPr>
                <w:sz w:val="16"/>
                <w:szCs w:val="16"/>
              </w:rPr>
              <w:t xml:space="preserve"> clarifies the following areas:</w:t>
            </w:r>
          </w:p>
          <w:p w:rsidR="00000000" w:rsidRDefault="004E30E9">
            <w:pPr>
              <w:pStyle w:val="a3"/>
              <w:spacing w:before="0" w:beforeAutospacing="0" w:after="0" w:afterAutospacing="0"/>
              <w:ind w:left="360" w:hanging="360"/>
              <w:jc w:val="both"/>
              <w:rPr>
                <w:sz w:val="16"/>
                <w:szCs w:val="16"/>
              </w:rPr>
            </w:pPr>
            <w:r>
              <w:rPr>
                <w:sz w:val="16"/>
                <w:szCs w:val="16"/>
              </w:rPr>
              <w:t>(i)   Applying the variable interest entity (VIE) guidance to private companies under c</w:t>
            </w:r>
            <w:r>
              <w:rPr>
                <w:sz w:val="16"/>
                <w:szCs w:val="16"/>
              </w:rPr>
              <w:t>ommon control, and</w:t>
            </w:r>
          </w:p>
          <w:p w:rsidR="00000000" w:rsidRDefault="004E30E9">
            <w:pPr>
              <w:pStyle w:val="a3"/>
              <w:spacing w:before="0" w:beforeAutospacing="0" w:after="0" w:afterAutospacing="0"/>
              <w:ind w:left="360" w:hanging="360"/>
              <w:jc w:val="both"/>
              <w:rPr>
                <w:sz w:val="16"/>
                <w:szCs w:val="16"/>
              </w:rPr>
            </w:pPr>
            <w:r>
              <w:rPr>
                <w:sz w:val="16"/>
                <w:szCs w:val="16"/>
              </w:rPr>
              <w:t>(ii)  Considering indirect interests held through related parties under common control, for determining whether fees paid to decision makers and service providers are variable interests.</w:t>
            </w:r>
          </w:p>
          <w:p w:rsidR="00000000" w:rsidRDefault="004E30E9">
            <w:pPr>
              <w:pStyle w:val="a3"/>
              <w:spacing w:before="0" w:beforeAutospacing="0" w:after="0" w:afterAutospacing="0"/>
              <w:jc w:val="both"/>
              <w:rPr>
                <w:sz w:val="16"/>
                <w:szCs w:val="16"/>
              </w:rPr>
            </w:pPr>
            <w:r>
              <w:rPr>
                <w:sz w:val="16"/>
                <w:szCs w:val="16"/>
              </w:rPr>
              <w:t> </w:t>
            </w:r>
          </w:p>
          <w:p w:rsidR="00000000" w:rsidRDefault="004E30E9">
            <w:pPr>
              <w:pStyle w:val="a3"/>
              <w:spacing w:before="0" w:beforeAutospacing="0" w:after="0" w:afterAutospacing="0"/>
              <w:jc w:val="both"/>
              <w:rPr>
                <w:sz w:val="16"/>
                <w:szCs w:val="16"/>
              </w:rPr>
            </w:pPr>
            <w:r>
              <w:rPr>
                <w:sz w:val="16"/>
                <w:szCs w:val="16"/>
              </w:rPr>
              <w:t>This update improves the accounting for those areas, thereby improving general purpose financial reporting. Retrospective adoption is required.</w:t>
            </w:r>
          </w:p>
          <w:p w:rsidR="00000000" w:rsidRDefault="004E30E9">
            <w:pPr>
              <w:pStyle w:val="a3"/>
              <w:spacing w:before="0" w:beforeAutospacing="0" w:after="0" w:afterAutospacing="0"/>
              <w:jc w:val="both"/>
              <w:rPr>
                <w:sz w:val="16"/>
                <w:szCs w:val="16"/>
              </w:rPr>
            </w:pPr>
            <w:r>
              <w:rPr>
                <w:sz w:val="16"/>
                <w:szCs w:val="16"/>
              </w:rPr>
              <w:t> </w:t>
            </w:r>
          </w:p>
        </w:tc>
        <w:tc>
          <w:tcPr>
            <w:tcW w:w="580"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jc w:val="center"/>
              <w:rPr>
                <w:sz w:val="16"/>
                <w:szCs w:val="16"/>
              </w:rPr>
            </w:pPr>
            <w:r>
              <w:rPr>
                <w:rStyle w:val="a6"/>
                <w:sz w:val="16"/>
                <w:szCs w:val="16"/>
              </w:rPr>
              <w:t xml:space="preserve">January 1, 2020; </w:t>
            </w:r>
            <w:r>
              <w:rPr>
                <w:sz w:val="16"/>
                <w:szCs w:val="16"/>
              </w:rPr>
              <w:t>Early adoption permitted</w:t>
            </w:r>
          </w:p>
        </w:tc>
        <w:tc>
          <w:tcPr>
            <w:tcW w:w="1115"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rPr>
                <w:sz w:val="16"/>
                <w:szCs w:val="16"/>
              </w:rPr>
            </w:pPr>
            <w:r>
              <w:rPr>
                <w:sz w:val="16"/>
                <w:szCs w:val="16"/>
              </w:rPr>
              <w:t xml:space="preserve">The adoption of this ASU did </w:t>
            </w:r>
            <w:r>
              <w:rPr>
                <w:rStyle w:val="a6"/>
                <w:sz w:val="16"/>
                <w:szCs w:val="16"/>
              </w:rPr>
              <w:t>not</w:t>
            </w:r>
            <w:r>
              <w:rPr>
                <w:sz w:val="16"/>
                <w:szCs w:val="16"/>
              </w:rPr>
              <w:t xml:space="preserve"> have a material impact on the Compa</w:t>
            </w:r>
            <w:r>
              <w:rPr>
                <w:sz w:val="16"/>
                <w:szCs w:val="16"/>
              </w:rPr>
              <w:t>ny’s financial position and/or results of operations.</w:t>
            </w:r>
          </w:p>
        </w:tc>
      </w:tr>
      <w:tr w:rsidR="00000000">
        <w:trPr>
          <w:tblCellSpacing w:w="0" w:type="dxa"/>
        </w:trPr>
        <w:tc>
          <w:tcPr>
            <w:tcW w:w="1115" w:type="pct"/>
            <w:tcBorders>
              <w:left w:val="single" w:sz="6" w:space="0" w:color="000000"/>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rPr>
                <w:sz w:val="16"/>
                <w:szCs w:val="16"/>
              </w:rPr>
            </w:pPr>
            <w:r>
              <w:rPr>
                <w:sz w:val="16"/>
                <w:szCs w:val="16"/>
              </w:rPr>
              <w:t xml:space="preserve">ASU </w:t>
            </w:r>
            <w:r>
              <w:rPr>
                <w:rStyle w:val="a6"/>
                <w:sz w:val="16"/>
                <w:szCs w:val="16"/>
              </w:rPr>
              <w:t>2018</w:t>
            </w:r>
            <w:r>
              <w:rPr>
                <w:sz w:val="16"/>
                <w:szCs w:val="16"/>
              </w:rPr>
              <w:t>-</w:t>
            </w:r>
            <w:r>
              <w:rPr>
                <w:rStyle w:val="a6"/>
                <w:sz w:val="16"/>
                <w:szCs w:val="16"/>
              </w:rPr>
              <w:t>15,</w:t>
            </w:r>
            <w:r>
              <w:rPr>
                <w:sz w:val="16"/>
                <w:szCs w:val="16"/>
              </w:rPr>
              <w:t xml:space="preserve"> Intangibles – Goodwill and Other – Internal-Use Software (Subtopic </w:t>
            </w:r>
            <w:r>
              <w:rPr>
                <w:rStyle w:val="a6"/>
                <w:sz w:val="16"/>
                <w:szCs w:val="16"/>
              </w:rPr>
              <w:t>350</w:t>
            </w:r>
            <w:r>
              <w:rPr>
                <w:sz w:val="16"/>
                <w:szCs w:val="16"/>
              </w:rPr>
              <w:t>-</w:t>
            </w:r>
            <w:r>
              <w:rPr>
                <w:rStyle w:val="a6"/>
                <w:sz w:val="16"/>
                <w:szCs w:val="16"/>
              </w:rPr>
              <w:t>40</w:t>
            </w:r>
            <w:r>
              <w:rPr>
                <w:sz w:val="16"/>
                <w:szCs w:val="16"/>
              </w:rPr>
              <w:t>): Customer’s Accounting for Implementation Costs </w:t>
            </w:r>
            <w:r>
              <w:rPr>
                <w:sz w:val="16"/>
                <w:szCs w:val="16"/>
              </w:rPr>
              <w:t>Incurred in a Cloud Computing Arrangement that is a Service Contract</w:t>
            </w:r>
          </w:p>
          <w:p w:rsidR="00000000" w:rsidRDefault="004E30E9">
            <w:pPr>
              <w:pStyle w:val="a3"/>
              <w:spacing w:before="0" w:beforeAutospacing="0" w:after="0" w:afterAutospacing="0"/>
              <w:rPr>
                <w:sz w:val="16"/>
                <w:szCs w:val="16"/>
              </w:rPr>
            </w:pPr>
            <w:r>
              <w:rPr>
                <w:sz w:val="16"/>
                <w:szCs w:val="16"/>
              </w:rPr>
              <w:t> </w:t>
            </w:r>
          </w:p>
        </w:tc>
        <w:tc>
          <w:tcPr>
            <w:tcW w:w="2190" w:type="pct"/>
            <w:tcBorders>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jc w:val="both"/>
              <w:rPr>
                <w:sz w:val="16"/>
                <w:szCs w:val="16"/>
              </w:rPr>
            </w:pPr>
            <w:r>
              <w:rPr>
                <w:sz w:val="16"/>
                <w:szCs w:val="16"/>
              </w:rPr>
              <w:t>The amendment aligns the requirements for capitalizing implementation costs incurred in a hosting arrangement that is a service contract with the requirements for capitalizing implement</w:t>
            </w:r>
            <w:r>
              <w:rPr>
                <w:sz w:val="16"/>
                <w:szCs w:val="16"/>
              </w:rPr>
              <w:t>ation costs incurred to develop or obtain internal-use software.</w:t>
            </w:r>
          </w:p>
        </w:tc>
        <w:tc>
          <w:tcPr>
            <w:tcW w:w="580" w:type="pct"/>
            <w:tcBorders>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jc w:val="center"/>
              <w:rPr>
                <w:sz w:val="16"/>
                <w:szCs w:val="16"/>
              </w:rPr>
            </w:pPr>
            <w:r>
              <w:rPr>
                <w:rStyle w:val="a6"/>
                <w:sz w:val="16"/>
                <w:szCs w:val="16"/>
              </w:rPr>
              <w:t xml:space="preserve">January 1, 2020; </w:t>
            </w:r>
            <w:r>
              <w:rPr>
                <w:sz w:val="16"/>
                <w:szCs w:val="16"/>
              </w:rPr>
              <w:t>Early adoption permitted</w:t>
            </w:r>
          </w:p>
        </w:tc>
        <w:tc>
          <w:tcPr>
            <w:tcW w:w="1115" w:type="pct"/>
            <w:tcBorders>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rPr>
                <w:sz w:val="16"/>
                <w:szCs w:val="16"/>
              </w:rPr>
            </w:pPr>
            <w:r>
              <w:rPr>
                <w:sz w:val="16"/>
                <w:szCs w:val="16"/>
              </w:rPr>
              <w:t xml:space="preserve">The adoption of this ASU did </w:t>
            </w:r>
            <w:r>
              <w:rPr>
                <w:rStyle w:val="a6"/>
                <w:sz w:val="16"/>
                <w:szCs w:val="16"/>
              </w:rPr>
              <w:t>not</w:t>
            </w:r>
            <w:r>
              <w:rPr>
                <w:sz w:val="16"/>
                <w:szCs w:val="16"/>
              </w:rPr>
              <w:t xml:space="preserve"> have a material impact on the Company’s financial position and/or results of operations.</w:t>
            </w:r>
          </w:p>
        </w:tc>
      </w:tr>
      <w:tr w:rsidR="00000000">
        <w:trPr>
          <w:tblCellSpacing w:w="0" w:type="dxa"/>
        </w:trPr>
        <w:tc>
          <w:tcPr>
            <w:tcW w:w="1115" w:type="pct"/>
            <w:tcBorders>
              <w:left w:val="single" w:sz="6" w:space="0" w:color="000000"/>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rPr>
                <w:sz w:val="16"/>
                <w:szCs w:val="16"/>
              </w:rPr>
            </w:pPr>
            <w:r>
              <w:rPr>
                <w:sz w:val="16"/>
                <w:szCs w:val="16"/>
              </w:rPr>
              <w:t xml:space="preserve">ASU </w:t>
            </w:r>
            <w:r>
              <w:rPr>
                <w:rStyle w:val="a6"/>
                <w:sz w:val="16"/>
                <w:szCs w:val="16"/>
              </w:rPr>
              <w:t>2018</w:t>
            </w:r>
            <w:r>
              <w:rPr>
                <w:sz w:val="16"/>
                <w:szCs w:val="16"/>
              </w:rPr>
              <w:t>-</w:t>
            </w:r>
            <w:r>
              <w:rPr>
                <w:rStyle w:val="a6"/>
                <w:sz w:val="16"/>
                <w:szCs w:val="16"/>
              </w:rPr>
              <w:t>13,</w:t>
            </w:r>
            <w:r>
              <w:rPr>
                <w:sz w:val="16"/>
                <w:szCs w:val="16"/>
              </w:rPr>
              <w:t xml:space="preserve"> Fair Value Me</w:t>
            </w:r>
            <w:r>
              <w:rPr>
                <w:sz w:val="16"/>
                <w:szCs w:val="16"/>
              </w:rPr>
              <w:t xml:space="preserve">asurement (Topic </w:t>
            </w:r>
            <w:r>
              <w:rPr>
                <w:rStyle w:val="a6"/>
                <w:sz w:val="16"/>
                <w:szCs w:val="16"/>
              </w:rPr>
              <w:t>820</w:t>
            </w:r>
            <w:r>
              <w:rPr>
                <w:sz w:val="16"/>
                <w:szCs w:val="16"/>
              </w:rPr>
              <w:t>): Disclosure Framework – Changes to the Disclosure Requirements for Fair Value Measurement</w:t>
            </w:r>
          </w:p>
          <w:p w:rsidR="00000000" w:rsidRDefault="004E30E9">
            <w:pPr>
              <w:pStyle w:val="a3"/>
              <w:spacing w:before="0" w:beforeAutospacing="0" w:after="0" w:afterAutospacing="0"/>
              <w:rPr>
                <w:sz w:val="16"/>
                <w:szCs w:val="16"/>
              </w:rPr>
            </w:pPr>
            <w:r>
              <w:rPr>
                <w:sz w:val="16"/>
                <w:szCs w:val="16"/>
              </w:rPr>
              <w:t> </w:t>
            </w:r>
          </w:p>
        </w:tc>
        <w:tc>
          <w:tcPr>
            <w:tcW w:w="2190"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jc w:val="both"/>
              <w:rPr>
                <w:sz w:val="16"/>
                <w:szCs w:val="16"/>
              </w:rPr>
            </w:pPr>
            <w:r>
              <w:rPr>
                <w:sz w:val="16"/>
                <w:szCs w:val="16"/>
              </w:rPr>
              <w:t xml:space="preserve">The amendment modifies the disclosure requirements for fair value measurements in Topic </w:t>
            </w:r>
            <w:r>
              <w:rPr>
                <w:rStyle w:val="a6"/>
                <w:sz w:val="16"/>
                <w:szCs w:val="16"/>
              </w:rPr>
              <w:t>820,</w:t>
            </w:r>
            <w:r>
              <w:rPr>
                <w:sz w:val="16"/>
                <w:szCs w:val="16"/>
              </w:rPr>
              <w:t xml:space="preserve"> based on the concepts in the FASB Concepts Statem</w:t>
            </w:r>
            <w:r>
              <w:rPr>
                <w:sz w:val="16"/>
                <w:szCs w:val="16"/>
              </w:rPr>
              <w:t xml:space="preserve">ent, </w:t>
            </w:r>
            <w:r>
              <w:rPr>
                <w:i/>
                <w:iCs/>
                <w:sz w:val="16"/>
                <w:szCs w:val="16"/>
              </w:rPr>
              <w:t xml:space="preserve">Conceptual Framework for Financial Reporting – Chapter </w:t>
            </w:r>
            <w:r>
              <w:rPr>
                <w:rStyle w:val="a6"/>
                <w:sz w:val="16"/>
                <w:szCs w:val="16"/>
              </w:rPr>
              <w:t>8:</w:t>
            </w:r>
            <w:r>
              <w:rPr>
                <w:i/>
                <w:iCs/>
                <w:sz w:val="16"/>
                <w:szCs w:val="16"/>
              </w:rPr>
              <w:t xml:space="preserve"> Notes to Financial Statements</w:t>
            </w:r>
            <w:r>
              <w:rPr>
                <w:sz w:val="16"/>
                <w:szCs w:val="16"/>
              </w:rPr>
              <w:t>, including the consideration of costs and benefits.</w:t>
            </w:r>
          </w:p>
        </w:tc>
        <w:tc>
          <w:tcPr>
            <w:tcW w:w="580"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jc w:val="center"/>
              <w:rPr>
                <w:sz w:val="16"/>
                <w:szCs w:val="16"/>
              </w:rPr>
            </w:pPr>
            <w:r>
              <w:rPr>
                <w:rStyle w:val="a6"/>
                <w:sz w:val="16"/>
                <w:szCs w:val="16"/>
              </w:rPr>
              <w:t xml:space="preserve">January 1, 2020; </w:t>
            </w:r>
            <w:r>
              <w:rPr>
                <w:sz w:val="16"/>
                <w:szCs w:val="16"/>
              </w:rPr>
              <w:t>Early adoption permitted</w:t>
            </w:r>
          </w:p>
        </w:tc>
        <w:tc>
          <w:tcPr>
            <w:tcW w:w="1115" w:type="pct"/>
            <w:tcBorders>
              <w:bottom w:val="single" w:sz="6" w:space="0" w:color="000000"/>
              <w:right w:val="single" w:sz="6" w:space="0" w:color="000000"/>
            </w:tcBorders>
            <w:shd w:val="clear" w:color="auto" w:fill="CCEEFF"/>
            <w:hideMark/>
          </w:tcPr>
          <w:p w:rsidR="00000000" w:rsidRDefault="004E30E9">
            <w:pPr>
              <w:pStyle w:val="a3"/>
              <w:spacing w:before="0" w:beforeAutospacing="0" w:after="0" w:afterAutospacing="0"/>
              <w:rPr>
                <w:sz w:val="16"/>
                <w:szCs w:val="16"/>
              </w:rPr>
            </w:pPr>
            <w:r>
              <w:rPr>
                <w:sz w:val="16"/>
                <w:szCs w:val="16"/>
              </w:rPr>
              <w:t xml:space="preserve">The adoption of this ASU did </w:t>
            </w:r>
            <w:r>
              <w:rPr>
                <w:rStyle w:val="a6"/>
                <w:sz w:val="16"/>
                <w:szCs w:val="16"/>
              </w:rPr>
              <w:t>not</w:t>
            </w:r>
            <w:r>
              <w:rPr>
                <w:sz w:val="16"/>
                <w:szCs w:val="16"/>
              </w:rPr>
              <w:t xml:space="preserve"> have a material impact on the Compan</w:t>
            </w:r>
            <w:r>
              <w:rPr>
                <w:sz w:val="16"/>
                <w:szCs w:val="16"/>
              </w:rPr>
              <w:t>y’s financial position and/or results of operations.</w:t>
            </w:r>
          </w:p>
        </w:tc>
      </w:tr>
      <w:tr w:rsidR="00000000">
        <w:trPr>
          <w:tblCellSpacing w:w="0" w:type="dxa"/>
        </w:trPr>
        <w:tc>
          <w:tcPr>
            <w:tcW w:w="1115" w:type="pct"/>
            <w:tcBorders>
              <w:left w:val="single" w:sz="6" w:space="0" w:color="000000"/>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rPr>
                <w:sz w:val="16"/>
                <w:szCs w:val="16"/>
              </w:rPr>
            </w:pPr>
            <w:r>
              <w:rPr>
                <w:sz w:val="16"/>
                <w:szCs w:val="16"/>
              </w:rPr>
              <w:t xml:space="preserve">ASU </w:t>
            </w:r>
            <w:r>
              <w:rPr>
                <w:rStyle w:val="a6"/>
                <w:sz w:val="16"/>
                <w:szCs w:val="16"/>
              </w:rPr>
              <w:t>2016</w:t>
            </w:r>
            <w:r>
              <w:rPr>
                <w:sz w:val="16"/>
                <w:szCs w:val="16"/>
              </w:rPr>
              <w:t>-</w:t>
            </w:r>
            <w:r>
              <w:rPr>
                <w:rStyle w:val="a6"/>
                <w:sz w:val="16"/>
                <w:szCs w:val="16"/>
              </w:rPr>
              <w:t>13,</w:t>
            </w:r>
            <w:r>
              <w:rPr>
                <w:sz w:val="16"/>
                <w:szCs w:val="16"/>
              </w:rPr>
              <w:t xml:space="preserve"> Financial Instruments – Credit Losses (Topic </w:t>
            </w:r>
            <w:r>
              <w:rPr>
                <w:rStyle w:val="a6"/>
                <w:sz w:val="16"/>
                <w:szCs w:val="16"/>
              </w:rPr>
              <w:t>326</w:t>
            </w:r>
            <w:r>
              <w:rPr>
                <w:sz w:val="16"/>
                <w:szCs w:val="16"/>
              </w:rPr>
              <w:t>): Measurement of Credit Losses on Financial Instruments</w:t>
            </w:r>
          </w:p>
          <w:p w:rsidR="00000000" w:rsidRDefault="004E30E9">
            <w:pPr>
              <w:pStyle w:val="a3"/>
              <w:spacing w:before="0" w:beforeAutospacing="0" w:after="0" w:afterAutospacing="0"/>
              <w:rPr>
                <w:sz w:val="16"/>
                <w:szCs w:val="16"/>
              </w:rPr>
            </w:pPr>
            <w:r>
              <w:rPr>
                <w:sz w:val="16"/>
                <w:szCs w:val="16"/>
              </w:rPr>
              <w:t> </w:t>
            </w:r>
          </w:p>
          <w:p w:rsidR="00000000" w:rsidRDefault="004E30E9">
            <w:pPr>
              <w:pStyle w:val="a3"/>
              <w:spacing w:before="0" w:beforeAutospacing="0" w:after="0" w:afterAutospacing="0"/>
              <w:rPr>
                <w:sz w:val="16"/>
                <w:szCs w:val="16"/>
              </w:rPr>
            </w:pPr>
            <w:r>
              <w:rPr>
                <w:sz w:val="16"/>
                <w:szCs w:val="16"/>
              </w:rPr>
              <w:t xml:space="preserve">ASU </w:t>
            </w:r>
            <w:r>
              <w:rPr>
                <w:rStyle w:val="a6"/>
                <w:sz w:val="16"/>
                <w:szCs w:val="16"/>
              </w:rPr>
              <w:t>2018</w:t>
            </w:r>
            <w:r>
              <w:rPr>
                <w:sz w:val="16"/>
                <w:szCs w:val="16"/>
              </w:rPr>
              <w:t>-</w:t>
            </w:r>
            <w:r>
              <w:rPr>
                <w:rStyle w:val="a6"/>
                <w:sz w:val="16"/>
                <w:szCs w:val="16"/>
              </w:rPr>
              <w:t>19,</w:t>
            </w:r>
            <w:r>
              <w:rPr>
                <w:sz w:val="16"/>
                <w:szCs w:val="16"/>
              </w:rPr>
              <w:t xml:space="preserve"> Codification Improvements to Topic </w:t>
            </w:r>
            <w:r>
              <w:rPr>
                <w:rStyle w:val="a6"/>
                <w:sz w:val="16"/>
                <w:szCs w:val="16"/>
              </w:rPr>
              <w:t>326,</w:t>
            </w:r>
            <w:r>
              <w:rPr>
                <w:sz w:val="16"/>
                <w:szCs w:val="16"/>
              </w:rPr>
              <w:t> Financial Instruments – Credi</w:t>
            </w:r>
            <w:r>
              <w:rPr>
                <w:sz w:val="16"/>
                <w:szCs w:val="16"/>
              </w:rPr>
              <w:t>t Losses</w:t>
            </w:r>
          </w:p>
          <w:p w:rsidR="00000000" w:rsidRDefault="004E30E9">
            <w:pPr>
              <w:pStyle w:val="a3"/>
              <w:spacing w:before="0" w:beforeAutospacing="0" w:after="0" w:afterAutospacing="0"/>
              <w:rPr>
                <w:sz w:val="16"/>
                <w:szCs w:val="16"/>
              </w:rPr>
            </w:pPr>
            <w:r>
              <w:rPr>
                <w:sz w:val="16"/>
                <w:szCs w:val="16"/>
              </w:rPr>
              <w:t> </w:t>
            </w:r>
          </w:p>
          <w:p w:rsidR="00000000" w:rsidRDefault="004E30E9">
            <w:pPr>
              <w:pStyle w:val="a3"/>
              <w:spacing w:before="0" w:beforeAutospacing="0" w:after="0" w:afterAutospacing="0"/>
              <w:rPr>
                <w:sz w:val="16"/>
                <w:szCs w:val="16"/>
              </w:rPr>
            </w:pPr>
            <w:r>
              <w:rPr>
                <w:sz w:val="16"/>
                <w:szCs w:val="16"/>
              </w:rPr>
              <w:t xml:space="preserve">ASU </w:t>
            </w:r>
            <w:r>
              <w:rPr>
                <w:rStyle w:val="a6"/>
                <w:sz w:val="16"/>
                <w:szCs w:val="16"/>
              </w:rPr>
              <w:t>2019</w:t>
            </w:r>
            <w:r>
              <w:rPr>
                <w:sz w:val="16"/>
                <w:szCs w:val="16"/>
              </w:rPr>
              <w:t>-</w:t>
            </w:r>
            <w:r>
              <w:rPr>
                <w:rStyle w:val="a6"/>
                <w:sz w:val="16"/>
                <w:szCs w:val="16"/>
              </w:rPr>
              <w:t>05,</w:t>
            </w:r>
            <w:r>
              <w:rPr>
                <w:sz w:val="16"/>
                <w:szCs w:val="16"/>
              </w:rPr>
              <w:t xml:space="preserve"> Financial Instruments – Credit Losses (Topic </w:t>
            </w:r>
            <w:r>
              <w:rPr>
                <w:rStyle w:val="a6"/>
                <w:sz w:val="16"/>
                <w:szCs w:val="16"/>
              </w:rPr>
              <w:t>326</w:t>
            </w:r>
            <w:r>
              <w:rPr>
                <w:sz w:val="16"/>
                <w:szCs w:val="16"/>
              </w:rPr>
              <w:t>), Targeted Transition Relief</w:t>
            </w:r>
          </w:p>
          <w:p w:rsidR="00000000" w:rsidRDefault="004E30E9">
            <w:pPr>
              <w:pStyle w:val="a3"/>
              <w:spacing w:before="0" w:beforeAutospacing="0" w:after="0" w:afterAutospacing="0"/>
              <w:rPr>
                <w:sz w:val="16"/>
                <w:szCs w:val="16"/>
              </w:rPr>
            </w:pPr>
            <w:r>
              <w:rPr>
                <w:sz w:val="16"/>
                <w:szCs w:val="16"/>
              </w:rPr>
              <w:t> </w:t>
            </w:r>
          </w:p>
          <w:p w:rsidR="00000000" w:rsidRDefault="004E30E9">
            <w:pPr>
              <w:pStyle w:val="a3"/>
              <w:spacing w:before="0" w:beforeAutospacing="0" w:after="0" w:afterAutospacing="0"/>
              <w:rPr>
                <w:sz w:val="16"/>
                <w:szCs w:val="16"/>
              </w:rPr>
            </w:pPr>
            <w:r>
              <w:rPr>
                <w:sz w:val="16"/>
                <w:szCs w:val="16"/>
              </w:rPr>
              <w:t xml:space="preserve">ASU </w:t>
            </w:r>
            <w:r>
              <w:rPr>
                <w:rStyle w:val="a6"/>
                <w:sz w:val="16"/>
                <w:szCs w:val="16"/>
              </w:rPr>
              <w:t>2019</w:t>
            </w:r>
            <w:r>
              <w:rPr>
                <w:sz w:val="16"/>
                <w:szCs w:val="16"/>
              </w:rPr>
              <w:t>-</w:t>
            </w:r>
            <w:r>
              <w:rPr>
                <w:rStyle w:val="a6"/>
                <w:sz w:val="16"/>
                <w:szCs w:val="16"/>
              </w:rPr>
              <w:t>11,</w:t>
            </w:r>
            <w:r>
              <w:rPr>
                <w:sz w:val="16"/>
                <w:szCs w:val="16"/>
              </w:rPr>
              <w:t xml:space="preserve"> Codification Improvements to Topic </w:t>
            </w:r>
            <w:r>
              <w:rPr>
                <w:rStyle w:val="a6"/>
                <w:sz w:val="16"/>
                <w:szCs w:val="16"/>
              </w:rPr>
              <w:t>326,</w:t>
            </w:r>
            <w:r>
              <w:rPr>
                <w:sz w:val="16"/>
                <w:szCs w:val="16"/>
              </w:rPr>
              <w:t xml:space="preserve"> Financial Instruments – Credit Losses</w:t>
            </w:r>
          </w:p>
        </w:tc>
        <w:tc>
          <w:tcPr>
            <w:tcW w:w="2190" w:type="pct"/>
            <w:tcBorders>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jc w:val="both"/>
              <w:rPr>
                <w:sz w:val="16"/>
                <w:szCs w:val="16"/>
              </w:rPr>
            </w:pPr>
            <w:r>
              <w:rPr>
                <w:sz w:val="16"/>
                <w:szCs w:val="16"/>
              </w:rPr>
              <w:t>The new guidance introduces a new model for estimating credit losses for certain types of financial instruments, including loans receivable, held-to-maturity debt securities, and net investments in direct financing leases, amongst other financial instrumen</w:t>
            </w:r>
            <w:r>
              <w:rPr>
                <w:sz w:val="16"/>
                <w:szCs w:val="16"/>
              </w:rPr>
              <w:t xml:space="preserve">ts. ASU </w:t>
            </w:r>
            <w:r>
              <w:rPr>
                <w:rStyle w:val="a6"/>
                <w:sz w:val="16"/>
                <w:szCs w:val="16"/>
              </w:rPr>
              <w:t>2016</w:t>
            </w:r>
            <w:r>
              <w:rPr>
                <w:sz w:val="16"/>
                <w:szCs w:val="16"/>
              </w:rPr>
              <w:t>-</w:t>
            </w:r>
            <w:r>
              <w:rPr>
                <w:rStyle w:val="a6"/>
                <w:sz w:val="16"/>
                <w:szCs w:val="16"/>
              </w:rPr>
              <w:t>13</w:t>
            </w:r>
            <w:r>
              <w:rPr>
                <w:sz w:val="16"/>
                <w:szCs w:val="16"/>
              </w:rPr>
              <w:t xml:space="preserve"> also modifies the impairment model for available-for-sale debt securities and expands the disclosure requirements regarding an entity’s assumptions, models, and methods for estimating the allowance for losses.</w:t>
            </w:r>
          </w:p>
          <w:p w:rsidR="00000000" w:rsidRDefault="004E30E9">
            <w:pPr>
              <w:pStyle w:val="a3"/>
              <w:spacing w:before="0" w:beforeAutospacing="0" w:after="0" w:afterAutospacing="0"/>
              <w:jc w:val="both"/>
              <w:rPr>
                <w:sz w:val="16"/>
                <w:szCs w:val="16"/>
              </w:rPr>
            </w:pPr>
            <w:r>
              <w:rPr>
                <w:sz w:val="16"/>
                <w:szCs w:val="16"/>
              </w:rPr>
              <w:t> </w:t>
            </w:r>
          </w:p>
          <w:p w:rsidR="00000000" w:rsidRDefault="004E30E9">
            <w:pPr>
              <w:pStyle w:val="a3"/>
              <w:spacing w:before="0" w:beforeAutospacing="0" w:after="0" w:afterAutospacing="0"/>
              <w:jc w:val="both"/>
              <w:rPr>
                <w:sz w:val="16"/>
                <w:szCs w:val="16"/>
              </w:rPr>
            </w:pPr>
            <w:r>
              <w:rPr>
                <w:sz w:val="16"/>
                <w:szCs w:val="16"/>
              </w:rPr>
              <w:t xml:space="preserve">In </w:t>
            </w:r>
            <w:r>
              <w:rPr>
                <w:rStyle w:val="a6"/>
                <w:sz w:val="16"/>
                <w:szCs w:val="16"/>
              </w:rPr>
              <w:t xml:space="preserve">November 2018, </w:t>
            </w:r>
            <w:r>
              <w:rPr>
                <w:sz w:val="16"/>
                <w:szCs w:val="16"/>
              </w:rPr>
              <w:t>the FASB i</w:t>
            </w:r>
            <w:r>
              <w:rPr>
                <w:sz w:val="16"/>
                <w:szCs w:val="16"/>
              </w:rPr>
              <w:t xml:space="preserve">ssued ASU </w:t>
            </w:r>
            <w:r>
              <w:rPr>
                <w:rStyle w:val="a6"/>
                <w:sz w:val="16"/>
                <w:szCs w:val="16"/>
              </w:rPr>
              <w:t>2018</w:t>
            </w:r>
            <w:r>
              <w:rPr>
                <w:sz w:val="16"/>
                <w:szCs w:val="16"/>
              </w:rPr>
              <w:t>-</w:t>
            </w:r>
            <w:r>
              <w:rPr>
                <w:rStyle w:val="a6"/>
                <w:sz w:val="16"/>
                <w:szCs w:val="16"/>
              </w:rPr>
              <w:t>19,</w:t>
            </w:r>
            <w:r>
              <w:rPr>
                <w:sz w:val="16"/>
                <w:szCs w:val="16"/>
              </w:rPr>
              <w:t xml:space="preserve"> which includes amendments to (i) clarify receivables arising from operating leases are within the scope of the new leasing standard (Topic </w:t>
            </w:r>
            <w:r>
              <w:rPr>
                <w:rStyle w:val="a6"/>
                <w:sz w:val="16"/>
                <w:szCs w:val="16"/>
              </w:rPr>
              <w:t>842</w:t>
            </w:r>
            <w:r>
              <w:rPr>
                <w:sz w:val="16"/>
                <w:szCs w:val="16"/>
              </w:rPr>
              <w:t>) discussed below and (ii) align the implementation date for nonpublic entities’ annual financi</w:t>
            </w:r>
            <w:r>
              <w:rPr>
                <w:sz w:val="16"/>
                <w:szCs w:val="16"/>
              </w:rPr>
              <w:t>al statements with the implementation date for their interim financial statements. Early adoption is permitted as of the original effective date.</w:t>
            </w:r>
          </w:p>
          <w:p w:rsidR="00000000" w:rsidRDefault="004E30E9">
            <w:pPr>
              <w:pStyle w:val="a3"/>
              <w:spacing w:before="0" w:beforeAutospacing="0" w:after="0" w:afterAutospacing="0"/>
              <w:jc w:val="both"/>
              <w:rPr>
                <w:sz w:val="16"/>
                <w:szCs w:val="16"/>
              </w:rPr>
            </w:pPr>
            <w:r>
              <w:rPr>
                <w:sz w:val="16"/>
                <w:szCs w:val="16"/>
              </w:rPr>
              <w:t> </w:t>
            </w:r>
          </w:p>
          <w:p w:rsidR="00000000" w:rsidRDefault="004E30E9">
            <w:pPr>
              <w:pStyle w:val="a3"/>
              <w:spacing w:before="0" w:beforeAutospacing="0" w:after="0" w:afterAutospacing="0"/>
              <w:jc w:val="both"/>
              <w:rPr>
                <w:sz w:val="16"/>
                <w:szCs w:val="16"/>
              </w:rPr>
            </w:pPr>
            <w:r>
              <w:rPr>
                <w:sz w:val="16"/>
                <w:szCs w:val="16"/>
              </w:rPr>
              <w:t>In </w:t>
            </w:r>
            <w:r>
              <w:rPr>
                <w:rStyle w:val="a6"/>
                <w:sz w:val="16"/>
                <w:szCs w:val="16"/>
              </w:rPr>
              <w:t xml:space="preserve"> May 2019,</w:t>
            </w:r>
            <w:r>
              <w:rPr>
                <w:sz w:val="16"/>
                <w:szCs w:val="16"/>
              </w:rPr>
              <w:t xml:space="preserve"> the FASB issued ASU </w:t>
            </w:r>
            <w:r>
              <w:rPr>
                <w:rStyle w:val="a6"/>
                <w:sz w:val="16"/>
                <w:szCs w:val="16"/>
              </w:rPr>
              <w:t>2019</w:t>
            </w:r>
            <w:r>
              <w:rPr>
                <w:sz w:val="16"/>
                <w:szCs w:val="16"/>
              </w:rPr>
              <w:t>-</w:t>
            </w:r>
            <w:r>
              <w:rPr>
                <w:rStyle w:val="a6"/>
                <w:sz w:val="16"/>
                <w:szCs w:val="16"/>
              </w:rPr>
              <w:t>05,</w:t>
            </w:r>
            <w:r>
              <w:rPr>
                <w:sz w:val="16"/>
                <w:szCs w:val="16"/>
              </w:rPr>
              <w:t xml:space="preserve"> which amends ASU </w:t>
            </w:r>
            <w:r>
              <w:rPr>
                <w:rStyle w:val="a6"/>
                <w:sz w:val="16"/>
                <w:szCs w:val="16"/>
              </w:rPr>
              <w:t>2016</w:t>
            </w:r>
            <w:r>
              <w:rPr>
                <w:sz w:val="16"/>
                <w:szCs w:val="16"/>
              </w:rPr>
              <w:t>-</w:t>
            </w:r>
            <w:r>
              <w:rPr>
                <w:rStyle w:val="a6"/>
                <w:sz w:val="16"/>
                <w:szCs w:val="16"/>
              </w:rPr>
              <w:t>13</w:t>
            </w:r>
            <w:r>
              <w:rPr>
                <w:sz w:val="16"/>
                <w:szCs w:val="16"/>
              </w:rPr>
              <w:t xml:space="preserve"> to allow companies to irrevocably elect,</w:t>
            </w:r>
            <w:r>
              <w:rPr>
                <w:sz w:val="16"/>
                <w:szCs w:val="16"/>
              </w:rPr>
              <w:t xml:space="preserve"> upon adoption of ASU </w:t>
            </w:r>
            <w:r>
              <w:rPr>
                <w:rStyle w:val="a6"/>
                <w:sz w:val="16"/>
                <w:szCs w:val="16"/>
              </w:rPr>
              <w:t>2016</w:t>
            </w:r>
            <w:r>
              <w:rPr>
                <w:sz w:val="16"/>
                <w:szCs w:val="16"/>
              </w:rPr>
              <w:t>-</w:t>
            </w:r>
            <w:r>
              <w:rPr>
                <w:rStyle w:val="a6"/>
                <w:sz w:val="16"/>
                <w:szCs w:val="16"/>
              </w:rPr>
              <w:t>13,</w:t>
            </w:r>
            <w:r>
              <w:rPr>
                <w:sz w:val="16"/>
                <w:szCs w:val="16"/>
              </w:rPr>
              <w:t xml:space="preserve"> the fair value option on financial instruments that (i) were previously recorded at amortized cost and (ii) are within the scope of ASC </w:t>
            </w:r>
            <w:r>
              <w:rPr>
                <w:rStyle w:val="a6"/>
                <w:sz w:val="16"/>
                <w:szCs w:val="16"/>
              </w:rPr>
              <w:t>326</w:t>
            </w:r>
            <w:r>
              <w:rPr>
                <w:sz w:val="16"/>
                <w:szCs w:val="16"/>
              </w:rPr>
              <w:t>-</w:t>
            </w:r>
            <w:r>
              <w:rPr>
                <w:rStyle w:val="a6"/>
                <w:sz w:val="16"/>
                <w:szCs w:val="16"/>
              </w:rPr>
              <w:t>203</w:t>
            </w:r>
            <w:r>
              <w:rPr>
                <w:sz w:val="16"/>
                <w:szCs w:val="16"/>
              </w:rPr>
              <w:t xml:space="preserve"> if the instruments are eligible for the fair value option under ASC </w:t>
            </w:r>
            <w:r>
              <w:rPr>
                <w:rStyle w:val="a6"/>
                <w:sz w:val="16"/>
                <w:szCs w:val="16"/>
              </w:rPr>
              <w:t>825</w:t>
            </w:r>
            <w:r>
              <w:rPr>
                <w:sz w:val="16"/>
                <w:szCs w:val="16"/>
              </w:rPr>
              <w:t>-</w:t>
            </w:r>
            <w:r>
              <w:rPr>
                <w:rStyle w:val="a6"/>
                <w:sz w:val="16"/>
                <w:szCs w:val="16"/>
              </w:rPr>
              <w:t>10.4.</w:t>
            </w:r>
            <w:r>
              <w:rPr>
                <w:sz w:val="16"/>
                <w:szCs w:val="16"/>
              </w:rPr>
              <w:t xml:space="preserve"> The</w:t>
            </w:r>
            <w:r>
              <w:rPr>
                <w:sz w:val="16"/>
                <w:szCs w:val="16"/>
              </w:rPr>
              <w:t xml:space="preserve"> fair value option election does </w:t>
            </w:r>
            <w:r>
              <w:rPr>
                <w:rStyle w:val="a6"/>
                <w:sz w:val="16"/>
                <w:szCs w:val="16"/>
              </w:rPr>
              <w:t>not</w:t>
            </w:r>
            <w:r>
              <w:rPr>
                <w:sz w:val="16"/>
                <w:szCs w:val="16"/>
              </w:rPr>
              <w:t xml:space="preserve"> apply to held-to-maturity debt securities. Entities are required to make this election on an instrument-by-instrument basis. These amendments should be applied on a modified-retrospective basis by means of a cumulative-</w:t>
            </w:r>
            <w:r>
              <w:rPr>
                <w:sz w:val="16"/>
                <w:szCs w:val="16"/>
              </w:rPr>
              <w:t xml:space="preserve">effect adjustment to the opening balance of retained earnings balance in the statement of financial position as of the date that an entity adopted the amendments in ASU </w:t>
            </w:r>
            <w:r>
              <w:rPr>
                <w:rStyle w:val="a6"/>
                <w:sz w:val="16"/>
                <w:szCs w:val="16"/>
              </w:rPr>
              <w:t>2016</w:t>
            </w:r>
            <w:r>
              <w:rPr>
                <w:sz w:val="16"/>
                <w:szCs w:val="16"/>
              </w:rPr>
              <w:t>-</w:t>
            </w:r>
            <w:r>
              <w:rPr>
                <w:rStyle w:val="a6"/>
                <w:sz w:val="16"/>
                <w:szCs w:val="16"/>
              </w:rPr>
              <w:t>13.</w:t>
            </w:r>
            <w:r>
              <w:rPr>
                <w:sz w:val="16"/>
                <w:szCs w:val="16"/>
              </w:rPr>
              <w:t xml:space="preserve"> Certain disclosures are required. </w:t>
            </w:r>
            <w:r>
              <w:rPr>
                <w:sz w:val="16"/>
                <w:szCs w:val="16"/>
              </w:rPr>
              <w:t xml:space="preserve">The effective date will be the same as the effective date in ASU </w:t>
            </w:r>
            <w:r>
              <w:rPr>
                <w:rStyle w:val="a6"/>
                <w:sz w:val="16"/>
                <w:szCs w:val="16"/>
              </w:rPr>
              <w:t>2016</w:t>
            </w:r>
            <w:r>
              <w:rPr>
                <w:sz w:val="16"/>
                <w:szCs w:val="16"/>
              </w:rPr>
              <w:t>-</w:t>
            </w:r>
            <w:r>
              <w:rPr>
                <w:rStyle w:val="a6"/>
                <w:sz w:val="16"/>
                <w:szCs w:val="16"/>
              </w:rPr>
              <w:t>13.</w:t>
            </w:r>
            <w:r>
              <w:rPr>
                <w:sz w:val="16"/>
                <w:szCs w:val="16"/>
              </w:rPr>
              <w:t> </w:t>
            </w:r>
          </w:p>
          <w:p w:rsidR="00000000" w:rsidRDefault="004E30E9">
            <w:pPr>
              <w:pStyle w:val="a3"/>
              <w:spacing w:before="0" w:beforeAutospacing="0" w:after="0" w:afterAutospacing="0"/>
              <w:jc w:val="both"/>
              <w:rPr>
                <w:sz w:val="16"/>
                <w:szCs w:val="16"/>
              </w:rPr>
            </w:pPr>
            <w:r>
              <w:rPr>
                <w:sz w:val="16"/>
                <w:szCs w:val="16"/>
              </w:rPr>
              <w:t> </w:t>
            </w:r>
          </w:p>
          <w:p w:rsidR="00000000" w:rsidRDefault="004E30E9">
            <w:pPr>
              <w:pStyle w:val="a3"/>
              <w:spacing w:before="0" w:beforeAutospacing="0" w:after="0" w:afterAutospacing="0"/>
              <w:rPr>
                <w:sz w:val="16"/>
                <w:szCs w:val="16"/>
              </w:rPr>
            </w:pPr>
            <w:r>
              <w:rPr>
                <w:sz w:val="16"/>
                <w:szCs w:val="16"/>
              </w:rPr>
              <w:t xml:space="preserve">In </w:t>
            </w:r>
            <w:r>
              <w:rPr>
                <w:rStyle w:val="a6"/>
                <w:sz w:val="16"/>
                <w:szCs w:val="16"/>
              </w:rPr>
              <w:t xml:space="preserve">November 2019, </w:t>
            </w:r>
            <w:r>
              <w:rPr>
                <w:sz w:val="16"/>
                <w:szCs w:val="16"/>
              </w:rPr>
              <w:t xml:space="preserve">the FASB issued ASU </w:t>
            </w:r>
            <w:r>
              <w:rPr>
                <w:rStyle w:val="a6"/>
                <w:sz w:val="16"/>
                <w:szCs w:val="16"/>
              </w:rPr>
              <w:t>2019</w:t>
            </w:r>
            <w:r>
              <w:rPr>
                <w:sz w:val="16"/>
                <w:szCs w:val="16"/>
              </w:rPr>
              <w:t>-</w:t>
            </w:r>
            <w:r>
              <w:rPr>
                <w:rStyle w:val="a6"/>
                <w:sz w:val="16"/>
                <w:szCs w:val="16"/>
              </w:rPr>
              <w:t>11,</w:t>
            </w:r>
            <w:r>
              <w:rPr>
                <w:sz w:val="16"/>
                <w:szCs w:val="16"/>
              </w:rPr>
              <w:t xml:space="preserve"> which clarifies the treatment of certain credit losses and disclosure requirements.</w:t>
            </w:r>
          </w:p>
        </w:tc>
        <w:tc>
          <w:tcPr>
            <w:tcW w:w="580" w:type="pct"/>
            <w:tcBorders>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jc w:val="center"/>
              <w:rPr>
                <w:sz w:val="16"/>
                <w:szCs w:val="16"/>
              </w:rPr>
            </w:pPr>
            <w:r>
              <w:rPr>
                <w:rStyle w:val="a6"/>
                <w:sz w:val="16"/>
                <w:szCs w:val="16"/>
              </w:rPr>
              <w:t xml:space="preserve">January 1, 2020; </w:t>
            </w:r>
            <w:r>
              <w:rPr>
                <w:sz w:val="16"/>
                <w:szCs w:val="16"/>
              </w:rPr>
              <w:t>Early adoption permitted</w:t>
            </w:r>
          </w:p>
        </w:tc>
        <w:tc>
          <w:tcPr>
            <w:tcW w:w="1115" w:type="pct"/>
            <w:tcBorders>
              <w:bottom w:val="single" w:sz="6" w:space="0" w:color="000000"/>
              <w:right w:val="single" w:sz="6" w:space="0" w:color="000000"/>
            </w:tcBorders>
            <w:shd w:val="clear" w:color="auto" w:fill="FFFFFF"/>
            <w:hideMark/>
          </w:tcPr>
          <w:p w:rsidR="00000000" w:rsidRDefault="004E30E9">
            <w:pPr>
              <w:pStyle w:val="a3"/>
              <w:spacing w:before="0" w:beforeAutospacing="0" w:after="0" w:afterAutospacing="0"/>
              <w:rPr>
                <w:sz w:val="16"/>
                <w:szCs w:val="16"/>
              </w:rPr>
            </w:pPr>
            <w:r>
              <w:rPr>
                <w:sz w:val="16"/>
                <w:szCs w:val="16"/>
              </w:rPr>
              <w:t>The Co</w:t>
            </w:r>
            <w:r>
              <w:rPr>
                <w:sz w:val="16"/>
                <w:szCs w:val="16"/>
              </w:rPr>
              <w:t>mpany adopted this standard using the modified retrospective method.</w:t>
            </w:r>
          </w:p>
          <w:p w:rsidR="00000000" w:rsidRDefault="004E30E9">
            <w:pPr>
              <w:pStyle w:val="a3"/>
              <w:spacing w:before="0" w:beforeAutospacing="0" w:after="0" w:afterAutospacing="0"/>
              <w:rPr>
                <w:sz w:val="16"/>
                <w:szCs w:val="16"/>
              </w:rPr>
            </w:pPr>
            <w:r>
              <w:rPr>
                <w:sz w:val="16"/>
                <w:szCs w:val="16"/>
              </w:rPr>
              <w:t> </w:t>
            </w:r>
          </w:p>
          <w:p w:rsidR="00000000" w:rsidRDefault="004E30E9">
            <w:pPr>
              <w:pStyle w:val="a3"/>
              <w:spacing w:before="0" w:beforeAutospacing="0" w:after="0" w:afterAutospacing="0"/>
              <w:rPr>
                <w:sz w:val="16"/>
                <w:szCs w:val="16"/>
              </w:rPr>
            </w:pPr>
            <w:r>
              <w:rPr>
                <w:sz w:val="16"/>
                <w:szCs w:val="16"/>
              </w:rPr>
              <w:t xml:space="preserve">While the Company’s mortgages and other financing receivables are impacted by this ASU, the adoption did </w:t>
            </w:r>
            <w:r>
              <w:rPr>
                <w:rStyle w:val="a6"/>
                <w:sz w:val="16"/>
                <w:szCs w:val="16"/>
              </w:rPr>
              <w:t>not</w:t>
            </w:r>
            <w:r>
              <w:rPr>
                <w:sz w:val="16"/>
                <w:szCs w:val="16"/>
              </w:rPr>
              <w:t xml:space="preserve"> have a material impact on the Company’s Consolidated Financial Statements.</w:t>
            </w:r>
          </w:p>
        </w:tc>
      </w:tr>
    </w:tbl>
    <w:p w:rsidR="00000000" w:rsidRDefault="004E30E9">
      <w:pPr>
        <w:rPr>
          <w:rFonts w:eastAsia="Times New Roman"/>
          <w:vanish/>
          <w:sz w:val="20"/>
          <w:szCs w:val="20"/>
        </w:rPr>
      </w:pPr>
    </w:p>
    <w:tbl>
      <w:tblPr>
        <w:tblW w:w="5000" w:type="pct"/>
        <w:tblCellSpacing w:w="0" w:type="dxa"/>
        <w:tblCellMar>
          <w:top w:w="36" w:type="dxa"/>
          <w:left w:w="36" w:type="dxa"/>
          <w:bottom w:w="36" w:type="dxa"/>
          <w:right w:w="36" w:type="dxa"/>
        </w:tblCellMar>
        <w:tblLook w:val="04A0" w:firstRow="1" w:lastRow="0" w:firstColumn="1" w:lastColumn="0" w:noHBand="0" w:noVBand="1"/>
      </w:tblPr>
      <w:tblGrid>
        <w:gridCol w:w="8298"/>
      </w:tblGrid>
      <w:tr w:rsidR="00000000">
        <w:trPr>
          <w:tblCellSpacing w:w="0" w:type="dxa"/>
        </w:trPr>
        <w:tc>
          <w:tcPr>
            <w:tcW w:w="1115" w:type="pct"/>
            <w:tcBorders>
              <w:bottom w:val="single" w:sz="6" w:space="0" w:color="000000"/>
              <w:right w:val="single" w:sz="6" w:space="0" w:color="000000"/>
            </w:tcBorders>
            <w:shd w:val="clear" w:color="auto" w:fill="FFFFFF"/>
            <w:hideMark/>
          </w:tcPr>
          <w:p w:rsidR="00000000" w:rsidRDefault="004E30E9">
            <w:pPr>
              <w:rPr>
                <w:rFonts w:eastAsia="Times New Roman"/>
                <w:sz w:val="20"/>
                <w:szCs w:val="20"/>
              </w:rPr>
            </w:pP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668098751"/>
        <w:rPr>
          <w:rFonts w:eastAsia="Times New Roman"/>
          <w:sz w:val="20"/>
          <w:szCs w:val="20"/>
        </w:rPr>
      </w:pPr>
      <w:r>
        <w:rPr>
          <w:rFonts w:eastAsia="Times New Roman"/>
          <w:sz w:val="20"/>
          <w:szCs w:val="20"/>
        </w:rPr>
        <w:t xml:space="preserve">68 </w:t>
      </w:r>
    </w:p>
    <w:p w:rsidR="00000000" w:rsidRDefault="004E30E9">
      <w:pPr>
        <w:divId w:val="334919649"/>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4E30E9">
      <w:pPr>
        <w:divId w:val="191820376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divId w:val="418061030"/>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2.</w:t>
      </w:r>
      <w:r>
        <w:rPr>
          <w:sz w:val="20"/>
          <w:szCs w:val="20"/>
        </w:rPr>
        <w:t>   </w:t>
      </w:r>
      <w:r>
        <w:rPr>
          <w:sz w:val="20"/>
          <w:szCs w:val="20"/>
          <w:u w:val="single"/>
        </w:rPr>
        <w:t>Real Estate:</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rPr>
        <w:t>The Company’s components of Real estate, net consi</w:t>
      </w:r>
      <w:r>
        <w:rPr>
          <w:sz w:val="20"/>
          <w:szCs w:val="20"/>
        </w:rPr>
        <w:t>st of the following (in thousands):</w:t>
      </w:r>
    </w:p>
    <w:p w:rsidR="00000000" w:rsidRDefault="004E30E9">
      <w:pPr>
        <w:pStyle w:val="a3"/>
        <w:spacing w:before="0" w:beforeAutospacing="0" w:after="0" w:afterAutospacing="0"/>
        <w:ind w:left="36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8"/>
        <w:gridCol w:w="61"/>
        <w:gridCol w:w="100"/>
        <w:gridCol w:w="1049"/>
        <w:gridCol w:w="67"/>
        <w:gridCol w:w="57"/>
        <w:gridCol w:w="100"/>
        <w:gridCol w:w="1051"/>
        <w:gridCol w:w="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ind w:left="72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Land:</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Developed land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2,758,936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2,759,232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Undeveloped land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22,952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28,923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Total land</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nil"/>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2,781,888</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nil"/>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2,788,155</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Buildings and improvements: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Buildings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5,911,602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5,661,306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Building improvements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1,918,641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1,840,580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Tenant improvements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820,027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771,498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Fixtures and leasehold improvements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32,123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31,563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Above-market leases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125,858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128,854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In-place leases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473,016</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487,150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Total buildings and improvements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9,281,267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8,920,951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12,063,155</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11,709,106</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Accumulated depreciation and amortization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(2,717,114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(2,500,053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Total real estate,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9,346,041</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9,209,053</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rPr>
          <w:sz w:val="6"/>
          <w:szCs w:val="6"/>
        </w:rPr>
      </w:pPr>
      <w:r>
        <w:rPr>
          <w:sz w:val="6"/>
          <w:szCs w:val="6"/>
        </w:rPr>
        <w:t> </w:t>
      </w:r>
    </w:p>
    <w:p w:rsidR="00000000" w:rsidRDefault="004E30E9">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At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w:t>
            </w:r>
            <w:r>
              <w:rPr>
                <w:sz w:val="20"/>
                <w:szCs w:val="20"/>
              </w:rPr>
              <w:t>the Company had accumulated amortization relating to in-place leases and above-market leases aggregating $499,022 and $485,040, respectively.</w:t>
            </w:r>
          </w:p>
        </w:tc>
      </w:tr>
    </w:tbl>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 addition, at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the Company had intangible liabilities relating to below-market lea</w:t>
      </w:r>
      <w:r>
        <w:rPr>
          <w:sz w:val="20"/>
          <w:szCs w:val="20"/>
        </w:rPr>
        <w:t>ses from property acquisitions of $231.3 million and $259.3 million, respectively, net of accumulated amortization of $219.6 million and $207.0 million, respectively. These amounts are included in the caption Other liabilities on the Company’s Consolidated</w:t>
      </w:r>
      <w:r>
        <w:rPr>
          <w:sz w:val="20"/>
          <w:szCs w:val="20"/>
        </w:rPr>
        <w:t xml:space="preserve"> Balance Sheets.  </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Company’s amortization associated with above-market and below-market leases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resulted in net increases to revenue of $22.5 million, $20.0 million and $14.9 million, respectively. </w:t>
      </w:r>
      <w:r>
        <w:rPr>
          <w:sz w:val="20"/>
          <w:szCs w:val="20"/>
        </w:rPr>
        <w:t xml:space="preserve">The Company’s amortization expense associated with in-place leases, which is included in depreciation and amortization,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was $26.3 million, $33.1 million and $47.4 million, respectively.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478962144"/>
        <w:rPr>
          <w:rFonts w:eastAsia="Times New Roman"/>
          <w:sz w:val="20"/>
          <w:szCs w:val="20"/>
        </w:rPr>
      </w:pPr>
      <w:r>
        <w:rPr>
          <w:rStyle w:val="a6"/>
          <w:rFonts w:eastAsia="Times New Roman"/>
          <w:sz w:val="20"/>
          <w:szCs w:val="20"/>
        </w:rPr>
        <w:t>69</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05" style="width:415.3pt;height:1.5pt" o:hralign="center" o:hrstd="t" o:hrnoshade="t" o:hr="t" fillcolor="black" stroked="f"/>
        </w:pict>
      </w:r>
    </w:p>
    <w:p w:rsidR="00000000" w:rsidRDefault="004E30E9">
      <w:pPr>
        <w:divId w:val="1718775914"/>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estimated net amortization income/(expense) associated with the Company’s above-market and below-market leases and in-place leases for the next </w:t>
      </w:r>
      <w:r>
        <w:rPr>
          <w:rStyle w:val="a6"/>
          <w:sz w:val="20"/>
          <w:szCs w:val="20"/>
        </w:rPr>
        <w:t>five</w:t>
      </w:r>
      <w:r>
        <w:rPr>
          <w:sz w:val="20"/>
          <w:szCs w:val="20"/>
        </w:rPr>
        <w:t xml:space="preserve"> years are as follows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6"/>
        <w:gridCol w:w="77"/>
        <w:gridCol w:w="100"/>
        <w:gridCol w:w="742"/>
        <w:gridCol w:w="77"/>
        <w:gridCol w:w="77"/>
        <w:gridCol w:w="100"/>
        <w:gridCol w:w="742"/>
        <w:gridCol w:w="78"/>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Above-market and below-market leases amortization, net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12.1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12.2</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11.3</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11.2</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In-place leases amortization</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(23.1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(17.8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divId w:val="427385673"/>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3.</w:t>
      </w:r>
      <w:r>
        <w:rPr>
          <w:sz w:val="20"/>
          <w:szCs w:val="20"/>
        </w:rPr>
        <w:t>   </w:t>
      </w:r>
      <w:r>
        <w:rPr>
          <w:sz w:val="20"/>
          <w:szCs w:val="20"/>
          <w:u w:val="single"/>
        </w:rPr>
        <w:t>Property Acquisitions and Other Investments: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Acquisition/Consolidation of Operating Properties</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2020, </w:t>
      </w:r>
      <w:r>
        <w:rPr>
          <w:sz w:val="20"/>
          <w:szCs w:val="20"/>
        </w:rPr>
        <w:t>the Company acquired the following operating property, through a direct asset purchase (in thousands):</w:t>
      </w:r>
    </w:p>
    <w:p w:rsidR="00000000" w:rsidRDefault="004E30E9">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2008"/>
        <w:gridCol w:w="1090"/>
        <w:gridCol w:w="1409"/>
        <w:gridCol w:w="68"/>
        <w:gridCol w:w="101"/>
        <w:gridCol w:w="1056"/>
        <w:gridCol w:w="68"/>
        <w:gridCol w:w="68"/>
        <w:gridCol w:w="68"/>
        <w:gridCol w:w="1056"/>
        <w:gridCol w:w="6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Purchase Price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jc w:val="center"/>
              <w:rPr>
                <w:rFonts w:eastAsia="Times New Roman"/>
                <w:sz w:val="20"/>
                <w:szCs w:val="20"/>
              </w:rPr>
            </w:pPr>
            <w:r>
              <w:rPr>
                <w:rFonts w:eastAsia="Times New Roman"/>
                <w:b/>
                <w:bCs/>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b/>
                <w:bCs/>
                <w:sz w:val="20"/>
                <w:szCs w:val="20"/>
              </w:rPr>
              <w:t> </w:t>
            </w:r>
          </w:p>
        </w:tc>
      </w:tr>
      <w:tr w:rsidR="00000000">
        <w:trPr>
          <w:tblCellSpacing w:w="0" w:type="dxa"/>
        </w:trPr>
        <w:tc>
          <w:tcPr>
            <w:tcW w:w="1425"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Property Name</w:t>
            </w:r>
          </w:p>
        </w:tc>
        <w:tc>
          <w:tcPr>
            <w:tcW w:w="775"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Location</w:t>
            </w:r>
          </w:p>
        </w:tc>
        <w:tc>
          <w:tcPr>
            <w:tcW w:w="10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Month Acquired</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Cash</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GLA*</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North Valley Parcel</w:t>
            </w:r>
          </w:p>
        </w:tc>
        <w:tc>
          <w:tcPr>
            <w:tcW w:w="0" w:type="auto"/>
            <w:shd w:val="clear" w:color="auto" w:fill="CCEEFF"/>
            <w:vAlign w:val="bottom"/>
            <w:hideMark/>
          </w:tcPr>
          <w:p w:rsidR="00000000" w:rsidRDefault="004E30E9">
            <w:pPr>
              <w:pStyle w:val="a3"/>
              <w:spacing w:before="0" w:beforeAutospacing="0" w:after="0" w:afterAutospacing="0"/>
              <w:rPr>
                <w:sz w:val="20"/>
                <w:szCs w:val="20"/>
              </w:rPr>
            </w:pPr>
            <w:r>
              <w:rPr>
                <w:rStyle w:val="a6"/>
                <w:sz w:val="20"/>
                <w:szCs w:val="20"/>
              </w:rPr>
              <w:t>Peoria, AZ</w:t>
            </w:r>
          </w:p>
        </w:tc>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Feb-20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7,073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br/>
        <w:t>* Gross leasable area ("GLA")</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2019, </w:t>
      </w:r>
      <w:r>
        <w:rPr>
          <w:sz w:val="20"/>
          <w:szCs w:val="20"/>
        </w:rPr>
        <w:t>the Company acquired the following operating properties, in separate transactions, through direct asset purchases or consolidation due to change in control resulting from the purchase of additional interests of a joint venture investment (in thousands):</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88"/>
        <w:gridCol w:w="1062"/>
        <w:gridCol w:w="1123"/>
        <w:gridCol w:w="50"/>
        <w:gridCol w:w="100"/>
        <w:gridCol w:w="686"/>
        <w:gridCol w:w="50"/>
        <w:gridCol w:w="50"/>
        <w:gridCol w:w="100"/>
        <w:gridCol w:w="674"/>
        <w:gridCol w:w="50"/>
        <w:gridCol w:w="50"/>
        <w:gridCol w:w="122"/>
        <w:gridCol w:w="1090"/>
        <w:gridCol w:w="50"/>
        <w:gridCol w:w="50"/>
        <w:gridCol w:w="100"/>
        <w:gridCol w:w="648"/>
        <w:gridCol w:w="50"/>
        <w:gridCol w:w="50"/>
        <w:gridCol w:w="51"/>
        <w:gridCol w:w="662"/>
        <w:gridCol w:w="50"/>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Purchase Price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jc w:val="center"/>
              <w:rPr>
                <w:rFonts w:eastAsia="Times New Roman"/>
                <w:sz w:val="20"/>
                <w:szCs w:val="20"/>
              </w:rPr>
            </w:pPr>
            <w:r>
              <w:rPr>
                <w:rFonts w:eastAsia="Times New Roman"/>
                <w:b/>
                <w:bCs/>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b/>
                <w:bCs/>
                <w:sz w:val="20"/>
                <w:szCs w:val="20"/>
              </w:rPr>
              <w:t> </w:t>
            </w:r>
          </w:p>
        </w:tc>
      </w:tr>
      <w:tr w:rsidR="00000000">
        <w:trPr>
          <w:tblCellSpacing w:w="0" w:type="dxa"/>
        </w:trPr>
        <w:tc>
          <w:tcPr>
            <w:tcW w:w="865" w:type="pct"/>
            <w:tcBorders>
              <w:bottom w:val="single" w:sz="6" w:space="0" w:color="000000"/>
            </w:tcBorders>
            <w:vAlign w:val="bottom"/>
            <w:hideMark/>
          </w:tcPr>
          <w:p w:rsidR="00000000" w:rsidRDefault="004E30E9">
            <w:pPr>
              <w:pStyle w:val="a3"/>
              <w:spacing w:before="0" w:beforeAutospacing="0" w:after="0" w:afterAutospacing="0"/>
              <w:rPr>
                <w:sz w:val="20"/>
                <w:szCs w:val="20"/>
              </w:rPr>
            </w:pPr>
            <w:r>
              <w:rPr>
                <w:b/>
                <w:bCs/>
                <w:sz w:val="20"/>
                <w:szCs w:val="20"/>
              </w:rPr>
              <w:t>Property Name</w:t>
            </w:r>
          </w:p>
        </w:tc>
        <w:tc>
          <w:tcPr>
            <w:tcW w:w="6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Location</w:t>
            </w:r>
          </w:p>
        </w:tc>
        <w:tc>
          <w:tcPr>
            <w:tcW w:w="535"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Month</w:t>
            </w:r>
            <w:r>
              <w:rPr>
                <w:b/>
                <w:bCs/>
                <w:sz w:val="20"/>
                <w:szCs w:val="20"/>
              </w:rPr>
              <w:br/>
              <w:t>Acquired/</w:t>
            </w:r>
            <w:r>
              <w:rPr>
                <w:b/>
                <w:bCs/>
                <w:sz w:val="20"/>
                <w:szCs w:val="20"/>
              </w:rPr>
              <w:br/>
              <w:t>Consolidated</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Cash*</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Debt</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Other</w:t>
            </w:r>
            <w:r>
              <w:rPr>
                <w:b/>
                <w:bCs/>
                <w:sz w:val="20"/>
                <w:szCs w:val="20"/>
              </w:rPr>
              <w:br/>
              <w:t>Consideration</w:t>
            </w:r>
            <w:r>
              <w:rPr>
                <w:b/>
                <w:bCs/>
                <w:sz w:val="20"/>
                <w:szCs w:val="20"/>
              </w:rPr>
              <w:br/>
              <w:t>**</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Total</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GLA</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tcBorders>
              <w:bottom w:val="nil"/>
            </w:tcBorders>
            <w:shd w:val="clear" w:color="auto" w:fill="CCEEFF"/>
            <w:vAlign w:val="bottom"/>
            <w:hideMark/>
          </w:tcPr>
          <w:p w:rsidR="00000000" w:rsidRDefault="004E30E9">
            <w:pPr>
              <w:pStyle w:val="a3"/>
              <w:spacing w:before="0" w:beforeAutospacing="0" w:after="0" w:afterAutospacing="0"/>
              <w:rPr>
                <w:sz w:val="20"/>
                <w:szCs w:val="20"/>
              </w:rPr>
            </w:pPr>
            <w:r>
              <w:rPr>
                <w:sz w:val="20"/>
                <w:szCs w:val="20"/>
              </w:rPr>
              <w:t>Bell Camino Out-parcel</w:t>
            </w:r>
          </w:p>
        </w:tc>
        <w:tc>
          <w:tcPr>
            <w:tcW w:w="0" w:type="auto"/>
            <w:tcBorders>
              <w:bottom w:val="nil"/>
            </w:tcBorders>
            <w:shd w:val="clear" w:color="auto" w:fill="CCEEFF"/>
            <w:vAlign w:val="bottom"/>
            <w:hideMark/>
          </w:tcPr>
          <w:p w:rsidR="00000000" w:rsidRDefault="004E30E9">
            <w:pPr>
              <w:pStyle w:val="a3"/>
              <w:spacing w:before="0" w:beforeAutospacing="0" w:after="0" w:afterAutospacing="0"/>
              <w:rPr>
                <w:sz w:val="20"/>
                <w:szCs w:val="20"/>
              </w:rPr>
            </w:pPr>
            <w:r>
              <w:rPr>
                <w:rStyle w:val="a6"/>
                <w:sz w:val="20"/>
                <w:szCs w:val="20"/>
              </w:rPr>
              <w:t>Sun City, AZ</w:t>
            </w:r>
          </w:p>
        </w:tc>
        <w:tc>
          <w:tcPr>
            <w:tcW w:w="0" w:type="auto"/>
            <w:tcBorders>
              <w:bottom w:val="nil"/>
            </w:tcBorders>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Jan-19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5,678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5,678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Gateway at Donner Pass Out-parcel</w:t>
            </w:r>
          </w:p>
        </w:tc>
        <w:tc>
          <w:tcPr>
            <w:tcW w:w="0" w:type="auto"/>
            <w:shd w:val="clear" w:color="auto" w:fill="FFFFFF"/>
            <w:vAlign w:val="bottom"/>
            <w:hideMark/>
          </w:tcPr>
          <w:p w:rsidR="00000000" w:rsidRDefault="004E30E9">
            <w:pPr>
              <w:pStyle w:val="a3"/>
              <w:spacing w:before="0" w:beforeAutospacing="0" w:after="0" w:afterAutospacing="0"/>
              <w:rPr>
                <w:sz w:val="20"/>
                <w:szCs w:val="20"/>
              </w:rPr>
            </w:pPr>
            <w:r>
              <w:rPr>
                <w:rStyle w:val="a6"/>
                <w:sz w:val="20"/>
                <w:szCs w:val="20"/>
              </w:rPr>
              <w:t>Truckee, CA</w:t>
            </w:r>
          </w:p>
        </w:tc>
        <w:tc>
          <w:tcPr>
            <w:tcW w:w="0" w:type="auto"/>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Jan-19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13,527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13,527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Rancho Penasquitos Out-parcel</w:t>
            </w:r>
          </w:p>
        </w:tc>
        <w:tc>
          <w:tcPr>
            <w:tcW w:w="0" w:type="auto"/>
            <w:shd w:val="clear" w:color="auto" w:fill="CCEEFF"/>
            <w:vAlign w:val="bottom"/>
            <w:hideMark/>
          </w:tcPr>
          <w:p w:rsidR="00000000" w:rsidRDefault="004E30E9">
            <w:pPr>
              <w:pStyle w:val="a3"/>
              <w:spacing w:before="0" w:beforeAutospacing="0" w:after="0" w:afterAutospacing="0"/>
              <w:rPr>
                <w:sz w:val="20"/>
                <w:szCs w:val="20"/>
              </w:rPr>
            </w:pPr>
            <w:r>
              <w:rPr>
                <w:rStyle w:val="a6"/>
                <w:sz w:val="20"/>
                <w:szCs w:val="20"/>
              </w:rPr>
              <w:t>San Diego, CA</w:t>
            </w:r>
          </w:p>
        </w:tc>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Jan-19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12,064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12,064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Linwood Square (1)</w:t>
            </w:r>
          </w:p>
        </w:tc>
        <w:tc>
          <w:tcPr>
            <w:tcW w:w="0" w:type="auto"/>
            <w:shd w:val="clear" w:color="auto" w:fill="FFFFFF"/>
            <w:vAlign w:val="bottom"/>
            <w:hideMark/>
          </w:tcPr>
          <w:p w:rsidR="00000000" w:rsidRDefault="004E30E9">
            <w:pPr>
              <w:pStyle w:val="a3"/>
              <w:spacing w:before="0" w:beforeAutospacing="0" w:after="0" w:afterAutospacing="0"/>
              <w:rPr>
                <w:sz w:val="20"/>
                <w:szCs w:val="20"/>
              </w:rPr>
            </w:pPr>
            <w:r>
              <w:rPr>
                <w:rStyle w:val="a6"/>
                <w:sz w:val="20"/>
                <w:szCs w:val="20"/>
              </w:rPr>
              <w:t>Indianapolis, IN</w:t>
            </w:r>
          </w:p>
        </w:tc>
        <w:tc>
          <w:tcPr>
            <w:tcW w:w="0" w:type="auto"/>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Dec-19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1,957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5,389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4,543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11,889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165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33,226</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5,389</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4,543</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43,158</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290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270"/>
        <w:rPr>
          <w:sz w:val="20"/>
          <w:szCs w:val="20"/>
        </w:rPr>
      </w:pPr>
      <w:r>
        <w:rPr>
          <w:sz w:val="20"/>
          <w:szCs w:val="20"/>
        </w:rPr>
        <w:t xml:space="preserve">* The Company utilized an aggregate $36.1 </w:t>
      </w:r>
      <w:r>
        <w:rPr>
          <w:sz w:val="20"/>
          <w:szCs w:val="20"/>
        </w:rPr>
        <w:t xml:space="preserve">million associated with Internal Revenue Code </w:t>
      </w:r>
      <w:r>
        <w:rPr>
          <w:rStyle w:val="a6"/>
          <w:sz w:val="20"/>
          <w:szCs w:val="20"/>
        </w:rPr>
        <w:t>26</w:t>
      </w:r>
      <w:r>
        <w:rPr>
          <w:sz w:val="20"/>
          <w:szCs w:val="20"/>
        </w:rPr>
        <w:t xml:space="preserve"> U.S.C. </w:t>
      </w:r>
      <w:r>
        <w:rPr>
          <w:rStyle w:val="a6"/>
          <w:sz w:val="20"/>
          <w:szCs w:val="20"/>
        </w:rPr>
        <w:t>§1031</w:t>
      </w:r>
      <w:r>
        <w:rPr>
          <w:sz w:val="20"/>
          <w:szCs w:val="20"/>
        </w:rPr>
        <w:t xml:space="preserve"> sales proceeds.</w:t>
      </w:r>
    </w:p>
    <w:p w:rsidR="00000000" w:rsidRDefault="004E30E9">
      <w:pPr>
        <w:pStyle w:val="a3"/>
        <w:spacing w:before="0" w:beforeAutospacing="0" w:after="0" w:afterAutospacing="0"/>
        <w:ind w:left="270"/>
        <w:rPr>
          <w:sz w:val="20"/>
          <w:szCs w:val="20"/>
        </w:rPr>
      </w:pPr>
      <w:r>
        <w:rPr>
          <w:sz w:val="20"/>
          <w:szCs w:val="20"/>
        </w:rPr>
        <w:t>** Includes the Company’s previously held equity interest investment, net of noncontrolling interest of the remaining partners.</w:t>
      </w:r>
    </w:p>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The Company acquired a partner’s ownership interest in a property which was held in a joint venture in which the Company had a noncontrolling interest. The Company now has a 69.5% controlling interest in this property and has deemed this entity to be a VIE</w:t>
            </w:r>
            <w:r>
              <w:rPr>
                <w:sz w:val="20"/>
                <w:szCs w:val="20"/>
              </w:rPr>
              <w:t xml:space="preserve"> for which the Company is the primary beneficiary and consolidates the asset. The Company evaluated this transaction pursuant to the FASB’s Consolidation guidance and, as a result, recognized a gain on change in control of interests of $0.1 million resulti</w:t>
            </w:r>
            <w:r>
              <w:rPr>
                <w:sz w:val="20"/>
                <w:szCs w:val="20"/>
              </w:rPr>
              <w:t>ng from the fair value adjustment associated with the Company’s previously held equity interest, which are included in the purchase price above in Other Consideration.</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Included in the Company’s Consolidated Statements of Income are $0.4 million and $1.4</w:t>
      </w:r>
      <w:r>
        <w:rPr>
          <w:sz w:val="20"/>
          <w:szCs w:val="20"/>
        </w:rPr>
        <w:t xml:space="preserve"> million in total revenues from the date of acquisition through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respectively, for operating properties acquired during each of the respective years.</w:t>
      </w:r>
    </w:p>
    <w:p w:rsidR="00000000" w:rsidRDefault="004E30E9">
      <w:pPr>
        <w:pStyle w:val="a3"/>
        <w:spacing w:before="0" w:beforeAutospacing="0" w:after="0" w:afterAutospacing="0"/>
        <w:ind w:left="360"/>
        <w:jc w:val="both"/>
        <w:rPr>
          <w:sz w:val="20"/>
          <w:szCs w:val="20"/>
        </w:rPr>
      </w:pPr>
      <w:r>
        <w:rPr>
          <w:i/>
          <w:iCs/>
          <w:sz w:val="20"/>
          <w:szCs w:val="20"/>
        </w:rPr>
        <w:t> </w:t>
      </w:r>
    </w:p>
    <w:p w:rsidR="00000000" w:rsidRDefault="004E30E9">
      <w:pPr>
        <w:jc w:val="center"/>
        <w:divId w:val="1624337999"/>
        <w:rPr>
          <w:rFonts w:eastAsia="Times New Roman"/>
          <w:sz w:val="20"/>
          <w:szCs w:val="20"/>
        </w:rPr>
      </w:pPr>
      <w:r>
        <w:rPr>
          <w:rStyle w:val="a6"/>
          <w:rFonts w:eastAsia="Times New Roman"/>
          <w:sz w:val="20"/>
          <w:szCs w:val="20"/>
        </w:rPr>
        <w:t>70</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06" style="width:415.3pt;height:1.5pt" o:hralign="center" o:hrstd="t" o:hrnoshade="t" o:hr="t" fillcolor="black" stroked="f"/>
        </w:pict>
      </w:r>
    </w:p>
    <w:p w:rsidR="00000000" w:rsidRDefault="004E30E9">
      <w:pPr>
        <w:divId w:val="179235782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ind w:left="360"/>
        <w:rPr>
          <w:sz w:val="20"/>
          <w:szCs w:val="20"/>
        </w:rPr>
      </w:pPr>
      <w:r>
        <w:rPr>
          <w:i/>
          <w:iCs/>
          <w:sz w:val="20"/>
          <w:szCs w:val="20"/>
        </w:rPr>
        <w:t>Purchase Price Allocations</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purchase price for these acquisitions is allocated to real estate and related intangible assets acquired and liabilities assumed, as applicable, in accordance with our accounting policies for asset acquisitions. The purchase price allocations for prop</w:t>
      </w:r>
      <w:r>
        <w:rPr>
          <w:sz w:val="20"/>
          <w:szCs w:val="20"/>
        </w:rPr>
        <w:t xml:space="preserve">erties acquired/consolidated during the years ended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are as follows (in thousands):</w:t>
      </w:r>
    </w:p>
    <w:p w:rsidR="00000000" w:rsidRDefault="004E30E9">
      <w:pPr>
        <w:pStyle w:val="a3"/>
        <w:spacing w:before="0" w:beforeAutospacing="0" w:after="0" w:afterAutospacing="0"/>
        <w:ind w:left="36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2521"/>
        <w:gridCol w:w="76"/>
        <w:gridCol w:w="101"/>
        <w:gridCol w:w="1102"/>
        <w:gridCol w:w="76"/>
        <w:gridCol w:w="76"/>
        <w:gridCol w:w="76"/>
        <w:gridCol w:w="1102"/>
        <w:gridCol w:w="76"/>
        <w:gridCol w:w="76"/>
        <w:gridCol w:w="101"/>
        <w:gridCol w:w="1102"/>
        <w:gridCol w:w="76"/>
        <w:gridCol w:w="76"/>
        <w:gridCol w:w="76"/>
        <w:gridCol w:w="1102"/>
        <w:gridCol w:w="76"/>
      </w:tblGrid>
      <w:tr w:rsidR="00000000">
        <w:trPr>
          <w:tblCellSpacing w:w="0" w:type="dxa"/>
        </w:trPr>
        <w:tc>
          <w:tcPr>
            <w:tcW w:w="16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Allocation as of</w:t>
            </w:r>
            <w:r>
              <w:rPr>
                <w:b/>
                <w:bCs/>
                <w:sz w:val="20"/>
                <w:szCs w:val="20"/>
              </w:rPr>
              <w:br/>
              <w:t>December 31, 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Weighted-</w:t>
            </w:r>
          </w:p>
          <w:p w:rsidR="00000000" w:rsidRDefault="004E30E9">
            <w:pPr>
              <w:pStyle w:val="a3"/>
              <w:spacing w:before="0" w:beforeAutospacing="0" w:after="0" w:afterAutospacing="0"/>
              <w:jc w:val="center"/>
              <w:rPr>
                <w:sz w:val="20"/>
                <w:szCs w:val="20"/>
              </w:rPr>
            </w:pPr>
            <w:r>
              <w:rPr>
                <w:b/>
                <w:bCs/>
                <w:sz w:val="20"/>
                <w:szCs w:val="20"/>
              </w:rPr>
              <w:t>Average Useful</w:t>
            </w:r>
            <w:r>
              <w:rPr>
                <w:b/>
                <w:bCs/>
                <w:sz w:val="20"/>
                <w:szCs w:val="20"/>
              </w:rPr>
              <w:br/>
              <w:t>Life (in Years)</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Allocation as of</w:t>
            </w:r>
            <w:r>
              <w:rPr>
                <w:b/>
                <w:bCs/>
                <w:sz w:val="20"/>
                <w:szCs w:val="20"/>
              </w:rPr>
              <w:br/>
              <w:t>December 31, 2019</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Weighted-</w:t>
            </w:r>
          </w:p>
          <w:p w:rsidR="00000000" w:rsidRDefault="004E30E9">
            <w:pPr>
              <w:pStyle w:val="a3"/>
              <w:spacing w:before="0" w:beforeAutospacing="0" w:after="0" w:afterAutospacing="0"/>
              <w:jc w:val="center"/>
              <w:rPr>
                <w:sz w:val="20"/>
                <w:szCs w:val="20"/>
              </w:rPr>
            </w:pPr>
            <w:r>
              <w:rPr>
                <w:b/>
                <w:bCs/>
                <w:sz w:val="20"/>
                <w:szCs w:val="20"/>
              </w:rPr>
              <w:t>Average Useful</w:t>
            </w:r>
            <w:r>
              <w:rPr>
                <w:b/>
                <w:bCs/>
                <w:sz w:val="20"/>
                <w:szCs w:val="20"/>
              </w:rPr>
              <w:br/>
              <w:t>Life (in Years)</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Land</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935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11,852</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Buildings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4,610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21,075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3,703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19.4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2,234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16.9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In-place leases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4,921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18.2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Above-market leases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203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Below-market leases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(765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assets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Other liabilities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(915</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4E30E9">
            <w:pPr>
              <w:pStyle w:val="a3"/>
              <w:spacing w:before="0" w:beforeAutospacing="0" w:after="0" w:afterAutospacing="0"/>
              <w:ind w:left="180"/>
              <w:rPr>
                <w:sz w:val="20"/>
                <w:szCs w:val="20"/>
              </w:rPr>
            </w:pPr>
            <w:r>
              <w:rPr>
                <w:b/>
                <w:bCs/>
                <w:sz w:val="20"/>
                <w:szCs w:val="20"/>
              </w:rPr>
              <w:t>Net assets acquired/consolidated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7,073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43,158</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divId w:val="697315796"/>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4.</w:t>
      </w:r>
      <w:r>
        <w:rPr>
          <w:sz w:val="20"/>
          <w:szCs w:val="20"/>
        </w:rPr>
        <w:t>   </w:t>
      </w:r>
      <w:r>
        <w:rPr>
          <w:sz w:val="20"/>
          <w:szCs w:val="20"/>
          <w:u w:val="single"/>
        </w:rPr>
        <w:t>Real Estate Under Development:</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had a real estate development project located in Dania Beach, FL for long-term investment. During </w:t>
      </w:r>
      <w:r>
        <w:rPr>
          <w:rStyle w:val="a6"/>
          <w:sz w:val="20"/>
          <w:szCs w:val="20"/>
        </w:rPr>
        <w:t xml:space="preserve">June 2020, </w:t>
      </w:r>
      <w:r>
        <w:rPr>
          <w:sz w:val="20"/>
          <w:szCs w:val="20"/>
        </w:rPr>
        <w:t>this real estate development project, aggregating $229.9 million (including internal capitalized costs of $31.2 million), was placed in</w:t>
      </w:r>
      <w:r>
        <w:rPr>
          <w:sz w:val="20"/>
          <w:szCs w:val="20"/>
        </w:rPr>
        <w:t xml:space="preserve"> service, and the Company reclassified $228.8 million to Land and Building and improvements and $1.1 million to Other assets on the Company’s Consolidated Balance Sheets. As of </w:t>
      </w:r>
      <w:r>
        <w:rPr>
          <w:rStyle w:val="a6"/>
          <w:sz w:val="20"/>
          <w:szCs w:val="20"/>
        </w:rPr>
        <w:t xml:space="preserve">December 31, 2020, </w:t>
      </w:r>
      <w:r>
        <w:rPr>
          <w:sz w:val="20"/>
          <w:szCs w:val="20"/>
        </w:rPr>
        <w:t xml:space="preserve">the Company has </w:t>
      </w:r>
      <w:r>
        <w:rPr>
          <w:rStyle w:val="a6"/>
          <w:sz w:val="20"/>
          <w:szCs w:val="20"/>
        </w:rPr>
        <w:t>one</w:t>
      </w:r>
      <w:r>
        <w:rPr>
          <w:sz w:val="20"/>
          <w:szCs w:val="20"/>
        </w:rPr>
        <w:t xml:space="preserve"> land parcel located in Dania Beach, FL w</w:t>
      </w:r>
      <w:r>
        <w:rPr>
          <w:sz w:val="20"/>
          <w:szCs w:val="20"/>
        </w:rPr>
        <w:t>hich is held for future development included in Real estate under development on the Company’s Consolidated Balance Sheets.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w:t>
      </w:r>
      <w:r>
        <w:rPr>
          <w:rStyle w:val="a6"/>
          <w:sz w:val="20"/>
          <w:szCs w:val="20"/>
        </w:rPr>
        <w:t>2019,</w:t>
      </w:r>
      <w:r>
        <w:rPr>
          <w:sz w:val="20"/>
          <w:szCs w:val="20"/>
        </w:rPr>
        <w:t xml:space="preserve"> </w:t>
      </w:r>
      <w:r>
        <w:rPr>
          <w:sz w:val="20"/>
          <w:szCs w:val="20"/>
        </w:rPr>
        <w:t>the Company sold a land parcel at a development project located in Dania Beach, FL for a sales price of $32.5 million, which resulted in a gain of $4.3 million, which is included in Gain on sale of properties/change in control of interests on the Company’s</w:t>
      </w:r>
      <w:r>
        <w:rPr>
          <w:sz w:val="20"/>
          <w:szCs w:val="20"/>
        </w:rPr>
        <w:t xml:space="preserve"> Consolidated Statements of Income.</w:t>
      </w:r>
    </w:p>
    <w:p w:rsidR="00000000" w:rsidRDefault="004E30E9">
      <w:pPr>
        <w:pStyle w:val="a3"/>
        <w:spacing w:before="0" w:beforeAutospacing="0" w:after="0" w:afterAutospacing="0"/>
        <w:rPr>
          <w:sz w:val="20"/>
          <w:szCs w:val="20"/>
        </w:rPr>
      </w:pPr>
      <w:r>
        <w:rPr>
          <w:sz w:val="20"/>
          <w:szCs w:val="20"/>
        </w:rPr>
        <w:t> </w:t>
      </w:r>
    </w:p>
    <w:p w:rsidR="00000000" w:rsidRDefault="004E30E9">
      <w:pPr>
        <w:divId w:val="825560528"/>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ind w:left="990" w:hanging="990"/>
        <w:rPr>
          <w:sz w:val="20"/>
          <w:szCs w:val="20"/>
        </w:rPr>
      </w:pPr>
      <w:r>
        <w:rPr>
          <w:rStyle w:val="a6"/>
          <w:sz w:val="20"/>
          <w:szCs w:val="20"/>
        </w:rPr>
        <w:t>5.</w:t>
      </w:r>
      <w:r>
        <w:rPr>
          <w:sz w:val="20"/>
          <w:szCs w:val="20"/>
        </w:rPr>
        <w:t xml:space="preserve">    </w:t>
      </w:r>
      <w:r>
        <w:rPr>
          <w:sz w:val="20"/>
          <w:szCs w:val="20"/>
          <w:u w:val="single"/>
        </w:rPr>
        <w:t>Dispositions of Real Estate</w:t>
      </w:r>
      <w:r>
        <w:rPr>
          <w:sz w:val="20"/>
          <w:szCs w:val="20"/>
        </w:rPr>
        <w: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Real Estate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table below summarizes the Company’s disposition activity relating to operating properties and parcels, in separate transactions (dollars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56"/>
        <w:gridCol w:w="71"/>
        <w:gridCol w:w="100"/>
        <w:gridCol w:w="986"/>
        <w:gridCol w:w="72"/>
        <w:gridCol w:w="72"/>
        <w:gridCol w:w="100"/>
        <w:gridCol w:w="986"/>
        <w:gridCol w:w="155"/>
        <w:gridCol w:w="72"/>
        <w:gridCol w:w="100"/>
        <w:gridCol w:w="986"/>
        <w:gridCol w:w="50"/>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w:t>
            </w:r>
            <w:r>
              <w:rPr>
                <w:b/>
                <w:bCs/>
                <w:sz w:val="20"/>
                <w:szCs w:val="20"/>
              </w:rPr>
              <w:t>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b/>
                <w:bCs/>
                <w:sz w:val="20"/>
                <w:szCs w:val="20"/>
              </w:rPr>
              <w:t> </w:t>
            </w:r>
          </w:p>
        </w:tc>
        <w:tc>
          <w:tcPr>
            <w:tcW w:w="600" w:type="pct"/>
            <w:tcBorders>
              <w:bottom w:val="single" w:sz="6" w:space="0" w:color="000000"/>
            </w:tcBorders>
            <w:vAlign w:val="bottom"/>
            <w:hideMark/>
          </w:tcPr>
          <w:p w:rsidR="00000000" w:rsidRDefault="004E30E9">
            <w:pPr>
              <w:jc w:val="center"/>
              <w:rPr>
                <w:rFonts w:eastAsia="Times New Roman"/>
                <w:sz w:val="20"/>
                <w:szCs w:val="20"/>
              </w:rPr>
            </w:pPr>
            <w:r>
              <w:rPr>
                <w:rFonts w:eastAsia="Times New Roman"/>
                <w:b/>
                <w:bCs/>
                <w:sz w:val="20"/>
                <w:szCs w:val="20"/>
              </w:rPr>
              <w:t>2019 (1)</w:t>
            </w:r>
          </w:p>
        </w:tc>
        <w:tc>
          <w:tcPr>
            <w:tcW w:w="10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b/>
                <w:bCs/>
                <w:sz w:val="20"/>
                <w:szCs w:val="20"/>
              </w:rPr>
              <w:t> </w:t>
            </w:r>
          </w:p>
        </w:tc>
        <w:tc>
          <w:tcPr>
            <w:tcW w:w="600" w:type="pct"/>
            <w:tcBorders>
              <w:bottom w:val="single" w:sz="6" w:space="0" w:color="000000"/>
            </w:tcBorders>
            <w:vAlign w:val="bottom"/>
            <w:hideMark/>
          </w:tcPr>
          <w:p w:rsidR="00000000" w:rsidRDefault="004E30E9">
            <w:pPr>
              <w:jc w:val="center"/>
              <w:rPr>
                <w:rFonts w:eastAsia="Times New Roman"/>
                <w:sz w:val="20"/>
                <w:szCs w:val="20"/>
              </w:rPr>
            </w:pPr>
            <w:r>
              <w:rPr>
                <w:rFonts w:eastAsia="Times New Roman"/>
                <w:b/>
                <w:bCs/>
                <w:sz w:val="20"/>
                <w:szCs w:val="20"/>
              </w:rPr>
              <w:t>2018</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Aggregate sales price/gross fair value</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31.8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344.7</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1,164.3</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79.2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229.8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Number of operating properties sold/deconsolidated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Number of parcels sold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0"/>
        <w:gridCol w:w="360"/>
        <w:gridCol w:w="7866"/>
      </w:tblGrid>
      <w:tr w:rsidR="00000000">
        <w:trPr>
          <w:tblCellSpacing w:w="0" w:type="dxa"/>
        </w:trPr>
        <w:tc>
          <w:tcPr>
            <w:tcW w:w="8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Includes the parcel sale at Dania Pointe, noted above in Footnote </w:t>
            </w:r>
            <w:r>
              <w:rPr>
                <w:rStyle w:val="a6"/>
                <w:sz w:val="20"/>
                <w:szCs w:val="20"/>
              </w:rPr>
              <w:t>4</w:t>
            </w:r>
            <w:r>
              <w:rPr>
                <w:sz w:val="20"/>
                <w:szCs w:val="20"/>
              </w:rPr>
              <w:t xml:space="preserve"> of the Notes to Consolidated Financial Statements.</w:t>
            </w:r>
          </w:p>
        </w:tc>
      </w:tr>
    </w:tbl>
    <w:p w:rsidR="00000000" w:rsidRDefault="004E30E9">
      <w:pPr>
        <w:pStyle w:val="a3"/>
        <w:spacing w:before="0" w:beforeAutospacing="0" w:after="0" w:afterAutospacing="0"/>
        <w:ind w:left="45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Included in the table above, during the year ended </w:t>
      </w:r>
      <w:r>
        <w:rPr>
          <w:rStyle w:val="a6"/>
          <w:sz w:val="20"/>
          <w:szCs w:val="20"/>
        </w:rPr>
        <w:t xml:space="preserve">December 31, 2018, </w:t>
      </w:r>
      <w:r>
        <w:rPr>
          <w:sz w:val="20"/>
          <w:szCs w:val="20"/>
        </w:rPr>
        <w:t>the Company sold a portion of its investment in an operating property to its partner based on a gross fair value of $320.0 million, including $206.0 million of non-recourse mortgage debt, and amended the partnership agreement to provide for joint control o</w:t>
      </w:r>
      <w:r>
        <w:rPr>
          <w:sz w:val="20"/>
          <w:szCs w:val="20"/>
        </w:rPr>
        <w:t xml:space="preserve">f the entity. As a result of the amendment, the Company </w:t>
      </w:r>
      <w:r>
        <w:rPr>
          <w:rStyle w:val="a6"/>
          <w:sz w:val="20"/>
          <w:szCs w:val="20"/>
        </w:rPr>
        <w:t>no</w:t>
      </w:r>
      <w:r>
        <w:rPr>
          <w:sz w:val="20"/>
          <w:szCs w:val="20"/>
        </w:rPr>
        <w:t xml:space="preserve"> longer consolidates the entity and as such, reduced noncontrolling interests by $43.8 million and recognized a gain on change in control of $6.8 million, in accordance with the adoption of ASU </w:t>
      </w:r>
      <w:r>
        <w:rPr>
          <w:rStyle w:val="a6"/>
          <w:sz w:val="20"/>
          <w:szCs w:val="20"/>
        </w:rPr>
        <w:t>2017</w:t>
      </w:r>
      <w:r>
        <w:rPr>
          <w:sz w:val="20"/>
          <w:szCs w:val="20"/>
        </w:rPr>
        <w:t>-</w:t>
      </w:r>
      <w:r>
        <w:rPr>
          <w:rStyle w:val="a6"/>
          <w:sz w:val="20"/>
          <w:szCs w:val="20"/>
        </w:rPr>
        <w:t>05</w:t>
      </w:r>
      <w:r>
        <w:rPr>
          <w:sz w:val="20"/>
          <w:szCs w:val="20"/>
        </w:rPr>
        <w:t xml:space="preserve"> effective as of </w:t>
      </w:r>
      <w:r>
        <w:rPr>
          <w:rStyle w:val="a6"/>
          <w:sz w:val="20"/>
          <w:szCs w:val="20"/>
        </w:rPr>
        <w:t>January 1, 2018 (</w:t>
      </w:r>
      <w:r>
        <w:rPr>
          <w:sz w:val="20"/>
          <w:szCs w:val="20"/>
        </w:rPr>
        <w:t xml:space="preserve">see Footnote </w:t>
      </w:r>
      <w:r>
        <w:rPr>
          <w:rStyle w:val="a6"/>
          <w:sz w:val="20"/>
          <w:szCs w:val="20"/>
        </w:rPr>
        <w:t>1</w:t>
      </w:r>
      <w:r>
        <w:rPr>
          <w:sz w:val="20"/>
          <w:szCs w:val="20"/>
        </w:rPr>
        <w:t xml:space="preserve"> of the Notes to Consolidated Financial Statements). The Company has an investment in this unconsolidated property ($62.4 million as of the date of deconsolidation), included in Investments in and advances</w:t>
      </w:r>
      <w:r>
        <w:rPr>
          <w:sz w:val="20"/>
          <w:szCs w:val="20"/>
        </w:rPr>
        <w:t xml:space="preserve"> to real estate joint ventures on the Company’s Consolidated Balance Sheets. The Company’s share of this investment is subject to change and is based upon a cash flow waterfall provision within the partnership agreement (54.8% as of the date of deconsolida</w:t>
      </w:r>
      <w:r>
        <w:rPr>
          <w:sz w:val="20"/>
          <w:szCs w:val="20"/>
        </w:rPr>
        <w:t>tion).</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Land Sales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w:t>
      </w:r>
      <w:r>
        <w:rPr>
          <w:rStyle w:val="a6"/>
          <w:sz w:val="20"/>
          <w:szCs w:val="20"/>
        </w:rPr>
        <w:t>2018,</w:t>
      </w:r>
      <w:r>
        <w:rPr>
          <w:sz w:val="20"/>
          <w:szCs w:val="20"/>
        </w:rPr>
        <w:t xml:space="preserve"> the Company sold 10 land parcels, for an aggregate sales price of $9.7 million. These transactions resulted in an aggregate gain of $6.3 million, before income tax expense and noncontrolling interest for the year ended </w:t>
      </w:r>
      <w:r>
        <w:rPr>
          <w:rStyle w:val="a6"/>
          <w:sz w:val="20"/>
          <w:szCs w:val="20"/>
        </w:rPr>
        <w:t>De</w:t>
      </w:r>
      <w:r>
        <w:rPr>
          <w:rStyle w:val="a6"/>
          <w:sz w:val="20"/>
          <w:szCs w:val="20"/>
        </w:rPr>
        <w:t xml:space="preserve">cember 31, 2018. </w:t>
      </w:r>
      <w:r>
        <w:rPr>
          <w:sz w:val="20"/>
          <w:szCs w:val="20"/>
        </w:rPr>
        <w:t>The gains from these transactions are recorded as other income, which is included in Other income, net on the Company’s Consolidated Statements of Income.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407262279"/>
        <w:rPr>
          <w:rFonts w:eastAsia="Times New Roman"/>
          <w:sz w:val="20"/>
          <w:szCs w:val="20"/>
        </w:rPr>
      </w:pPr>
      <w:r>
        <w:rPr>
          <w:rFonts w:eastAsia="Times New Roman"/>
          <w:sz w:val="20"/>
          <w:szCs w:val="20"/>
        </w:rPr>
        <w:t xml:space="preserve">71 </w:t>
      </w:r>
    </w:p>
    <w:p w:rsidR="00000000" w:rsidRDefault="004E30E9">
      <w:pPr>
        <w:divId w:val="777677769"/>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4E30E9">
      <w:pPr>
        <w:divId w:val="578712385"/>
        <w:rPr>
          <w:rFonts w:eastAsia="Times New Roman"/>
          <w:sz w:val="20"/>
          <w:szCs w:val="20"/>
        </w:rPr>
      </w:pPr>
      <w:hyperlink w:anchor="toc" w:history="1">
        <w:r>
          <w:rPr>
            <w:rStyle w:val="a4"/>
            <w:rFonts w:eastAsia="Times New Roman"/>
            <w:sz w:val="20"/>
            <w:szCs w:val="20"/>
          </w:rPr>
          <w:t>Table of Content</w:t>
        </w:r>
        <w:r>
          <w:rPr>
            <w:rStyle w:val="a4"/>
            <w:rFonts w:eastAsia="Times New Roman"/>
            <w:sz w:val="20"/>
            <w:szCs w:val="20"/>
          </w:rPr>
          <w: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divId w:val="593899024"/>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ind w:left="990" w:hanging="990"/>
        <w:rPr>
          <w:sz w:val="20"/>
          <w:szCs w:val="20"/>
        </w:rPr>
      </w:pPr>
      <w:r>
        <w:rPr>
          <w:rStyle w:val="a6"/>
          <w:sz w:val="20"/>
          <w:szCs w:val="20"/>
        </w:rPr>
        <w:t>6.</w:t>
      </w:r>
      <w:r>
        <w:rPr>
          <w:sz w:val="20"/>
          <w:szCs w:val="20"/>
        </w:rPr>
        <w:t xml:space="preserve">    </w:t>
      </w:r>
      <w:r>
        <w:rPr>
          <w:sz w:val="20"/>
          <w:szCs w:val="20"/>
          <w:u w:val="single"/>
        </w:rPr>
        <w:t>Impairments</w:t>
      </w:r>
      <w:r>
        <w:rPr>
          <w:sz w:val="20"/>
          <w:szCs w:val="20"/>
        </w:rPr>
        <w:t>:</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Management assesses on a continuous basis whether there are any indicators, including property operating performance, changes in anticipated holding period, general market conditions and delays of or change in plans for development, that the value of the C</w:t>
      </w:r>
      <w:r>
        <w:rPr>
          <w:sz w:val="20"/>
          <w:szCs w:val="20"/>
        </w:rPr>
        <w:t xml:space="preserve">ompany’s assets (including any related amortizable intangible assets or liabilities) </w:t>
      </w:r>
      <w:r>
        <w:rPr>
          <w:rStyle w:val="a6"/>
          <w:sz w:val="20"/>
          <w:szCs w:val="20"/>
        </w:rPr>
        <w:t xml:space="preserve">may </w:t>
      </w:r>
      <w:r>
        <w:rPr>
          <w:sz w:val="20"/>
          <w:szCs w:val="20"/>
        </w:rPr>
        <w:t>be impaired. To the extent impairment has occurred, the carrying value of the asset would be adjusted to an amount to reflect the estimated fair value of the asset.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has a capital recycling program which provides for the disposition of certain properties, typically of lesser quality assets in less desirable locations. The Company adjusted the anticipated hold period for these properties and as a result the </w:t>
      </w:r>
      <w:r>
        <w:rPr>
          <w:sz w:val="20"/>
          <w:szCs w:val="20"/>
        </w:rPr>
        <w:t xml:space="preserve">Company recognized impairment charges on certain operating properties (see Footnote </w:t>
      </w:r>
      <w:r>
        <w:rPr>
          <w:rStyle w:val="a6"/>
          <w:sz w:val="20"/>
          <w:szCs w:val="20"/>
        </w:rPr>
        <w:t>16</w:t>
      </w:r>
      <w:r>
        <w:rPr>
          <w:sz w:val="20"/>
          <w:szCs w:val="20"/>
        </w:rPr>
        <w:t xml:space="preserve"> of the Notes to Consolidated Financial Statements for fair value disclosure).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Company’s efforts to market certain assets and management’s assessment as to the like</w:t>
      </w:r>
      <w:r>
        <w:rPr>
          <w:sz w:val="20"/>
          <w:szCs w:val="20"/>
        </w:rPr>
        <w:t xml:space="preserve">lihood and timing of such potential transactions and/or the property hold period resulted in the Company recognizing impairment charges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as follows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55"/>
        <w:gridCol w:w="67"/>
        <w:gridCol w:w="101"/>
        <w:gridCol w:w="1039"/>
        <w:gridCol w:w="67"/>
        <w:gridCol w:w="67"/>
        <w:gridCol w:w="100"/>
        <w:gridCol w:w="1039"/>
        <w:gridCol w:w="67"/>
        <w:gridCol w:w="67"/>
        <w:gridCol w:w="100"/>
        <w:gridCol w:w="1039"/>
        <w:gridCol w:w="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Properties marketed for sale (1)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12.5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59.5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Properties disposed/deeded in lieu/foreclosed (2)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36.2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19.7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Total net impairment charges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6.6</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48.7</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79.2</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These impairment charges relate to adjustments to property carrying values for properties which the Company has marketed for sale as part of its capital recycling program and as such has adjusted the anticipated hold periods for such properties. During </w:t>
            </w:r>
            <w:r>
              <w:rPr>
                <w:rStyle w:val="a6"/>
                <w:sz w:val="20"/>
                <w:szCs w:val="20"/>
              </w:rPr>
              <w:t>Dec</w:t>
            </w:r>
            <w:r>
              <w:rPr>
                <w:rStyle w:val="a6"/>
                <w:sz w:val="20"/>
                <w:szCs w:val="20"/>
              </w:rPr>
              <w:t xml:space="preserve">ember 2018, </w:t>
            </w:r>
            <w:r>
              <w:rPr>
                <w:sz w:val="20"/>
                <w:szCs w:val="20"/>
              </w:rPr>
              <w:t xml:space="preserve">the Company recognized an impairment charge of $41.0 million related to a development project located in Jacksonville, FL, which the Company had </w:t>
            </w:r>
            <w:r>
              <w:rPr>
                <w:rStyle w:val="a6"/>
                <w:sz w:val="20"/>
                <w:szCs w:val="20"/>
              </w:rPr>
              <w:t>no</w:t>
            </w:r>
            <w:r>
              <w:rPr>
                <w:sz w:val="20"/>
                <w:szCs w:val="20"/>
              </w:rPr>
              <w:t xml:space="preserve"> longer intended to develop. The Company has sold portions of the property and is marketing the r</w:t>
            </w:r>
            <w:r>
              <w:rPr>
                <w:sz w:val="20"/>
                <w:szCs w:val="20"/>
              </w:rPr>
              <w:t>emainder of the property as is for sale.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Amounts relate to dispositions/deeds in lieu/foreclosures during the respective years shown.</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 addition to the impairment charges above, the Company recognized impairment charges during </w:t>
      </w:r>
      <w:r>
        <w:rPr>
          <w:rStyle w:val="a6"/>
          <w:sz w:val="20"/>
          <w:szCs w:val="20"/>
        </w:rPr>
        <w:t>2020,</w:t>
      </w:r>
      <w:r>
        <w:rPr>
          <w:sz w:val="20"/>
          <w:szCs w:val="20"/>
        </w:rPr>
        <w:t xml:space="preserve"> </w:t>
      </w:r>
      <w:r>
        <w:rPr>
          <w:rStyle w:val="a6"/>
          <w:sz w:val="20"/>
          <w:szCs w:val="20"/>
        </w:rPr>
        <w:t>2019</w:t>
      </w:r>
      <w:r>
        <w:rPr>
          <w:sz w:val="20"/>
          <w:szCs w:val="20"/>
        </w:rPr>
        <w:t xml:space="preserve"> and </w:t>
      </w:r>
      <w:r>
        <w:rPr>
          <w:rStyle w:val="a6"/>
          <w:sz w:val="20"/>
          <w:szCs w:val="20"/>
        </w:rPr>
        <w:t>2018</w:t>
      </w:r>
      <w:r>
        <w:rPr>
          <w:sz w:val="20"/>
          <w:szCs w:val="20"/>
        </w:rPr>
        <w:t xml:space="preserve"> of $0.8 million, $5.6 million and $6.9 million, respectively, relating to certain properties held by various unconsolidated joint ventures in </w:t>
      </w:r>
      <w:r>
        <w:rPr>
          <w:sz w:val="20"/>
          <w:szCs w:val="20"/>
        </w:rPr>
        <w:t xml:space="preserve">which the Company holds noncontrolling interests. These impairment charges are included in Equity in income of joint ventures, net on the Company’s Consolidated Statements of Income (see Footnote </w:t>
      </w:r>
      <w:r>
        <w:rPr>
          <w:rStyle w:val="a6"/>
          <w:sz w:val="20"/>
          <w:szCs w:val="20"/>
        </w:rPr>
        <w:t>7</w:t>
      </w:r>
      <w:r>
        <w:rPr>
          <w:sz w:val="20"/>
          <w:szCs w:val="20"/>
        </w:rPr>
        <w:t xml:space="preserve"> of the Notes to Consolidated Financial Statements).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w:t>
      </w:r>
      <w:r>
        <w:rPr>
          <w:sz w:val="20"/>
          <w:szCs w:val="20"/>
        </w:rPr>
        <w:t>COVID-</w:t>
      </w:r>
      <w:r>
        <w:rPr>
          <w:rStyle w:val="a6"/>
          <w:sz w:val="20"/>
          <w:szCs w:val="20"/>
        </w:rPr>
        <w:t>19</w:t>
      </w:r>
      <w:r>
        <w:rPr>
          <w:sz w:val="20"/>
          <w:szCs w:val="20"/>
        </w:rPr>
        <w:t xml:space="preserve"> pandemic has significantly impacted the retail sector in which the Company operates, and if the effects of the pandemic are prolonged, it could have a significant adverse impact to the underlying industries of many of the Company’s tenants. Manage</w:t>
      </w:r>
      <w:r>
        <w:rPr>
          <w:sz w:val="20"/>
          <w:szCs w:val="20"/>
        </w:rPr>
        <w:t>ment cannot, at this point, estimate ultimate losses related to the COVID-</w:t>
      </w:r>
      <w:r>
        <w:rPr>
          <w:rStyle w:val="a6"/>
          <w:sz w:val="20"/>
          <w:szCs w:val="20"/>
        </w:rPr>
        <w:t>19</w:t>
      </w:r>
      <w:r>
        <w:rPr>
          <w:sz w:val="20"/>
          <w:szCs w:val="20"/>
        </w:rPr>
        <w:t> pandemic. The Company will continue to monitor the economic, financial, and social conditions resulting from this pandemic and assess its asset portfolio for any impairment indica</w:t>
      </w:r>
      <w:r>
        <w:rPr>
          <w:sz w:val="20"/>
          <w:szCs w:val="20"/>
        </w:rPr>
        <w:t>tors.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divId w:val="839081130"/>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7.</w:t>
      </w:r>
      <w:r>
        <w:rPr>
          <w:sz w:val="20"/>
          <w:szCs w:val="20"/>
        </w:rPr>
        <w:t>   </w:t>
      </w:r>
      <w:r>
        <w:rPr>
          <w:sz w:val="20"/>
          <w:szCs w:val="20"/>
          <w:u w:val="single"/>
        </w:rPr>
        <w:t>Investment in and Advances toReal Estate Joint Ventures</w:t>
      </w:r>
      <w:r>
        <w:rPr>
          <w:sz w:val="20"/>
          <w:szCs w:val="20"/>
        </w:rPr>
        <w:t>:</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has investments in and advances to various real estate joint ventures. These joint ventures are engaged primarily in the operation of shopping centers which are either o</w:t>
      </w:r>
      <w:r>
        <w:rPr>
          <w:sz w:val="20"/>
          <w:szCs w:val="20"/>
        </w:rPr>
        <w:t>wned or held under long-term operating leases. The Company and the joint venture partners have joint approval rights for major decisions, including those regarding property operations. As such, the Company holds noncontrolling interests in these joint vent</w:t>
      </w:r>
      <w:r>
        <w:rPr>
          <w:sz w:val="20"/>
          <w:szCs w:val="20"/>
        </w:rPr>
        <w:t xml:space="preserve">ures and accounts for them under the equity method of accounting. The table below presents unconsolidated joint venture investments for which the Company held an ownership interest at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(in millions, except number of properties):</w:t>
      </w:r>
    </w:p>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048"/>
        <w:gridCol w:w="50"/>
        <w:gridCol w:w="165"/>
        <w:gridCol w:w="950"/>
        <w:gridCol w:w="167"/>
        <w:gridCol w:w="50"/>
        <w:gridCol w:w="214"/>
        <w:gridCol w:w="951"/>
        <w:gridCol w:w="50"/>
        <w:gridCol w:w="50"/>
        <w:gridCol w:w="214"/>
        <w:gridCol w:w="932"/>
        <w:gridCol w:w="50"/>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jc w:val="center"/>
              <w:rPr>
                <w:rFonts w:eastAsia="Times New Roman"/>
                <w:sz w:val="20"/>
                <w:szCs w:val="20"/>
              </w:rPr>
            </w:pPr>
            <w:r>
              <w:rPr>
                <w:rFonts w:eastAsia="Times New Roman"/>
                <w:b/>
                <w:bCs/>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b/>
                <w:bCs/>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The Company's Investment</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vAlign w:val="bottom"/>
            <w:hideMark/>
          </w:tcPr>
          <w:p w:rsidR="00000000" w:rsidRDefault="004E30E9">
            <w:pPr>
              <w:pStyle w:val="a3"/>
              <w:spacing w:before="0" w:beforeAutospacing="0" w:after="0" w:afterAutospacing="0"/>
              <w:jc w:val="center"/>
              <w:rPr>
                <w:sz w:val="20"/>
                <w:szCs w:val="20"/>
              </w:rPr>
            </w:pPr>
            <w:r>
              <w:rPr>
                <w:b/>
                <w:bCs/>
                <w:sz w:val="20"/>
                <w:szCs w:val="20"/>
              </w:rPr>
              <w:t>Ownership</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600" w:type="pct"/>
            <w:tcBorders>
              <w:bottom w:val="single" w:sz="6" w:space="0" w:color="000000"/>
            </w:tcBorders>
            <w:vAlign w:val="bottom"/>
            <w:hideMark/>
          </w:tcPr>
          <w:p w:rsidR="00000000" w:rsidRDefault="004E30E9">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Interest</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tcBorders>
              <w:bottom w:val="nil"/>
            </w:tcBorders>
            <w:shd w:val="clear" w:color="auto" w:fill="CCEEFF"/>
            <w:vAlign w:val="bottom"/>
            <w:hideMark/>
          </w:tcPr>
          <w:p w:rsidR="00000000" w:rsidRDefault="004E30E9">
            <w:pPr>
              <w:pStyle w:val="a3"/>
              <w:spacing w:before="0" w:beforeAutospacing="0" w:after="0" w:afterAutospacing="0"/>
              <w:rPr>
                <w:sz w:val="20"/>
                <w:szCs w:val="20"/>
              </w:rPr>
            </w:pPr>
            <w:r>
              <w:rPr>
                <w:sz w:val="20"/>
                <w:szCs w:val="20"/>
              </w:rPr>
              <w:t>Prudential Investment Program (1) (2)</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nil"/>
            </w:tcBorders>
            <w:shd w:val="clear" w:color="auto" w:fill="CCEEFF"/>
            <w:vAlign w:val="bottom"/>
            <w:hideMark/>
          </w:tcPr>
          <w:p w:rsidR="00000000" w:rsidRDefault="004E30E9">
            <w:pPr>
              <w:ind w:left="114"/>
              <w:jc w:val="right"/>
              <w:rPr>
                <w:rFonts w:eastAsia="Times New Roman"/>
                <w:sz w:val="20"/>
                <w:szCs w:val="20"/>
              </w:rPr>
            </w:pPr>
            <w:r>
              <w:rPr>
                <w:rFonts w:eastAsia="Times New Roman"/>
                <w:sz w:val="20"/>
                <w:szCs w:val="20"/>
              </w:rPr>
              <w:t>15.0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ind w:left="114"/>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rsidR="00000000" w:rsidRDefault="004E30E9">
            <w:pPr>
              <w:ind w:left="114"/>
              <w:jc w:val="right"/>
              <w:rPr>
                <w:rFonts w:eastAsia="Times New Roman"/>
                <w:sz w:val="20"/>
                <w:szCs w:val="20"/>
              </w:rPr>
            </w:pPr>
            <w:r>
              <w:rPr>
                <w:rFonts w:eastAsia="Times New Roman"/>
                <w:sz w:val="20"/>
                <w:szCs w:val="20"/>
              </w:rPr>
              <w:t>175.1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ind w:left="114"/>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ind w:left="114"/>
              <w:jc w:val="right"/>
              <w:rPr>
                <w:rFonts w:eastAsia="Times New Roman"/>
                <w:sz w:val="20"/>
                <w:szCs w:val="20"/>
              </w:rPr>
            </w:pPr>
            <w:r>
              <w:rPr>
                <w:rFonts w:eastAsia="Times New Roman"/>
                <w:sz w:val="20"/>
                <w:szCs w:val="20"/>
              </w:rPr>
              <w:t>169.5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Kimco Income Opportunity Portfolio (“KIR”) (2)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ind w:left="114"/>
              <w:jc w:val="right"/>
              <w:rPr>
                <w:rFonts w:eastAsia="Times New Roman"/>
                <w:sz w:val="20"/>
                <w:szCs w:val="20"/>
              </w:rPr>
            </w:pPr>
            <w:r>
              <w:rPr>
                <w:rFonts w:eastAsia="Times New Roman"/>
                <w:sz w:val="20"/>
                <w:szCs w:val="20"/>
              </w:rPr>
              <w:t>48.6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ind w:left="114"/>
              <w:jc w:val="right"/>
              <w:rPr>
                <w:rFonts w:eastAsia="Times New Roman"/>
                <w:sz w:val="20"/>
                <w:szCs w:val="20"/>
              </w:rPr>
            </w:pPr>
            <w:r>
              <w:rPr>
                <w:rFonts w:eastAsia="Times New Roman"/>
                <w:sz w:val="20"/>
                <w:szCs w:val="20"/>
              </w:rPr>
              <w:t>177.4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ind w:left="114"/>
              <w:jc w:val="right"/>
              <w:rPr>
                <w:rFonts w:eastAsia="Times New Roman"/>
                <w:sz w:val="20"/>
                <w:szCs w:val="20"/>
              </w:rPr>
            </w:pPr>
            <w:r>
              <w:rPr>
                <w:rFonts w:eastAsia="Times New Roman"/>
                <w:sz w:val="20"/>
                <w:szCs w:val="20"/>
              </w:rPr>
              <w:t>175.0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Canada Pension Plan Investment Board (“CPP”) (2)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ind w:left="114"/>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ind w:left="114"/>
              <w:jc w:val="right"/>
              <w:rPr>
                <w:rFonts w:eastAsia="Times New Roman"/>
                <w:sz w:val="20"/>
                <w:szCs w:val="20"/>
              </w:rPr>
            </w:pPr>
            <w:r>
              <w:rPr>
                <w:rFonts w:eastAsia="Times New Roman"/>
                <w:sz w:val="20"/>
                <w:szCs w:val="20"/>
              </w:rPr>
              <w:t>159.7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ind w:left="114"/>
              <w:jc w:val="right"/>
              <w:rPr>
                <w:rFonts w:eastAsia="Times New Roman"/>
                <w:sz w:val="20"/>
                <w:szCs w:val="20"/>
              </w:rPr>
            </w:pPr>
            <w:r>
              <w:rPr>
                <w:rFonts w:eastAsia="Times New Roman"/>
                <w:sz w:val="20"/>
                <w:szCs w:val="20"/>
              </w:rPr>
              <w:t>151.7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Joint Venture Programs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pStyle w:val="a3"/>
              <w:spacing w:before="0" w:beforeAutospacing="0" w:after="0" w:afterAutospacing="0"/>
              <w:ind w:left="228" w:hanging="114"/>
              <w:jc w:val="center"/>
              <w:rPr>
                <w:sz w:val="20"/>
                <w:szCs w:val="20"/>
              </w:rPr>
            </w:pPr>
            <w:r>
              <w:rPr>
                <w:sz w:val="20"/>
                <w:szCs w:val="20"/>
              </w:rPr>
              <w:t> </w:t>
            </w:r>
          </w:p>
        </w:tc>
        <w:tc>
          <w:tcPr>
            <w:tcW w:w="0" w:type="auto"/>
            <w:shd w:val="clear" w:color="auto" w:fill="FFFFFF"/>
            <w:vAlign w:val="bottom"/>
            <w:hideMark/>
          </w:tcPr>
          <w:p w:rsidR="00000000" w:rsidRDefault="004E30E9">
            <w:pPr>
              <w:ind w:left="114"/>
              <w:jc w:val="right"/>
              <w:rPr>
                <w:rFonts w:eastAsia="Times New Roman"/>
                <w:sz w:val="20"/>
                <w:szCs w:val="20"/>
              </w:rPr>
            </w:pPr>
            <w:r>
              <w:rPr>
                <w:rStyle w:val="a6"/>
                <w:rFonts w:eastAsia="Times New Roman"/>
                <w:sz w:val="20"/>
                <w:szCs w:val="20"/>
              </w:rPr>
              <w:t>Various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ind w:left="114"/>
              <w:jc w:val="right"/>
              <w:rPr>
                <w:rFonts w:eastAsia="Times New Roman"/>
                <w:sz w:val="20"/>
                <w:szCs w:val="20"/>
              </w:rPr>
            </w:pPr>
            <w:r>
              <w:rPr>
                <w:rFonts w:eastAsia="Times New Roman"/>
                <w:sz w:val="20"/>
                <w:szCs w:val="20"/>
              </w:rPr>
              <w:t>78.5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ind w:left="114"/>
              <w:jc w:val="right"/>
              <w:rPr>
                <w:rFonts w:eastAsia="Times New Roman"/>
                <w:sz w:val="20"/>
                <w:szCs w:val="20"/>
              </w:rPr>
            </w:pPr>
            <w:r>
              <w:rPr>
                <w:rFonts w:eastAsia="Times New Roman"/>
                <w:sz w:val="20"/>
                <w:szCs w:val="20"/>
              </w:rPr>
              <w:t>81.9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b/>
                <w:bCs/>
                <w:sz w:val="20"/>
                <w:szCs w:val="20"/>
              </w:rPr>
              <w:t>Total*</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ind w:left="114"/>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rsidR="00000000" w:rsidRDefault="004E30E9">
            <w:pPr>
              <w:ind w:left="114"/>
              <w:jc w:val="right"/>
              <w:rPr>
                <w:rFonts w:eastAsia="Times New Roman"/>
                <w:sz w:val="20"/>
                <w:szCs w:val="20"/>
              </w:rPr>
            </w:pPr>
            <w:r>
              <w:rPr>
                <w:rFonts w:eastAsia="Times New Roman"/>
                <w:b/>
                <w:bCs/>
                <w:sz w:val="20"/>
                <w:szCs w:val="20"/>
              </w:rPr>
              <w:t>590.7</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578.1</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left="180" w:hanging="180"/>
        <w:jc w:val="both"/>
        <w:rPr>
          <w:sz w:val="20"/>
          <w:szCs w:val="20"/>
        </w:rPr>
      </w:pPr>
      <w:r>
        <w:rPr>
          <w:sz w:val="20"/>
          <w:szCs w:val="20"/>
        </w:rPr>
        <w:t xml:space="preserve">* Representing 97 property interests and 21.2 million square feet of GLA, as of </w:t>
      </w:r>
      <w:r>
        <w:rPr>
          <w:rStyle w:val="a6"/>
          <w:sz w:val="20"/>
          <w:szCs w:val="20"/>
        </w:rPr>
        <w:t xml:space="preserve">December 31, 2020, </w:t>
      </w:r>
      <w:r>
        <w:rPr>
          <w:sz w:val="20"/>
          <w:szCs w:val="20"/>
        </w:rPr>
        <w:t xml:space="preserve">and 98 property interests and 21.3 million square feet of GLA, as of </w:t>
      </w:r>
      <w:r>
        <w:rPr>
          <w:rStyle w:val="a6"/>
          <w:sz w:val="20"/>
          <w:szCs w:val="20"/>
        </w:rPr>
        <w:t>December 31, 2019.</w:t>
      </w:r>
    </w:p>
    <w:p w:rsidR="00000000" w:rsidRDefault="004E30E9">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Represents </w:t>
            </w:r>
            <w:r>
              <w:rPr>
                <w:rStyle w:val="a6"/>
                <w:sz w:val="20"/>
                <w:szCs w:val="20"/>
              </w:rPr>
              <w:t>three</w:t>
            </w:r>
            <w:r>
              <w:rPr>
                <w:sz w:val="20"/>
                <w:szCs w:val="20"/>
              </w:rPr>
              <w:t xml:space="preserve"> </w:t>
            </w:r>
            <w:r>
              <w:rPr>
                <w:sz w:val="20"/>
                <w:szCs w:val="20"/>
              </w:rPr>
              <w:t xml:space="preserve">separate joint ventures, with </w:t>
            </w:r>
            <w:r>
              <w:rPr>
                <w:rStyle w:val="a6"/>
                <w:sz w:val="20"/>
                <w:szCs w:val="20"/>
              </w:rPr>
              <w:t>three</w:t>
            </w:r>
            <w:r>
              <w:rPr>
                <w:sz w:val="20"/>
                <w:szCs w:val="20"/>
              </w:rPr>
              <w:t xml:space="preserve"> separate accounts managed by Prudential Global Investment Management.</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The Company manages these joint venture investments and, where applicable, earns acquisition fees, leasing commissions, property management fees, asset management fees and construction management fees.</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205216828"/>
        <w:rPr>
          <w:rFonts w:eastAsia="Times New Roman"/>
          <w:sz w:val="20"/>
          <w:szCs w:val="20"/>
        </w:rPr>
      </w:pPr>
      <w:r>
        <w:rPr>
          <w:rStyle w:val="a6"/>
          <w:rFonts w:eastAsia="Times New Roman"/>
          <w:sz w:val="20"/>
          <w:szCs w:val="20"/>
        </w:rPr>
        <w:t>72</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08" style="width:415.3pt;height:1.5pt" o:hralign="center" o:hrstd="t" o:hrnoshade="t" o:hr="t" fillcolor="black" stroked="f"/>
        </w:pict>
      </w:r>
    </w:p>
    <w:p w:rsidR="00000000" w:rsidRDefault="004E30E9">
      <w:pPr>
        <w:divId w:val="205456377"/>
        <w:rPr>
          <w:rFonts w:eastAsia="Times New Roman"/>
          <w:sz w:val="20"/>
          <w:szCs w:val="20"/>
        </w:rPr>
      </w:pPr>
      <w:r>
        <w:rPr>
          <w:rFonts w:eastAsia="Times New Roman"/>
          <w:sz w:val="20"/>
          <w:szCs w:val="20"/>
        </w:rPr>
        <w:pict>
          <v:rect id="_x0000_i1109" style="width:415.3pt;height:1.5pt" o:hralign="center" o:hrstd="t" o:hrnoshade="t" o:hr="t" fillcolor="black" stroked="f"/>
        </w:pict>
      </w:r>
    </w:p>
    <w:p w:rsidR="00000000" w:rsidRDefault="004E30E9">
      <w:pPr>
        <w:divId w:val="17280707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table below presents the Company’s share of net income for these inve</w:t>
      </w:r>
      <w:r>
        <w:rPr>
          <w:sz w:val="20"/>
          <w:szCs w:val="20"/>
        </w:rPr>
        <w:t>stments which is included in Equity in income of joint ventures, net on the Company’s Consolidated Statements of Income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096"/>
        <w:gridCol w:w="72"/>
        <w:gridCol w:w="100"/>
        <w:gridCol w:w="1019"/>
        <w:gridCol w:w="72"/>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Prudential Investment Program (1)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15.2</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30.5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Joint Venture Programs (2)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12.6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47.4</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72.2</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71.6</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 xml:space="preserve">During the year ended </w:t>
            </w:r>
            <w:r>
              <w:rPr>
                <w:rStyle w:val="a6"/>
                <w:sz w:val="20"/>
                <w:szCs w:val="20"/>
              </w:rPr>
              <w:t xml:space="preserve">December 31, 2019, </w:t>
            </w:r>
            <w:r>
              <w:rPr>
                <w:sz w:val="20"/>
                <w:szCs w:val="20"/>
              </w:rPr>
              <w:t>the Prudential Investment Program recognized an impairment charge on a property of $29.9 million, of which the Company’s share was $3.7 million.</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 xml:space="preserve">During the year ended </w:t>
            </w:r>
            <w:r>
              <w:rPr>
                <w:rStyle w:val="a6"/>
                <w:sz w:val="20"/>
                <w:szCs w:val="20"/>
              </w:rPr>
              <w:t xml:space="preserve">December 31, 2018, </w:t>
            </w:r>
            <w:r>
              <w:rPr>
                <w:sz w:val="20"/>
                <w:szCs w:val="20"/>
              </w:rPr>
              <w:t>a joint venture investm</w:t>
            </w:r>
            <w:r>
              <w:rPr>
                <w:sz w:val="20"/>
                <w:szCs w:val="20"/>
              </w:rPr>
              <w:t>ent distributed cash proceeds resulting from the refinancing of an existing loan of which the Company’s share was $3.6 million. This distribution was in excess of the Company’s carrying basis in this joint venture investment and to that extent was recogniz</w:t>
            </w:r>
            <w:r>
              <w:rPr>
                <w:sz w:val="20"/>
                <w:szCs w:val="20"/>
              </w:rPr>
              <w:t xml:space="preserve">ed as income. In addition, during the year ended </w:t>
            </w:r>
            <w:r>
              <w:rPr>
                <w:rStyle w:val="a6"/>
                <w:sz w:val="20"/>
                <w:szCs w:val="20"/>
              </w:rPr>
              <w:t xml:space="preserve">December 31, 2018, </w:t>
            </w:r>
            <w:r>
              <w:rPr>
                <w:sz w:val="20"/>
                <w:szCs w:val="20"/>
              </w:rPr>
              <w:t>a joint venture recognized an impairment charge related to the pending foreclosure of a property, of which the Company’s share was $5.2 million.</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w:t>
      </w:r>
      <w:r>
        <w:rPr>
          <w:rStyle w:val="a6"/>
          <w:sz w:val="20"/>
          <w:szCs w:val="20"/>
        </w:rPr>
        <w:t>2019,</w:t>
      </w:r>
      <w:r>
        <w:rPr>
          <w:sz w:val="20"/>
          <w:szCs w:val="20"/>
        </w:rPr>
        <w:t xml:space="preserve"> </w:t>
      </w:r>
      <w:r>
        <w:rPr>
          <w:sz w:val="20"/>
          <w:szCs w:val="20"/>
        </w:rPr>
        <w:t>certain of the Company’s real estate joint ventures disposed of</w:t>
      </w:r>
      <w:r>
        <w:rPr>
          <w:sz w:val="20"/>
          <w:szCs w:val="20"/>
        </w:rPr>
        <w:t xml:space="preserve"> </w:t>
      </w:r>
      <w:r>
        <w:rPr>
          <w:sz w:val="20"/>
          <w:szCs w:val="20"/>
        </w:rPr>
        <w:t>nin</w:t>
      </w:r>
      <w:r>
        <w:rPr>
          <w:sz w:val="20"/>
          <w:szCs w:val="20"/>
        </w:rPr>
        <w:t>e</w:t>
      </w:r>
      <w:r>
        <w:rPr>
          <w:sz w:val="20"/>
          <w:szCs w:val="20"/>
        </w:rPr>
        <w:t xml:space="preserve"> operating properties, in separate transactions, for an aggregate sales price of $247.4 million. These transactions resulted in an aggregate net gain to the Company of $14.4 million, for t</w:t>
      </w:r>
      <w:r>
        <w:rPr>
          <w:sz w:val="20"/>
          <w:szCs w:val="20"/>
        </w:rPr>
        <w:t xml:space="preserve">he year ended </w:t>
      </w:r>
      <w:r>
        <w:rPr>
          <w:rStyle w:val="a6"/>
          <w:sz w:val="20"/>
          <w:szCs w:val="20"/>
        </w:rPr>
        <w:t>December 31, 2019.</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w:t>
      </w:r>
      <w:r>
        <w:rPr>
          <w:rStyle w:val="a6"/>
          <w:sz w:val="20"/>
          <w:szCs w:val="20"/>
        </w:rPr>
        <w:t>2018,</w:t>
      </w:r>
      <w:r>
        <w:rPr>
          <w:sz w:val="20"/>
          <w:szCs w:val="20"/>
        </w:rPr>
        <w:t xml:space="preserve"> certain of the Company’s real estate joint ventures disposed of 11 </w:t>
      </w:r>
      <w:r>
        <w:rPr>
          <w:sz w:val="20"/>
          <w:szCs w:val="20"/>
        </w:rPr>
        <w:t xml:space="preserve">operating properties, in separate transactions, for an aggregate sales price of $213.5 million. These transactions resulted in an aggregate net gain to the Company of $18.5 million, for the year ended </w:t>
      </w:r>
      <w:r>
        <w:rPr>
          <w:rStyle w:val="a6"/>
          <w:sz w:val="20"/>
          <w:szCs w:val="20"/>
        </w:rPr>
        <w:t>December 31, 2018.</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table below presents debt bala</w:t>
      </w:r>
      <w:r>
        <w:rPr>
          <w:sz w:val="20"/>
          <w:szCs w:val="20"/>
        </w:rPr>
        <w:t xml:space="preserve">nces within the Company’s unconsolidated joint venture investments for which the Company held noncontrolling ownership interests at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(dollars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18"/>
        <w:gridCol w:w="50"/>
        <w:gridCol w:w="101"/>
        <w:gridCol w:w="819"/>
        <w:gridCol w:w="50"/>
        <w:gridCol w:w="50"/>
        <w:gridCol w:w="83"/>
        <w:gridCol w:w="740"/>
        <w:gridCol w:w="167"/>
        <w:gridCol w:w="50"/>
        <w:gridCol w:w="94"/>
        <w:gridCol w:w="840"/>
        <w:gridCol w:w="50"/>
        <w:gridCol w:w="50"/>
        <w:gridCol w:w="101"/>
        <w:gridCol w:w="819"/>
        <w:gridCol w:w="50"/>
        <w:gridCol w:w="50"/>
        <w:gridCol w:w="83"/>
        <w:gridCol w:w="740"/>
        <w:gridCol w:w="167"/>
        <w:gridCol w:w="50"/>
        <w:gridCol w:w="94"/>
        <w:gridCol w:w="840"/>
        <w:gridCol w:w="50"/>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vAlign w:val="bottom"/>
            <w:hideMark/>
          </w:tcPr>
          <w:p w:rsidR="00000000" w:rsidRDefault="004E30E9">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Mortgages and</w:t>
            </w:r>
            <w:r>
              <w:rPr>
                <w:b/>
                <w:bCs/>
                <w:sz w:val="20"/>
                <w:szCs w:val="20"/>
              </w:rPr>
              <w:br/>
              <w:t>Notes Payable,</w:t>
            </w:r>
            <w:r>
              <w:rPr>
                <w:b/>
                <w:bCs/>
                <w:sz w:val="20"/>
                <w:szCs w:val="20"/>
              </w:rPr>
              <w:br/>
              <w:t>Net</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Weighted</w:t>
            </w:r>
            <w:r>
              <w:rPr>
                <w:b/>
                <w:bCs/>
                <w:sz w:val="20"/>
                <w:szCs w:val="20"/>
              </w:rPr>
              <w:br/>
              <w:t>Average</w:t>
            </w:r>
            <w:r>
              <w:rPr>
                <w:b/>
                <w:bCs/>
                <w:sz w:val="20"/>
                <w:szCs w:val="20"/>
              </w:rPr>
              <w:br/>
              <w:t>Interest</w:t>
            </w:r>
            <w:r>
              <w:rPr>
                <w:b/>
                <w:bCs/>
                <w:sz w:val="20"/>
                <w:szCs w:val="20"/>
              </w:rPr>
              <w:br/>
              <w:t>Rate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Weighted</w:t>
            </w:r>
            <w:r>
              <w:rPr>
                <w:b/>
                <w:bCs/>
                <w:sz w:val="20"/>
                <w:szCs w:val="20"/>
              </w:rPr>
              <w:br/>
              <w:t>Average</w:t>
            </w:r>
            <w:r>
              <w:rPr>
                <w:b/>
                <w:bCs/>
                <w:sz w:val="20"/>
                <w:szCs w:val="20"/>
              </w:rPr>
              <w:br/>
              <w:t>Remaining</w:t>
            </w:r>
            <w:r>
              <w:rPr>
                <w:b/>
                <w:bCs/>
                <w:sz w:val="20"/>
                <w:szCs w:val="20"/>
              </w:rPr>
              <w:br/>
              <w:t>Term</w:t>
            </w:r>
            <w:r>
              <w:rPr>
                <w:b/>
                <w:bCs/>
                <w:sz w:val="20"/>
                <w:szCs w:val="20"/>
              </w:rPr>
              <w:br/>
              <w:t>(months)*</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sz w:val="20"/>
                <w:szCs w:val="20"/>
              </w:rPr>
              <w:t> </w:t>
            </w:r>
          </w:p>
          <w:p w:rsidR="00000000" w:rsidRDefault="004E30E9">
            <w:pPr>
              <w:pStyle w:val="a3"/>
              <w:spacing w:before="0" w:beforeAutospacing="0" w:after="0" w:afterAutospacing="0"/>
              <w:jc w:val="center"/>
              <w:rPr>
                <w:sz w:val="20"/>
                <w:szCs w:val="20"/>
              </w:rPr>
            </w:pPr>
            <w:r>
              <w:rPr>
                <w:b/>
                <w:bCs/>
                <w:sz w:val="20"/>
                <w:szCs w:val="20"/>
              </w:rPr>
              <w:t>Mortgages and</w:t>
            </w:r>
            <w:r>
              <w:rPr>
                <w:b/>
                <w:bCs/>
                <w:sz w:val="20"/>
                <w:szCs w:val="20"/>
              </w:rPr>
              <w:br/>
              <w:t>Notes Payable, Net</w:t>
            </w:r>
          </w:p>
        </w:tc>
        <w:tc>
          <w:tcPr>
            <w:tcW w:w="0" w:type="auto"/>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Weighted</w:t>
            </w:r>
            <w:r>
              <w:rPr>
                <w:b/>
                <w:bCs/>
                <w:sz w:val="20"/>
                <w:szCs w:val="20"/>
              </w:rPr>
              <w:br/>
              <w:t>Average</w:t>
            </w:r>
            <w:r>
              <w:rPr>
                <w:b/>
                <w:bCs/>
                <w:sz w:val="20"/>
                <w:szCs w:val="20"/>
              </w:rPr>
              <w:br/>
              <w:t>Interest</w:t>
            </w:r>
            <w:r>
              <w:rPr>
                <w:b/>
                <w:bCs/>
                <w:sz w:val="20"/>
                <w:szCs w:val="20"/>
              </w:rPr>
              <w:br/>
              <w:t>Rate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Weighted</w:t>
            </w:r>
            <w:r>
              <w:rPr>
                <w:b/>
                <w:bCs/>
                <w:sz w:val="20"/>
                <w:szCs w:val="20"/>
              </w:rPr>
              <w:br/>
              <w:t>Average</w:t>
            </w:r>
            <w:r>
              <w:rPr>
                <w:b/>
                <w:bCs/>
                <w:sz w:val="20"/>
                <w:szCs w:val="20"/>
              </w:rPr>
              <w:br/>
              <w:t>Remaining</w:t>
            </w:r>
            <w:r>
              <w:rPr>
                <w:b/>
                <w:bCs/>
                <w:sz w:val="20"/>
                <w:szCs w:val="20"/>
              </w:rPr>
              <w:br/>
              <w:t>Term</w:t>
            </w:r>
          </w:p>
          <w:p w:rsidR="00000000" w:rsidRDefault="004E30E9">
            <w:pPr>
              <w:pStyle w:val="a3"/>
              <w:spacing w:before="0" w:beforeAutospacing="0" w:after="0" w:afterAutospacing="0"/>
              <w:jc w:val="center"/>
              <w:rPr>
                <w:sz w:val="20"/>
                <w:szCs w:val="20"/>
              </w:rPr>
            </w:pPr>
            <w:r>
              <w:rPr>
                <w:b/>
                <w:bCs/>
                <w:sz w:val="20"/>
                <w:szCs w:val="20"/>
              </w:rPr>
              <w:t>(months)*</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tcBorders>
              <w:bottom w:val="nil"/>
            </w:tcBorders>
            <w:shd w:val="clear" w:color="auto" w:fill="CCEEFF"/>
            <w:vAlign w:val="bottom"/>
            <w:hideMark/>
          </w:tcPr>
          <w:p w:rsidR="00000000" w:rsidRDefault="004E30E9">
            <w:pPr>
              <w:pStyle w:val="a3"/>
              <w:spacing w:before="0" w:beforeAutospacing="0" w:after="0" w:afterAutospacing="0"/>
              <w:rPr>
                <w:sz w:val="20"/>
                <w:szCs w:val="20"/>
              </w:rPr>
            </w:pPr>
            <w:r>
              <w:rPr>
                <w:sz w:val="20"/>
                <w:szCs w:val="20"/>
              </w:rPr>
              <w:t>Prudential Investment Program</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495.8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2.05</w:t>
            </w:r>
          </w:p>
        </w:tc>
        <w:tc>
          <w:tcPr>
            <w:tcW w:w="50" w:type="pct"/>
            <w:tcBorders>
              <w:bottom w:val="nil"/>
            </w:tcBorders>
            <w:shd w:val="clear" w:color="auto" w:fill="CCEEFF"/>
            <w:vAlign w:val="bottom"/>
            <w:hideMark/>
          </w:tcPr>
          <w:p w:rsidR="00000000" w:rsidRDefault="004E30E9">
            <w:pPr>
              <w:pStyle w:val="a3"/>
              <w:spacing w:before="0" w:beforeAutospacing="0" w:after="0" w:afterAutospacing="0"/>
              <w:rPr>
                <w:sz w:val="20"/>
                <w:szCs w:val="20"/>
              </w:rPr>
            </w:pPr>
            <w:r>
              <w:rPr>
                <w:sz w:val="20"/>
                <w:szCs w:val="20"/>
              </w:rPr>
              <w: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37.2</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538.1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3.46</w:t>
            </w:r>
          </w:p>
        </w:tc>
        <w:tc>
          <w:tcPr>
            <w:tcW w:w="50" w:type="pct"/>
            <w:tcBorders>
              <w:bottom w:val="nil"/>
            </w:tcBorders>
            <w:shd w:val="clear" w:color="auto" w:fill="CCEEFF"/>
            <w:vAlign w:val="bottom"/>
            <w:hideMark/>
          </w:tcPr>
          <w:p w:rsidR="00000000" w:rsidRDefault="004E30E9">
            <w:pPr>
              <w:pStyle w:val="a3"/>
              <w:spacing w:before="0" w:beforeAutospacing="0" w:after="0" w:afterAutospacing="0"/>
              <w:rPr>
                <w:sz w:val="20"/>
                <w:szCs w:val="20"/>
              </w:rPr>
            </w:pPr>
            <w:r>
              <w:rPr>
                <w:sz w:val="20"/>
                <w:szCs w:val="20"/>
              </w:rPr>
              <w: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46.8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536.9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25.3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556.0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4.39</w:t>
            </w:r>
          </w:p>
        </w:tc>
        <w:tc>
          <w:tcPr>
            <w:tcW w:w="5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28.4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84.8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Joint Venture Programs</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423.4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3.41</w:t>
            </w:r>
          </w:p>
        </w:tc>
        <w:tc>
          <w:tcPr>
            <w:tcW w:w="5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86.7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415.2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80.9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b/>
                <w:bCs/>
                <w:sz w:val="20"/>
                <w:szCs w:val="20"/>
              </w:rPr>
              <w:t>Total</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1,541.0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1,594.1</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r>
    </w:tbl>
    <w:p w:rsidR="00000000" w:rsidRDefault="004E30E9">
      <w:pPr>
        <w:pStyle w:val="a3"/>
        <w:spacing w:before="0" w:beforeAutospacing="0" w:after="0" w:afterAutospacing="0"/>
        <w:ind w:left="360"/>
        <w:rPr>
          <w:sz w:val="6"/>
          <w:szCs w:val="6"/>
        </w:rPr>
      </w:pPr>
      <w:r>
        <w:rPr>
          <w:sz w:val="6"/>
          <w:szCs w:val="6"/>
        </w:rPr>
        <w:t> </w:t>
      </w:r>
    </w:p>
    <w:p w:rsidR="00000000" w:rsidRDefault="004E30E9">
      <w:pPr>
        <w:pStyle w:val="a3"/>
        <w:spacing w:before="0" w:beforeAutospacing="0" w:after="0" w:afterAutospacing="0"/>
        <w:ind w:left="360"/>
        <w:rPr>
          <w:sz w:val="20"/>
          <w:szCs w:val="20"/>
        </w:rPr>
      </w:pPr>
      <w:r>
        <w:rPr>
          <w:sz w:val="20"/>
          <w:szCs w:val="20"/>
        </w:rPr>
        <w:t>* Average remaining term includes extensions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65748831"/>
        <w:rPr>
          <w:rFonts w:eastAsia="Times New Roman"/>
          <w:sz w:val="20"/>
          <w:szCs w:val="20"/>
        </w:rPr>
      </w:pPr>
      <w:r>
        <w:rPr>
          <w:rStyle w:val="a6"/>
          <w:rFonts w:eastAsia="Times New Roman"/>
          <w:sz w:val="20"/>
          <w:szCs w:val="20"/>
        </w:rPr>
        <w:t>73</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10" style="width:415.3pt;height:1.5pt" o:hralign="center" o:hrstd="t" o:hrnoshade="t" o:hr="t" fillcolor="black" stroked="f"/>
        </w:pict>
      </w:r>
    </w:p>
    <w:p w:rsidR="00000000" w:rsidRDefault="004E30E9">
      <w:pPr>
        <w:divId w:val="170756569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KIR –</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holds a 48.6% noncontrolling limited partnership interest in KIR and has a master management agreement whereby the </w:t>
      </w:r>
      <w:r>
        <w:rPr>
          <w:sz w:val="20"/>
          <w:szCs w:val="20"/>
        </w:rPr>
        <w:t xml:space="preserve">Company performs services for fees relating to the management, operation, supervision and maintenance of the joint venture properties. The Company’s equity in income from KIR for the year ended </w:t>
      </w:r>
      <w:r>
        <w:rPr>
          <w:rStyle w:val="a6"/>
          <w:sz w:val="20"/>
          <w:szCs w:val="20"/>
        </w:rPr>
        <w:t xml:space="preserve">December 31, 2019 </w:t>
      </w:r>
      <w:r>
        <w:rPr>
          <w:sz w:val="20"/>
          <w:szCs w:val="20"/>
        </w:rPr>
        <w:t xml:space="preserve">exceeded </w:t>
      </w:r>
      <w:r>
        <w:rPr>
          <w:rStyle w:val="a6"/>
          <w:sz w:val="20"/>
          <w:szCs w:val="20"/>
        </w:rPr>
        <w:t>10%</w:t>
      </w:r>
      <w:r>
        <w:rPr>
          <w:sz w:val="20"/>
          <w:szCs w:val="20"/>
        </w:rPr>
        <w:t xml:space="preserve"> of the Company’s income from co</w:t>
      </w:r>
      <w:r>
        <w:rPr>
          <w:sz w:val="20"/>
          <w:szCs w:val="20"/>
        </w:rPr>
        <w:t>ntinuing operations before income taxes; as such, the Company is providing summarized financial information for KIR as follows (in millions):</w:t>
      </w:r>
    </w:p>
    <w:p w:rsidR="00000000" w:rsidRDefault="004E30E9">
      <w:pPr>
        <w:pStyle w:val="a3"/>
        <w:spacing w:before="0" w:beforeAutospacing="0" w:after="0" w:afterAutospacing="0"/>
        <w:jc w:val="both"/>
        <w:rPr>
          <w:sz w:val="20"/>
          <w:szCs w:val="20"/>
        </w:rPr>
      </w:pPr>
      <w:r>
        <w:rPr>
          <w:sz w:val="20"/>
          <w:szCs w:val="20"/>
        </w:rPr>
        <w:t> </w:t>
      </w:r>
    </w:p>
    <w:tbl>
      <w:tblPr>
        <w:tblW w:w="4500" w:type="pct"/>
        <w:tblCellSpacing w:w="0" w:type="dxa"/>
        <w:tblInd w:w="36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787.1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788.7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Other assets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75.3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83.6</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Assets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862.4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872.3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Liabilities and Members’ Capital:</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Notes payable,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91.5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Mortgages payable,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445.4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556.0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Other liabilities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16.3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Members’ capital</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308.1</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300.0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Liabilities and Members' Capital</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862.4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872.3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tbl>
      <w:tblPr>
        <w:tblW w:w="4500" w:type="pct"/>
        <w:tblCellSpacing w:w="0" w:type="dxa"/>
        <w:tblInd w:w="360"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Revenues, net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173.9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193.6</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197.2</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(49.5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(51.0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Depreciation and amortization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(36.9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(38.0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(42.2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32.2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Interest expense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(23.8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(28.2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(33.3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expense,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Net income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62.1</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107.5</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80.4</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Summarized financial information for the Company’</w:t>
      </w:r>
      <w:r>
        <w:rPr>
          <w:sz w:val="20"/>
          <w:szCs w:val="20"/>
        </w:rPr>
        <w:t>s investment in and advances to all other real estate joint ventures is as follows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4500" w:type="pct"/>
        <w:tblCellSpacing w:w="0" w:type="dxa"/>
        <w:tblInd w:w="36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2,549.2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2,596.9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Other assets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179.0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140.3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Assets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2,728.2</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2,737.2</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Liabilities and Members’ Capital:</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Notes payable,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199.8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199.8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Mortgages payable,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804.3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838.3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Other liabilities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59.5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Noncontrolling interests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18.3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Members’ capital</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1,652.2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1,621.9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Liabilities and Members' Capital</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2,728.2</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2,737.2</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tbl>
      <w:tblPr>
        <w:tblW w:w="4500" w:type="pct"/>
        <w:tblCellSpacing w:w="0" w:type="dxa"/>
        <w:tblInd w:w="360"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Revenues, net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282.4</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317.6</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309.1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(101.9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(99.4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(92.8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Impairment charges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(39.5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Depreciation and amortization</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(76.9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(80.3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Gain on sale of properties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46.8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Interest expense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(31.2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(47.1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(46.8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Other expense,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(10.8</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(14.2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(2.9</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59.3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55.5</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112.4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Other liabilities included in the Company’s accompanying Consolidated Balance Sheets include investments in certain real estate joint ventures totaling $3.7 million and $3.5 million at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respectively. The Company has varying equit</w:t>
      </w:r>
      <w:r>
        <w:rPr>
          <w:sz w:val="20"/>
          <w:szCs w:val="20"/>
        </w:rPr>
        <w:t xml:space="preserve">y interests in these real estate joint ventures, which </w:t>
      </w:r>
      <w:r>
        <w:rPr>
          <w:rStyle w:val="a6"/>
          <w:sz w:val="20"/>
          <w:szCs w:val="20"/>
        </w:rPr>
        <w:t xml:space="preserve">may </w:t>
      </w:r>
      <w:r>
        <w:rPr>
          <w:sz w:val="20"/>
          <w:szCs w:val="20"/>
        </w:rPr>
        <w:t>differ from their proportionate share of net income or loss recognized in accordance with GAAP.</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737315020"/>
        <w:rPr>
          <w:rFonts w:eastAsia="Times New Roman"/>
          <w:sz w:val="20"/>
          <w:szCs w:val="20"/>
        </w:rPr>
      </w:pPr>
      <w:r>
        <w:rPr>
          <w:rStyle w:val="a6"/>
          <w:rFonts w:eastAsia="Times New Roman"/>
          <w:sz w:val="20"/>
          <w:szCs w:val="20"/>
        </w:rPr>
        <w:t>74</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11" style="width:415.3pt;height:1.5pt" o:hralign="center" o:hrstd="t" o:hrnoshade="t" o:hr="t" fillcolor="black" stroked="f"/>
        </w:pict>
      </w:r>
    </w:p>
    <w:p w:rsidR="00000000" w:rsidRDefault="004E30E9">
      <w:pPr>
        <w:divId w:val="1776362673"/>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Company’s maximum exposure to losses associated </w:t>
      </w:r>
      <w:r>
        <w:rPr>
          <w:sz w:val="20"/>
          <w:szCs w:val="20"/>
        </w:rPr>
        <w:t xml:space="preserve">with its unconsolidated joint ventures is primarily limited to its carrying value in these investments. Generally, such investments contain operating properties and the Company has determined these entities do </w:t>
      </w:r>
      <w:r>
        <w:rPr>
          <w:rStyle w:val="a6"/>
          <w:sz w:val="20"/>
          <w:szCs w:val="20"/>
        </w:rPr>
        <w:t>not</w:t>
      </w:r>
      <w:r>
        <w:rPr>
          <w:sz w:val="20"/>
          <w:szCs w:val="20"/>
        </w:rPr>
        <w:t xml:space="preserve"> contain the characteristics of a VIE. As o</w:t>
      </w:r>
      <w:r>
        <w:rPr>
          <w:sz w:val="20"/>
          <w:szCs w:val="20"/>
        </w:rPr>
        <w:t xml:space="preserve">f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the Company’s carrying value in these investments was $590.7 million and $578.1 million, respectively.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will continue to monitor the economic, financial, and social conditions resulting from the COVID-</w:t>
      </w:r>
      <w:r>
        <w:rPr>
          <w:rStyle w:val="a6"/>
          <w:sz w:val="20"/>
          <w:szCs w:val="20"/>
        </w:rPr>
        <w:t>19</w:t>
      </w:r>
      <w:r>
        <w:rPr>
          <w:sz w:val="20"/>
          <w:szCs w:val="20"/>
        </w:rPr>
        <w:t xml:space="preserve"> pandemic </w:t>
      </w:r>
      <w:r>
        <w:rPr>
          <w:sz w:val="20"/>
          <w:szCs w:val="20"/>
        </w:rPr>
        <w:t>and assess its joint venture portfolio for any impairment indicators.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divId w:val="638803484"/>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8.</w:t>
      </w:r>
      <w:r>
        <w:rPr>
          <w:sz w:val="20"/>
          <w:szCs w:val="20"/>
        </w:rPr>
        <w:t>   </w:t>
      </w:r>
      <w:r>
        <w:rPr>
          <w:sz w:val="20"/>
          <w:szCs w:val="20"/>
          <w:u w:val="single"/>
        </w:rPr>
        <w:t>Other Real Estate Investments: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 xml:space="preserve">Preferred Equity Capital –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has provided capital to owners and developers of real estate properties and loans through its Preferr</w:t>
      </w:r>
      <w:r>
        <w:rPr>
          <w:sz w:val="20"/>
          <w:szCs w:val="20"/>
        </w:rPr>
        <w:t xml:space="preserve">ed Equity program. The Company’s maximum exposure to losses associated with its preferred equity investments is primarily limited to its net investment. As of </w:t>
      </w:r>
      <w:r>
        <w:rPr>
          <w:rStyle w:val="a6"/>
          <w:sz w:val="20"/>
          <w:szCs w:val="20"/>
        </w:rPr>
        <w:t xml:space="preserve">December 31, 2020, </w:t>
      </w:r>
      <w:r>
        <w:rPr>
          <w:sz w:val="20"/>
          <w:szCs w:val="20"/>
        </w:rPr>
        <w:t>the Company’s net investment under the Preferred Equity program was $98.2 mill</w:t>
      </w:r>
      <w:r>
        <w:rPr>
          <w:sz w:val="20"/>
          <w:szCs w:val="20"/>
        </w:rPr>
        <w:t xml:space="preserve">ion relating to 113 properties, including 103 net leased properties which are accounted for as direct financing leases. For the year ended </w:t>
      </w:r>
      <w:r>
        <w:rPr>
          <w:rStyle w:val="a6"/>
          <w:sz w:val="20"/>
          <w:szCs w:val="20"/>
        </w:rPr>
        <w:t xml:space="preserve">December 31, 2020, </w:t>
      </w:r>
      <w:r>
        <w:rPr>
          <w:sz w:val="20"/>
          <w:szCs w:val="20"/>
        </w:rPr>
        <w:t xml:space="preserve">the Company earned $28.4 </w:t>
      </w:r>
      <w:r>
        <w:rPr>
          <w:sz w:val="20"/>
          <w:szCs w:val="20"/>
        </w:rPr>
        <w:t xml:space="preserve">million from its preferred equity investments, including net profit participation of $13.7 million. As of </w:t>
      </w:r>
      <w:r>
        <w:rPr>
          <w:rStyle w:val="a6"/>
          <w:sz w:val="20"/>
          <w:szCs w:val="20"/>
        </w:rPr>
        <w:t xml:space="preserve">December 31, 2019, </w:t>
      </w:r>
      <w:r>
        <w:rPr>
          <w:sz w:val="20"/>
          <w:szCs w:val="20"/>
        </w:rPr>
        <w:t>the Company’s net investment under the Preferred Equity program was $175.3 million relating to 240 properties, including 230 net le</w:t>
      </w:r>
      <w:r>
        <w:rPr>
          <w:sz w:val="20"/>
          <w:szCs w:val="20"/>
        </w:rPr>
        <w:t xml:space="preserve">ased properties which are accounted for as direct financing leases. For the year ended </w:t>
      </w:r>
      <w:r>
        <w:rPr>
          <w:rStyle w:val="a6"/>
          <w:sz w:val="20"/>
          <w:szCs w:val="20"/>
        </w:rPr>
        <w:t xml:space="preserve">December 31, 2019, </w:t>
      </w:r>
      <w:r>
        <w:rPr>
          <w:sz w:val="20"/>
          <w:szCs w:val="20"/>
        </w:rPr>
        <w:t>the Company earned $25.8 million from its preferred equity investments, including net profit participation of $7.3 million.</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December 2020, </w:t>
      </w:r>
      <w:r>
        <w:rPr>
          <w:sz w:val="20"/>
          <w:szCs w:val="20"/>
        </w:rPr>
        <w:t>the Co</w:t>
      </w:r>
      <w:r>
        <w:rPr>
          <w:sz w:val="20"/>
          <w:szCs w:val="20"/>
        </w:rPr>
        <w:t xml:space="preserve">mpany entered into a preferred equity investment through a partnership, which provided a mezzanine financing loan that is encumbered by a property located in Queens, NY. As of </w:t>
      </w:r>
      <w:r>
        <w:rPr>
          <w:rStyle w:val="a6"/>
          <w:sz w:val="20"/>
          <w:szCs w:val="20"/>
        </w:rPr>
        <w:t xml:space="preserve">December 31, 2020, </w:t>
      </w:r>
      <w:r>
        <w:rPr>
          <w:sz w:val="20"/>
          <w:szCs w:val="20"/>
        </w:rPr>
        <w:t>the Company’s net investment was $10.1 million (included abov</w:t>
      </w:r>
      <w:r>
        <w:rPr>
          <w:sz w:val="20"/>
          <w:szCs w:val="20"/>
        </w:rPr>
        <w:t>e) and held an ownership interest of 71.43%.</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2020, </w:t>
      </w:r>
      <w:r>
        <w:rPr>
          <w:sz w:val="20"/>
          <w:szCs w:val="20"/>
        </w:rPr>
        <w:t xml:space="preserve">these preferred equity investment properties had non-recourse mortgage loans aggregating $141.9 </w:t>
      </w:r>
      <w:r>
        <w:rPr>
          <w:sz w:val="20"/>
          <w:szCs w:val="20"/>
        </w:rPr>
        <w:t>million (excluding fair market value of debt adjustments aggregating $4.8 million). These loans have scheduled maturities ranging from</w:t>
      </w:r>
      <w:r>
        <w:rPr>
          <w:sz w:val="20"/>
          <w:szCs w:val="20"/>
        </w:rPr>
        <w:t xml:space="preserve"> </w:t>
      </w:r>
      <w:r>
        <w:rPr>
          <w:sz w:val="20"/>
          <w:szCs w:val="20"/>
        </w:rPr>
        <w:t>on</w:t>
      </w:r>
      <w:r>
        <w:rPr>
          <w:sz w:val="20"/>
          <w:szCs w:val="20"/>
        </w:rPr>
        <w:t>e</w:t>
      </w:r>
      <w:r>
        <w:rPr>
          <w:sz w:val="20"/>
          <w:szCs w:val="20"/>
        </w:rPr>
        <w:t xml:space="preserve"> month to</w:t>
      </w:r>
      <w:r>
        <w:rPr>
          <w:sz w:val="20"/>
          <w:szCs w:val="20"/>
        </w:rPr>
        <w:t xml:space="preserve"> </w:t>
      </w:r>
      <w:r>
        <w:rPr>
          <w:sz w:val="20"/>
          <w:szCs w:val="20"/>
        </w:rPr>
        <w:t>fou</w:t>
      </w:r>
      <w:r>
        <w:rPr>
          <w:sz w:val="20"/>
          <w:szCs w:val="20"/>
        </w:rPr>
        <w:t>r</w:t>
      </w:r>
      <w:r>
        <w:rPr>
          <w:sz w:val="20"/>
          <w:szCs w:val="20"/>
        </w:rPr>
        <w:t xml:space="preserve"> years and bear interest at rates ranging from 4.19% to 9.85%. Due to the Company’s preferred position i</w:t>
      </w:r>
      <w:r>
        <w:rPr>
          <w:sz w:val="20"/>
          <w:szCs w:val="20"/>
        </w:rPr>
        <w:t xml:space="preserve">n these investments, the Company’s share of each investment is subject to fluctuation and is dependent upon property cash flows. The Company’s maximum exposure to losses associated with its preferred equity investments is primarily limited to its invested </w:t>
      </w:r>
      <w:r>
        <w:rPr>
          <w:sz w:val="20"/>
          <w:szCs w:val="20"/>
        </w:rPr>
        <w:t>capital.</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Summarized financial information relating to the Company’s preferred equity investments is as follows (in millions):</w:t>
      </w:r>
    </w:p>
    <w:p w:rsidR="00000000" w:rsidRDefault="004E30E9">
      <w:pPr>
        <w:pStyle w:val="a3"/>
        <w:spacing w:before="0" w:beforeAutospacing="0" w:after="0" w:afterAutospacing="0"/>
        <w:jc w:val="both"/>
        <w:rPr>
          <w:sz w:val="20"/>
          <w:szCs w:val="20"/>
        </w:rPr>
      </w:pPr>
      <w:r>
        <w:rPr>
          <w:sz w:val="20"/>
          <w:szCs w:val="20"/>
        </w:rPr>
        <w:t> </w:t>
      </w:r>
    </w:p>
    <w:tbl>
      <w:tblPr>
        <w:tblW w:w="4500" w:type="pct"/>
        <w:tblCellSpacing w:w="0" w:type="dxa"/>
        <w:tblInd w:w="36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95.7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91.6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Other assets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216.5</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484.6</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Assets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312.2</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576.2</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Liabilities and Partners’/Members’ Capital:</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Mortgages payable,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146.7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236.1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Other liabilities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 xml:space="preserve">Partners’/Members’ </w:t>
            </w:r>
            <w:r>
              <w:rPr>
                <w:sz w:val="20"/>
                <w:szCs w:val="20"/>
              </w:rPr>
              <w:t>capital</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161.0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337.5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Liabilities and Partners’/Members' Capital</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312.2</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576.2</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tbl>
      <w:tblPr>
        <w:tblW w:w="4500" w:type="pct"/>
        <w:tblCellSpacing w:w="0" w:type="dxa"/>
        <w:tblInd w:w="360"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Revenues</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44.6</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66.6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77.0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(16.0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(15.5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Depreciation and amortization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Interest expense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(16.9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expense,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(7.9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(8.2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19.8</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41.2</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34.0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473600123"/>
        <w:rPr>
          <w:rFonts w:eastAsia="Times New Roman"/>
          <w:sz w:val="20"/>
          <w:szCs w:val="20"/>
        </w:rPr>
      </w:pPr>
      <w:r>
        <w:rPr>
          <w:rFonts w:eastAsia="Times New Roman"/>
          <w:sz w:val="20"/>
          <w:szCs w:val="20"/>
        </w:rPr>
        <w:t xml:space="preserve">75 </w:t>
      </w:r>
    </w:p>
    <w:p w:rsidR="00000000" w:rsidRDefault="004E30E9">
      <w:pPr>
        <w:divId w:val="1493369371"/>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4E30E9">
      <w:pPr>
        <w:divId w:val="97814640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divId w:val="1039818746"/>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9.</w:t>
      </w:r>
      <w:r>
        <w:rPr>
          <w:sz w:val="20"/>
          <w:szCs w:val="20"/>
        </w:rPr>
        <w:t>  </w:t>
      </w:r>
      <w:r>
        <w:rPr>
          <w:sz w:val="20"/>
          <w:szCs w:val="20"/>
          <w:u w:val="single"/>
        </w:rPr>
        <w:t>Marketable Securities</w:t>
      </w:r>
      <w:r>
        <w:rPr>
          <w:sz w:val="20"/>
          <w:szCs w:val="20"/>
        </w:rPr>
        <w:t>:</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amortized cost and unrealized gains/(losses), net of marketable securities as of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are as follows (in thousands):</w:t>
      </w:r>
    </w:p>
    <w:p w:rsidR="00000000" w:rsidRDefault="004E30E9">
      <w:pPr>
        <w:pStyle w:val="a3"/>
        <w:spacing w:before="0" w:beforeAutospacing="0" w:after="0" w:afterAutospacing="0"/>
        <w:rPr>
          <w:sz w:val="20"/>
          <w:szCs w:val="20"/>
        </w:rPr>
      </w:pPr>
      <w:r>
        <w:rPr>
          <w:sz w:val="20"/>
          <w:szCs w:val="20"/>
        </w:rPr>
        <w:t> </w:t>
      </w:r>
    </w:p>
    <w:tbl>
      <w:tblPr>
        <w:tblW w:w="4250" w:type="pct"/>
        <w:tblCellSpacing w:w="0" w:type="dxa"/>
        <w:tblInd w:w="360" w:type="dxa"/>
        <w:tblCellMar>
          <w:left w:w="0" w:type="dxa"/>
          <w:right w:w="0" w:type="dxa"/>
        </w:tblCellMar>
        <w:tblLook w:val="04A0" w:firstRow="1" w:lastRow="0" w:firstColumn="1" w:lastColumn="0" w:noHBand="0" w:noVBand="1"/>
      </w:tblPr>
      <w:tblGrid>
        <w:gridCol w:w="4508"/>
        <w:gridCol w:w="61"/>
        <w:gridCol w:w="101"/>
        <w:gridCol w:w="1049"/>
        <w:gridCol w:w="61"/>
        <w:gridCol w:w="62"/>
        <w:gridCol w:w="101"/>
        <w:gridCol w:w="1050"/>
        <w:gridCol w:w="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As of December 31, 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As of December 31, 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Marketable securities: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Amortized cost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114,531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12,064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Unrealized gains/(losses), net (1)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592,423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(2,711</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Total fair value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706,954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9,353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See Albertsons Companies, Inc. discussion below.</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the years ended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the net unrealized gains on marketable securities were $594.8 million and $0.8 </w:t>
      </w:r>
      <w:r>
        <w:rPr>
          <w:sz w:val="20"/>
          <w:szCs w:val="20"/>
        </w:rPr>
        <w:t xml:space="preserve">million, respectively. These net unrealized gains are included in Gain/(loss) on marketable securities, net on the Company’s Consolidated Statements of Income. See Footnote </w:t>
      </w:r>
      <w:r>
        <w:rPr>
          <w:rStyle w:val="a6"/>
          <w:sz w:val="20"/>
          <w:szCs w:val="20"/>
        </w:rPr>
        <w:t>16</w:t>
      </w:r>
      <w:r>
        <w:rPr>
          <w:sz w:val="20"/>
          <w:szCs w:val="20"/>
        </w:rPr>
        <w:t xml:space="preserve"> to the Notes to the Company’s Consolidated Financial Statements for fair value d</w:t>
      </w:r>
      <w:r>
        <w:rPr>
          <w:sz w:val="20"/>
          <w:szCs w:val="20"/>
        </w:rPr>
        <w:t>isclosure.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Albertsons Companies, Inc. (“ACI”)</w:t>
      </w:r>
      <w:r>
        <w:rPr>
          <w:sz w:val="20"/>
          <w:szCs w:val="20"/>
        </w:rPr>
        <w:t xml:space="preserve"> –</w:t>
      </w:r>
    </w:p>
    <w:p w:rsidR="00000000" w:rsidRDefault="004E30E9">
      <w:pPr>
        <w:pStyle w:val="a3"/>
        <w:spacing w:before="0" w:beforeAutospacing="0" w:after="0" w:afterAutospacing="0"/>
        <w:ind w:left="360"/>
        <w:rPr>
          <w:sz w:val="20"/>
          <w:szCs w:val="20"/>
        </w:rPr>
      </w:pPr>
      <w:r>
        <w:rPr>
          <w:i/>
          <w:iCs/>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owned 9.29% of the common stock of ACI, </w:t>
      </w:r>
      <w:r>
        <w:rPr>
          <w:rStyle w:val="a6"/>
          <w:sz w:val="20"/>
          <w:szCs w:val="20"/>
        </w:rPr>
        <w:t>one</w:t>
      </w:r>
      <w:r>
        <w:rPr>
          <w:sz w:val="20"/>
          <w:szCs w:val="20"/>
        </w:rPr>
        <w:t xml:space="preserve"> of the largest food and drug retailers in the United States, and accounted for this $140.2 million investment on the cost method, which was included</w:t>
      </w:r>
      <w:r>
        <w:rPr>
          <w:sz w:val="20"/>
          <w:szCs w:val="20"/>
        </w:rPr>
        <w:t xml:space="preserve"> in Other assets on the Company’s Consolidated Balance Sheets as of </w:t>
      </w:r>
      <w:r>
        <w:rPr>
          <w:rStyle w:val="a6"/>
          <w:sz w:val="20"/>
          <w:szCs w:val="20"/>
        </w:rPr>
        <w:t xml:space="preserve">December 31, 2019. </w:t>
      </w:r>
      <w:r>
        <w:rPr>
          <w:sz w:val="20"/>
          <w:szCs w:val="20"/>
        </w:rPr>
        <w:t xml:space="preserve">During </w:t>
      </w:r>
      <w:r>
        <w:rPr>
          <w:rStyle w:val="a6"/>
          <w:sz w:val="20"/>
          <w:szCs w:val="20"/>
        </w:rPr>
        <w:t xml:space="preserve">June 2020, </w:t>
      </w:r>
      <w:r>
        <w:rPr>
          <w:sz w:val="20"/>
          <w:szCs w:val="20"/>
        </w:rPr>
        <w:t>ACI issued $1.75 billion of convertible preferred stock and used the net proceeds of $1.68 billion to repurchase approximately 17.5% of ACI’s common st</w:t>
      </w:r>
      <w:r>
        <w:rPr>
          <w:sz w:val="20"/>
          <w:szCs w:val="20"/>
        </w:rPr>
        <w:t>ock owned by its current shareholders. As a result of this transaction, the Company received net proceeds of $156.1 million, recognized a gain of $131.6 million, which is included in Gain on sale of cost method investment on the Company’s Consolidated Stat</w:t>
      </w:r>
      <w:r>
        <w:rPr>
          <w:sz w:val="20"/>
          <w:szCs w:val="20"/>
        </w:rPr>
        <w:t>ements of Income, and held a 7.5% ownership interest in ACI.</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June 25, 2020, </w:t>
      </w:r>
      <w:r>
        <w:rPr>
          <w:sz w:val="20"/>
          <w:szCs w:val="20"/>
        </w:rPr>
        <w:t>ACI announced its initial public offering (“IPO”) of 50.0 million shares of its common stock had been priced at $16.00 per share. In connection with this transaction, the Comp</w:t>
      </w:r>
      <w:r>
        <w:rPr>
          <w:sz w:val="20"/>
          <w:szCs w:val="20"/>
        </w:rPr>
        <w:t>any received net proceeds of $71.4 million, net of fees, from the sale of 4.7 million common shares in ACI and recognized a gain of $59.2 million, which is included in Gain on sale of cost method investment on the Company’s Consolidated Statements of Incom</w:t>
      </w:r>
      <w:r>
        <w:rPr>
          <w:sz w:val="20"/>
          <w:szCs w:val="20"/>
        </w:rPr>
        <w:t xml:space="preserve">e. The shares began trading on the New York Stock Exchange under the symbol "ACI" on </w:t>
      </w:r>
      <w:r>
        <w:rPr>
          <w:rStyle w:val="a6"/>
          <w:sz w:val="20"/>
          <w:szCs w:val="20"/>
        </w:rPr>
        <w:t xml:space="preserve">June 26, 2020. </w:t>
      </w:r>
      <w:r>
        <w:rPr>
          <w:sz w:val="20"/>
          <w:szCs w:val="20"/>
        </w:rPr>
        <w:t xml:space="preserve">As of </w:t>
      </w:r>
      <w:r>
        <w:rPr>
          <w:rStyle w:val="a6"/>
          <w:sz w:val="20"/>
          <w:szCs w:val="20"/>
        </w:rPr>
        <w:t xml:space="preserve">December 31, 2020, </w:t>
      </w:r>
      <w:r>
        <w:rPr>
          <w:sz w:val="20"/>
          <w:szCs w:val="20"/>
        </w:rPr>
        <w:t xml:space="preserve">the Company holds 39.8 million common shares in ACI (subject to certain contractual lock-up provisions) which are accounted for as </w:t>
      </w:r>
      <w:r>
        <w:rPr>
          <w:sz w:val="20"/>
          <w:szCs w:val="20"/>
        </w:rPr>
        <w:t xml:space="preserve">available-for-sale marketable securities and are included in Marketable securities on the Company’s Consolidated Balance Sheets. As of </w:t>
      </w:r>
      <w:r>
        <w:rPr>
          <w:rStyle w:val="a6"/>
          <w:sz w:val="20"/>
          <w:szCs w:val="20"/>
        </w:rPr>
        <w:t xml:space="preserve">December 31, 2020, </w:t>
      </w:r>
      <w:r>
        <w:rPr>
          <w:sz w:val="20"/>
          <w:szCs w:val="20"/>
        </w:rPr>
        <w:t>the Company’s investment in ACI was $700.4 million, including a mark-to-market gain of $596.8 million.</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w:t>
      </w:r>
      <w:r>
        <w:rPr>
          <w:rStyle w:val="a6"/>
          <w:sz w:val="20"/>
          <w:szCs w:val="20"/>
        </w:rPr>
        <w:t xml:space="preserve">October 2020, </w:t>
      </w:r>
      <w:r>
        <w:rPr>
          <w:sz w:val="20"/>
          <w:szCs w:val="20"/>
        </w:rPr>
        <w:t>ACI declared a cash dividend of $0.10 per share of Class A common stock and Class A-</w:t>
      </w:r>
      <w:r>
        <w:rPr>
          <w:rStyle w:val="a6"/>
          <w:sz w:val="20"/>
          <w:szCs w:val="20"/>
        </w:rPr>
        <w:t>1</w:t>
      </w:r>
      <w:r>
        <w:rPr>
          <w:sz w:val="20"/>
          <w:szCs w:val="20"/>
        </w:rPr>
        <w:t xml:space="preserve"> common stock. The cash dividend was paid on </w:t>
      </w:r>
      <w:r>
        <w:rPr>
          <w:rStyle w:val="a6"/>
          <w:sz w:val="20"/>
          <w:szCs w:val="20"/>
        </w:rPr>
        <w:t xml:space="preserve">November 10, 2020 </w:t>
      </w:r>
      <w:r>
        <w:rPr>
          <w:sz w:val="20"/>
          <w:szCs w:val="20"/>
        </w:rPr>
        <w:t xml:space="preserve">to stockholders of record as of the close of business on </w:t>
      </w:r>
      <w:r>
        <w:rPr>
          <w:rStyle w:val="a6"/>
          <w:sz w:val="20"/>
          <w:szCs w:val="20"/>
        </w:rPr>
        <w:t xml:space="preserve">October 26, 2020. </w:t>
      </w:r>
      <w:r>
        <w:rPr>
          <w:sz w:val="20"/>
          <w:szCs w:val="20"/>
        </w:rPr>
        <w:t>As a resu</w:t>
      </w:r>
      <w:r>
        <w:rPr>
          <w:sz w:val="20"/>
          <w:szCs w:val="20"/>
        </w:rPr>
        <w:t xml:space="preserve">lt, the Company recognized $4.0 million of dividend income during the year ended </w:t>
      </w:r>
      <w:r>
        <w:rPr>
          <w:rStyle w:val="a6"/>
          <w:sz w:val="20"/>
          <w:szCs w:val="20"/>
        </w:rPr>
        <w:t xml:space="preserve">December 31, 2020, </w:t>
      </w:r>
      <w:r>
        <w:rPr>
          <w:sz w:val="20"/>
          <w:szCs w:val="20"/>
        </w:rPr>
        <w:t>which is included in Other income, net on the Company’s Consolidated Statements of Income.</w:t>
      </w:r>
    </w:p>
    <w:p w:rsidR="00000000" w:rsidRDefault="004E30E9">
      <w:pPr>
        <w:pStyle w:val="a3"/>
        <w:spacing w:before="0" w:beforeAutospacing="0" w:after="0" w:afterAutospacing="0"/>
        <w:rPr>
          <w:sz w:val="20"/>
          <w:szCs w:val="20"/>
        </w:rPr>
      </w:pPr>
      <w:r>
        <w:rPr>
          <w:sz w:val="20"/>
          <w:szCs w:val="20"/>
        </w:rPr>
        <w:t> </w:t>
      </w:r>
    </w:p>
    <w:p w:rsidR="00000000" w:rsidRDefault="004E30E9">
      <w:pPr>
        <w:divId w:val="899753428"/>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10.</w:t>
      </w:r>
      <w:r>
        <w:rPr>
          <w:sz w:val="20"/>
          <w:szCs w:val="20"/>
        </w:rPr>
        <w:t xml:space="preserve"> </w:t>
      </w:r>
      <w:r>
        <w:rPr>
          <w:sz w:val="20"/>
          <w:szCs w:val="20"/>
          <w:u w:val="single"/>
        </w:rPr>
        <w:t>Variable Interest Entities (“VIE”)</w:t>
      </w:r>
      <w:r>
        <w:rPr>
          <w:sz w:val="20"/>
          <w:szCs w:val="20"/>
        </w:rPr>
        <w: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Included within th</w:t>
      </w:r>
      <w:r>
        <w:rPr>
          <w:sz w:val="20"/>
          <w:szCs w:val="20"/>
        </w:rPr>
        <w:t xml:space="preserve">e Company’s operating properties at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are 22 consolidated entities that are VIEs for which the Company is the primary beneficiary. These entities have been established to own and operate real estate property. The Company’s involve</w:t>
      </w:r>
      <w:r>
        <w:rPr>
          <w:sz w:val="20"/>
          <w:szCs w:val="20"/>
        </w:rPr>
        <w:t xml:space="preserve">ment with these entities is through its majority ownership and management of the properties. The entities were deemed VIEs primarily because the unrelated investors do </w:t>
      </w:r>
      <w:r>
        <w:rPr>
          <w:rStyle w:val="a6"/>
          <w:sz w:val="20"/>
          <w:szCs w:val="20"/>
        </w:rPr>
        <w:t>not</w:t>
      </w:r>
      <w:r>
        <w:rPr>
          <w:sz w:val="20"/>
          <w:szCs w:val="20"/>
        </w:rPr>
        <w:t xml:space="preserve"> have substantive kick-out rights to remove the general or managing partner by a vote</w:t>
      </w:r>
      <w:r>
        <w:rPr>
          <w:sz w:val="20"/>
          <w:szCs w:val="20"/>
        </w:rPr>
        <w:t xml:space="preserve"> of a simple majority or less and they do </w:t>
      </w:r>
      <w:r>
        <w:rPr>
          <w:rStyle w:val="a6"/>
          <w:sz w:val="20"/>
          <w:szCs w:val="20"/>
        </w:rPr>
        <w:t>not</w:t>
      </w:r>
      <w:r>
        <w:rPr>
          <w:sz w:val="20"/>
          <w:szCs w:val="20"/>
        </w:rPr>
        <w:t xml:space="preserve"> have substantive participating rights. The Company determined that it was the primary beneficiary of these VIEs as a result of its controlling financial interest. At </w:t>
      </w:r>
      <w:r>
        <w:rPr>
          <w:rStyle w:val="a6"/>
          <w:sz w:val="20"/>
          <w:szCs w:val="20"/>
        </w:rPr>
        <w:t xml:space="preserve">December 31, 2020, </w:t>
      </w:r>
      <w:r>
        <w:rPr>
          <w:sz w:val="20"/>
          <w:szCs w:val="20"/>
        </w:rPr>
        <w:t>total assets of these VIE</w:t>
      </w:r>
      <w:r>
        <w:rPr>
          <w:sz w:val="20"/>
          <w:szCs w:val="20"/>
        </w:rPr>
        <w:t xml:space="preserve">s were $1.0 billion and total liabilities were $62.1 million. At </w:t>
      </w:r>
      <w:r>
        <w:rPr>
          <w:rStyle w:val="a6"/>
          <w:sz w:val="20"/>
          <w:szCs w:val="20"/>
        </w:rPr>
        <w:t xml:space="preserve">December 31, 2019, </w:t>
      </w:r>
      <w:r>
        <w:rPr>
          <w:sz w:val="20"/>
          <w:szCs w:val="20"/>
        </w:rPr>
        <w:t>total assets of these VIEs were $0.9 billion and total liabilities were $70.9 million.</w:t>
      </w:r>
    </w:p>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982345086"/>
        <w:rPr>
          <w:rFonts w:eastAsia="Times New Roman"/>
          <w:sz w:val="20"/>
          <w:szCs w:val="20"/>
        </w:rPr>
      </w:pPr>
      <w:r>
        <w:rPr>
          <w:rStyle w:val="a6"/>
          <w:rFonts w:eastAsia="Times New Roman"/>
          <w:sz w:val="20"/>
          <w:szCs w:val="20"/>
        </w:rPr>
        <w:t>76</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13" style="width:415.3pt;height:1.5pt" o:hralign="center" o:hrstd="t" o:hrnoshade="t" o:hr="t" fillcolor="black" stroked="f"/>
        </w:pict>
      </w:r>
    </w:p>
    <w:p w:rsidR="00000000" w:rsidRDefault="004E30E9">
      <w:pPr>
        <w:divId w:val="114218926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majority of the operations of these VIEs are funded with cash flows generated from the properties. The Company has </w:t>
      </w:r>
      <w:r>
        <w:rPr>
          <w:rStyle w:val="a6"/>
          <w:sz w:val="20"/>
          <w:szCs w:val="20"/>
        </w:rPr>
        <w:t>not</w:t>
      </w:r>
      <w:r>
        <w:rPr>
          <w:sz w:val="20"/>
          <w:szCs w:val="20"/>
        </w:rPr>
        <w:t xml:space="preserve"> provided financial support to any of these VIEs that it was </w:t>
      </w:r>
      <w:r>
        <w:rPr>
          <w:rStyle w:val="a6"/>
          <w:sz w:val="20"/>
          <w:szCs w:val="20"/>
        </w:rPr>
        <w:t>not</w:t>
      </w:r>
      <w:r>
        <w:rPr>
          <w:sz w:val="20"/>
          <w:szCs w:val="20"/>
        </w:rPr>
        <w:t xml:space="preserve"> previously contractually required to provide, which consists primaril</w:t>
      </w:r>
      <w:r>
        <w:rPr>
          <w:sz w:val="20"/>
          <w:szCs w:val="20"/>
        </w:rPr>
        <w:t xml:space="preserve">y of funding any capital expenditures, including tenant improvements, which are deemed necessary to continue to operate the entity and any operating cash shortfalls that the entity </w:t>
      </w:r>
      <w:r>
        <w:rPr>
          <w:rStyle w:val="a6"/>
          <w:sz w:val="20"/>
          <w:szCs w:val="20"/>
        </w:rPr>
        <w:t xml:space="preserve">may </w:t>
      </w:r>
      <w:r>
        <w:rPr>
          <w:sz w:val="20"/>
          <w:szCs w:val="20"/>
        </w:rPr>
        <w:t>experience.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Additionally, included within the Company’s real estate development projects at </w:t>
      </w:r>
      <w:r>
        <w:rPr>
          <w:rStyle w:val="a6"/>
          <w:sz w:val="20"/>
          <w:szCs w:val="20"/>
        </w:rPr>
        <w:t>2019,</w:t>
      </w:r>
      <w:r>
        <w:rPr>
          <w:sz w:val="20"/>
          <w:szCs w:val="20"/>
        </w:rPr>
        <w:t xml:space="preserve"> was</w:t>
      </w:r>
      <w:r>
        <w:rPr>
          <w:sz w:val="20"/>
          <w:szCs w:val="20"/>
        </w:rPr>
        <w:t xml:space="preserve"> </w:t>
      </w:r>
      <w:r>
        <w:rPr>
          <w:sz w:val="20"/>
          <w:szCs w:val="20"/>
        </w:rPr>
        <w:t>on</w:t>
      </w:r>
      <w:r>
        <w:rPr>
          <w:sz w:val="20"/>
          <w:szCs w:val="20"/>
        </w:rPr>
        <w:t>e</w:t>
      </w:r>
      <w:r>
        <w:rPr>
          <w:sz w:val="20"/>
          <w:szCs w:val="20"/>
        </w:rPr>
        <w:t xml:space="preserve"> consolidated entity that was a VIE, for which the Company was the primary beneficiary. This entity was established to develop a real estate property to hold as a </w:t>
      </w:r>
      <w:r>
        <w:rPr>
          <w:sz w:val="20"/>
          <w:szCs w:val="20"/>
        </w:rPr>
        <w:t xml:space="preserve">long-term investment. The Company’s involvement with this entity was through its majority ownership and management of the property. This entity was deemed a VIE primarily because the equity investments at risk were </w:t>
      </w:r>
      <w:r>
        <w:rPr>
          <w:rStyle w:val="a6"/>
          <w:sz w:val="20"/>
          <w:szCs w:val="20"/>
        </w:rPr>
        <w:t>not</w:t>
      </w:r>
      <w:r>
        <w:rPr>
          <w:sz w:val="20"/>
          <w:szCs w:val="20"/>
        </w:rPr>
        <w:t xml:space="preserve"> sufficient to permit the entity to fi</w:t>
      </w:r>
      <w:r>
        <w:rPr>
          <w:sz w:val="20"/>
          <w:szCs w:val="20"/>
        </w:rPr>
        <w:t xml:space="preserve">nance its activities without additional financial support. The initial equity contributed to this entity was </w:t>
      </w:r>
      <w:r>
        <w:rPr>
          <w:rStyle w:val="a6"/>
          <w:sz w:val="20"/>
          <w:szCs w:val="20"/>
        </w:rPr>
        <w:t>not</w:t>
      </w:r>
      <w:r>
        <w:rPr>
          <w:sz w:val="20"/>
          <w:szCs w:val="20"/>
        </w:rPr>
        <w:t xml:space="preserve"> sufficient to fully finance the real estate construction as development costs are funded by the partners throughout the construction period. Th</w:t>
      </w:r>
      <w:r>
        <w:rPr>
          <w:sz w:val="20"/>
          <w:szCs w:val="20"/>
        </w:rPr>
        <w:t xml:space="preserve">e Company determined that it was the primary beneficiary of this VIE as a result of its controlling financial interest. At </w:t>
      </w:r>
      <w:r>
        <w:rPr>
          <w:rStyle w:val="a6"/>
          <w:sz w:val="20"/>
          <w:szCs w:val="20"/>
        </w:rPr>
        <w:t xml:space="preserve">December 31, 2019, </w:t>
      </w:r>
      <w:r>
        <w:rPr>
          <w:sz w:val="20"/>
          <w:szCs w:val="20"/>
        </w:rPr>
        <w:t>total assets of this real estate development VIE were $346.9 million and total liabilities were $82.5 million. Dur</w:t>
      </w:r>
      <w:r>
        <w:rPr>
          <w:sz w:val="20"/>
          <w:szCs w:val="20"/>
        </w:rPr>
        <w:t xml:space="preserve">ing the year ended </w:t>
      </w:r>
      <w:r>
        <w:rPr>
          <w:rStyle w:val="a6"/>
          <w:sz w:val="20"/>
          <w:szCs w:val="20"/>
        </w:rPr>
        <w:t xml:space="preserve">December 31, 2020, </w:t>
      </w:r>
      <w:r>
        <w:rPr>
          <w:sz w:val="20"/>
          <w:szCs w:val="20"/>
        </w:rPr>
        <w:t xml:space="preserve">the Company purchased the partner’s noncontrolling interest and maintains full ownership of the entity. As a result, the entity is </w:t>
      </w:r>
      <w:r>
        <w:rPr>
          <w:rStyle w:val="a6"/>
          <w:sz w:val="20"/>
          <w:szCs w:val="20"/>
        </w:rPr>
        <w:t>no</w:t>
      </w:r>
      <w:r>
        <w:rPr>
          <w:sz w:val="20"/>
          <w:szCs w:val="20"/>
        </w:rPr>
        <w:t xml:space="preserve"> longer a VIE.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All liabilities of these VIEs are non-recourse to the Company (“VIE </w:t>
      </w:r>
      <w:r>
        <w:rPr>
          <w:sz w:val="20"/>
          <w:szCs w:val="20"/>
        </w:rPr>
        <w:t xml:space="preserve">Liabilities”). The assets of the unencumbered VIEs are </w:t>
      </w:r>
      <w:r>
        <w:rPr>
          <w:rStyle w:val="a6"/>
          <w:sz w:val="20"/>
          <w:szCs w:val="20"/>
        </w:rPr>
        <w:t>not</w:t>
      </w:r>
      <w:r>
        <w:rPr>
          <w:sz w:val="20"/>
          <w:szCs w:val="20"/>
        </w:rPr>
        <w:t xml:space="preserve"> restricted for use to settle only the obligations of these VIEs. The remaining VIE assets are encumbered by </w:t>
      </w:r>
      <w:r>
        <w:rPr>
          <w:rStyle w:val="a6"/>
          <w:sz w:val="20"/>
          <w:szCs w:val="20"/>
        </w:rPr>
        <w:t>third</w:t>
      </w:r>
      <w:r>
        <w:rPr>
          <w:sz w:val="20"/>
          <w:szCs w:val="20"/>
        </w:rPr>
        <w:t xml:space="preserve">-party non-recourse mortgage debt. The assets associated with these encumbered VIEs </w:t>
      </w:r>
      <w:r>
        <w:rPr>
          <w:sz w:val="20"/>
          <w:szCs w:val="20"/>
        </w:rPr>
        <w:t>(“Restricted Assets”) are collateral under the respective mortgages and are therefore restricted and can only be used to settle the corresponding liabilities of the VIE. The classification of the Restricted Assets and VIE Liabilities on the Company’s Conso</w:t>
      </w:r>
      <w:r>
        <w:rPr>
          <w:sz w:val="20"/>
          <w:szCs w:val="20"/>
        </w:rPr>
        <w:t>lidated Balance Sheets are as follows (in millions):</w:t>
      </w:r>
    </w:p>
    <w:p w:rsidR="00000000" w:rsidRDefault="004E30E9">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 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Number of unencumbered VIEs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Number of encumbered VIEs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number of consolidated VIEs</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22</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Restricted Assets: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228.9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3.6</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102.5</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245.5</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VIE Liabilities: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Mortgages and construction loan payable,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36.5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104.5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tcMar>
              <w:top w:w="0" w:type="dxa"/>
              <w:left w:w="180" w:type="dxa"/>
              <w:bottom w:w="0" w:type="dxa"/>
              <w:right w:w="0" w:type="dxa"/>
            </w:tcMar>
            <w:vAlign w:val="center"/>
            <w:hideMark/>
          </w:tcPr>
          <w:p w:rsidR="00000000" w:rsidRDefault="004E30E9">
            <w:pPr>
              <w:rPr>
                <w:rFonts w:eastAsia="Times New Roman"/>
                <w:sz w:val="20"/>
                <w:szCs w:val="20"/>
              </w:rPr>
            </w:pPr>
            <w:r>
              <w:rPr>
                <w:rFonts w:eastAsia="Times New Roman"/>
                <w:sz w:val="20"/>
                <w:szCs w:val="20"/>
              </w:rPr>
              <w:t>Accounts payable and accrued expenses</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800" w:type="pct"/>
            <w:vAlign w:val="center"/>
            <w:hideMark/>
          </w:tcPr>
          <w:p w:rsidR="00000000" w:rsidRDefault="004E30E9">
            <w:pPr>
              <w:jc w:val="right"/>
              <w:rPr>
                <w:rFonts w:eastAsia="Times New Roman"/>
                <w:sz w:val="20"/>
                <w:szCs w:val="20"/>
              </w:rPr>
            </w:pPr>
            <w:r>
              <w:rPr>
                <w:rFonts w:eastAsia="Times New Roman"/>
                <w:sz w:val="20"/>
                <w:szCs w:val="20"/>
              </w:rPr>
              <w:t>5.2</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800" w:type="pct"/>
            <w:vAlign w:val="center"/>
            <w:hideMark/>
          </w:tcPr>
          <w:p w:rsidR="00000000" w:rsidRDefault="004E30E9">
            <w:pPr>
              <w:jc w:val="right"/>
              <w:rPr>
                <w:rFonts w:eastAsia="Times New Roman"/>
                <w:sz w:val="20"/>
                <w:szCs w:val="20"/>
              </w:rPr>
            </w:pPr>
            <w:r>
              <w:rPr>
                <w:rFonts w:eastAsia="Times New Roman"/>
                <w:sz w:val="20"/>
                <w:szCs w:val="20"/>
              </w:rPr>
              <w:t>7.1</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tcMar>
              <w:top w:w="0" w:type="dxa"/>
              <w:left w:w="180" w:type="dxa"/>
              <w:bottom w:w="0" w:type="dxa"/>
              <w:right w:w="0" w:type="dxa"/>
            </w:tcMar>
            <w:vAlign w:val="center"/>
            <w:hideMark/>
          </w:tcPr>
          <w:p w:rsidR="00000000" w:rsidRDefault="004E30E9">
            <w:pPr>
              <w:rPr>
                <w:rFonts w:eastAsia="Times New Roman"/>
                <w:sz w:val="20"/>
                <w:szCs w:val="20"/>
              </w:rPr>
            </w:pPr>
            <w:r>
              <w:rPr>
                <w:rFonts w:eastAsia="Times New Roman"/>
                <w:sz w:val="20"/>
                <w:szCs w:val="20"/>
              </w:rPr>
              <w:t>Operating lease liabilities</w:t>
            </w:r>
          </w:p>
        </w:tc>
        <w:tc>
          <w:tcPr>
            <w:tcW w:w="50" w:type="pct"/>
            <w:shd w:val="clear" w:color="auto" w:fill="CCEEFF"/>
            <w:vAlign w:val="center"/>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center"/>
            <w:hideMark/>
          </w:tcPr>
          <w:p w:rsidR="00000000" w:rsidRDefault="004E30E9">
            <w:pPr>
              <w:jc w:val="right"/>
              <w:rPr>
                <w:rFonts w:eastAsia="Times New Roman"/>
                <w:sz w:val="20"/>
                <w:szCs w:val="20"/>
              </w:rPr>
            </w:pPr>
            <w:r>
              <w:rPr>
                <w:rFonts w:eastAsia="Times New Roman"/>
                <w:sz w:val="20"/>
                <w:szCs w:val="20"/>
              </w:rPr>
              <w:t>5.5</w:t>
            </w:r>
          </w:p>
        </w:tc>
        <w:tc>
          <w:tcPr>
            <w:tcW w:w="50" w:type="pct"/>
            <w:shd w:val="clear" w:color="auto" w:fill="CCEEFF"/>
            <w:vAlign w:val="center"/>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center"/>
            <w:hideMark/>
          </w:tcPr>
          <w:p w:rsidR="00000000" w:rsidRDefault="004E30E9">
            <w:pPr>
              <w:jc w:val="right"/>
              <w:rPr>
                <w:rFonts w:eastAsia="Times New Roman"/>
                <w:sz w:val="20"/>
                <w:szCs w:val="20"/>
              </w:rPr>
            </w:pPr>
            <w:r>
              <w:rPr>
                <w:rFonts w:eastAsia="Times New Roman"/>
                <w:sz w:val="20"/>
                <w:szCs w:val="20"/>
              </w:rPr>
              <w:t>5.6</w:t>
            </w:r>
          </w:p>
        </w:tc>
        <w:tc>
          <w:tcPr>
            <w:tcW w:w="50" w:type="pct"/>
            <w:shd w:val="clear" w:color="auto" w:fill="CCEEFF"/>
            <w:vAlign w:val="center"/>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14.9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36.2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62.1</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153.4</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firstLine="720"/>
        <w:jc w:val="both"/>
        <w:rPr>
          <w:sz w:val="20"/>
          <w:szCs w:val="20"/>
        </w:rPr>
      </w:pPr>
      <w:r>
        <w:rPr>
          <w:sz w:val="20"/>
          <w:szCs w:val="20"/>
        </w:rPr>
        <w:t> </w:t>
      </w:r>
    </w:p>
    <w:p w:rsidR="00000000" w:rsidRDefault="004E30E9">
      <w:pPr>
        <w:divId w:val="662516463"/>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jc w:val="both"/>
        <w:rPr>
          <w:sz w:val="20"/>
          <w:szCs w:val="20"/>
        </w:rPr>
      </w:pPr>
      <w:r>
        <w:rPr>
          <w:rStyle w:val="a6"/>
          <w:sz w:val="20"/>
          <w:szCs w:val="20"/>
        </w:rPr>
        <w:t>11.</w:t>
      </w:r>
      <w:r>
        <w:rPr>
          <w:sz w:val="20"/>
          <w:szCs w:val="20"/>
        </w:rPr>
        <w:t>  </w:t>
      </w:r>
      <w:r>
        <w:rPr>
          <w:sz w:val="20"/>
          <w:szCs w:val="20"/>
          <w:u w:val="single"/>
        </w:rPr>
        <w:t>Leases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Lessor Leases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w:t>
      </w:r>
      <w:r>
        <w:rPr>
          <w:sz w:val="20"/>
          <w:szCs w:val="20"/>
        </w:rPr>
        <w:t>s primary source of revenues is derived from lease agreements, which includes rental income and expense reimbursement. The Company’s lease income is comprised of minimum base rent, expense reimbursements, percentage rent, lease termination fee income, anci</w:t>
      </w:r>
      <w:r>
        <w:rPr>
          <w:sz w:val="20"/>
          <w:szCs w:val="20"/>
        </w:rPr>
        <w:t>llary income, amortization of above-market and below-market rent adjustments and straight-line rent adjustments.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88236900"/>
        <w:rPr>
          <w:rFonts w:eastAsia="Times New Roman"/>
          <w:sz w:val="20"/>
          <w:szCs w:val="20"/>
        </w:rPr>
      </w:pPr>
      <w:r>
        <w:rPr>
          <w:rStyle w:val="a6"/>
          <w:rFonts w:eastAsia="Times New Roman"/>
          <w:sz w:val="20"/>
          <w:szCs w:val="20"/>
        </w:rPr>
        <w:t>77</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14" style="width:415.3pt;height:1.5pt" o:hralign="center" o:hrstd="t" o:hrnoshade="t" o:hr="t" fillcolor="black" stroked="f"/>
        </w:pict>
      </w:r>
    </w:p>
    <w:p w:rsidR="00000000" w:rsidRDefault="004E30E9">
      <w:pPr>
        <w:divId w:val="322197246"/>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disaggregation of the Company’s lease income, wh</w:t>
      </w:r>
      <w:r>
        <w:rPr>
          <w:sz w:val="20"/>
          <w:szCs w:val="20"/>
        </w:rPr>
        <w:t xml:space="preserve">ich is included in Revenue from rental properties on the Company’s Consolidated Statements of Operations, as either fixed or variable lease income based on the criteria specified in ASC </w:t>
      </w:r>
      <w:r>
        <w:rPr>
          <w:rStyle w:val="a6"/>
          <w:sz w:val="20"/>
          <w:szCs w:val="20"/>
        </w:rPr>
        <w:t>842,</w:t>
      </w:r>
      <w:r>
        <w:rPr>
          <w:sz w:val="20"/>
          <w:szCs w:val="20"/>
        </w:rPr>
        <w:t xml:space="preserve"> for the years ended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is as follows (in</w:t>
      </w:r>
      <w:r>
        <w:rPr>
          <w:sz w:val="20"/>
          <w:szCs w:val="20"/>
        </w:rPr>
        <w:t xml:space="preserve"> thousands):</w:t>
      </w:r>
    </w:p>
    <w:p w:rsidR="00000000" w:rsidRDefault="004E30E9">
      <w:pPr>
        <w:pStyle w:val="a3"/>
        <w:spacing w:before="0" w:beforeAutospacing="0" w:after="0" w:afterAutospacing="0"/>
        <w:ind w:firstLine="360"/>
        <w:jc w:val="both"/>
        <w:rPr>
          <w:sz w:val="20"/>
          <w:szCs w:val="20"/>
        </w:rPr>
      </w:pPr>
      <w:r>
        <w:rPr>
          <w:sz w:val="20"/>
          <w:szCs w:val="20"/>
        </w:rPr>
        <w:t> </w:t>
      </w:r>
    </w:p>
    <w:tbl>
      <w:tblPr>
        <w:tblW w:w="4500" w:type="pct"/>
        <w:tblCellSpacing w:w="0" w:type="dxa"/>
        <w:tblInd w:w="36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Lease income:</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Fixed lease income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804,107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880,214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Variable lease income (2)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218,266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242,110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Above-market and below-market leases amortization,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22,515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20,010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Total lease income (3)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1,044,888</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1,142,334</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E30E9">
            <w:pPr>
              <w:rPr>
                <w:rFonts w:eastAsia="Times New Roman"/>
              </w:rPr>
            </w:pPr>
            <w:r>
              <w:rPr>
                <w:rFonts w:eastAsia="Times New Roman"/>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Includes minimum base rents, expense reimbursements, ancillary income and straight-line rent adjustments.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E30E9">
            <w:pPr>
              <w:rPr>
                <w:rFonts w:eastAsia="Times New Roman"/>
              </w:rPr>
            </w:pPr>
            <w:r>
              <w:rPr>
                <w:rFonts w:eastAsia="Times New Roman"/>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Includes minimum base rents, expense reimbursements, percentage rent, lease termination fee income and ancillary income.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E30E9">
            <w:pPr>
              <w:rPr>
                <w:rFonts w:eastAsia="Times New Roman"/>
              </w:rPr>
            </w:pPr>
            <w:r>
              <w:rPr>
                <w:rFonts w:eastAsia="Times New Roman"/>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3</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During </w:t>
            </w:r>
            <w:r>
              <w:rPr>
                <w:rStyle w:val="a6"/>
                <w:sz w:val="20"/>
                <w:szCs w:val="20"/>
              </w:rPr>
              <w:t>2020,</w:t>
            </w:r>
            <w:r>
              <w:rPr>
                <w:sz w:val="20"/>
                <w:szCs w:val="20"/>
              </w:rPr>
              <w:t xml:space="preserve"> the Company’s revenue was reduced by $81.0 million associated with potentially uncollectible revenues, including r</w:t>
            </w:r>
            <w:r>
              <w:rPr>
                <w:sz w:val="20"/>
                <w:szCs w:val="20"/>
              </w:rPr>
              <w:t>evenues from tenants that are being accounted for on a cash basis, and disputed amounts, which includes $15.2 million for straight-line rent receivables, primarily attributable to the COVID-</w:t>
            </w:r>
            <w:r>
              <w:rPr>
                <w:rStyle w:val="a6"/>
                <w:sz w:val="20"/>
                <w:szCs w:val="20"/>
              </w:rPr>
              <w:t>19</w:t>
            </w:r>
            <w:r>
              <w:rPr>
                <w:sz w:val="20"/>
                <w:szCs w:val="20"/>
              </w:rPr>
              <w:t xml:space="preserve"> pandemic.</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Base rental revenues from rental properties are re</w:t>
      </w:r>
      <w:r>
        <w:rPr>
          <w:sz w:val="20"/>
          <w:szCs w:val="20"/>
        </w:rPr>
        <w:t xml:space="preserve">cognized on a straight-line basis over the terms of the related leases. The difference between the amount of rental income contracted through leases and rental income recognized on a straight-line basis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w:t>
      </w:r>
      <w:r>
        <w:rPr>
          <w:sz w:val="20"/>
          <w:szCs w:val="20"/>
        </w:rPr>
        <w:t>was ($6.9) million, $17.2 million and $13.6 million, respectively.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is primarily engaged in the operation of shopping centers that are either owned or held under long-term leases that expire at various dates through </w:t>
      </w:r>
      <w:r>
        <w:rPr>
          <w:rStyle w:val="a6"/>
          <w:sz w:val="20"/>
          <w:szCs w:val="20"/>
        </w:rPr>
        <w:t>2072.</w:t>
      </w:r>
      <w:r>
        <w:rPr>
          <w:sz w:val="20"/>
          <w:szCs w:val="20"/>
        </w:rPr>
        <w:t xml:space="preserve"> The Company, in turn,</w:t>
      </w:r>
      <w:r>
        <w:rPr>
          <w:sz w:val="20"/>
          <w:szCs w:val="20"/>
        </w:rPr>
        <w:t xml:space="preserve"> leases premises in these centers to tenants pursuant to lease agreements which provide for terms ranging generally from</w:t>
      </w:r>
      <w:r>
        <w:rPr>
          <w:sz w:val="20"/>
          <w:szCs w:val="20"/>
        </w:rPr>
        <w:t xml:space="preserve"> </w:t>
      </w:r>
      <w:r>
        <w:rPr>
          <w:sz w:val="20"/>
          <w:szCs w:val="20"/>
        </w:rPr>
        <w:t>fiv</w:t>
      </w:r>
      <w:r>
        <w:rPr>
          <w:sz w:val="20"/>
          <w:szCs w:val="20"/>
        </w:rPr>
        <w:t>e</w:t>
      </w:r>
      <w:r>
        <w:rPr>
          <w:sz w:val="20"/>
          <w:szCs w:val="20"/>
        </w:rPr>
        <w:t xml:space="preserve"> to 25 years and for annual minimum rentals plus incremental rents based on operating expense levels and tenants' sales volumes. An</w:t>
      </w:r>
      <w:r>
        <w:rPr>
          <w:sz w:val="20"/>
          <w:szCs w:val="20"/>
        </w:rPr>
        <w:t xml:space="preserve">nual minimum rentals plus incremental rents based on operating expense levels and percentage rents comprised 98% of total revenues from rental properties for each of the </w:t>
      </w:r>
      <w:r>
        <w:rPr>
          <w:rStyle w:val="a6"/>
          <w:sz w:val="20"/>
          <w:szCs w:val="20"/>
        </w:rPr>
        <w:t>three</w:t>
      </w:r>
      <w:r>
        <w:rPr>
          <w:sz w:val="20"/>
          <w:szCs w:val="20"/>
        </w:rPr>
        <w:t xml:space="preserve"> years ended </w:t>
      </w:r>
      <w:r>
        <w:rPr>
          <w:rStyle w:val="a6"/>
          <w:sz w:val="20"/>
          <w:szCs w:val="20"/>
        </w:rPr>
        <w:t>December 31, 2020, 2019</w:t>
      </w:r>
      <w:r>
        <w:rPr>
          <w:sz w:val="20"/>
          <w:szCs w:val="20"/>
        </w:rPr>
        <w:t xml:space="preserve"> and </w:t>
      </w:r>
      <w:r>
        <w:rPr>
          <w:rStyle w:val="a6"/>
          <w:sz w:val="20"/>
          <w:szCs w:val="20"/>
        </w:rPr>
        <w:t>2018.</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minimum revenues expected to</w:t>
      </w:r>
      <w:r>
        <w:rPr>
          <w:sz w:val="20"/>
          <w:szCs w:val="20"/>
        </w:rPr>
        <w:t xml:space="preserve"> be received by the Company from rental properties under the terms of all non-cancelable tenant leases for future years, assuming </w:t>
      </w:r>
      <w:r>
        <w:rPr>
          <w:rStyle w:val="a6"/>
          <w:sz w:val="20"/>
          <w:szCs w:val="20"/>
        </w:rPr>
        <w:t>no</w:t>
      </w:r>
      <w:r>
        <w:rPr>
          <w:sz w:val="20"/>
          <w:szCs w:val="20"/>
        </w:rPr>
        <w:t xml:space="preserve"> new or renegotiated leases are executed for such premises, are as follows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CellMar>
          <w:left w:w="0" w:type="dxa"/>
          <w:right w:w="0" w:type="dxa"/>
        </w:tblCellMar>
        <w:tblLook w:val="04A0" w:firstRow="1" w:lastRow="0" w:firstColumn="1" w:lastColumn="0" w:noHBand="0" w:noVBand="1"/>
      </w:tblPr>
      <w:tblGrid>
        <w:gridCol w:w="1726"/>
        <w:gridCol w:w="69"/>
        <w:gridCol w:w="100"/>
        <w:gridCol w:w="779"/>
        <w:gridCol w:w="69"/>
        <w:gridCol w:w="69"/>
        <w:gridCol w:w="100"/>
        <w:gridCol w:w="779"/>
        <w:gridCol w:w="69"/>
        <w:gridCol w:w="69"/>
        <w:gridCol w:w="100"/>
        <w:gridCol w:w="779"/>
        <w:gridCol w:w="69"/>
        <w:gridCol w:w="69"/>
        <w:gridCol w:w="100"/>
        <w:gridCol w:w="779"/>
        <w:gridCol w:w="69"/>
        <w:gridCol w:w="69"/>
        <w:gridCol w:w="100"/>
        <w:gridCol w:w="779"/>
        <w:gridCol w:w="70"/>
        <w:gridCol w:w="70"/>
        <w:gridCol w:w="101"/>
        <w:gridCol w:w="838"/>
        <w:gridCol w:w="70"/>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1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Minimum revenues</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848.8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741.0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645.3</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549.9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457.8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2,403.3</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Lessee Leases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adopted Topic </w:t>
      </w:r>
      <w:r>
        <w:rPr>
          <w:rStyle w:val="a6"/>
          <w:sz w:val="20"/>
          <w:szCs w:val="20"/>
        </w:rPr>
        <w:t>842,</w:t>
      </w:r>
      <w:r>
        <w:rPr>
          <w:sz w:val="20"/>
          <w:szCs w:val="20"/>
        </w:rPr>
        <w:t xml:space="preserve"> on </w:t>
      </w:r>
      <w:r>
        <w:rPr>
          <w:rStyle w:val="a6"/>
          <w:sz w:val="20"/>
          <w:szCs w:val="20"/>
        </w:rPr>
        <w:t xml:space="preserve">January 1, 2019, </w:t>
      </w:r>
      <w:r>
        <w:rPr>
          <w:sz w:val="20"/>
          <w:szCs w:val="20"/>
        </w:rPr>
        <w:t xml:space="preserve">and, as a result, recorded a ROU asset of $106.0 million and a corresponding lease liability of $98.7 million (see Footnote </w:t>
      </w:r>
      <w:r>
        <w:rPr>
          <w:rStyle w:val="a6"/>
          <w:sz w:val="20"/>
          <w:szCs w:val="20"/>
        </w:rPr>
        <w:t>1</w:t>
      </w:r>
      <w:r>
        <w:rPr>
          <w:sz w:val="20"/>
          <w:szCs w:val="20"/>
        </w:rPr>
        <w:t xml:space="preserve"> to the Company’s Consolidated Financial Statements for further discussion on the adoption of Topic </w:t>
      </w:r>
      <w:r>
        <w:rPr>
          <w:rStyle w:val="a6"/>
          <w:sz w:val="20"/>
          <w:szCs w:val="20"/>
        </w:rPr>
        <w:t>842</w:t>
      </w:r>
      <w:r>
        <w:rPr>
          <w:sz w:val="20"/>
          <w:szCs w:val="20"/>
        </w:rPr>
        <w:t>). As the lessee, the Compan</w:t>
      </w:r>
      <w:r>
        <w:rPr>
          <w:sz w:val="20"/>
          <w:szCs w:val="20"/>
        </w:rPr>
        <w:t>y currently leases real estate space under noncancelable operating lease agreements for ground leases and administrative office leases. The Company’s leases have remaining lease terms ranging from less than</w:t>
      </w:r>
      <w:r>
        <w:rPr>
          <w:sz w:val="20"/>
          <w:szCs w:val="20"/>
        </w:rPr>
        <w:t xml:space="preserve"> </w:t>
      </w:r>
      <w:r>
        <w:rPr>
          <w:sz w:val="20"/>
          <w:szCs w:val="20"/>
        </w:rPr>
        <w:t>on</w:t>
      </w:r>
      <w:r>
        <w:rPr>
          <w:sz w:val="20"/>
          <w:szCs w:val="20"/>
        </w:rPr>
        <w:t>e</w:t>
      </w:r>
      <w:r>
        <w:rPr>
          <w:sz w:val="20"/>
          <w:szCs w:val="20"/>
        </w:rPr>
        <w:t xml:space="preserve"> to 51 years, some of which include options to</w:t>
      </w:r>
      <w:r>
        <w:rPr>
          <w:sz w:val="20"/>
          <w:szCs w:val="20"/>
        </w:rPr>
        <w:t xml:space="preserve"> extend the terms for up to an additional 75 years. The Company does </w:t>
      </w:r>
      <w:r>
        <w:rPr>
          <w:rStyle w:val="a6"/>
          <w:sz w:val="20"/>
          <w:szCs w:val="20"/>
        </w:rPr>
        <w:t>not</w:t>
      </w:r>
      <w:r>
        <w:rPr>
          <w:sz w:val="20"/>
          <w:szCs w:val="20"/>
        </w:rPr>
        <w:t xml:space="preserve"> include any of its renewal options in its lease terms for calculating its lease liability as the renewal options allow the Company to maintain operational flexibility, and the Company</w:t>
      </w:r>
      <w:r>
        <w:rPr>
          <w:sz w:val="20"/>
          <w:szCs w:val="20"/>
        </w:rPr>
        <w:t xml:space="preserve"> is </w:t>
      </w:r>
      <w:r>
        <w:rPr>
          <w:rStyle w:val="a6"/>
          <w:sz w:val="20"/>
          <w:szCs w:val="20"/>
        </w:rPr>
        <w:t>not</w:t>
      </w:r>
      <w:r>
        <w:rPr>
          <w:sz w:val="20"/>
          <w:szCs w:val="20"/>
        </w:rPr>
        <w:t xml:space="preserve"> reasonably certain it will exercise these renewal options at this time. The weighted-average remaining non-cancelable lease term for the Company’s operating leases was 20.3 years at </w:t>
      </w:r>
      <w:r>
        <w:rPr>
          <w:rStyle w:val="a6"/>
          <w:sz w:val="20"/>
          <w:szCs w:val="20"/>
        </w:rPr>
        <w:t>December 31, 2020.</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Company’s operating lease liabilities are</w:t>
      </w:r>
      <w:r>
        <w:rPr>
          <w:sz w:val="20"/>
          <w:szCs w:val="20"/>
        </w:rPr>
        <w:t xml:space="preserve"> determined based on the estimated present value of the Company’s minimum lease payments under its lease agreements. The discount rate used to determine the lease liabilities is based on the estimated incremental borrowing rate on a lease by lease basis. W</w:t>
      </w:r>
      <w:r>
        <w:rPr>
          <w:sz w:val="20"/>
          <w:szCs w:val="20"/>
        </w:rPr>
        <w:t>hen calculating the incremental borrowing rates, the Company utilized data from (i) its recent debt issuances, (ii) publicly available data for instruments with similar characteristics, (iii) observable mortgage rates and (iv) unlevered property yields and</w:t>
      </w:r>
      <w:r>
        <w:rPr>
          <w:sz w:val="20"/>
          <w:szCs w:val="20"/>
        </w:rPr>
        <w:t xml:space="preserve"> discount rates. The Company then applied adjustments to account for considerations related to term and security that </w:t>
      </w:r>
      <w:r>
        <w:rPr>
          <w:rStyle w:val="a6"/>
          <w:sz w:val="20"/>
          <w:szCs w:val="20"/>
        </w:rPr>
        <w:t>may not</w:t>
      </w:r>
      <w:r>
        <w:rPr>
          <w:sz w:val="20"/>
          <w:szCs w:val="20"/>
        </w:rPr>
        <w:t xml:space="preserve"> be fully incorporated by the data sets. At </w:t>
      </w:r>
      <w:r>
        <w:rPr>
          <w:rStyle w:val="a6"/>
          <w:sz w:val="20"/>
          <w:szCs w:val="20"/>
        </w:rPr>
        <w:t xml:space="preserve">December 31, 2020, </w:t>
      </w:r>
      <w:r>
        <w:rPr>
          <w:sz w:val="20"/>
          <w:szCs w:val="20"/>
        </w:rPr>
        <w:t xml:space="preserve">the weighted-average discount rate was 6.53%. During the year ended </w:t>
      </w:r>
      <w:r>
        <w:rPr>
          <w:rStyle w:val="a6"/>
          <w:sz w:val="20"/>
          <w:szCs w:val="20"/>
        </w:rPr>
        <w:t xml:space="preserve">December 31, 2020, </w:t>
      </w:r>
      <w:r>
        <w:rPr>
          <w:sz w:val="20"/>
          <w:szCs w:val="20"/>
        </w:rPr>
        <w:t>the Company obtained $8.9 million of right-use-assets in exchange for new operating lease liabilities related to a new ground lease.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866601337"/>
        <w:rPr>
          <w:rFonts w:eastAsia="Times New Roman"/>
          <w:sz w:val="20"/>
          <w:szCs w:val="20"/>
        </w:rPr>
      </w:pPr>
      <w:r>
        <w:rPr>
          <w:rStyle w:val="a6"/>
          <w:rFonts w:eastAsia="Times New Roman"/>
          <w:sz w:val="20"/>
          <w:szCs w:val="20"/>
        </w:rPr>
        <w:t>78</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15" style="width:415.3pt;height:1.5pt" o:hralign="center" o:hrstd="t" o:hrnoshade="t" o:hr="t" fillcolor="black" stroked="f"/>
        </w:pict>
      </w:r>
    </w:p>
    <w:p w:rsidR="00000000" w:rsidRDefault="004E30E9">
      <w:pPr>
        <w:divId w:val="296884876"/>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components of the Company’s lease expense, which are included in rent expense and general and administrative expense on the </w:t>
      </w:r>
      <w:r>
        <w:rPr>
          <w:sz w:val="20"/>
          <w:szCs w:val="20"/>
        </w:rPr>
        <w:t>Company’s Consolidated Statements of Income, were as follows (in thousands):</w:t>
      </w:r>
    </w:p>
    <w:p w:rsidR="00000000" w:rsidRDefault="004E30E9">
      <w:pPr>
        <w:pStyle w:val="a3"/>
        <w:spacing w:before="0" w:beforeAutospacing="0" w:after="0" w:afterAutospacing="0"/>
        <w:ind w:left="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780"/>
        <w:gridCol w:w="71"/>
        <w:gridCol w:w="100"/>
        <w:gridCol w:w="1118"/>
        <w:gridCol w:w="72"/>
        <w:gridCol w:w="72"/>
        <w:gridCol w:w="72"/>
        <w:gridCol w:w="1118"/>
        <w:gridCol w:w="72"/>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Operating lease cost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10,371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12,630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Variable lease cost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2,852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2,038</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Total lease cost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13,223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14,668</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firstLine="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table below reconciles the undiscounted cash flows for each of the </w:t>
      </w:r>
      <w:r>
        <w:rPr>
          <w:rStyle w:val="a6"/>
          <w:sz w:val="20"/>
          <w:szCs w:val="20"/>
        </w:rPr>
        <w:t>first</w:t>
      </w:r>
      <w:r>
        <w:rPr>
          <w:sz w:val="20"/>
          <w:szCs w:val="20"/>
        </w:rPr>
        <w:t xml:space="preserve"> </w:t>
      </w:r>
      <w:r>
        <w:rPr>
          <w:rStyle w:val="a6"/>
          <w:sz w:val="20"/>
          <w:szCs w:val="20"/>
        </w:rPr>
        <w:t>five</w:t>
      </w:r>
      <w:r>
        <w:rPr>
          <w:sz w:val="20"/>
          <w:szCs w:val="20"/>
        </w:rPr>
        <w:t xml:space="preserve"> </w:t>
      </w:r>
      <w:r>
        <w:rPr>
          <w:sz w:val="20"/>
          <w:szCs w:val="20"/>
        </w:rPr>
        <w:t>years and total of the remaining years to the operating lease liabilities (in thousands):</w:t>
      </w:r>
    </w:p>
    <w:p w:rsidR="00000000" w:rsidRDefault="004E30E9">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71"/>
        <w:gridCol w:w="55"/>
        <w:gridCol w:w="100"/>
        <w:gridCol w:w="1052"/>
        <w:gridCol w:w="67"/>
      </w:tblGrid>
      <w:tr w:rsidR="00000000">
        <w:trPr>
          <w:tblCellSpacing w:w="0" w:type="dxa"/>
        </w:trPr>
        <w:tc>
          <w:tcPr>
            <w:tcW w:w="0" w:type="auto"/>
            <w:gridSpan w:val="4"/>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Ending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40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2021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11,209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2022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10,596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2023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10,623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2024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9,801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2025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9,285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Thereafter</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128,795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minimum lease payments</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180,309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Less imputed interest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(83,690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operating lease liabilities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96,619</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divId w:val="1802265899"/>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12.</w:t>
      </w:r>
      <w:r>
        <w:rPr>
          <w:sz w:val="20"/>
          <w:szCs w:val="20"/>
        </w:rPr>
        <w:t>  </w:t>
      </w:r>
      <w:r>
        <w:rPr>
          <w:sz w:val="20"/>
          <w:szCs w:val="20"/>
          <w:u w:val="single"/>
        </w:rPr>
        <w:t>Other Assets</w:t>
      </w:r>
      <w:r>
        <w:rPr>
          <w:sz w:val="20"/>
          <w:szCs w:val="20"/>
        </w:rPr>
        <w:t>:</w:t>
      </w:r>
    </w:p>
    <w:p w:rsidR="00000000" w:rsidRDefault="004E30E9">
      <w:pPr>
        <w:pStyle w:val="a3"/>
        <w:spacing w:before="0" w:beforeAutospacing="0" w:after="0" w:afterAutospacing="0"/>
        <w:rPr>
          <w:sz w:val="20"/>
          <w:szCs w:val="20"/>
        </w:rPr>
      </w:pPr>
      <w:r>
        <w:rPr>
          <w:i/>
          <w:iCs/>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Mortgages and Other Financing Receivables</w:t>
      </w:r>
    </w:p>
    <w:p w:rsidR="00000000" w:rsidRDefault="004E30E9">
      <w:pPr>
        <w:pStyle w:val="a3"/>
        <w:spacing w:before="0" w:beforeAutospacing="0" w:after="0" w:afterAutospacing="0"/>
        <w:ind w:left="360"/>
        <w:rPr>
          <w:sz w:val="20"/>
          <w:szCs w:val="20"/>
        </w:rPr>
      </w:pPr>
      <w:r>
        <w:rPr>
          <w:i/>
          <w:iCs/>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has various mortgages and other financing receivables which consist of loans acquired and loans originated by the Company. For a complete listing of the Company’s mortgages and other financing receivables at </w:t>
      </w:r>
      <w:r>
        <w:rPr>
          <w:rStyle w:val="a6"/>
          <w:sz w:val="20"/>
          <w:szCs w:val="20"/>
        </w:rPr>
        <w:t xml:space="preserve">December 31, 2020, </w:t>
      </w:r>
      <w:r>
        <w:rPr>
          <w:sz w:val="20"/>
          <w:szCs w:val="20"/>
        </w:rPr>
        <w:t>see Financial Sta</w:t>
      </w:r>
      <w:r>
        <w:rPr>
          <w:sz w:val="20"/>
          <w:szCs w:val="20"/>
        </w:rPr>
        <w:t xml:space="preserve">tement Schedule IV included in this annual report on Form </w:t>
      </w:r>
      <w:r>
        <w:rPr>
          <w:rStyle w:val="a6"/>
          <w:sz w:val="20"/>
          <w:szCs w:val="20"/>
        </w:rPr>
        <w:t>10</w:t>
      </w:r>
      <w:r>
        <w:rPr>
          <w:sz w:val="20"/>
          <w:szCs w:val="20"/>
        </w:rPr>
        <w:t>-K.</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following table reconciles mortgage loans and other financing receivables from </w:t>
      </w:r>
      <w:r>
        <w:rPr>
          <w:rStyle w:val="a6"/>
          <w:sz w:val="20"/>
          <w:szCs w:val="20"/>
        </w:rPr>
        <w:t xml:space="preserve">January 1, 2018 </w:t>
      </w:r>
      <w:r>
        <w:rPr>
          <w:sz w:val="20"/>
          <w:szCs w:val="20"/>
        </w:rPr>
        <w:t xml:space="preserve">to </w:t>
      </w:r>
      <w:r>
        <w:rPr>
          <w:rStyle w:val="a6"/>
          <w:sz w:val="20"/>
          <w:szCs w:val="20"/>
        </w:rPr>
        <w:t>December 31, 2020 (</w:t>
      </w:r>
      <w:r>
        <w:rPr>
          <w:sz w:val="20"/>
          <w:szCs w:val="20"/>
        </w:rPr>
        <w:t>in thousands):</w:t>
      </w:r>
    </w:p>
    <w:p w:rsidR="00000000" w:rsidRDefault="004E30E9">
      <w:pPr>
        <w:pStyle w:val="a3"/>
        <w:spacing w:before="0" w:beforeAutospacing="0" w:after="0" w:afterAutospacing="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237"/>
        <w:gridCol w:w="61"/>
        <w:gridCol w:w="100"/>
        <w:gridCol w:w="1049"/>
        <w:gridCol w:w="67"/>
        <w:gridCol w:w="56"/>
        <w:gridCol w:w="100"/>
        <w:gridCol w:w="1049"/>
        <w:gridCol w:w="67"/>
        <w:gridCol w:w="57"/>
        <w:gridCol w:w="100"/>
        <w:gridCol w:w="1050"/>
        <w:gridCol w:w="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Balance at January 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7,829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14,448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21,838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Additions:</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New mortgage and other loans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25,500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3,750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14,825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Additions under existing mortgage loans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Foreign currency translation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Amortization of loan discounts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Deductions: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Loan repayments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(10,136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(21,012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Collections of principal</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(152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(313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(1,287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Charge off/foreign currency translation</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(155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Allowance for credit losses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(906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Amortization of loan costs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Balance at December 31,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32,246</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7,829</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14,448</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reviews payment status to identify performing versus non-performing loans. As of </w:t>
      </w:r>
      <w:r>
        <w:rPr>
          <w:rStyle w:val="a6"/>
          <w:sz w:val="20"/>
          <w:szCs w:val="20"/>
        </w:rPr>
        <w:t xml:space="preserve">December 31, 2020, </w:t>
      </w:r>
      <w:r>
        <w:rPr>
          <w:sz w:val="20"/>
          <w:szCs w:val="20"/>
        </w:rPr>
        <w:t>the Company had a total of</w:t>
      </w:r>
      <w:r>
        <w:rPr>
          <w:sz w:val="20"/>
          <w:szCs w:val="20"/>
        </w:rPr>
        <w:t xml:space="preserve"> </w:t>
      </w:r>
      <w:r>
        <w:rPr>
          <w:sz w:val="20"/>
          <w:szCs w:val="20"/>
        </w:rPr>
        <w:t>eigh</w:t>
      </w:r>
      <w:r>
        <w:rPr>
          <w:sz w:val="20"/>
          <w:szCs w:val="20"/>
        </w:rPr>
        <w:t>t</w:t>
      </w:r>
      <w:r>
        <w:rPr>
          <w:sz w:val="20"/>
          <w:szCs w:val="20"/>
        </w:rPr>
        <w:t xml:space="preserve"> loans, all of which were identified as performing loans.</w:t>
      </w:r>
    </w:p>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1752312461"/>
        <w:rPr>
          <w:rFonts w:eastAsia="Times New Roman"/>
          <w:sz w:val="20"/>
          <w:szCs w:val="20"/>
        </w:rPr>
      </w:pPr>
      <w:r>
        <w:rPr>
          <w:rFonts w:eastAsia="Times New Roman"/>
          <w:sz w:val="20"/>
          <w:szCs w:val="20"/>
        </w:rPr>
        <w:t xml:space="preserve">79 </w:t>
      </w:r>
    </w:p>
    <w:p w:rsidR="00000000" w:rsidRDefault="004E30E9">
      <w:pPr>
        <w:divId w:val="346754205"/>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4E30E9">
      <w:pPr>
        <w:divId w:val="20118281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divId w:val="1720401083"/>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13.</w:t>
      </w:r>
      <w:r>
        <w:rPr>
          <w:sz w:val="20"/>
          <w:szCs w:val="20"/>
        </w:rPr>
        <w:t>  </w:t>
      </w:r>
      <w:r>
        <w:rPr>
          <w:sz w:val="20"/>
          <w:szCs w:val="20"/>
          <w:u w:val="single"/>
        </w:rPr>
        <w:t>Notes Payable</w:t>
      </w:r>
      <w:r>
        <w:rPr>
          <w:sz w:val="20"/>
          <w:szCs w:val="20"/>
        </w:rPr>
        <w: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the Company’</w:t>
      </w:r>
      <w:r>
        <w:rPr>
          <w:sz w:val="20"/>
          <w:szCs w:val="20"/>
        </w:rPr>
        <w:t>s Notes payable, net consisted of the following (dollars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77"/>
        <w:gridCol w:w="70"/>
        <w:gridCol w:w="100"/>
        <w:gridCol w:w="735"/>
        <w:gridCol w:w="70"/>
        <w:gridCol w:w="70"/>
        <w:gridCol w:w="100"/>
        <w:gridCol w:w="735"/>
        <w:gridCol w:w="70"/>
        <w:gridCol w:w="70"/>
        <w:gridCol w:w="70"/>
        <w:gridCol w:w="735"/>
        <w:gridCol w:w="167"/>
        <w:gridCol w:w="70"/>
        <w:gridCol w:w="71"/>
        <w:gridCol w:w="736"/>
        <w:gridCol w:w="167"/>
        <w:gridCol w:w="71"/>
        <w:gridCol w:w="1151"/>
        <w:gridCol w:w="71"/>
      </w:tblGrid>
      <w:tr w:rsidR="00000000">
        <w:trPr>
          <w:tblCellSpacing w:w="0" w:type="dxa"/>
        </w:trPr>
        <w:tc>
          <w:tcPr>
            <w:tcW w:w="18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50" w:type="pct"/>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Carrying Amount at</w:t>
            </w:r>
          </w:p>
          <w:p w:rsidR="00000000" w:rsidRDefault="004E30E9">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50" w:type="pct"/>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Interest Rate at</w:t>
            </w:r>
          </w:p>
          <w:p w:rsidR="00000000" w:rsidRDefault="004E30E9">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700" w:type="pct"/>
            <w:vAlign w:val="bottom"/>
            <w:hideMark/>
          </w:tcPr>
          <w:p w:rsidR="00000000" w:rsidRDefault="004E30E9">
            <w:pPr>
              <w:pStyle w:val="a3"/>
              <w:spacing w:before="0" w:beforeAutospacing="0" w:after="0" w:afterAutospacing="0"/>
              <w:jc w:val="center"/>
              <w:rPr>
                <w:sz w:val="20"/>
                <w:szCs w:val="20"/>
              </w:rPr>
            </w:pPr>
            <w:r>
              <w:rPr>
                <w:b/>
                <w:bCs/>
                <w:sz w:val="20"/>
                <w:szCs w:val="20"/>
              </w:rPr>
              <w:t>Maturity Date at</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8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rsidR="00000000" w:rsidRDefault="004E30E9">
            <w:pPr>
              <w:jc w:val="center"/>
              <w:rPr>
                <w:rFonts w:eastAsia="Times New Roman"/>
                <w:sz w:val="20"/>
                <w:szCs w:val="20"/>
              </w:rPr>
            </w:pPr>
            <w:r>
              <w:rPr>
                <w:rFonts w:eastAsia="Times New Roman"/>
                <w:b/>
                <w:bCs/>
                <w:sz w:val="20"/>
                <w:szCs w:val="20"/>
              </w:rPr>
              <w:t>December 31, 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b/>
                <w:bCs/>
                <w:sz w:val="20"/>
                <w:szCs w:val="20"/>
              </w:rPr>
              <w:t> </w:t>
            </w:r>
          </w:p>
        </w:tc>
      </w:tr>
      <w:tr w:rsidR="00000000">
        <w:trPr>
          <w:tblCellSpacing w:w="0" w:type="dxa"/>
        </w:trPr>
        <w:tc>
          <w:tcPr>
            <w:tcW w:w="18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Senior unsecured notes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5,100.0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4,684.9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1.90% - 4.45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ind w:left="28"/>
              <w:jc w:val="right"/>
              <w:rPr>
                <w:rFonts w:eastAsia="Times New Roman"/>
                <w:sz w:val="20"/>
                <w:szCs w:val="20"/>
              </w:rPr>
            </w:pPr>
            <w:r>
              <w:rPr>
                <w:rFonts w:eastAsia="Times New Roman"/>
                <w:sz w:val="20"/>
                <w:szCs w:val="20"/>
              </w:rPr>
              <w:t>2.70% - 4.45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Nov-2022– Oct 2049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8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Credit facility</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200.0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Mar-2024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8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Deferred financing costs, net (3)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(55.8</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(53.1</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center"/>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80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5,044.2</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4,831.8</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3.33%</w:t>
            </w: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3.46%</w:t>
            </w: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 Weighted-average interest rate</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Accrues interest at a rate of LIBOR plus 0.765% (0.91% at </w:t>
            </w:r>
            <w:r>
              <w:rPr>
                <w:rStyle w:val="a6"/>
                <w:sz w:val="20"/>
                <w:szCs w:val="20"/>
              </w:rPr>
              <w:t>December 31, 2020).</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Accrued interest at a rate of LIBOR plus 0.875% (2.64% at </w:t>
            </w:r>
            <w:r>
              <w:rPr>
                <w:rStyle w:val="a6"/>
                <w:sz w:val="20"/>
                <w:szCs w:val="20"/>
              </w:rPr>
              <w:t>December 31, 2019).</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3</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As of </w:t>
            </w:r>
            <w:r>
              <w:rPr>
                <w:rStyle w:val="a6"/>
                <w:sz w:val="20"/>
                <w:szCs w:val="20"/>
              </w:rPr>
              <w:t xml:space="preserve">December 31, 2020, </w:t>
            </w:r>
            <w:r>
              <w:rPr>
                <w:sz w:val="20"/>
                <w:szCs w:val="20"/>
              </w:rPr>
              <w:t>the Company had $5.6 million of deferred financing costs, net related to the Credit Facility that are included in Other assets on the Company’s C</w:t>
            </w:r>
            <w:r>
              <w:rPr>
                <w:sz w:val="20"/>
                <w:szCs w:val="20"/>
              </w:rPr>
              <w:t>onsolidated Balance Sheets.</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the years ended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the Company issued the following senior unsecured notes (dollars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4500" w:type="pct"/>
        <w:tblCellSpacing w:w="0" w:type="dxa"/>
        <w:tblInd w:w="360" w:type="dxa"/>
        <w:tblCellMar>
          <w:left w:w="0" w:type="dxa"/>
          <w:right w:w="0" w:type="dxa"/>
        </w:tblCellMar>
        <w:tblLook w:val="04A0" w:firstRow="1" w:lastRow="0" w:firstColumn="1" w:lastColumn="0" w:noHBand="0" w:noVBand="1"/>
      </w:tblPr>
      <w:tblGrid>
        <w:gridCol w:w="2302"/>
        <w:gridCol w:w="2601"/>
        <w:gridCol w:w="60"/>
        <w:gridCol w:w="101"/>
        <w:gridCol w:w="1032"/>
        <w:gridCol w:w="60"/>
        <w:gridCol w:w="60"/>
        <w:gridCol w:w="60"/>
        <w:gridCol w:w="1032"/>
        <w:gridCol w:w="167"/>
      </w:tblGrid>
      <w:tr w:rsidR="00000000">
        <w:trPr>
          <w:tblCellSpacing w:w="0" w:type="dxa"/>
        </w:trPr>
        <w:tc>
          <w:tcPr>
            <w:tcW w:w="155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Date Issued</w:t>
            </w:r>
          </w:p>
        </w:tc>
        <w:tc>
          <w:tcPr>
            <w:tcW w:w="175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Maturity Date</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Amount Issued </w:t>
            </w:r>
          </w:p>
        </w:tc>
        <w:tc>
          <w:tcPr>
            <w:tcW w:w="0" w:type="auto"/>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Interest Rate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Aug-2020</w:t>
            </w:r>
          </w:p>
        </w:tc>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Mar-2028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Jul-2020 (1)</w:t>
            </w:r>
          </w:p>
        </w:tc>
        <w:tc>
          <w:tcPr>
            <w:tcW w:w="0" w:type="auto"/>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Oct-2030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2.70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Aug-2019</w:t>
            </w:r>
          </w:p>
        </w:tc>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Oct-2049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350.0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3.70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bl>
    <w:p w:rsidR="00000000" w:rsidRDefault="004E30E9">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E30E9">
            <w:pPr>
              <w:rPr>
                <w:rFonts w:eastAsia="Times New Roman"/>
              </w:rPr>
            </w:pPr>
            <w:r>
              <w:rPr>
                <w:rFonts w:eastAsia="Times New Roman"/>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In </w:t>
            </w:r>
            <w:r>
              <w:rPr>
                <w:rStyle w:val="a6"/>
                <w:sz w:val="20"/>
                <w:szCs w:val="20"/>
              </w:rPr>
              <w:t xml:space="preserve">July 2020, </w:t>
            </w:r>
            <w:r>
              <w:rPr>
                <w:sz w:val="20"/>
                <w:szCs w:val="20"/>
              </w:rPr>
              <w:t>the Company issued unsecured notes (the “Green Bond”</w:t>
            </w:r>
            <w:r>
              <w:rPr>
                <w:sz w:val="20"/>
                <w:szCs w:val="20"/>
              </w:rPr>
              <w:t xml:space="preserve">), of which the net proceeds from this offering are allocated to finance or refinance, in whole or in part, recently completed, existing or future Eligible Green Projects, in alignment with the </w:t>
            </w:r>
            <w:r>
              <w:rPr>
                <w:rStyle w:val="a6"/>
                <w:sz w:val="20"/>
                <w:szCs w:val="20"/>
              </w:rPr>
              <w:t>four</w:t>
            </w:r>
            <w:r>
              <w:rPr>
                <w:sz w:val="20"/>
                <w:szCs w:val="20"/>
              </w:rPr>
              <w:t xml:space="preserve"> core components of the Green Bond Principles, </w:t>
            </w:r>
            <w:r>
              <w:rPr>
                <w:rStyle w:val="a6"/>
                <w:sz w:val="20"/>
                <w:szCs w:val="20"/>
              </w:rPr>
              <w:t>2018</w:t>
            </w:r>
            <w:r>
              <w:rPr>
                <w:sz w:val="20"/>
                <w:szCs w:val="20"/>
              </w:rPr>
              <w:t xml:space="preserve"> as adm</w:t>
            </w:r>
            <w:r>
              <w:rPr>
                <w:sz w:val="20"/>
                <w:szCs w:val="20"/>
              </w:rPr>
              <w:t xml:space="preserve">inistered by the International Capital Market Association. Eligible Green Projects include projects with disbursements made in the </w:t>
            </w:r>
            <w:r>
              <w:rPr>
                <w:rStyle w:val="a6"/>
                <w:sz w:val="20"/>
                <w:szCs w:val="20"/>
              </w:rPr>
              <w:t>three</w:t>
            </w:r>
            <w:r>
              <w:rPr>
                <w:sz w:val="20"/>
                <w:szCs w:val="20"/>
              </w:rPr>
              <w:t xml:space="preserve"> years preceding the issue date of the notes.</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2020, </w:t>
      </w:r>
      <w:r>
        <w:rPr>
          <w:sz w:val="20"/>
          <w:szCs w:val="20"/>
        </w:rPr>
        <w:t>the Company repaid the followi</w:t>
      </w:r>
      <w:r>
        <w:rPr>
          <w:sz w:val="20"/>
          <w:szCs w:val="20"/>
        </w:rPr>
        <w:t>ng senior unsecured notes (dollars in millions):</w:t>
      </w:r>
    </w:p>
    <w:p w:rsidR="00000000" w:rsidRDefault="004E30E9">
      <w:pPr>
        <w:pStyle w:val="a3"/>
        <w:spacing w:before="0" w:beforeAutospacing="0" w:after="0" w:afterAutospacing="0"/>
        <w:rPr>
          <w:sz w:val="20"/>
          <w:szCs w:val="20"/>
        </w:rPr>
      </w:pPr>
      <w:r>
        <w:rPr>
          <w:sz w:val="20"/>
          <w:szCs w:val="20"/>
        </w:rPr>
        <w:t> </w:t>
      </w:r>
    </w:p>
    <w:tbl>
      <w:tblPr>
        <w:tblW w:w="4500" w:type="pct"/>
        <w:tblCellSpacing w:w="0" w:type="dxa"/>
        <w:tblInd w:w="360" w:type="dxa"/>
        <w:tblCellMar>
          <w:left w:w="0" w:type="dxa"/>
          <w:right w:w="0" w:type="dxa"/>
        </w:tblCellMar>
        <w:tblLook w:val="04A0" w:firstRow="1" w:lastRow="0" w:firstColumn="1" w:lastColumn="0" w:noHBand="0" w:noVBand="1"/>
      </w:tblPr>
      <w:tblGrid>
        <w:gridCol w:w="2294"/>
        <w:gridCol w:w="2609"/>
        <w:gridCol w:w="60"/>
        <w:gridCol w:w="101"/>
        <w:gridCol w:w="1032"/>
        <w:gridCol w:w="60"/>
        <w:gridCol w:w="60"/>
        <w:gridCol w:w="60"/>
        <w:gridCol w:w="1032"/>
        <w:gridCol w:w="167"/>
      </w:tblGrid>
      <w:tr w:rsidR="00000000">
        <w:trPr>
          <w:tblCellSpacing w:w="0" w:type="dxa"/>
        </w:trPr>
        <w:tc>
          <w:tcPr>
            <w:tcW w:w="1545"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sz w:val="20"/>
                <w:szCs w:val="20"/>
              </w:rPr>
              <w:t> </w:t>
            </w:r>
          </w:p>
          <w:p w:rsidR="00000000" w:rsidRDefault="004E30E9">
            <w:pPr>
              <w:pStyle w:val="a3"/>
              <w:spacing w:before="0" w:beforeAutospacing="0" w:after="0" w:afterAutospacing="0"/>
              <w:ind w:left="540"/>
              <w:rPr>
                <w:sz w:val="20"/>
                <w:szCs w:val="20"/>
              </w:rPr>
            </w:pPr>
            <w:r>
              <w:rPr>
                <w:b/>
                <w:bCs/>
                <w:sz w:val="20"/>
                <w:szCs w:val="20"/>
              </w:rPr>
              <w:t>Date Paid</w:t>
            </w:r>
          </w:p>
        </w:tc>
        <w:tc>
          <w:tcPr>
            <w:tcW w:w="1755"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Maturity Date</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Amount Repaid</w:t>
            </w:r>
          </w:p>
        </w:tc>
        <w:tc>
          <w:tcPr>
            <w:tcW w:w="0" w:type="auto"/>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Interest Rate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Jul-2020 &amp; Aug-2020 (1)</w:t>
            </w:r>
          </w:p>
        </w:tc>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May-2021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484.9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bl>
    <w:p w:rsidR="00000000" w:rsidRDefault="004E30E9">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The Company incurred a prepayment charge of $7.5 million, which is included in Early extinguishment of debt charges on the Company’s Consolidated Statements of Income.</w:t>
            </w:r>
          </w:p>
        </w:tc>
      </w:tr>
    </w:tbl>
    <w:p w:rsidR="00000000" w:rsidRDefault="004E30E9">
      <w:pPr>
        <w:pStyle w:val="a3"/>
        <w:spacing w:before="0" w:beforeAutospacing="0" w:after="0" w:afterAutospacing="0"/>
        <w:ind w:left="72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scheduled maturities of all notes payable excluding unamortized debt issuance costs of $55.8 million, as of </w:t>
      </w:r>
      <w:r>
        <w:rPr>
          <w:rStyle w:val="a6"/>
          <w:sz w:val="20"/>
          <w:szCs w:val="20"/>
        </w:rPr>
        <w:t xml:space="preserve">December 31, 2020, </w:t>
      </w:r>
      <w:r>
        <w:rPr>
          <w:sz w:val="20"/>
          <w:szCs w:val="20"/>
        </w:rPr>
        <w:t>were as follows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CellMar>
          <w:left w:w="0" w:type="dxa"/>
          <w:right w:w="0" w:type="dxa"/>
        </w:tblCellMar>
        <w:tblLook w:val="04A0" w:firstRow="1" w:lastRow="0" w:firstColumn="1" w:lastColumn="0" w:noHBand="0" w:noVBand="1"/>
      </w:tblPr>
      <w:tblGrid>
        <w:gridCol w:w="1798"/>
        <w:gridCol w:w="62"/>
        <w:gridCol w:w="101"/>
        <w:gridCol w:w="614"/>
        <w:gridCol w:w="63"/>
        <w:gridCol w:w="63"/>
        <w:gridCol w:w="100"/>
        <w:gridCol w:w="615"/>
        <w:gridCol w:w="63"/>
        <w:gridCol w:w="63"/>
        <w:gridCol w:w="100"/>
        <w:gridCol w:w="615"/>
        <w:gridCol w:w="63"/>
        <w:gridCol w:w="63"/>
        <w:gridCol w:w="100"/>
        <w:gridCol w:w="615"/>
        <w:gridCol w:w="63"/>
        <w:gridCol w:w="63"/>
        <w:gridCol w:w="100"/>
        <w:gridCol w:w="615"/>
        <w:gridCol w:w="63"/>
        <w:gridCol w:w="63"/>
        <w:gridCol w:w="103"/>
        <w:gridCol w:w="819"/>
        <w:gridCol w:w="63"/>
        <w:gridCol w:w="63"/>
        <w:gridCol w:w="100"/>
        <w:gridCol w:w="615"/>
        <w:gridCol w:w="63"/>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4E30E9">
        <w:trPr>
          <w:tblCellSpacing w:w="0" w:type="dxa"/>
        </w:trPr>
        <w:tc>
          <w:tcPr>
            <w:tcW w:w="11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Principal payments</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500.0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350.0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400.0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500.0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3,350.0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5,100.0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w:t>
      </w:r>
      <w:r>
        <w:rPr>
          <w:sz w:val="20"/>
          <w:szCs w:val="20"/>
        </w:rPr>
        <w:t>s supplemental indentures governing its Senior Unsecured Notes contain covenants whereby the Company is subject to maintaining (a) certain maximum leverage ratios on both unsecured senior corporate and secured debt, minimum debt service coverage ratios and</w:t>
      </w:r>
      <w:r>
        <w:rPr>
          <w:sz w:val="20"/>
          <w:szCs w:val="20"/>
        </w:rPr>
        <w:t xml:space="preserve"> minimum equity levels, (b) certain debt service ratios and (c) certain asset to debt ratios. In addition, the Company is restricted from paying dividends in amounts that exceed by more than $26.0 million the funds from operations, as defined, generated th</w:t>
      </w:r>
      <w:r>
        <w:rPr>
          <w:sz w:val="20"/>
          <w:szCs w:val="20"/>
        </w:rPr>
        <w:t xml:space="preserve">rough the end of the calendar quarter most recently completed prior to the declaration of such dividend; however, this dividend limitation does </w:t>
      </w:r>
      <w:r>
        <w:rPr>
          <w:rStyle w:val="a6"/>
          <w:sz w:val="20"/>
          <w:szCs w:val="20"/>
        </w:rPr>
        <w:t>not</w:t>
      </w:r>
      <w:r>
        <w:rPr>
          <w:sz w:val="20"/>
          <w:szCs w:val="20"/>
        </w:rPr>
        <w:t xml:space="preserve"> </w:t>
      </w:r>
      <w:r>
        <w:rPr>
          <w:sz w:val="20"/>
          <w:szCs w:val="20"/>
        </w:rPr>
        <w:t xml:space="preserve">apply to any distributions necessary to maintain the Company's qualification as a REIT providing the Company is in compliance with its total leverage limitations. The Company was in compliance with all of the covenants as of </w:t>
      </w:r>
      <w:r>
        <w:rPr>
          <w:rStyle w:val="a6"/>
          <w:sz w:val="20"/>
          <w:szCs w:val="20"/>
        </w:rPr>
        <w:t>December 31, 2020.   </w:t>
      </w:r>
    </w:p>
    <w:p w:rsidR="00000000" w:rsidRDefault="004E30E9">
      <w:pPr>
        <w:pStyle w:val="a3"/>
        <w:spacing w:before="0" w:beforeAutospacing="0" w:after="0" w:afterAutospacing="0"/>
        <w:ind w:left="720"/>
        <w:jc w:val="both"/>
        <w:rPr>
          <w:sz w:val="20"/>
          <w:szCs w:val="20"/>
        </w:rPr>
      </w:pPr>
      <w:r>
        <w:rPr>
          <w:i/>
          <w:iCs/>
          <w:sz w:val="20"/>
          <w:szCs w:val="20"/>
        </w:rPr>
        <w:t> </w:t>
      </w:r>
    </w:p>
    <w:p w:rsidR="00000000" w:rsidRDefault="004E30E9">
      <w:pPr>
        <w:pStyle w:val="a3"/>
        <w:spacing w:before="0" w:beforeAutospacing="0" w:after="0" w:afterAutospacing="0"/>
        <w:ind w:left="360"/>
        <w:jc w:val="both"/>
        <w:rPr>
          <w:sz w:val="20"/>
          <w:szCs w:val="20"/>
        </w:rPr>
      </w:pPr>
      <w:r>
        <w:rPr>
          <w:sz w:val="20"/>
          <w:szCs w:val="20"/>
        </w:rPr>
        <w:t>Interest on the Company’s fixed-rate Senior Unsecured Notes is payable semi-annually in arrears. Proceeds from these issuances were primarily used for the acquisition of shopping centers, the expansion and improvement of properties in the Company’s portfol</w:t>
      </w:r>
      <w:r>
        <w:rPr>
          <w:sz w:val="20"/>
          <w:szCs w:val="20"/>
        </w:rPr>
        <w:t>io and the repayment of certain debt obligations of the Company.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Term Loan</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April 1, 2020, </w:t>
      </w:r>
      <w:r>
        <w:rPr>
          <w:sz w:val="20"/>
          <w:szCs w:val="20"/>
        </w:rPr>
        <w:t>the Company entered into an unsecured term loan (the "Term Loan") with total outstanding borrowings of $590.0 million pursuant to a credit agreement with a gro</w:t>
      </w:r>
      <w:r>
        <w:rPr>
          <w:sz w:val="20"/>
          <w:szCs w:val="20"/>
        </w:rPr>
        <w:t xml:space="preserve">up of banks. The Term Loan was scheduled to mature in </w:t>
      </w:r>
      <w:r>
        <w:rPr>
          <w:rStyle w:val="a6"/>
          <w:sz w:val="20"/>
          <w:szCs w:val="20"/>
        </w:rPr>
        <w:t xml:space="preserve">April 2021, </w:t>
      </w:r>
      <w:r>
        <w:rPr>
          <w:sz w:val="20"/>
          <w:szCs w:val="20"/>
        </w:rPr>
        <w:t xml:space="preserve">with a </w:t>
      </w:r>
      <w:r>
        <w:rPr>
          <w:rStyle w:val="a6"/>
          <w:sz w:val="20"/>
          <w:szCs w:val="20"/>
        </w:rPr>
        <w:t>one</w:t>
      </w:r>
      <w:r>
        <w:rPr>
          <w:sz w:val="20"/>
          <w:szCs w:val="20"/>
        </w:rPr>
        <w:t xml:space="preserve">-year extension option to extend the maturity date, at the Company’s discretion, to </w:t>
      </w:r>
      <w:r>
        <w:rPr>
          <w:rStyle w:val="a6"/>
          <w:sz w:val="20"/>
          <w:szCs w:val="20"/>
        </w:rPr>
        <w:t xml:space="preserve">April 2022. </w:t>
      </w:r>
      <w:r>
        <w:rPr>
          <w:sz w:val="20"/>
          <w:szCs w:val="20"/>
        </w:rPr>
        <w:t>The Term Loan accrued interest at a rate of LIBOR plus 140 basis points or, at the C</w:t>
      </w:r>
      <w:r>
        <w:rPr>
          <w:sz w:val="20"/>
          <w:szCs w:val="20"/>
        </w:rPr>
        <w:t>ompany’s option, a spread of 40 basis points to the base rate defined in the Term Loan, that in each case fluctuated in accordance with changes in the Company’s senior debt ratings. The Term Loan could be increased by an additional $750.0 million through a</w:t>
      </w:r>
      <w:r>
        <w:rPr>
          <w:sz w:val="20"/>
          <w:szCs w:val="20"/>
        </w:rPr>
        <w:t xml:space="preserve">n accordion feature. Pursuant to the terms of the Term Loan, the Company was subject to covenants that were substantially the same as those in the Credit Facility. During </w:t>
      </w:r>
      <w:r>
        <w:rPr>
          <w:rStyle w:val="a6"/>
          <w:sz w:val="20"/>
          <w:szCs w:val="20"/>
        </w:rPr>
        <w:t xml:space="preserve">July 2020, </w:t>
      </w:r>
      <w:r>
        <w:rPr>
          <w:sz w:val="20"/>
          <w:szCs w:val="20"/>
        </w:rPr>
        <w:t>the Term Loan was fully repaid and the facility was terminated.</w:t>
      </w:r>
    </w:p>
    <w:p w:rsidR="00000000" w:rsidRDefault="004E30E9">
      <w:pPr>
        <w:pStyle w:val="a3"/>
        <w:spacing w:before="0" w:beforeAutospacing="0" w:after="0" w:afterAutospacing="0"/>
        <w:ind w:left="360"/>
        <w:rPr>
          <w:sz w:val="20"/>
          <w:szCs w:val="20"/>
        </w:rPr>
      </w:pPr>
      <w:r>
        <w:rPr>
          <w:i/>
          <w:iCs/>
          <w:sz w:val="20"/>
          <w:szCs w:val="20"/>
        </w:rPr>
        <w:t> </w:t>
      </w:r>
    </w:p>
    <w:p w:rsidR="00000000" w:rsidRDefault="004E30E9">
      <w:pPr>
        <w:jc w:val="center"/>
        <w:divId w:val="782959896"/>
        <w:rPr>
          <w:rFonts w:eastAsia="Times New Roman"/>
          <w:sz w:val="20"/>
          <w:szCs w:val="20"/>
        </w:rPr>
      </w:pPr>
      <w:r>
        <w:rPr>
          <w:rStyle w:val="a6"/>
          <w:rFonts w:eastAsia="Times New Roman"/>
          <w:sz w:val="20"/>
          <w:szCs w:val="20"/>
        </w:rPr>
        <w:t>80</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17" style="width:415.3pt;height:1.5pt" o:hralign="center" o:hrstd="t" o:hrnoshade="t" o:hr="t" fillcolor="black" stroked="f"/>
        </w:pict>
      </w:r>
    </w:p>
    <w:p w:rsidR="00000000" w:rsidRDefault="004E30E9">
      <w:pPr>
        <w:divId w:val="189924262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Credit Facility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February 2020, </w:t>
      </w:r>
      <w:r>
        <w:rPr>
          <w:sz w:val="20"/>
          <w:szCs w:val="20"/>
        </w:rPr>
        <w:t>the Company obtained a new $2.0 billion unsecured revolving credit facili</w:t>
      </w:r>
      <w:r>
        <w:rPr>
          <w:sz w:val="20"/>
          <w:szCs w:val="20"/>
        </w:rPr>
        <w:t xml:space="preserve">ty (the “Credit Facility”) with a group of banks, which replaced the Company’s existing $2.25 billion unsecured revolving credit facility. The Credit Facility is scheduled to expire in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-month options to extend the maturit</w:t>
      </w:r>
      <w:r>
        <w:rPr>
          <w:sz w:val="20"/>
          <w:szCs w:val="20"/>
        </w:rPr>
        <w:t xml:space="preserve">y date, at the Company’s discretion, to </w:t>
      </w:r>
      <w:r>
        <w:rPr>
          <w:rStyle w:val="a6"/>
          <w:sz w:val="20"/>
          <w:szCs w:val="20"/>
        </w:rPr>
        <w:t xml:space="preserve">March 2025. </w:t>
      </w:r>
      <w:r>
        <w:rPr>
          <w:sz w:val="20"/>
          <w:szCs w:val="20"/>
        </w:rPr>
        <w:t>The Credit Facility is a green credit facility tied to sustainability metric targets, as described in the agreement. The Company achieved such targets, which effectively reduced the rate on the Credit Fac</w:t>
      </w:r>
      <w:r>
        <w:rPr>
          <w:sz w:val="20"/>
          <w:szCs w:val="20"/>
        </w:rPr>
        <w:t>ility by</w:t>
      </w:r>
      <w:r>
        <w:rPr>
          <w:sz w:val="20"/>
          <w:szCs w:val="20"/>
        </w:rPr>
        <w:t xml:space="preserve"> </w:t>
      </w:r>
      <w:r>
        <w:rPr>
          <w:sz w:val="20"/>
          <w:szCs w:val="20"/>
        </w:rPr>
        <w:t>on</w:t>
      </w:r>
      <w:r>
        <w:rPr>
          <w:sz w:val="20"/>
          <w:szCs w:val="20"/>
        </w:rPr>
        <w:t>e</w:t>
      </w:r>
      <w:r>
        <w:rPr>
          <w:sz w:val="20"/>
          <w:szCs w:val="20"/>
        </w:rPr>
        <w:t xml:space="preserve"> basis point. The Credit Facility, which accrues interest at a rate of LIBOR plus 76.5 basis points (0.91% as of </w:t>
      </w:r>
      <w:r>
        <w:rPr>
          <w:rStyle w:val="a6"/>
          <w:sz w:val="20"/>
          <w:szCs w:val="20"/>
        </w:rPr>
        <w:t xml:space="preserve">December 31, 2020), </w:t>
      </w:r>
      <w:r>
        <w:rPr>
          <w:sz w:val="20"/>
          <w:szCs w:val="20"/>
        </w:rPr>
        <w:t>can be increased to $2.75 billion through an accordion feature. Pursuant to the terms of the Credit Facility, t</w:t>
      </w:r>
      <w:r>
        <w:rPr>
          <w:sz w:val="20"/>
          <w:szCs w:val="20"/>
        </w:rPr>
        <w:t xml:space="preserve">he Company, among other things, is subject to covenants requiring the maintenance of (i) maximum indebtedness ratios and (ii) minimum interest and fixed charge coverage ratios. As of </w:t>
      </w:r>
      <w:r>
        <w:rPr>
          <w:rStyle w:val="a6"/>
          <w:sz w:val="20"/>
          <w:szCs w:val="20"/>
        </w:rPr>
        <w:t xml:space="preserve">December 31, 2020, </w:t>
      </w:r>
      <w:r>
        <w:rPr>
          <w:sz w:val="20"/>
          <w:szCs w:val="20"/>
        </w:rPr>
        <w:t>the Credit Facility had</w:t>
      </w:r>
      <w:r>
        <w:rPr>
          <w:sz w:val="20"/>
          <w:szCs w:val="20"/>
        </w:rPr>
        <w:t xml:space="preserve"> </w:t>
      </w:r>
      <w:r>
        <w:rPr>
          <w:sz w:val="20"/>
          <w:szCs w:val="20"/>
        </w:rPr>
        <w:t>n</w:t>
      </w:r>
      <w:r>
        <w:rPr>
          <w:sz w:val="20"/>
          <w:szCs w:val="20"/>
        </w:rPr>
        <w:t>o</w:t>
      </w:r>
      <w:r>
        <w:rPr>
          <w:sz w:val="20"/>
          <w:szCs w:val="20"/>
        </w:rPr>
        <w:t xml:space="preserve"> outstanding balance,</w:t>
      </w:r>
      <w:r>
        <w:rPr>
          <w:sz w:val="20"/>
          <w:szCs w:val="20"/>
        </w:rPr>
        <w:t xml:space="preserve"> </w:t>
      </w:r>
      <w:r>
        <w:rPr>
          <w:sz w:val="20"/>
          <w:szCs w:val="20"/>
        </w:rPr>
        <w:t>$0.</w:t>
      </w:r>
      <w:r>
        <w:rPr>
          <w:sz w:val="20"/>
          <w:szCs w:val="20"/>
        </w:rPr>
        <w:t>3</w:t>
      </w:r>
      <w:r>
        <w:rPr>
          <w:sz w:val="20"/>
          <w:szCs w:val="20"/>
        </w:rPr>
        <w:t xml:space="preserve"> m</w:t>
      </w:r>
      <w:r>
        <w:rPr>
          <w:sz w:val="20"/>
          <w:szCs w:val="20"/>
        </w:rPr>
        <w:t>illion appropriated for letters of credit and the Company was in compliance with its covenants.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divId w:val="1822845796"/>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14.</w:t>
      </w:r>
      <w:r>
        <w:rPr>
          <w:sz w:val="20"/>
          <w:szCs w:val="20"/>
        </w:rPr>
        <w:t>  </w:t>
      </w:r>
      <w:r>
        <w:rPr>
          <w:sz w:val="20"/>
          <w:szCs w:val="20"/>
          <w:u w:val="single"/>
        </w:rPr>
        <w:t>Mortgages and Construction Loan Payable</w:t>
      </w:r>
      <w:r>
        <w:rPr>
          <w:sz w:val="20"/>
          <w:szCs w:val="20"/>
        </w:rPr>
        <w:t>:</w:t>
      </w:r>
    </w:p>
    <w:p w:rsidR="00000000" w:rsidRDefault="004E30E9">
      <w:pPr>
        <w:pStyle w:val="a3"/>
        <w:spacing w:before="0" w:beforeAutospacing="0" w:after="0" w:afterAutospacing="0"/>
        <w:ind w:left="360"/>
        <w:jc w:val="both"/>
        <w:rPr>
          <w:sz w:val="20"/>
          <w:szCs w:val="20"/>
        </w:rPr>
      </w:pPr>
      <w:r>
        <w:rPr>
          <w:sz w:val="20"/>
          <w:szCs w:val="20"/>
        </w:rPr>
        <w:br/>
      </w:r>
      <w:r>
        <w:rPr>
          <w:sz w:val="20"/>
          <w:szCs w:val="20"/>
        </w:rPr>
        <w:t xml:space="preserve">Mortgages, collateralized by certain shopping center properties (see Financial Statement Schedule III included in this annual report on Form </w:t>
      </w:r>
      <w:r>
        <w:rPr>
          <w:rStyle w:val="a6"/>
          <w:sz w:val="20"/>
          <w:szCs w:val="20"/>
        </w:rPr>
        <w:t>10</w:t>
      </w:r>
      <w:r>
        <w:rPr>
          <w:sz w:val="20"/>
          <w:szCs w:val="20"/>
        </w:rPr>
        <w:t>-K), are generally due in monthly installments of principal and/or interest.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w:t>
      </w:r>
      <w:r>
        <w:rPr>
          <w:sz w:val="20"/>
          <w:szCs w:val="20"/>
        </w:rPr>
        <w:t>the Company’s Mortgages and construction loan payable, net consisted of the following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77"/>
        <w:gridCol w:w="70"/>
        <w:gridCol w:w="100"/>
        <w:gridCol w:w="735"/>
        <w:gridCol w:w="70"/>
        <w:gridCol w:w="70"/>
        <w:gridCol w:w="100"/>
        <w:gridCol w:w="735"/>
        <w:gridCol w:w="70"/>
        <w:gridCol w:w="70"/>
        <w:gridCol w:w="70"/>
        <w:gridCol w:w="735"/>
        <w:gridCol w:w="167"/>
        <w:gridCol w:w="70"/>
        <w:gridCol w:w="71"/>
        <w:gridCol w:w="736"/>
        <w:gridCol w:w="167"/>
        <w:gridCol w:w="71"/>
        <w:gridCol w:w="1151"/>
        <w:gridCol w:w="71"/>
      </w:tblGrid>
      <w:tr w:rsidR="00000000">
        <w:trPr>
          <w:tblCellSpacing w:w="0" w:type="dxa"/>
        </w:trPr>
        <w:tc>
          <w:tcPr>
            <w:tcW w:w="18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50" w:type="pct"/>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Carrying Amount at</w:t>
            </w:r>
          </w:p>
          <w:p w:rsidR="00000000" w:rsidRDefault="004E30E9">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50" w:type="pct"/>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Interest Rate at</w:t>
            </w:r>
          </w:p>
          <w:p w:rsidR="00000000" w:rsidRDefault="004E30E9">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700" w:type="pct"/>
            <w:vAlign w:val="bottom"/>
            <w:hideMark/>
          </w:tcPr>
          <w:p w:rsidR="00000000" w:rsidRDefault="004E30E9">
            <w:pPr>
              <w:pStyle w:val="a3"/>
              <w:spacing w:before="0" w:beforeAutospacing="0" w:after="0" w:afterAutospacing="0"/>
              <w:jc w:val="center"/>
              <w:rPr>
                <w:sz w:val="20"/>
                <w:szCs w:val="20"/>
              </w:rPr>
            </w:pPr>
            <w:r>
              <w:rPr>
                <w:b/>
                <w:bCs/>
                <w:sz w:val="20"/>
                <w:szCs w:val="20"/>
              </w:rPr>
              <w:t xml:space="preserve">Maturity Date at </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8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rsidR="00000000" w:rsidRDefault="004E30E9">
            <w:pPr>
              <w:jc w:val="center"/>
              <w:rPr>
                <w:rFonts w:eastAsia="Times New Roman"/>
                <w:sz w:val="20"/>
                <w:szCs w:val="20"/>
              </w:rPr>
            </w:pPr>
            <w:r>
              <w:rPr>
                <w:rFonts w:eastAsia="Times New Roman"/>
                <w:b/>
                <w:bCs/>
                <w:sz w:val="20"/>
                <w:szCs w:val="20"/>
              </w:rPr>
              <w:t>December 31, 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b/>
                <w:bCs/>
                <w:sz w:val="20"/>
                <w:szCs w:val="20"/>
              </w:rPr>
              <w:t> </w:t>
            </w:r>
          </w:p>
        </w:tc>
      </w:tr>
      <w:tr w:rsidR="00000000">
        <w:trPr>
          <w:tblCellSpacing w:w="0" w:type="dxa"/>
        </w:trPr>
        <w:tc>
          <w:tcPr>
            <w:tcW w:w="18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Mortgages payable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308.4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410.6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3.23% - 7.23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3.23% - 7.23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Apr-2021 – Apr-2028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8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Construction loan payable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67.0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3.56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center"/>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8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Fair value debt adjustments,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center"/>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8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Deferred financing costs,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(0.6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n/a</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center"/>
              <w:rPr>
                <w:rFonts w:eastAsia="Times New Roman"/>
                <w:sz w:val="20"/>
                <w:szCs w:val="20"/>
              </w:rPr>
            </w:pPr>
            <w:r>
              <w:rPr>
                <w:rStyle w:val="a6"/>
                <w:rFonts w:eastAsia="Times New Roman"/>
                <w:sz w:val="20"/>
                <w:szCs w:val="20"/>
              </w:rPr>
              <w:t>n/a</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8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311.3</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484.0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4.73%</w:t>
            </w:r>
            <w:r>
              <w:rPr>
                <w:rFonts w:eastAsia="Times New Roman"/>
                <w:b/>
                <w:bCs/>
                <w:sz w:val="20"/>
                <w:szCs w:val="20"/>
              </w:rPr>
              <w:t>*</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4.97%</w:t>
            </w:r>
            <w:r>
              <w:rPr>
                <w:rFonts w:eastAsia="Times New Roman"/>
                <w:b/>
                <w:bCs/>
                <w:sz w:val="20"/>
                <w:szCs w:val="20"/>
              </w:rPr>
              <w:t>*</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center"/>
              <w:rPr>
                <w:rFonts w:eastAsia="Times New Roman"/>
                <w:sz w:val="20"/>
                <w:szCs w:val="20"/>
              </w:rPr>
            </w:pPr>
            <w:r>
              <w:rPr>
                <w:rStyle w:val="a6"/>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 Weighted-average interest rate</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Accrued interest at a rate of LIBOR plus 1.80% (3.56% as of </w:t>
            </w:r>
            <w:r>
              <w:rPr>
                <w:rStyle w:val="a6"/>
                <w:sz w:val="20"/>
                <w:szCs w:val="20"/>
              </w:rPr>
              <w:t xml:space="preserve">December 31, 2019). </w:t>
            </w:r>
            <w:r>
              <w:rPr>
                <w:sz w:val="20"/>
                <w:szCs w:val="20"/>
              </w:rPr>
              <w:t xml:space="preserve">In </w:t>
            </w:r>
            <w:r>
              <w:rPr>
                <w:rStyle w:val="a6"/>
                <w:sz w:val="20"/>
                <w:szCs w:val="20"/>
              </w:rPr>
              <w:t xml:space="preserve">January 2020, </w:t>
            </w:r>
            <w:r>
              <w:rPr>
                <w:sz w:val="20"/>
                <w:szCs w:val="20"/>
              </w:rPr>
              <w:t>the construction loan was fully repaid.</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w:t>
      </w:r>
      <w:r>
        <w:rPr>
          <w:rStyle w:val="a6"/>
          <w:sz w:val="20"/>
          <w:szCs w:val="20"/>
        </w:rPr>
        <w:t>2020,</w:t>
      </w:r>
      <w:r>
        <w:rPr>
          <w:sz w:val="20"/>
          <w:szCs w:val="20"/>
        </w:rPr>
        <w:t xml:space="preserve"> the Company repaid $92.0 </w:t>
      </w:r>
      <w:r>
        <w:rPr>
          <w:sz w:val="20"/>
          <w:szCs w:val="20"/>
        </w:rPr>
        <w:t>million of mortgage debt (including fair market value adjustment of $0.4 million) that encumbered</w:t>
      </w:r>
      <w:r>
        <w:rPr>
          <w:sz w:val="20"/>
          <w:szCs w:val="20"/>
        </w:rPr>
        <w:t xml:space="preserve"> </w:t>
      </w:r>
      <w:r>
        <w:rPr>
          <w:sz w:val="20"/>
          <w:szCs w:val="20"/>
        </w:rPr>
        <w:t>fou</w:t>
      </w:r>
      <w:r>
        <w:rPr>
          <w:sz w:val="20"/>
          <w:szCs w:val="20"/>
        </w:rPr>
        <w:t>r</w:t>
      </w:r>
      <w:r>
        <w:rPr>
          <w:sz w:val="20"/>
          <w:szCs w:val="20"/>
        </w:rPr>
        <w:t xml:space="preserve"> operating properties.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w:t>
      </w:r>
      <w:r>
        <w:rPr>
          <w:rStyle w:val="a6"/>
          <w:sz w:val="20"/>
          <w:szCs w:val="20"/>
        </w:rPr>
        <w:t>2019,</w:t>
      </w:r>
      <w:r>
        <w:rPr>
          <w:sz w:val="20"/>
          <w:szCs w:val="20"/>
        </w:rPr>
        <w:t xml:space="preserve"> the Company repaid $6.6 million of mortgage debt that encumbered</w:t>
      </w:r>
      <w:r>
        <w:rPr>
          <w:sz w:val="20"/>
          <w:szCs w:val="20"/>
        </w:rPr>
        <w:t xml:space="preserve"> </w:t>
      </w:r>
      <w:r>
        <w:rPr>
          <w:sz w:val="20"/>
          <w:szCs w:val="20"/>
        </w:rPr>
        <w:t>thre</w:t>
      </w:r>
      <w:r>
        <w:rPr>
          <w:sz w:val="20"/>
          <w:szCs w:val="20"/>
        </w:rPr>
        <w:t>e</w:t>
      </w:r>
      <w:r>
        <w:rPr>
          <w:sz w:val="20"/>
          <w:szCs w:val="20"/>
        </w:rPr>
        <w:t xml:space="preserve"> operating properties. Additionally, during </w:t>
      </w:r>
      <w:r>
        <w:rPr>
          <w:rStyle w:val="a6"/>
          <w:sz w:val="20"/>
          <w:szCs w:val="20"/>
        </w:rPr>
        <w:t>20</w:t>
      </w:r>
      <w:r>
        <w:rPr>
          <w:rStyle w:val="a6"/>
          <w:sz w:val="20"/>
          <w:szCs w:val="20"/>
        </w:rPr>
        <w:t>19,</w:t>
      </w:r>
      <w:r>
        <w:rPr>
          <w:sz w:val="20"/>
          <w:szCs w:val="20"/>
        </w:rPr>
        <w:t xml:space="preserve"> the Company disposed of an encumbered property through a deed in lieu transaction. This transaction resulted in a net decrease in mortgage debt of $7.0 million (including a fair market value adjustment of $0.1 million) and a gain on forgiveness of debt</w:t>
      </w:r>
      <w:r>
        <w:rPr>
          <w:sz w:val="20"/>
          <w:szCs w:val="20"/>
        </w:rPr>
        <w:t xml:space="preserve"> of $2.8 million, which is included in Other income, net in the Company’s Consolidated Statements of Income.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705985139"/>
        <w:rPr>
          <w:rFonts w:eastAsia="Times New Roman"/>
          <w:sz w:val="20"/>
          <w:szCs w:val="20"/>
        </w:rPr>
      </w:pPr>
      <w:r>
        <w:rPr>
          <w:rStyle w:val="a6"/>
          <w:rFonts w:eastAsia="Times New Roman"/>
          <w:sz w:val="20"/>
          <w:szCs w:val="20"/>
        </w:rPr>
        <w:t>81</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18" style="width:415.3pt;height:1.5pt" o:hralign="center" o:hrstd="t" o:hrnoshade="t" o:hr="t" fillcolor="black" stroked="f"/>
        </w:pict>
      </w:r>
    </w:p>
    <w:p w:rsidR="00000000" w:rsidRDefault="004E30E9">
      <w:pPr>
        <w:divId w:val="2348080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jc w:val="center"/>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scheduled principal payments (excluding any ext</w:t>
      </w:r>
      <w:r>
        <w:rPr>
          <w:sz w:val="20"/>
          <w:szCs w:val="20"/>
        </w:rPr>
        <w:t xml:space="preserve">ension options available to the Company) of all mortgages payable, excluding unamortized fair value debt adjustments of $3.5 million and unamortized debt issuance costs of $0.6 million, as of </w:t>
      </w:r>
      <w:r>
        <w:rPr>
          <w:rStyle w:val="a6"/>
          <w:sz w:val="20"/>
          <w:szCs w:val="20"/>
        </w:rPr>
        <w:t xml:space="preserve">December 31, 2020, </w:t>
      </w:r>
      <w:r>
        <w:rPr>
          <w:sz w:val="20"/>
          <w:szCs w:val="20"/>
        </w:rPr>
        <w:t>were as follows (in millions):</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75"/>
        <w:gridCol w:w="66"/>
        <w:gridCol w:w="100"/>
        <w:gridCol w:w="564"/>
        <w:gridCol w:w="66"/>
        <w:gridCol w:w="66"/>
        <w:gridCol w:w="100"/>
        <w:gridCol w:w="564"/>
        <w:gridCol w:w="66"/>
        <w:gridCol w:w="66"/>
        <w:gridCol w:w="100"/>
        <w:gridCol w:w="564"/>
        <w:gridCol w:w="66"/>
        <w:gridCol w:w="66"/>
        <w:gridCol w:w="100"/>
        <w:gridCol w:w="564"/>
        <w:gridCol w:w="66"/>
        <w:gridCol w:w="66"/>
        <w:gridCol w:w="100"/>
        <w:gridCol w:w="564"/>
        <w:gridCol w:w="66"/>
        <w:gridCol w:w="66"/>
        <w:gridCol w:w="116"/>
        <w:gridCol w:w="806"/>
        <w:gridCol w:w="66"/>
        <w:gridCol w:w="66"/>
        <w:gridCol w:w="100"/>
        <w:gridCol w:w="564"/>
        <w:gridCol w:w="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4E30E9">
        <w:trPr>
          <w:tblCellSpacing w:w="0" w:type="dxa"/>
        </w:trPr>
        <w:tc>
          <w:tcPr>
            <w:tcW w:w="15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Principal payments</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144.9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144.4</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15.1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1.7</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0.6</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1.7</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308.4</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divId w:val="550851562"/>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jc w:val="both"/>
        <w:rPr>
          <w:sz w:val="20"/>
          <w:szCs w:val="20"/>
        </w:rPr>
      </w:pPr>
      <w:r>
        <w:rPr>
          <w:rStyle w:val="a6"/>
          <w:sz w:val="20"/>
          <w:szCs w:val="20"/>
        </w:rPr>
        <w:t>15.</w:t>
      </w:r>
      <w:r>
        <w:rPr>
          <w:sz w:val="20"/>
          <w:szCs w:val="20"/>
        </w:rPr>
        <w:t>  </w:t>
      </w:r>
      <w:r>
        <w:rPr>
          <w:sz w:val="20"/>
          <w:szCs w:val="20"/>
          <w:u w:val="single"/>
        </w:rPr>
        <w:t xml:space="preserve">Noncontrolling Interests and </w:t>
      </w:r>
      <w:r>
        <w:rPr>
          <w:sz w:val="20"/>
          <w:szCs w:val="20"/>
          <w:u w:val="single"/>
        </w:rPr>
        <w:t>Redeemable Noncontrolling Interests</w:t>
      </w:r>
      <w:r>
        <w:rPr>
          <w:sz w:val="20"/>
          <w:szCs w:val="20"/>
        </w:rPr>
        <w: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Noncontrolling interests represent the portion of equity that the Company does </w:t>
      </w:r>
      <w:r>
        <w:rPr>
          <w:rStyle w:val="a6"/>
          <w:sz w:val="20"/>
          <w:szCs w:val="20"/>
        </w:rPr>
        <w:t>not</w:t>
      </w:r>
      <w:r>
        <w:rPr>
          <w:sz w:val="20"/>
          <w:szCs w:val="20"/>
        </w:rPr>
        <w:t xml:space="preserve"> </w:t>
      </w:r>
      <w:r>
        <w:rPr>
          <w:sz w:val="20"/>
          <w:szCs w:val="20"/>
        </w:rPr>
        <w:t xml:space="preserve">own in those entities it consolidates as a result of having a controlling interest or having determined that the Company was the primary beneficiary of a VIE in accordance with the provisions of the FASB’s Consolidation guidance.  The Company accounts and </w:t>
      </w:r>
      <w:r>
        <w:rPr>
          <w:sz w:val="20"/>
          <w:szCs w:val="20"/>
        </w:rPr>
        <w:t>reports for noncontrolling interests in accordance with the Consolidation guidance and the Distinguishing Liabilities from Equity guidance issued by the FASB. The Company identifies its noncontrolling interests separately within the equity section on the C</w:t>
      </w:r>
      <w:r>
        <w:rPr>
          <w:sz w:val="20"/>
          <w:szCs w:val="20"/>
        </w:rPr>
        <w:t>ompany’s Consolidated Balance Sheets. The amounts of consolidated net income attributable to the Company and to the noncontrolling interests are presented separately on the Company’s Consolidated Statements of Income.  </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Noncontrolling interests</w:t>
      </w:r>
    </w:p>
    <w:p w:rsidR="00000000" w:rsidRDefault="004E30E9">
      <w:pPr>
        <w:pStyle w:val="a3"/>
        <w:spacing w:before="0" w:beforeAutospacing="0" w:after="0" w:afterAutospacing="0"/>
        <w:ind w:left="360"/>
        <w:jc w:val="both"/>
        <w:rPr>
          <w:sz w:val="20"/>
          <w:szCs w:val="20"/>
        </w:rPr>
      </w:pPr>
      <w:r>
        <w:rPr>
          <w:i/>
          <w:iCs/>
          <w:sz w:val="20"/>
          <w:szCs w:val="20"/>
        </w:rPr>
        <w:t> </w:t>
      </w:r>
    </w:p>
    <w:p w:rsidR="00000000" w:rsidRDefault="004E30E9">
      <w:pPr>
        <w:pStyle w:val="a3"/>
        <w:spacing w:before="0" w:beforeAutospacing="0" w:after="0" w:afterAutospacing="0"/>
        <w:ind w:left="360"/>
        <w:jc w:val="both"/>
        <w:rPr>
          <w:sz w:val="20"/>
          <w:szCs w:val="20"/>
        </w:rPr>
      </w:pPr>
      <w:r>
        <w:rPr>
          <w:sz w:val="20"/>
          <w:szCs w:val="20"/>
        </w:rPr>
        <w:t>The Com</w:t>
      </w:r>
      <w:r>
        <w:rPr>
          <w:sz w:val="20"/>
          <w:szCs w:val="20"/>
        </w:rPr>
        <w:t>pany owns</w:t>
      </w:r>
      <w:r>
        <w:rPr>
          <w:sz w:val="20"/>
          <w:szCs w:val="20"/>
        </w:rPr>
        <w:t xml:space="preserve"> </w:t>
      </w:r>
      <w:r>
        <w:rPr>
          <w:sz w:val="20"/>
          <w:szCs w:val="20"/>
        </w:rPr>
        <w:t>seve</w:t>
      </w:r>
      <w:r>
        <w:rPr>
          <w:sz w:val="20"/>
          <w:szCs w:val="20"/>
        </w:rPr>
        <w:t>n</w:t>
      </w:r>
      <w:r>
        <w:rPr>
          <w:sz w:val="20"/>
          <w:szCs w:val="20"/>
        </w:rPr>
        <w:t xml:space="preserve"> shopping center properties located throughout Puerto Rico. These properties were acquired partially through the issuance of $158.6 million of non-convertible units and $45.8 million of convertible units. Noncontrolling interests related to </w:t>
      </w:r>
      <w:r>
        <w:rPr>
          <w:sz w:val="20"/>
          <w:szCs w:val="20"/>
        </w:rPr>
        <w:t>these acquisitions totaled $233.0 million of units, including premiums of $13.5 million and a fair market value adjustment of $15.1 million (collectively, the "Units"). Since the acquisition date the Company has redeemed a substantial portion of these unit</w:t>
      </w:r>
      <w:r>
        <w:rPr>
          <w:sz w:val="20"/>
          <w:szCs w:val="20"/>
        </w:rPr>
        <w:t xml:space="preserve">s. As of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noncontrolling interests relating to the remaining units were $5.2 million. The Units related annual cash distribution rates and related conversion features consisted of the following as of </w:t>
      </w:r>
      <w:r>
        <w:rPr>
          <w:rStyle w:val="a6"/>
          <w:sz w:val="20"/>
          <w:szCs w:val="20"/>
        </w:rPr>
        <w:t>December 31, 2020:</w:t>
      </w:r>
    </w:p>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628"/>
        <w:gridCol w:w="77"/>
        <w:gridCol w:w="100"/>
        <w:gridCol w:w="945"/>
        <w:gridCol w:w="77"/>
        <w:gridCol w:w="77"/>
        <w:gridCol w:w="77"/>
        <w:gridCol w:w="945"/>
        <w:gridCol w:w="77"/>
        <w:gridCol w:w="77"/>
        <w:gridCol w:w="1734"/>
        <w:gridCol w:w="77"/>
      </w:tblGrid>
      <w:tr w:rsidR="00000000">
        <w:trPr>
          <w:tblCellSpacing w:w="0" w:type="dxa"/>
        </w:trPr>
        <w:tc>
          <w:tcPr>
            <w:tcW w:w="23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Type</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P</w:t>
            </w:r>
            <w:r>
              <w:rPr>
                <w:b/>
                <w:bCs/>
                <w:sz w:val="20"/>
                <w:szCs w:val="20"/>
              </w:rPr>
              <w:t xml:space="preserve">ar Value </w:t>
            </w:r>
          </w:p>
          <w:p w:rsidR="00000000" w:rsidRDefault="004E30E9">
            <w:pPr>
              <w:pStyle w:val="a3"/>
              <w:spacing w:before="0" w:beforeAutospacing="0" w:after="0" w:afterAutospacing="0"/>
              <w:jc w:val="center"/>
              <w:rPr>
                <w:sz w:val="20"/>
                <w:szCs w:val="20"/>
              </w:rPr>
            </w:pPr>
            <w:r>
              <w:rPr>
                <w:b/>
                <w:bCs/>
                <w:sz w:val="20"/>
                <w:szCs w:val="20"/>
              </w:rPr>
              <w:t>Per Unit</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Number of Units </w:t>
            </w:r>
          </w:p>
          <w:p w:rsidR="00000000" w:rsidRDefault="004E30E9">
            <w:pPr>
              <w:pStyle w:val="a3"/>
              <w:spacing w:before="0" w:beforeAutospacing="0" w:after="0" w:afterAutospacing="0"/>
              <w:jc w:val="center"/>
              <w:rPr>
                <w:sz w:val="20"/>
                <w:szCs w:val="20"/>
              </w:rPr>
            </w:pPr>
            <w:r>
              <w:rPr>
                <w:b/>
                <w:bCs/>
                <w:sz w:val="20"/>
                <w:szCs w:val="20"/>
              </w:rPr>
              <w:t>Remaining</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110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Return Per Annum</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300" w:type="pct"/>
            <w:tcBorders>
              <w:bottom w:val="nil"/>
            </w:tcBorders>
            <w:shd w:val="clear" w:color="auto" w:fill="CCEEFF"/>
            <w:vAlign w:val="bottom"/>
            <w:hideMark/>
          </w:tcPr>
          <w:p w:rsidR="00000000" w:rsidRDefault="004E30E9">
            <w:pPr>
              <w:pStyle w:val="a3"/>
              <w:spacing w:before="0" w:beforeAutospacing="0" w:after="0" w:afterAutospacing="0"/>
              <w:rPr>
                <w:sz w:val="20"/>
                <w:szCs w:val="20"/>
              </w:rPr>
            </w:pPr>
            <w:r>
              <w:rPr>
                <w:sz w:val="20"/>
                <w:szCs w:val="20"/>
              </w:rPr>
              <w:t>Class B-1 Preferred Units (1)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10,000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189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1100" w:type="pct"/>
            <w:tcBorders>
              <w:bottom w:val="nil"/>
            </w:tcBorders>
            <w:shd w:val="clear" w:color="auto" w:fill="CCEEFF"/>
            <w:vAlign w:val="bottom"/>
            <w:hideMark/>
          </w:tcPr>
          <w:p w:rsidR="00000000" w:rsidRDefault="004E30E9">
            <w:pPr>
              <w:jc w:val="center"/>
              <w:rPr>
                <w:rFonts w:eastAsia="Times New Roman"/>
                <w:sz w:val="20"/>
                <w:szCs w:val="20"/>
              </w:rPr>
            </w:pPr>
            <w:r>
              <w:rPr>
                <w:rFonts w:eastAsia="Times New Roman"/>
                <w:sz w:val="20"/>
                <w:szCs w:val="20"/>
              </w:rPr>
              <w:t>7.0%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Class B-2 Preferred Units (2)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4E30E9">
            <w:pPr>
              <w:jc w:val="center"/>
              <w:rPr>
                <w:rFonts w:eastAsia="Times New Roman"/>
                <w:sz w:val="20"/>
                <w:szCs w:val="20"/>
              </w:rPr>
            </w:pPr>
            <w:r>
              <w:rPr>
                <w:rFonts w:eastAsia="Times New Roman"/>
                <w:sz w:val="20"/>
                <w:szCs w:val="20"/>
              </w:rPr>
              <w:t>7.0%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Class C DownReit Units (1)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30.52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52,797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Equal to the Company’s common stock dividend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These units are redeemable for cash by the holder or at the Company’s option, shares of the Company’</w:t>
            </w:r>
            <w:r>
              <w:rPr>
                <w:sz w:val="20"/>
                <w:szCs w:val="20"/>
              </w:rPr>
              <w:t>s common stock, based upon the conversion calculation as defined in the agreement. These units are included in Noncontrolling interests on the Company’s Consolidated Balance Sheets.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These units are redeemable for cash by the holder or callable by the Company and are included in Redeemable noncontrolling interests on the Company’s Consolidated Balance Sheets.</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owns a shopping center located in Bay Shore, NY, which was acq</w:t>
      </w:r>
      <w:r>
        <w:rPr>
          <w:sz w:val="20"/>
          <w:szCs w:val="20"/>
        </w:rPr>
        <w:t xml:space="preserve">uired in </w:t>
      </w:r>
      <w:r>
        <w:rPr>
          <w:rStyle w:val="a6"/>
          <w:sz w:val="20"/>
          <w:szCs w:val="20"/>
        </w:rPr>
        <w:t>2006</w:t>
      </w:r>
      <w:r>
        <w:rPr>
          <w:sz w:val="20"/>
          <w:szCs w:val="20"/>
        </w:rPr>
        <w:t xml:space="preserve"> with the issuance of 647,758 redeemable Class B Units at a par value of $37.24 per unit. The units accrue a return equal to the Company’s common stock dividend and are redeemable for cash by the holder or at the Company’s option, shares of th</w:t>
      </w:r>
      <w:r>
        <w:rPr>
          <w:sz w:val="20"/>
          <w:szCs w:val="20"/>
        </w:rPr>
        <w:t>e Company’s common stock at a ratio of</w:t>
      </w:r>
      <w:r>
        <w:rPr>
          <w:sz w:val="20"/>
          <w:szCs w:val="20"/>
        </w:rPr>
        <w:t xml:space="preserve"> </w:t>
      </w:r>
      <w:r>
        <w:rPr>
          <w:sz w:val="20"/>
          <w:szCs w:val="20"/>
        </w:rPr>
        <w:t>1:1</w:t>
      </w:r>
      <w:r>
        <w:rPr>
          <w:sz w:val="20"/>
          <w:szCs w:val="20"/>
        </w:rPr>
        <w:t>.</w:t>
      </w:r>
      <w:r>
        <w:rPr>
          <w:sz w:val="20"/>
          <w:szCs w:val="20"/>
        </w:rPr>
        <w:t xml:space="preserve"> These units are callable by the Company any time after </w:t>
      </w:r>
      <w:r>
        <w:rPr>
          <w:rStyle w:val="a6"/>
          <w:sz w:val="20"/>
          <w:szCs w:val="20"/>
        </w:rPr>
        <w:t xml:space="preserve">April 3, 2026, </w:t>
      </w:r>
      <w:r>
        <w:rPr>
          <w:sz w:val="20"/>
          <w:szCs w:val="20"/>
        </w:rPr>
        <w:t xml:space="preserve">and are included in Noncontrolling interests on the Company’s Consolidated Balance Sheets. During </w:t>
      </w:r>
      <w:r>
        <w:rPr>
          <w:rStyle w:val="a6"/>
          <w:sz w:val="20"/>
          <w:szCs w:val="20"/>
        </w:rPr>
        <w:t>2007,</w:t>
      </w:r>
      <w:r>
        <w:rPr>
          <w:sz w:val="20"/>
          <w:szCs w:val="20"/>
        </w:rPr>
        <w:t xml:space="preserve"> 30,000 units, or $1.1 million par valu</w:t>
      </w:r>
      <w:r>
        <w:rPr>
          <w:sz w:val="20"/>
          <w:szCs w:val="20"/>
        </w:rPr>
        <w:t xml:space="preserve">e, of the Class B Units were redeemed and at the Company’s option settled in cash. In addition, during </w:t>
      </w:r>
      <w:r>
        <w:rPr>
          <w:rStyle w:val="a6"/>
          <w:sz w:val="20"/>
          <w:szCs w:val="20"/>
        </w:rPr>
        <w:t>2019</w:t>
      </w:r>
      <w:r>
        <w:rPr>
          <w:sz w:val="20"/>
          <w:szCs w:val="20"/>
        </w:rPr>
        <w:t xml:space="preserve"> and </w:t>
      </w:r>
      <w:r>
        <w:rPr>
          <w:rStyle w:val="a6"/>
          <w:sz w:val="20"/>
          <w:szCs w:val="20"/>
        </w:rPr>
        <w:t>2018,</w:t>
      </w:r>
      <w:r>
        <w:rPr>
          <w:sz w:val="20"/>
          <w:szCs w:val="20"/>
        </w:rPr>
        <w:t xml:space="preserve"> 188,951 and 25,970 units, or $8.0 million and $1.1 million book value, respectively, of the Class B Units were redeemed and at the Company</w:t>
      </w:r>
      <w:r>
        <w:rPr>
          <w:sz w:val="20"/>
          <w:szCs w:val="20"/>
        </w:rPr>
        <w:t xml:space="preserve">’s option settled in cash for $4.0 million and $0.5 million, respectively. The redemption value of these units is calculated using the </w:t>
      </w:r>
      <w:r>
        <w:rPr>
          <w:rStyle w:val="a6"/>
          <w:sz w:val="20"/>
          <w:szCs w:val="20"/>
        </w:rPr>
        <w:t>30</w:t>
      </w:r>
      <w:r>
        <w:rPr>
          <w:sz w:val="20"/>
          <w:szCs w:val="20"/>
        </w:rPr>
        <w:t xml:space="preserve"> day weighted average closing price of the Company’s common stock prior to redemption. As of </w:t>
      </w:r>
      <w:r>
        <w:rPr>
          <w:rStyle w:val="a6"/>
          <w:sz w:val="20"/>
          <w:szCs w:val="20"/>
        </w:rPr>
        <w:t xml:space="preserve">December 31, 2020 </w:t>
      </w:r>
      <w:r>
        <w:rPr>
          <w:sz w:val="20"/>
          <w:szCs w:val="20"/>
        </w:rPr>
        <w:t xml:space="preserve">and </w:t>
      </w:r>
      <w:r>
        <w:rPr>
          <w:rStyle w:val="a6"/>
          <w:sz w:val="20"/>
          <w:szCs w:val="20"/>
        </w:rPr>
        <w:t>2019</w:t>
      </w:r>
      <w:r>
        <w:rPr>
          <w:rStyle w:val="a6"/>
          <w:sz w:val="20"/>
          <w:szCs w:val="20"/>
        </w:rPr>
        <w:t>,</w:t>
      </w:r>
      <w:r>
        <w:rPr>
          <w:sz w:val="20"/>
          <w:szCs w:val="20"/>
        </w:rPr>
        <w:t xml:space="preserve"> noncontrolling interest relating to the remaining Class B Units was $16.1 million and $16.2 million, respectively.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Noncontrolling interests also includes 138,015 convertible units issued during </w:t>
      </w:r>
      <w:r>
        <w:rPr>
          <w:rStyle w:val="a6"/>
          <w:sz w:val="20"/>
          <w:szCs w:val="20"/>
        </w:rPr>
        <w:t>2006</w:t>
      </w:r>
      <w:r>
        <w:rPr>
          <w:sz w:val="20"/>
          <w:szCs w:val="20"/>
        </w:rPr>
        <w:t xml:space="preserve"> by the Company, which were valued at $5.3 million, in</w:t>
      </w:r>
      <w:r>
        <w:rPr>
          <w:sz w:val="20"/>
          <w:szCs w:val="20"/>
        </w:rPr>
        <w:t>cluding a fair market value adjustment of $0.3 million, related to an interest acquired in an office building located in Albany, NY. These units are currently redeemable at the option of the holder for cash or at the option of the Company for the Company’s</w:t>
      </w:r>
      <w:r>
        <w:rPr>
          <w:sz w:val="20"/>
          <w:szCs w:val="20"/>
        </w:rPr>
        <w:t xml:space="preserve"> common stock at a ratio of </w:t>
      </w:r>
      <w:r>
        <w:rPr>
          <w:rStyle w:val="a6"/>
          <w:sz w:val="20"/>
          <w:szCs w:val="20"/>
        </w:rPr>
        <w:t>1:1.</w:t>
      </w:r>
      <w:r>
        <w:rPr>
          <w:sz w:val="20"/>
          <w:szCs w:val="20"/>
        </w:rPr>
        <w:t xml:space="preserve"> The holder is entitled to a distribution equal to the dividend rate of the Company’s common stock.</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2020, </w:t>
      </w:r>
      <w:r>
        <w:rPr>
          <w:sz w:val="20"/>
          <w:szCs w:val="20"/>
        </w:rPr>
        <w:t xml:space="preserve">the Company acquired its partners’ interests in </w:t>
      </w:r>
      <w:r>
        <w:rPr>
          <w:rStyle w:val="a6"/>
          <w:sz w:val="20"/>
          <w:szCs w:val="20"/>
        </w:rPr>
        <w:t>two</w:t>
      </w:r>
      <w:r>
        <w:rPr>
          <w:sz w:val="20"/>
          <w:szCs w:val="20"/>
        </w:rPr>
        <w:t xml:space="preserve"> </w:t>
      </w:r>
      <w:r>
        <w:rPr>
          <w:sz w:val="20"/>
          <w:szCs w:val="20"/>
        </w:rPr>
        <w:t>consolidated entities, in separate transactions, for an aggregate purchase price of $20.6 million. These transactions resulted in a net decrease in Noncontrolling interests of $1.3 million and a corresponding net decrease in Paid-in capital of $19.3 millio</w:t>
      </w:r>
      <w:r>
        <w:rPr>
          <w:sz w:val="20"/>
          <w:szCs w:val="20"/>
        </w:rPr>
        <w:t xml:space="preserve">n on the Company’s Consolidated Balance Sheets. There are </w:t>
      </w:r>
      <w:r>
        <w:rPr>
          <w:rStyle w:val="a6"/>
          <w:sz w:val="20"/>
          <w:szCs w:val="20"/>
        </w:rPr>
        <w:t>no</w:t>
      </w:r>
      <w:r>
        <w:rPr>
          <w:sz w:val="20"/>
          <w:szCs w:val="20"/>
        </w:rPr>
        <w:t xml:space="preserve"> remaining partners in </w:t>
      </w:r>
      <w:r>
        <w:rPr>
          <w:rStyle w:val="a6"/>
          <w:sz w:val="20"/>
          <w:szCs w:val="20"/>
        </w:rPr>
        <w:t>one</w:t>
      </w:r>
      <w:r>
        <w:rPr>
          <w:sz w:val="20"/>
          <w:szCs w:val="20"/>
        </w:rPr>
        <w:t xml:space="preserve"> of these consolidated entities.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621497320"/>
        <w:rPr>
          <w:rFonts w:eastAsia="Times New Roman"/>
          <w:sz w:val="20"/>
          <w:szCs w:val="20"/>
        </w:rPr>
      </w:pPr>
      <w:r>
        <w:rPr>
          <w:rStyle w:val="a6"/>
          <w:rFonts w:eastAsia="Times New Roman"/>
          <w:sz w:val="20"/>
          <w:szCs w:val="20"/>
        </w:rPr>
        <w:t>82</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19" style="width:415.3pt;height:1.5pt" o:hralign="center" o:hrstd="t" o:hrnoshade="t" o:hr="t" fillcolor="black" stroked="f"/>
        </w:pict>
      </w:r>
    </w:p>
    <w:p w:rsidR="00000000" w:rsidRDefault="004E30E9">
      <w:pPr>
        <w:divId w:val="398939282"/>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Redeemable noncontrolling interests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Included within noncontrolling interests are units that were determined to be contingently redeemable that are classified as Redeemable noncontrolling interests a</w:t>
      </w:r>
      <w:r>
        <w:rPr>
          <w:sz w:val="20"/>
          <w:szCs w:val="20"/>
        </w:rPr>
        <w:t>nd presented in the mezzanine section between Total liabilities and Stockholder’s equity on the Company’s Consolidated Balance Sheets.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following table presents the change in the redemption value of the Redeemable noncontrolling interests for the year</w:t>
      </w:r>
      <w:r>
        <w:rPr>
          <w:sz w:val="20"/>
          <w:szCs w:val="20"/>
        </w:rPr>
        <w:t xml:space="preserve">s ended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(in thousands):</w:t>
      </w:r>
    </w:p>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17,943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23,682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1,022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358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Distributions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(345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Redemption of redeemable units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(5,752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Adjustment to estimated redemption value (2)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(2,160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Balance at December 31,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15,784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17,943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During </w:t>
            </w:r>
            <w:r>
              <w:rPr>
                <w:rStyle w:val="a6"/>
                <w:sz w:val="20"/>
                <w:szCs w:val="20"/>
              </w:rPr>
              <w:t>2019,</w:t>
            </w:r>
            <w:r>
              <w:rPr>
                <w:sz w:val="20"/>
                <w:szCs w:val="20"/>
              </w:rPr>
              <w:t xml:space="preserve"> the Company redeemed all 5,223,313 </w:t>
            </w:r>
            <w:r>
              <w:rPr>
                <w:sz w:val="20"/>
                <w:szCs w:val="20"/>
              </w:rPr>
              <w:t>Class A Units for a total redemption price of $5.8 million.</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During the year ended </w:t>
            </w:r>
            <w:r>
              <w:rPr>
                <w:rStyle w:val="a6"/>
                <w:sz w:val="20"/>
                <w:szCs w:val="20"/>
              </w:rPr>
              <w:t xml:space="preserve">December 31, 2020, </w:t>
            </w:r>
            <w:r>
              <w:rPr>
                <w:sz w:val="20"/>
                <w:szCs w:val="20"/>
              </w:rPr>
              <w:t>the Company recorded an adjustment of $2.2 million to the estimated redemption fair market value of this noncontrolling interest in accordance with</w:t>
            </w:r>
            <w:r>
              <w:rPr>
                <w:sz w:val="20"/>
                <w:szCs w:val="20"/>
              </w:rPr>
              <w:t xml:space="preserve"> the provisions of the joint venture agreement and ASC </w:t>
            </w:r>
            <w:r>
              <w:rPr>
                <w:rStyle w:val="a6"/>
                <w:sz w:val="20"/>
                <w:szCs w:val="20"/>
              </w:rPr>
              <w:t>480</w:t>
            </w:r>
            <w:r>
              <w:rPr>
                <w:sz w:val="20"/>
                <w:szCs w:val="20"/>
              </w:rPr>
              <w:t xml:space="preserve"> – Accounting for Redeemable Equity Instruments. The Company assesses the fair market value of this noncontrolling interest on a recurring basis and determined that its valuation was classified with</w:t>
            </w:r>
            <w:r>
              <w:rPr>
                <w:sz w:val="20"/>
                <w:szCs w:val="20"/>
              </w:rPr>
              <w:t xml:space="preserve">in Level </w:t>
            </w:r>
            <w:r>
              <w:rPr>
                <w:rStyle w:val="a6"/>
                <w:sz w:val="20"/>
                <w:szCs w:val="20"/>
              </w:rPr>
              <w:t>3</w:t>
            </w:r>
            <w:r>
              <w:rPr>
                <w:sz w:val="20"/>
                <w:szCs w:val="20"/>
              </w:rPr>
              <w:t xml:space="preserve"> of the fair value hierarchy. The estimated fair market value of this noncontrolling interest was based upon a discounted cash flow model, for which a capitalization rate of 5.50% and discount rate of 6.50% were utilized in the model based upon u</w:t>
            </w:r>
            <w:r>
              <w:rPr>
                <w:sz w:val="20"/>
                <w:szCs w:val="20"/>
              </w:rPr>
              <w:t xml:space="preserve">nobservable rates that the Company believes to be within a reasonable range of current market rates. No adjustment to fair value was required during the year ended </w:t>
            </w:r>
            <w:r>
              <w:rPr>
                <w:rStyle w:val="a6"/>
                <w:sz w:val="20"/>
                <w:szCs w:val="20"/>
              </w:rPr>
              <w:t>December 31, 2019.</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divId w:val="638455838"/>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16.</w:t>
      </w:r>
      <w:r>
        <w:rPr>
          <w:sz w:val="20"/>
          <w:szCs w:val="20"/>
        </w:rPr>
        <w:t>  </w:t>
      </w:r>
      <w:r>
        <w:rPr>
          <w:sz w:val="20"/>
          <w:szCs w:val="20"/>
          <w:u w:val="single"/>
        </w:rPr>
        <w:t>Fair Value Disclosure of Financial Instruments</w:t>
      </w:r>
      <w:r>
        <w:rPr>
          <w:sz w:val="20"/>
          <w:szCs w:val="20"/>
        </w:rPr>
        <w: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All financial instruments of the Company are reflected in the accompanying Consolidated Balance Sheets at amounts which, in management’s estimation, based upon an interpretation of available market informat</w:t>
      </w:r>
      <w:r>
        <w:rPr>
          <w:sz w:val="20"/>
          <w:szCs w:val="20"/>
        </w:rPr>
        <w:t>ion and valuation methodologies, reasonably approximate their fair values except those listed below, for which fair values are disclosed. The valuation method used to estimate fair value for fixed-rate and variable-rate debt is based on discounted cash flo</w:t>
      </w:r>
      <w:r>
        <w:rPr>
          <w:sz w:val="20"/>
          <w:szCs w:val="20"/>
        </w:rPr>
        <w:t>w analyses, with assumptions that include credit spreads, market yield curves, trading activity, loan amounts and debt maturities. The fair values for marketable securities are based on published values, securities dealers’ estimated market values or compa</w:t>
      </w:r>
      <w:r>
        <w:rPr>
          <w:sz w:val="20"/>
          <w:szCs w:val="20"/>
        </w:rPr>
        <w:t xml:space="preserve">rable market sales. Such fair value estimates are </w:t>
      </w:r>
      <w:r>
        <w:rPr>
          <w:rStyle w:val="a6"/>
          <w:sz w:val="20"/>
          <w:szCs w:val="20"/>
        </w:rPr>
        <w:t>not</w:t>
      </w:r>
      <w:r>
        <w:rPr>
          <w:sz w:val="20"/>
          <w:szCs w:val="20"/>
        </w:rPr>
        <w:t xml:space="preserve"> necessarily indicative of the amounts that would be realized upon disposition.</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As a basis for considering market participant assumptions in fair value measurements, the FASB’s Fair Value Measurements </w:t>
      </w:r>
      <w:r>
        <w:rPr>
          <w:sz w:val="20"/>
          <w:szCs w:val="20"/>
        </w:rPr>
        <w:t xml:space="preserve">and Disclosures guidance establishes a fair value hierarchy that distinguishes between market participant assumptions based on market data obtained from sources independent of the reporting entity (observable inputs that are classified within Levels </w:t>
      </w:r>
      <w:r>
        <w:rPr>
          <w:rStyle w:val="a6"/>
          <w:sz w:val="20"/>
          <w:szCs w:val="20"/>
        </w:rPr>
        <w:t>1</w:t>
      </w:r>
      <w:r>
        <w:rPr>
          <w:sz w:val="20"/>
          <w:szCs w:val="20"/>
        </w:rPr>
        <w:t xml:space="preserve"> </w:t>
      </w:r>
      <w:r>
        <w:rPr>
          <w:sz w:val="20"/>
          <w:szCs w:val="20"/>
        </w:rPr>
        <w:t xml:space="preserve">and </w:t>
      </w:r>
      <w:r>
        <w:rPr>
          <w:rStyle w:val="a6"/>
          <w:sz w:val="20"/>
          <w:szCs w:val="20"/>
        </w:rPr>
        <w:t>2</w:t>
      </w:r>
      <w:r>
        <w:rPr>
          <w:sz w:val="20"/>
          <w:szCs w:val="20"/>
        </w:rPr>
        <w:t xml:space="preserve"> of the hierarchy) and the reporting entity’s own assumptions about market participant assumptions (unobservable inputs classified within Level </w:t>
      </w:r>
      <w:r>
        <w:rPr>
          <w:rStyle w:val="a6"/>
          <w:sz w:val="20"/>
          <w:szCs w:val="20"/>
        </w:rPr>
        <w:t>3</w:t>
      </w:r>
      <w:r>
        <w:rPr>
          <w:sz w:val="20"/>
          <w:szCs w:val="20"/>
        </w:rPr>
        <w:t xml:space="preserve"> of the hierarchy).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following are financial instruments for which the Company’s estimate of fair val</w:t>
      </w:r>
      <w:r>
        <w:rPr>
          <w:sz w:val="20"/>
          <w:szCs w:val="20"/>
        </w:rPr>
        <w:t>ue differs from the carrying amounts (in thousands):</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8"/>
        <w:gridCol w:w="52"/>
        <w:gridCol w:w="100"/>
        <w:gridCol w:w="800"/>
        <w:gridCol w:w="52"/>
        <w:gridCol w:w="52"/>
        <w:gridCol w:w="100"/>
        <w:gridCol w:w="800"/>
        <w:gridCol w:w="52"/>
        <w:gridCol w:w="52"/>
        <w:gridCol w:w="100"/>
        <w:gridCol w:w="800"/>
        <w:gridCol w:w="52"/>
        <w:gridCol w:w="53"/>
        <w:gridCol w:w="100"/>
        <w:gridCol w:w="800"/>
        <w:gridCol w:w="53"/>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Carrying</w:t>
            </w:r>
          </w:p>
          <w:p w:rsidR="00000000" w:rsidRDefault="004E30E9">
            <w:pPr>
              <w:pStyle w:val="a3"/>
              <w:spacing w:before="0" w:beforeAutospacing="0" w:after="0" w:afterAutospacing="0"/>
              <w:jc w:val="center"/>
              <w:rPr>
                <w:sz w:val="20"/>
                <w:szCs w:val="20"/>
              </w:rPr>
            </w:pPr>
            <w:r>
              <w:rPr>
                <w:b/>
                <w:bCs/>
                <w:sz w:val="20"/>
                <w:szCs w:val="20"/>
              </w:rPr>
              <w:t>Amounts</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Estimated</w:t>
            </w:r>
          </w:p>
          <w:p w:rsidR="00000000" w:rsidRDefault="004E30E9">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Carrying</w:t>
            </w:r>
          </w:p>
          <w:p w:rsidR="00000000" w:rsidRDefault="004E30E9">
            <w:pPr>
              <w:pStyle w:val="a3"/>
              <w:spacing w:before="0" w:beforeAutospacing="0" w:after="0" w:afterAutospacing="0"/>
              <w:jc w:val="center"/>
              <w:rPr>
                <w:sz w:val="20"/>
                <w:szCs w:val="20"/>
              </w:rPr>
            </w:pPr>
            <w:r>
              <w:rPr>
                <w:b/>
                <w:bCs/>
                <w:sz w:val="20"/>
                <w:szCs w:val="20"/>
              </w:rPr>
              <w:t>Amounts</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Estimated</w:t>
            </w:r>
          </w:p>
          <w:p w:rsidR="00000000" w:rsidRDefault="004E30E9">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5,044,208</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5,486,953</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4,831,759</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4,983,763</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Mortgages and construction loan payable, net (2)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311,272</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312,933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484,008</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486,042</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The Company determined that the valuation of its Senior Unsecured Notes were classified within Level </w:t>
            </w:r>
            <w:r>
              <w:rPr>
                <w:rStyle w:val="a6"/>
                <w:sz w:val="20"/>
                <w:szCs w:val="20"/>
              </w:rPr>
              <w:t>2</w:t>
            </w:r>
            <w:r>
              <w:rPr>
                <w:sz w:val="20"/>
                <w:szCs w:val="20"/>
              </w:rPr>
              <w:t xml:space="preserve"> of the fair value hierarchy and its Credit Facility was classified within Level </w:t>
            </w:r>
            <w:r>
              <w:rPr>
                <w:rStyle w:val="a6"/>
                <w:sz w:val="20"/>
                <w:szCs w:val="20"/>
              </w:rPr>
              <w:t>3</w:t>
            </w:r>
            <w:r>
              <w:rPr>
                <w:sz w:val="20"/>
                <w:szCs w:val="20"/>
              </w:rPr>
              <w:t xml:space="preserve"> of the fair value hierarchy. The estimated fair value amounts classifie</w:t>
            </w:r>
            <w:r>
              <w:rPr>
                <w:sz w:val="20"/>
                <w:szCs w:val="20"/>
              </w:rPr>
              <w:t xml:space="preserve">d as Level </w:t>
            </w:r>
            <w:r>
              <w:rPr>
                <w:rStyle w:val="a6"/>
                <w:sz w:val="20"/>
                <w:szCs w:val="20"/>
              </w:rPr>
              <w:t>2</w:t>
            </w:r>
            <w:r>
              <w:rPr>
                <w:sz w:val="20"/>
                <w:szCs w:val="20"/>
              </w:rPr>
              <w:t xml:space="preserve"> as of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were $5.5 billion and $4.8 billion, respectively. The estimated fair value amounts classified as Level </w:t>
            </w:r>
            <w:r>
              <w:rPr>
                <w:rStyle w:val="a6"/>
                <w:sz w:val="20"/>
                <w:szCs w:val="20"/>
              </w:rPr>
              <w:t>3</w:t>
            </w:r>
            <w:r>
              <w:rPr>
                <w:sz w:val="20"/>
                <w:szCs w:val="20"/>
              </w:rPr>
              <w:t xml:space="preserve"> as of </w:t>
            </w:r>
            <w:r>
              <w:rPr>
                <w:rStyle w:val="a6"/>
                <w:sz w:val="20"/>
                <w:szCs w:val="20"/>
              </w:rPr>
              <w:t xml:space="preserve">December 31, 2019, </w:t>
            </w:r>
            <w:r>
              <w:rPr>
                <w:sz w:val="20"/>
                <w:szCs w:val="20"/>
              </w:rPr>
              <w:t>was $199.9 million.</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The Company determined that its valuation of these </w:t>
            </w:r>
            <w:r>
              <w:rPr>
                <w:sz w:val="20"/>
                <w:szCs w:val="20"/>
              </w:rPr>
              <w:t xml:space="preserve">mortgages and construction loan payable was classified within Level </w:t>
            </w:r>
            <w:r>
              <w:rPr>
                <w:rStyle w:val="a6"/>
                <w:sz w:val="20"/>
                <w:szCs w:val="20"/>
              </w:rPr>
              <w:t>3</w:t>
            </w:r>
            <w:r>
              <w:rPr>
                <w:sz w:val="20"/>
                <w:szCs w:val="20"/>
              </w:rPr>
              <w:t xml:space="preserve"> of the fair value hierarchy.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97862672"/>
        <w:rPr>
          <w:rFonts w:eastAsia="Times New Roman"/>
          <w:sz w:val="20"/>
          <w:szCs w:val="20"/>
        </w:rPr>
      </w:pPr>
      <w:r>
        <w:rPr>
          <w:rStyle w:val="a6"/>
          <w:rFonts w:eastAsia="Times New Roman"/>
          <w:sz w:val="20"/>
          <w:szCs w:val="20"/>
        </w:rPr>
        <w:t>83</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20" style="width:415.3pt;height:1.5pt" o:hralign="center" o:hrstd="t" o:hrnoshade="t" o:hr="t" fillcolor="black" stroked="f"/>
        </w:pict>
      </w:r>
    </w:p>
    <w:p w:rsidR="00000000" w:rsidRDefault="004E30E9">
      <w:pPr>
        <w:divId w:val="2035768863"/>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has certain financial instruments that must be measured under the FASB’s Fair Value Measurements and Disclosures guidance, including available for sale securities. The Company currently does </w:t>
      </w:r>
      <w:r>
        <w:rPr>
          <w:rStyle w:val="a6"/>
          <w:sz w:val="20"/>
          <w:szCs w:val="20"/>
        </w:rPr>
        <w:t>not</w:t>
      </w:r>
      <w:r>
        <w:rPr>
          <w:sz w:val="20"/>
          <w:szCs w:val="20"/>
        </w:rPr>
        <w:t xml:space="preserve"> have non-financial assets and non-financial liabi</w:t>
      </w:r>
      <w:r>
        <w:rPr>
          <w:sz w:val="20"/>
          <w:szCs w:val="20"/>
        </w:rPr>
        <w:t>lities that are required to be measured at fair value on a recurring basis.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In instances where the determination of the fair value measurement is based on inputs from different levels of the fair value hierarchy, the level in the fair value hierarchy wit</w:t>
      </w:r>
      <w:r>
        <w:rPr>
          <w:sz w:val="20"/>
          <w:szCs w:val="20"/>
        </w:rPr>
        <w:t xml:space="preserve">hin which the entire fair value measurement falls is based on the lowest level input that is significant to the fair value measurement in its entirety. The Company’s assessment of the significance of a particular input to the fair value measurement in its </w:t>
      </w:r>
      <w:r>
        <w:rPr>
          <w:sz w:val="20"/>
          <w:szCs w:val="20"/>
        </w:rPr>
        <w:t>entirety requires judgment and considers factors specific to the asset or liability.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from time to time has used interest rate swaps to manage its interest rate risk. The fair values of interest rate swaps are determined using the market stand</w:t>
      </w:r>
      <w:r>
        <w:rPr>
          <w:sz w:val="20"/>
          <w:szCs w:val="20"/>
        </w:rPr>
        <w:t>ard methodology of netting the discounted future fixed cash receipts (or payments) and the discounted expected variable cash payments (or receipts).  The variable cash payments (or receipts) are based on an expectation of future interest rates (forward cur</w:t>
      </w:r>
      <w:r>
        <w:rPr>
          <w:sz w:val="20"/>
          <w:szCs w:val="20"/>
        </w:rPr>
        <w:t xml:space="preserve">ves) derived from observable market interest rate curves.  Based on these inputs, the Company has determined that interest rate swap valuations are classified within Level </w:t>
      </w:r>
      <w:r>
        <w:rPr>
          <w:rStyle w:val="a6"/>
          <w:sz w:val="20"/>
          <w:szCs w:val="20"/>
        </w:rPr>
        <w:t>2</w:t>
      </w:r>
      <w:r>
        <w:rPr>
          <w:sz w:val="20"/>
          <w:szCs w:val="20"/>
        </w:rPr>
        <w:t xml:space="preserve"> of the fair value hierarchy.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tables below present the Company’s financial as</w:t>
      </w:r>
      <w:r>
        <w:rPr>
          <w:sz w:val="20"/>
          <w:szCs w:val="20"/>
        </w:rPr>
        <w:t xml:space="preserve">sets measured at fair value on a recurring basis as of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aggregated by the level in the fair value hierarchy within which those measurements fall (in thousands):</w:t>
      </w:r>
    </w:p>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149"/>
        <w:gridCol w:w="72"/>
        <w:gridCol w:w="101"/>
        <w:gridCol w:w="940"/>
        <w:gridCol w:w="72"/>
        <w:gridCol w:w="72"/>
        <w:gridCol w:w="100"/>
        <w:gridCol w:w="940"/>
        <w:gridCol w:w="72"/>
        <w:gridCol w:w="72"/>
        <w:gridCol w:w="101"/>
        <w:gridCol w:w="940"/>
        <w:gridCol w:w="72"/>
        <w:gridCol w:w="73"/>
        <w:gridCol w:w="101"/>
        <w:gridCol w:w="941"/>
        <w:gridCol w:w="73"/>
      </w:tblGrid>
      <w:tr w:rsidR="00000000">
        <w:trPr>
          <w:tblCellSpacing w:w="0" w:type="dxa"/>
        </w:trPr>
        <w:tc>
          <w:tcPr>
            <w:tcW w:w="20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Balance at</w:t>
            </w:r>
          </w:p>
          <w:p w:rsidR="00000000" w:rsidRDefault="004E30E9">
            <w:pPr>
              <w:pStyle w:val="a3"/>
              <w:spacing w:before="0" w:beforeAutospacing="0" w:after="0" w:afterAutospacing="0"/>
              <w:jc w:val="center"/>
              <w:rPr>
                <w:sz w:val="20"/>
                <w:szCs w:val="20"/>
              </w:rPr>
            </w:pPr>
            <w:r>
              <w:rPr>
                <w:b/>
                <w:bCs/>
                <w:sz w:val="20"/>
                <w:szCs w:val="20"/>
              </w:rPr>
              <w:t>December 31, 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4E30E9">
            <w:pPr>
              <w:pStyle w:val="a3"/>
              <w:spacing w:before="0" w:beforeAutospacing="0" w:after="0" w:afterAutospacing="0"/>
              <w:rPr>
                <w:sz w:val="20"/>
                <w:szCs w:val="20"/>
              </w:rPr>
            </w:pPr>
            <w:r>
              <w:rPr>
                <w:b/>
                <w:bCs/>
                <w:sz w:val="20"/>
                <w:szCs w:val="20"/>
              </w:rPr>
              <w:t>Assets: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r>
      <w:tr w:rsidR="00000000">
        <w:trPr>
          <w:tblCellSpacing w:w="0" w:type="dxa"/>
        </w:trPr>
        <w:tc>
          <w:tcPr>
            <w:tcW w:w="2000" w:type="pct"/>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Marketable equity securities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706,954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706,954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149"/>
        <w:gridCol w:w="72"/>
        <w:gridCol w:w="101"/>
        <w:gridCol w:w="940"/>
        <w:gridCol w:w="72"/>
        <w:gridCol w:w="72"/>
        <w:gridCol w:w="100"/>
        <w:gridCol w:w="940"/>
        <w:gridCol w:w="72"/>
        <w:gridCol w:w="72"/>
        <w:gridCol w:w="101"/>
        <w:gridCol w:w="940"/>
        <w:gridCol w:w="72"/>
        <w:gridCol w:w="73"/>
        <w:gridCol w:w="101"/>
        <w:gridCol w:w="941"/>
        <w:gridCol w:w="73"/>
      </w:tblGrid>
      <w:tr w:rsidR="00000000">
        <w:trPr>
          <w:tblCellSpacing w:w="0" w:type="dxa"/>
        </w:trPr>
        <w:tc>
          <w:tcPr>
            <w:tcW w:w="20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Balance at</w:t>
            </w:r>
          </w:p>
          <w:p w:rsidR="00000000" w:rsidRDefault="004E30E9">
            <w:pPr>
              <w:pStyle w:val="a3"/>
              <w:spacing w:before="0" w:beforeAutospacing="0" w:after="0" w:afterAutospacing="0"/>
              <w:jc w:val="center"/>
              <w:rPr>
                <w:sz w:val="20"/>
                <w:szCs w:val="20"/>
              </w:rPr>
            </w:pPr>
            <w:r>
              <w:rPr>
                <w:b/>
                <w:bCs/>
                <w:sz w:val="20"/>
                <w:szCs w:val="20"/>
              </w:rPr>
              <w:t>December 31, 2019</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4E30E9">
            <w:pPr>
              <w:pStyle w:val="a3"/>
              <w:spacing w:before="0" w:beforeAutospacing="0" w:after="0" w:afterAutospacing="0"/>
              <w:rPr>
                <w:sz w:val="20"/>
                <w:szCs w:val="20"/>
              </w:rPr>
            </w:pPr>
            <w:r>
              <w:rPr>
                <w:b/>
                <w:bCs/>
                <w:sz w:val="20"/>
                <w:szCs w:val="20"/>
              </w:rPr>
              <w:t>Assets: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r>
      <w:tr w:rsidR="00000000">
        <w:trPr>
          <w:tblCellSpacing w:w="0" w:type="dxa"/>
        </w:trPr>
        <w:tc>
          <w:tcPr>
            <w:tcW w:w="2000" w:type="pct"/>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Marketable equity securities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9,353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9,353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sz w:val="20"/>
          <w:szCs w:val="20"/>
        </w:rPr>
        <w:t xml:space="preserve">Assets measured at fair value on a non-recurring basis at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are as follows (in thousands):</w:t>
      </w:r>
    </w:p>
    <w:p w:rsidR="00000000" w:rsidRDefault="004E30E9">
      <w:pPr>
        <w:pStyle w:val="a3"/>
        <w:spacing w:before="0" w:beforeAutospacing="0" w:after="0" w:afterAutospacing="0"/>
        <w:ind w:left="36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149"/>
        <w:gridCol w:w="72"/>
        <w:gridCol w:w="101"/>
        <w:gridCol w:w="940"/>
        <w:gridCol w:w="72"/>
        <w:gridCol w:w="72"/>
        <w:gridCol w:w="101"/>
        <w:gridCol w:w="940"/>
        <w:gridCol w:w="72"/>
        <w:gridCol w:w="72"/>
        <w:gridCol w:w="101"/>
        <w:gridCol w:w="940"/>
        <w:gridCol w:w="72"/>
        <w:gridCol w:w="73"/>
        <w:gridCol w:w="100"/>
        <w:gridCol w:w="941"/>
        <w:gridCol w:w="73"/>
      </w:tblGrid>
      <w:tr w:rsidR="00000000">
        <w:trPr>
          <w:tblCellSpacing w:w="0" w:type="dxa"/>
        </w:trPr>
        <w:tc>
          <w:tcPr>
            <w:tcW w:w="20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Balance at</w:t>
            </w:r>
          </w:p>
          <w:p w:rsidR="00000000" w:rsidRDefault="004E30E9">
            <w:pPr>
              <w:pStyle w:val="a3"/>
              <w:spacing w:before="0" w:beforeAutospacing="0" w:after="0" w:afterAutospacing="0"/>
              <w:jc w:val="center"/>
              <w:rPr>
                <w:sz w:val="20"/>
                <w:szCs w:val="20"/>
              </w:rPr>
            </w:pPr>
            <w:r>
              <w:rPr>
                <w:b/>
                <w:bCs/>
                <w:sz w:val="20"/>
                <w:szCs w:val="20"/>
              </w:rPr>
              <w:t>December 31, 2020</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0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24,899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24,899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real estate investments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5,464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5,464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149"/>
        <w:gridCol w:w="72"/>
        <w:gridCol w:w="101"/>
        <w:gridCol w:w="940"/>
        <w:gridCol w:w="72"/>
        <w:gridCol w:w="72"/>
        <w:gridCol w:w="101"/>
        <w:gridCol w:w="940"/>
        <w:gridCol w:w="72"/>
        <w:gridCol w:w="72"/>
        <w:gridCol w:w="101"/>
        <w:gridCol w:w="940"/>
        <w:gridCol w:w="72"/>
        <w:gridCol w:w="73"/>
        <w:gridCol w:w="100"/>
        <w:gridCol w:w="941"/>
        <w:gridCol w:w="73"/>
      </w:tblGrid>
      <w:tr w:rsidR="00000000">
        <w:trPr>
          <w:tblCellSpacing w:w="0" w:type="dxa"/>
        </w:trPr>
        <w:tc>
          <w:tcPr>
            <w:tcW w:w="20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Balance at</w:t>
            </w:r>
          </w:p>
          <w:p w:rsidR="00000000" w:rsidRDefault="004E30E9">
            <w:pPr>
              <w:pStyle w:val="a3"/>
              <w:spacing w:before="0" w:beforeAutospacing="0" w:after="0" w:afterAutospacing="0"/>
              <w:jc w:val="center"/>
              <w:rPr>
                <w:sz w:val="20"/>
                <w:szCs w:val="20"/>
              </w:rPr>
            </w:pPr>
            <w:r>
              <w:rPr>
                <w:b/>
                <w:bCs/>
                <w:sz w:val="20"/>
                <w:szCs w:val="20"/>
              </w:rPr>
              <w:t>December 31, 2019</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0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c>
          <w:tcPr>
            <w:tcW w:w="600" w:type="pct"/>
            <w:vAlign w:val="bottom"/>
            <w:hideMark/>
          </w:tcPr>
          <w:p w:rsidR="00000000" w:rsidRDefault="004E30E9">
            <w:pPr>
              <w:rPr>
                <w:rFonts w:eastAsia="Times New Roman"/>
                <w:sz w:val="20"/>
                <w:szCs w:val="20"/>
              </w:rPr>
            </w:pPr>
            <w:r>
              <w:rPr>
                <w:rFonts w:eastAsia="Times New Roman"/>
                <w:sz w:val="20"/>
                <w:szCs w:val="20"/>
              </w:rPr>
              <w:t> </w:t>
            </w:r>
          </w:p>
        </w:tc>
        <w:tc>
          <w:tcPr>
            <w:tcW w:w="50" w:type="pct"/>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39,510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39,510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Other real estate investments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32,974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32,974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2020, </w:t>
      </w:r>
      <w:r>
        <w:rPr>
          <w:sz w:val="20"/>
          <w:szCs w:val="20"/>
        </w:rPr>
        <w:t>the Company recognized impairment charges related to adjustments to property carrying values of $6.6 million. The Company’s estimated fair values of these properties were primarily based upon estimated sales prices from signed contracts or letters of inten</w:t>
      </w:r>
      <w:r>
        <w:rPr>
          <w:sz w:val="20"/>
          <w:szCs w:val="20"/>
        </w:rPr>
        <w:t xml:space="preserve">t from </w:t>
      </w:r>
      <w:r>
        <w:rPr>
          <w:rStyle w:val="a6"/>
          <w:sz w:val="20"/>
          <w:szCs w:val="20"/>
        </w:rPr>
        <w:t>third</w:t>
      </w:r>
      <w:r>
        <w:rPr>
          <w:sz w:val="20"/>
          <w:szCs w:val="20"/>
        </w:rPr>
        <w:t xml:space="preserve">-party offers. Based on these inputs, the Company determined that its valuation of this investment was classified within Level </w:t>
      </w:r>
      <w:r>
        <w:rPr>
          <w:rStyle w:val="a6"/>
          <w:sz w:val="20"/>
          <w:szCs w:val="20"/>
        </w:rPr>
        <w:t>3</w:t>
      </w:r>
      <w:r>
        <w:rPr>
          <w:sz w:val="20"/>
          <w:szCs w:val="20"/>
        </w:rPr>
        <w:t xml:space="preserve"> of the fair value hierarchy.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the year ended </w:t>
      </w:r>
      <w:r>
        <w:rPr>
          <w:rStyle w:val="a6"/>
          <w:sz w:val="20"/>
          <w:szCs w:val="20"/>
        </w:rPr>
        <w:t xml:space="preserve">December 31, 2019, </w:t>
      </w:r>
      <w:r>
        <w:rPr>
          <w:sz w:val="20"/>
          <w:szCs w:val="20"/>
        </w:rPr>
        <w:t>the Company recognized impairment charges r</w:t>
      </w:r>
      <w:r>
        <w:rPr>
          <w:sz w:val="20"/>
          <w:szCs w:val="20"/>
        </w:rPr>
        <w:t xml:space="preserve">elated to adjustments to property carrying values of $48.7 million. The Company’s estimated fair values of these properties were primarily based upon estimated sales prices from (i) signed contracts or letters of intent from </w:t>
      </w:r>
      <w:r>
        <w:rPr>
          <w:rStyle w:val="a6"/>
          <w:sz w:val="20"/>
          <w:szCs w:val="20"/>
        </w:rPr>
        <w:t>third</w:t>
      </w:r>
      <w:r>
        <w:rPr>
          <w:sz w:val="20"/>
          <w:szCs w:val="20"/>
        </w:rPr>
        <w:t>-party offers or (ii) disc</w:t>
      </w:r>
      <w:r>
        <w:rPr>
          <w:sz w:val="20"/>
          <w:szCs w:val="20"/>
        </w:rPr>
        <w:t xml:space="preserve">ounted cash flow models. The Company does </w:t>
      </w:r>
      <w:r>
        <w:rPr>
          <w:rStyle w:val="a6"/>
          <w:sz w:val="20"/>
          <w:szCs w:val="20"/>
        </w:rPr>
        <w:t>not</w:t>
      </w:r>
      <w:r>
        <w:rPr>
          <w:sz w:val="20"/>
          <w:szCs w:val="20"/>
        </w:rPr>
        <w:t xml:space="preserve"> have access to the unobservable inputs used to determine the estimated fair values of </w:t>
      </w:r>
      <w:r>
        <w:rPr>
          <w:rStyle w:val="a6"/>
          <w:sz w:val="20"/>
          <w:szCs w:val="20"/>
        </w:rPr>
        <w:t>third</w:t>
      </w:r>
      <w:r>
        <w:rPr>
          <w:sz w:val="20"/>
          <w:szCs w:val="20"/>
        </w:rPr>
        <w:t xml:space="preserve">-party offers. For the discounted cash flow model, the capitalization rate was 10.50% and the discount rate was 11.50% </w:t>
      </w:r>
      <w:r>
        <w:rPr>
          <w:sz w:val="20"/>
          <w:szCs w:val="20"/>
        </w:rPr>
        <w:t>which were utilized in the model based upon unobservable rates that the Company believes to be within a reasonable range of current market rates for the investment. Based on these inputs, the Company determined that its valuation of this investment was cla</w:t>
      </w:r>
      <w:r>
        <w:rPr>
          <w:sz w:val="20"/>
          <w:szCs w:val="20"/>
        </w:rPr>
        <w:t xml:space="preserve">ssified within Level </w:t>
      </w:r>
      <w:r>
        <w:rPr>
          <w:rStyle w:val="a6"/>
          <w:sz w:val="20"/>
          <w:szCs w:val="20"/>
        </w:rPr>
        <w:t>3</w:t>
      </w:r>
      <w:r>
        <w:rPr>
          <w:sz w:val="20"/>
          <w:szCs w:val="20"/>
        </w:rPr>
        <w:t xml:space="preserve"> of the fair value hierarchy.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228227502"/>
        <w:rPr>
          <w:rFonts w:eastAsia="Times New Roman"/>
          <w:sz w:val="20"/>
          <w:szCs w:val="20"/>
        </w:rPr>
      </w:pPr>
      <w:r>
        <w:rPr>
          <w:rStyle w:val="a6"/>
          <w:rFonts w:eastAsia="Times New Roman"/>
          <w:sz w:val="20"/>
          <w:szCs w:val="20"/>
        </w:rPr>
        <w:t>84</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21" style="width:415.3pt;height:1.5pt" o:hralign="center" o:hrstd="t" o:hrnoshade="t" o:hr="t" fillcolor="black" stroked="f"/>
        </w:pict>
      </w:r>
    </w:p>
    <w:p w:rsidR="00000000" w:rsidRDefault="004E30E9">
      <w:pPr>
        <w:divId w:val="955868977"/>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property carrying value impairment charges resulted from the Company’s efforts to ma</w:t>
      </w:r>
      <w:r>
        <w:rPr>
          <w:sz w:val="20"/>
          <w:szCs w:val="20"/>
        </w:rPr>
        <w:t>rket certain assets and management’s assessment as to the likelihood and timing of such potential transactions.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divId w:val="1526749930"/>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jc w:val="both"/>
        <w:rPr>
          <w:sz w:val="20"/>
          <w:szCs w:val="20"/>
        </w:rPr>
      </w:pPr>
      <w:r>
        <w:rPr>
          <w:rStyle w:val="a6"/>
          <w:sz w:val="20"/>
          <w:szCs w:val="20"/>
        </w:rPr>
        <w:t>17.</w:t>
      </w:r>
      <w:r>
        <w:rPr>
          <w:sz w:val="20"/>
          <w:szCs w:val="20"/>
        </w:rPr>
        <w:t>  </w:t>
      </w:r>
      <w:r>
        <w:rPr>
          <w:sz w:val="20"/>
          <w:szCs w:val="20"/>
          <w:u w:val="single"/>
        </w:rPr>
        <w:t>Preferred Stock, Common Stock and Convertible Unit Transactions</w:t>
      </w:r>
      <w:r>
        <w:rPr>
          <w:sz w:val="20"/>
          <w:szCs w:val="20"/>
        </w:rPr>
        <w: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Preferred Stock</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Company’s outstanding Preferred Stock is deta</w:t>
      </w:r>
      <w:r>
        <w:rPr>
          <w:sz w:val="20"/>
          <w:szCs w:val="20"/>
        </w:rPr>
        <w:t>iled below (in thousands, except share data and par values):</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97"/>
        <w:gridCol w:w="870"/>
        <w:gridCol w:w="50"/>
        <w:gridCol w:w="50"/>
        <w:gridCol w:w="107"/>
        <w:gridCol w:w="961"/>
        <w:gridCol w:w="50"/>
        <w:gridCol w:w="50"/>
        <w:gridCol w:w="460"/>
        <w:gridCol w:w="1010"/>
        <w:gridCol w:w="50"/>
        <w:gridCol w:w="50"/>
        <w:gridCol w:w="78"/>
        <w:gridCol w:w="701"/>
        <w:gridCol w:w="167"/>
        <w:gridCol w:w="50"/>
        <w:gridCol w:w="101"/>
        <w:gridCol w:w="840"/>
        <w:gridCol w:w="50"/>
        <w:gridCol w:w="50"/>
        <w:gridCol w:w="120"/>
        <w:gridCol w:w="468"/>
        <w:gridCol w:w="50"/>
        <w:gridCol w:w="1065"/>
      </w:tblGrid>
      <w:tr w:rsidR="00000000">
        <w:trPr>
          <w:tblCellSpacing w:w="0" w:type="dxa"/>
        </w:trPr>
        <w:tc>
          <w:tcPr>
            <w:tcW w:w="0" w:type="auto"/>
            <w:gridSpan w:val="26"/>
            <w:tcBorders>
              <w:bottom w:val="single" w:sz="6" w:space="0" w:color="000000"/>
            </w:tcBorders>
            <w:vAlign w:val="bottom"/>
            <w:hideMark/>
          </w:tcPr>
          <w:p w:rsidR="00000000" w:rsidRDefault="004E30E9">
            <w:pPr>
              <w:jc w:val="center"/>
              <w:rPr>
                <w:rFonts w:eastAsia="Times New Roman"/>
                <w:sz w:val="20"/>
                <w:szCs w:val="20"/>
              </w:rPr>
            </w:pPr>
            <w:r>
              <w:rPr>
                <w:rFonts w:eastAsia="Times New Roman"/>
                <w:b/>
                <w:bCs/>
                <w:sz w:val="20"/>
                <w:szCs w:val="20"/>
              </w:rPr>
              <w:t>As of December 31, 2020 and 2019</w:t>
            </w:r>
          </w:p>
        </w:tc>
      </w:tr>
      <w:tr w:rsidR="00000000">
        <w:trPr>
          <w:tblCellSpacing w:w="0" w:type="dxa"/>
        </w:trPr>
        <w:tc>
          <w:tcPr>
            <w:tcW w:w="0" w:type="auto"/>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Class of </w:t>
            </w:r>
          </w:p>
          <w:p w:rsidR="00000000" w:rsidRDefault="004E30E9">
            <w:pPr>
              <w:pStyle w:val="a3"/>
              <w:spacing w:before="0" w:beforeAutospacing="0" w:after="0" w:afterAutospacing="0"/>
              <w:jc w:val="center"/>
              <w:rPr>
                <w:sz w:val="20"/>
                <w:szCs w:val="20"/>
              </w:rPr>
            </w:pPr>
            <w:r>
              <w:rPr>
                <w:b/>
                <w:bCs/>
                <w:sz w:val="20"/>
                <w:szCs w:val="20"/>
              </w:rPr>
              <w:t xml:space="preserve">Preferred </w:t>
            </w:r>
          </w:p>
          <w:p w:rsidR="00000000" w:rsidRDefault="004E30E9">
            <w:pPr>
              <w:pStyle w:val="a3"/>
              <w:spacing w:before="0" w:beforeAutospacing="0" w:after="0" w:afterAutospacing="0"/>
              <w:jc w:val="center"/>
              <w:rPr>
                <w:sz w:val="20"/>
                <w:szCs w:val="20"/>
              </w:rPr>
            </w:pPr>
            <w:r>
              <w:rPr>
                <w:b/>
                <w:bCs/>
                <w:sz w:val="20"/>
                <w:szCs w:val="20"/>
              </w:rPr>
              <w:t>Stock</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Shares </w:t>
            </w:r>
          </w:p>
          <w:p w:rsidR="00000000" w:rsidRDefault="004E30E9">
            <w:pPr>
              <w:pStyle w:val="a3"/>
              <w:spacing w:before="0" w:beforeAutospacing="0" w:after="0" w:afterAutospacing="0"/>
              <w:jc w:val="center"/>
              <w:rPr>
                <w:sz w:val="20"/>
                <w:szCs w:val="20"/>
              </w:rPr>
            </w:pPr>
            <w:r>
              <w:rPr>
                <w:b/>
                <w:bCs/>
                <w:sz w:val="20"/>
                <w:szCs w:val="20"/>
              </w:rPr>
              <w:t>Authorized</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Shares </w:t>
            </w:r>
          </w:p>
          <w:p w:rsidR="00000000" w:rsidRDefault="004E30E9">
            <w:pPr>
              <w:pStyle w:val="a3"/>
              <w:spacing w:before="0" w:beforeAutospacing="0" w:after="0" w:afterAutospacing="0"/>
              <w:jc w:val="center"/>
              <w:rPr>
                <w:sz w:val="20"/>
                <w:szCs w:val="20"/>
              </w:rPr>
            </w:pPr>
            <w:r>
              <w:rPr>
                <w:b/>
                <w:bCs/>
                <w:sz w:val="20"/>
                <w:szCs w:val="20"/>
              </w:rPr>
              <w:t xml:space="preserve">Issued and </w:t>
            </w:r>
          </w:p>
          <w:p w:rsidR="00000000" w:rsidRDefault="004E30E9">
            <w:pPr>
              <w:pStyle w:val="a3"/>
              <w:spacing w:before="0" w:beforeAutospacing="0" w:after="0" w:afterAutospacing="0"/>
              <w:jc w:val="center"/>
              <w:rPr>
                <w:sz w:val="20"/>
                <w:szCs w:val="20"/>
              </w:rPr>
            </w:pPr>
            <w:r>
              <w:rPr>
                <w:b/>
                <w:bCs/>
                <w:sz w:val="20"/>
                <w:szCs w:val="20"/>
              </w:rPr>
              <w:t>Outstanding</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Liquidation </w:t>
            </w:r>
          </w:p>
          <w:p w:rsidR="00000000" w:rsidRDefault="004E30E9">
            <w:pPr>
              <w:pStyle w:val="a3"/>
              <w:spacing w:before="0" w:beforeAutospacing="0" w:after="0" w:afterAutospacing="0"/>
              <w:jc w:val="center"/>
              <w:rPr>
                <w:sz w:val="20"/>
                <w:szCs w:val="20"/>
              </w:rPr>
            </w:pPr>
            <w:r>
              <w:rPr>
                <w:b/>
                <w:bCs/>
                <w:sz w:val="20"/>
                <w:szCs w:val="20"/>
              </w:rPr>
              <w:t>Preference</w:t>
            </w:r>
          </w:p>
          <w:p w:rsidR="00000000" w:rsidRDefault="004E30E9">
            <w:pPr>
              <w:pStyle w:val="a3"/>
              <w:spacing w:before="0" w:beforeAutospacing="0" w:after="0" w:afterAutospacing="0"/>
              <w:jc w:val="center"/>
              <w:rPr>
                <w:sz w:val="20"/>
                <w:szCs w:val="20"/>
              </w:rPr>
            </w:pPr>
            <w:r>
              <w:rPr>
                <w:b/>
                <w:bCs/>
                <w:sz w:val="20"/>
                <w:szCs w:val="20"/>
              </w:rPr>
              <w:t>(in thousands)</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Dividend </w:t>
            </w:r>
          </w:p>
          <w:p w:rsidR="00000000" w:rsidRDefault="004E30E9">
            <w:pPr>
              <w:pStyle w:val="a3"/>
              <w:spacing w:before="0" w:beforeAutospacing="0" w:after="0" w:afterAutospacing="0"/>
              <w:jc w:val="center"/>
              <w:rPr>
                <w:sz w:val="20"/>
                <w:szCs w:val="20"/>
              </w:rPr>
            </w:pPr>
            <w:r>
              <w:rPr>
                <w:b/>
                <w:bCs/>
                <w:sz w:val="20"/>
                <w:szCs w:val="20"/>
              </w:rPr>
              <w:t>Rate</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Annual </w:t>
            </w:r>
          </w:p>
          <w:p w:rsidR="00000000" w:rsidRDefault="004E30E9">
            <w:pPr>
              <w:pStyle w:val="a3"/>
              <w:spacing w:before="0" w:beforeAutospacing="0" w:after="0" w:afterAutospacing="0"/>
              <w:jc w:val="center"/>
              <w:rPr>
                <w:sz w:val="20"/>
                <w:szCs w:val="20"/>
              </w:rPr>
            </w:pPr>
            <w:r>
              <w:rPr>
                <w:b/>
                <w:bCs/>
                <w:sz w:val="20"/>
                <w:szCs w:val="20"/>
              </w:rPr>
              <w:t xml:space="preserve">Dividend per </w:t>
            </w:r>
          </w:p>
          <w:p w:rsidR="00000000" w:rsidRDefault="004E30E9">
            <w:pPr>
              <w:pStyle w:val="a3"/>
              <w:spacing w:before="0" w:beforeAutospacing="0" w:after="0" w:afterAutospacing="0"/>
              <w:jc w:val="center"/>
              <w:rPr>
                <w:sz w:val="20"/>
                <w:szCs w:val="20"/>
              </w:rPr>
            </w:pPr>
            <w:r>
              <w:rPr>
                <w:b/>
                <w:bCs/>
                <w:sz w:val="20"/>
                <w:szCs w:val="20"/>
              </w:rPr>
              <w:t xml:space="preserve">Depositary </w:t>
            </w:r>
          </w:p>
          <w:p w:rsidR="00000000" w:rsidRDefault="004E30E9">
            <w:pPr>
              <w:pStyle w:val="a3"/>
              <w:spacing w:before="0" w:beforeAutospacing="0" w:after="0" w:afterAutospacing="0"/>
              <w:jc w:val="center"/>
              <w:rPr>
                <w:sz w:val="20"/>
                <w:szCs w:val="20"/>
              </w:rPr>
            </w:pPr>
            <w:r>
              <w:rPr>
                <w:b/>
                <w:bCs/>
                <w:sz w:val="20"/>
                <w:szCs w:val="20"/>
              </w:rPr>
              <w:t>Share</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vAlign w:val="center"/>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ind w:left="20"/>
              <w:jc w:val="center"/>
              <w:rPr>
                <w:sz w:val="20"/>
                <w:szCs w:val="20"/>
              </w:rPr>
            </w:pPr>
            <w:r>
              <w:rPr>
                <w:b/>
                <w:bCs/>
                <w:sz w:val="20"/>
                <w:szCs w:val="20"/>
              </w:rPr>
              <w:t xml:space="preserve">Par </w:t>
            </w:r>
          </w:p>
          <w:p w:rsidR="00000000" w:rsidRDefault="004E30E9">
            <w:pPr>
              <w:pStyle w:val="a3"/>
              <w:spacing w:before="0" w:beforeAutospacing="0" w:after="0" w:afterAutospacing="0"/>
              <w:ind w:left="20"/>
              <w:jc w:val="center"/>
              <w:rPr>
                <w:sz w:val="20"/>
                <w:szCs w:val="20"/>
              </w:rPr>
            </w:pPr>
            <w:r>
              <w:rPr>
                <w:b/>
                <w:bCs/>
                <w:sz w:val="20"/>
                <w:szCs w:val="20"/>
              </w:rPr>
              <w:t>Value</w:t>
            </w:r>
          </w:p>
        </w:tc>
        <w:tc>
          <w:tcPr>
            <w:tcW w:w="50" w:type="pct"/>
            <w:tcBorders>
              <w:bottom w:val="single" w:sz="6" w:space="0" w:color="000000"/>
            </w:tcBorders>
            <w:vAlign w:val="center"/>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pStyle w:val="a3"/>
              <w:spacing w:before="0" w:beforeAutospacing="0" w:after="0" w:afterAutospacing="0"/>
              <w:ind w:left="20"/>
              <w:jc w:val="center"/>
              <w:rPr>
                <w:sz w:val="20"/>
                <w:szCs w:val="20"/>
              </w:rPr>
            </w:pPr>
            <w:r>
              <w:rPr>
                <w:b/>
                <w:bCs/>
                <w:sz w:val="20"/>
                <w:szCs w:val="20"/>
              </w:rPr>
              <w:t xml:space="preserve">Optional </w:t>
            </w:r>
          </w:p>
          <w:p w:rsidR="00000000" w:rsidRDefault="004E30E9">
            <w:pPr>
              <w:pStyle w:val="a3"/>
              <w:spacing w:before="0" w:beforeAutospacing="0" w:after="0" w:afterAutospacing="0"/>
              <w:ind w:left="20"/>
              <w:jc w:val="center"/>
              <w:rPr>
                <w:sz w:val="20"/>
                <w:szCs w:val="20"/>
              </w:rPr>
            </w:pPr>
            <w:r>
              <w:rPr>
                <w:b/>
                <w:bCs/>
                <w:sz w:val="20"/>
                <w:szCs w:val="20"/>
              </w:rPr>
              <w:t xml:space="preserve">Redemption </w:t>
            </w:r>
          </w:p>
          <w:p w:rsidR="00000000" w:rsidRDefault="004E30E9">
            <w:pPr>
              <w:pStyle w:val="a3"/>
              <w:spacing w:before="0" w:beforeAutospacing="0" w:after="0" w:afterAutospacing="0"/>
              <w:ind w:left="20"/>
              <w:jc w:val="center"/>
              <w:rPr>
                <w:sz w:val="20"/>
                <w:szCs w:val="20"/>
              </w:rPr>
            </w:pPr>
            <w:r>
              <w:rPr>
                <w:b/>
                <w:bCs/>
                <w:sz w:val="20"/>
                <w:szCs w:val="20"/>
              </w:rPr>
              <w:t>Date</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pStyle w:val="a3"/>
              <w:spacing w:before="0" w:beforeAutospacing="0" w:after="0" w:afterAutospacing="0"/>
              <w:ind w:left="40"/>
              <w:jc w:val="center"/>
              <w:rPr>
                <w:sz w:val="20"/>
                <w:szCs w:val="20"/>
              </w:rPr>
            </w:pPr>
            <w:r>
              <w:rPr>
                <w:rStyle w:val="a6"/>
                <w:sz w:val="20"/>
                <w:szCs w:val="20"/>
              </w:rPr>
              <w:t>8/16/2022</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264,500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pStyle w:val="a3"/>
              <w:spacing w:before="0" w:beforeAutospacing="0" w:after="0" w:afterAutospacing="0"/>
              <w:ind w:left="40"/>
              <w:jc w:val="center"/>
              <w:rPr>
                <w:sz w:val="20"/>
                <w:szCs w:val="20"/>
              </w:rPr>
            </w:pPr>
            <w:r>
              <w:rPr>
                <w:rStyle w:val="a6"/>
                <w:sz w:val="20"/>
                <w:szCs w:val="20"/>
              </w:rPr>
              <w:t>12/20/2022</w:t>
            </w:r>
          </w:p>
        </w:tc>
      </w:tr>
      <w:tr w:rsidR="00000000">
        <w:trPr>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4E30E9">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Style w:val="a6"/>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following Preferred Stock classes were redeemed during the year ended </w:t>
      </w:r>
      <w:r>
        <w:rPr>
          <w:rStyle w:val="a6"/>
          <w:sz w:val="20"/>
          <w:szCs w:val="20"/>
        </w:rPr>
        <w:t>December 31, 2019:</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69"/>
        <w:gridCol w:w="67"/>
        <w:gridCol w:w="1188"/>
        <w:gridCol w:w="64"/>
        <w:gridCol w:w="76"/>
        <w:gridCol w:w="1230"/>
        <w:gridCol w:w="70"/>
        <w:gridCol w:w="76"/>
        <w:gridCol w:w="161"/>
        <w:gridCol w:w="1240"/>
        <w:gridCol w:w="76"/>
        <w:gridCol w:w="76"/>
        <w:gridCol w:w="170"/>
        <w:gridCol w:w="1189"/>
        <w:gridCol w:w="70"/>
        <w:gridCol w:w="72"/>
        <w:gridCol w:w="205"/>
        <w:gridCol w:w="1124"/>
        <w:gridCol w:w="83"/>
      </w:tblGrid>
      <w:tr w:rsidR="00000000">
        <w:trPr>
          <w:tblCellSpacing w:w="0" w:type="dxa"/>
        </w:trPr>
        <w:tc>
          <w:tcPr>
            <w:tcW w:w="2565" w:type="dxa"/>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Class of Preferred </w:t>
            </w:r>
          </w:p>
          <w:p w:rsidR="00000000" w:rsidRDefault="004E30E9">
            <w:pPr>
              <w:pStyle w:val="a3"/>
              <w:spacing w:before="0" w:beforeAutospacing="0" w:after="0" w:afterAutospacing="0"/>
              <w:jc w:val="center"/>
              <w:rPr>
                <w:sz w:val="20"/>
                <w:szCs w:val="20"/>
              </w:rPr>
            </w:pPr>
            <w:r>
              <w:rPr>
                <w:b/>
                <w:bCs/>
                <w:sz w:val="20"/>
                <w:szCs w:val="20"/>
              </w:rPr>
              <w:t>Stock</w:t>
            </w:r>
          </w:p>
        </w:tc>
        <w:tc>
          <w:tcPr>
            <w:tcW w:w="180" w:type="dxa"/>
            <w:tcBorders>
              <w:bottom w:val="single" w:sz="6" w:space="0" w:color="000000"/>
            </w:tcBorders>
            <w:vAlign w:val="bottom"/>
            <w:hideMark/>
          </w:tcPr>
          <w:p w:rsidR="00000000" w:rsidRDefault="004E30E9">
            <w:pPr>
              <w:jc w:val="center"/>
              <w:rPr>
                <w:rFonts w:eastAsia="Times New Roman"/>
                <w:sz w:val="20"/>
                <w:szCs w:val="20"/>
              </w:rPr>
            </w:pPr>
            <w:r>
              <w:rPr>
                <w:rFonts w:eastAsia="Times New Roman"/>
                <w:sz w:val="20"/>
                <w:szCs w:val="20"/>
              </w:rPr>
              <w:t> </w:t>
            </w:r>
          </w:p>
        </w:tc>
        <w:tc>
          <w:tcPr>
            <w:tcW w:w="2100" w:type="dxa"/>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Redemption </w:t>
            </w:r>
          </w:p>
          <w:p w:rsidR="00000000" w:rsidRDefault="004E30E9">
            <w:pPr>
              <w:pStyle w:val="a3"/>
              <w:spacing w:before="0" w:beforeAutospacing="0" w:after="0" w:afterAutospacing="0"/>
              <w:jc w:val="center"/>
              <w:rPr>
                <w:sz w:val="20"/>
                <w:szCs w:val="20"/>
              </w:rPr>
            </w:pPr>
            <w:r>
              <w:rPr>
                <w:b/>
                <w:bCs/>
                <w:sz w:val="20"/>
                <w:szCs w:val="20"/>
              </w:rPr>
              <w:t>Date</w:t>
            </w:r>
          </w:p>
        </w:tc>
        <w:tc>
          <w:tcPr>
            <w:tcW w:w="150" w:type="dxa"/>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3645" w:type="dxa"/>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Depositary </w:t>
            </w:r>
          </w:p>
          <w:p w:rsidR="00000000" w:rsidRDefault="004E30E9">
            <w:pPr>
              <w:pStyle w:val="a3"/>
              <w:spacing w:before="0" w:beforeAutospacing="0" w:after="0" w:afterAutospacing="0"/>
              <w:jc w:val="center"/>
              <w:rPr>
                <w:sz w:val="20"/>
                <w:szCs w:val="20"/>
              </w:rPr>
            </w:pPr>
            <w:r>
              <w:rPr>
                <w:b/>
                <w:bCs/>
                <w:sz w:val="20"/>
                <w:szCs w:val="20"/>
              </w:rPr>
              <w:t xml:space="preserve">Shares </w:t>
            </w:r>
          </w:p>
          <w:p w:rsidR="00000000" w:rsidRDefault="004E30E9">
            <w:pPr>
              <w:pStyle w:val="a3"/>
              <w:spacing w:before="0" w:beforeAutospacing="0" w:after="0" w:afterAutospacing="0"/>
              <w:jc w:val="center"/>
              <w:rPr>
                <w:sz w:val="20"/>
                <w:szCs w:val="20"/>
              </w:rPr>
            </w:pPr>
            <w:r>
              <w:rPr>
                <w:b/>
                <w:bCs/>
                <w:sz w:val="20"/>
                <w:szCs w:val="20"/>
              </w:rPr>
              <w:t>Redeemed</w:t>
            </w:r>
          </w:p>
        </w:tc>
        <w:tc>
          <w:tcPr>
            <w:tcW w:w="195" w:type="dxa"/>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240" w:type="dxa"/>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3645" w:type="dxa"/>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Redemption </w:t>
            </w:r>
          </w:p>
          <w:p w:rsidR="00000000" w:rsidRDefault="004E30E9">
            <w:pPr>
              <w:pStyle w:val="a3"/>
              <w:spacing w:before="0" w:beforeAutospacing="0" w:after="0" w:afterAutospacing="0"/>
              <w:jc w:val="center"/>
              <w:rPr>
                <w:sz w:val="20"/>
                <w:szCs w:val="20"/>
              </w:rPr>
            </w:pPr>
            <w:r>
              <w:rPr>
                <w:b/>
                <w:bCs/>
                <w:sz w:val="20"/>
                <w:szCs w:val="20"/>
              </w:rPr>
              <w:t xml:space="preserve">Price per </w:t>
            </w:r>
          </w:p>
          <w:p w:rsidR="00000000" w:rsidRDefault="004E30E9">
            <w:pPr>
              <w:pStyle w:val="a3"/>
              <w:spacing w:before="0" w:beforeAutospacing="0" w:after="0" w:afterAutospacing="0"/>
              <w:jc w:val="center"/>
              <w:rPr>
                <w:sz w:val="20"/>
                <w:szCs w:val="20"/>
              </w:rPr>
            </w:pPr>
            <w:r>
              <w:rPr>
                <w:b/>
                <w:bCs/>
                <w:sz w:val="20"/>
                <w:szCs w:val="20"/>
              </w:rPr>
              <w:t xml:space="preserve">Depositary </w:t>
            </w:r>
          </w:p>
          <w:p w:rsidR="00000000" w:rsidRDefault="004E30E9">
            <w:pPr>
              <w:pStyle w:val="a3"/>
              <w:spacing w:before="0" w:beforeAutospacing="0" w:after="0" w:afterAutospacing="0"/>
              <w:jc w:val="center"/>
              <w:rPr>
                <w:sz w:val="20"/>
                <w:szCs w:val="20"/>
              </w:rPr>
            </w:pPr>
            <w:r>
              <w:rPr>
                <w:b/>
                <w:bCs/>
                <w:sz w:val="20"/>
                <w:szCs w:val="20"/>
              </w:rPr>
              <w:t>Share</w:t>
            </w:r>
          </w:p>
        </w:tc>
        <w:tc>
          <w:tcPr>
            <w:tcW w:w="240" w:type="dxa"/>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240" w:type="dxa"/>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3330" w:type="dxa"/>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Redemption </w:t>
            </w:r>
          </w:p>
          <w:p w:rsidR="00000000" w:rsidRDefault="004E30E9">
            <w:pPr>
              <w:pStyle w:val="a3"/>
              <w:spacing w:before="0" w:beforeAutospacing="0" w:after="0" w:afterAutospacing="0"/>
              <w:jc w:val="center"/>
              <w:rPr>
                <w:sz w:val="20"/>
                <w:szCs w:val="20"/>
              </w:rPr>
            </w:pPr>
            <w:r>
              <w:rPr>
                <w:b/>
                <w:bCs/>
                <w:sz w:val="20"/>
                <w:szCs w:val="20"/>
              </w:rPr>
              <w:t>Amount</w:t>
            </w:r>
          </w:p>
          <w:p w:rsidR="00000000" w:rsidRDefault="004E30E9">
            <w:pPr>
              <w:pStyle w:val="a3"/>
              <w:spacing w:before="0" w:beforeAutospacing="0" w:after="0" w:afterAutospacing="0"/>
              <w:jc w:val="center"/>
              <w:rPr>
                <w:sz w:val="20"/>
                <w:szCs w:val="20"/>
              </w:rPr>
            </w:pPr>
            <w:r>
              <w:rPr>
                <w:b/>
                <w:bCs/>
                <w:sz w:val="20"/>
                <w:szCs w:val="20"/>
              </w:rPr>
              <w:t>(in millions)</w:t>
            </w:r>
          </w:p>
        </w:tc>
        <w:tc>
          <w:tcPr>
            <w:tcW w:w="195" w:type="dxa"/>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210" w:type="dxa"/>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3120" w:type="dxa"/>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Redemption </w:t>
            </w:r>
          </w:p>
          <w:p w:rsidR="00000000" w:rsidRDefault="004E30E9">
            <w:pPr>
              <w:pStyle w:val="a3"/>
              <w:spacing w:before="0" w:beforeAutospacing="0" w:after="0" w:afterAutospacing="0"/>
              <w:jc w:val="center"/>
              <w:rPr>
                <w:sz w:val="20"/>
                <w:szCs w:val="20"/>
              </w:rPr>
            </w:pPr>
            <w:r>
              <w:rPr>
                <w:b/>
                <w:bCs/>
                <w:sz w:val="20"/>
                <w:szCs w:val="20"/>
              </w:rPr>
              <w:t xml:space="preserve">Charges </w:t>
            </w:r>
          </w:p>
          <w:p w:rsidR="00000000" w:rsidRDefault="004E30E9">
            <w:pPr>
              <w:pStyle w:val="a3"/>
              <w:spacing w:before="0" w:beforeAutospacing="0" w:after="0" w:afterAutospacing="0"/>
              <w:jc w:val="center"/>
              <w:rPr>
                <w:sz w:val="20"/>
                <w:szCs w:val="20"/>
              </w:rPr>
            </w:pPr>
            <w:r>
              <w:rPr>
                <w:b/>
                <w:bCs/>
                <w:sz w:val="20"/>
                <w:szCs w:val="20"/>
              </w:rPr>
              <w:t>(in millions) (1)</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565" w:type="dxa"/>
            <w:tcBorders>
              <w:bottom w:val="nil"/>
            </w:tcBorders>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Class J</w:t>
            </w:r>
          </w:p>
        </w:tc>
        <w:tc>
          <w:tcPr>
            <w:tcW w:w="180" w:type="dxa"/>
            <w:tcBorders>
              <w:bottom w:val="nil"/>
            </w:tcBorders>
            <w:shd w:val="clear" w:color="auto" w:fill="CCEEFF"/>
            <w:vAlign w:val="bottom"/>
            <w:hideMark/>
          </w:tcPr>
          <w:p w:rsidR="00000000" w:rsidRDefault="004E30E9">
            <w:pPr>
              <w:jc w:val="center"/>
              <w:rPr>
                <w:rFonts w:eastAsia="Times New Roman"/>
                <w:sz w:val="20"/>
                <w:szCs w:val="20"/>
              </w:rPr>
            </w:pPr>
            <w:r>
              <w:rPr>
                <w:rFonts w:eastAsia="Times New Roman"/>
                <w:sz w:val="20"/>
                <w:szCs w:val="20"/>
              </w:rPr>
              <w:t> </w:t>
            </w:r>
          </w:p>
        </w:tc>
        <w:tc>
          <w:tcPr>
            <w:tcW w:w="2100" w:type="dxa"/>
            <w:tcBorders>
              <w:bottom w:val="nil"/>
            </w:tcBorders>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12/31/2019</w:t>
            </w:r>
          </w:p>
        </w:tc>
        <w:tc>
          <w:tcPr>
            <w:tcW w:w="150" w:type="dxa"/>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195" w:type="dxa"/>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420" w:type="dxa"/>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9,000,000</w:t>
            </w:r>
          </w:p>
        </w:tc>
        <w:tc>
          <w:tcPr>
            <w:tcW w:w="195" w:type="dxa"/>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40" w:type="dxa"/>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10" w:type="dxa"/>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405" w:type="dxa"/>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25.00</w:t>
            </w:r>
          </w:p>
        </w:tc>
        <w:tc>
          <w:tcPr>
            <w:tcW w:w="240" w:type="dxa"/>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40" w:type="dxa"/>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25" w:type="dxa"/>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075" w:type="dxa"/>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225.0</w:t>
            </w:r>
          </w:p>
        </w:tc>
        <w:tc>
          <w:tcPr>
            <w:tcW w:w="195" w:type="dxa"/>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10" w:type="dxa"/>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40" w:type="dxa"/>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2865" w:type="dxa"/>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565" w:type="dxa"/>
            <w:shd w:val="clear" w:color="auto" w:fill="FFFFFF"/>
            <w:vAlign w:val="bottom"/>
            <w:hideMark/>
          </w:tcPr>
          <w:p w:rsidR="00000000" w:rsidRDefault="004E30E9">
            <w:pPr>
              <w:pStyle w:val="a3"/>
              <w:spacing w:before="0" w:beforeAutospacing="0" w:after="0" w:afterAutospacing="0"/>
              <w:jc w:val="center"/>
              <w:rPr>
                <w:sz w:val="20"/>
                <w:szCs w:val="20"/>
              </w:rPr>
            </w:pPr>
            <w:r>
              <w:rPr>
                <w:sz w:val="20"/>
                <w:szCs w:val="20"/>
              </w:rPr>
              <w:t>Class I</w:t>
            </w:r>
          </w:p>
        </w:tc>
        <w:tc>
          <w:tcPr>
            <w:tcW w:w="180" w:type="dxa"/>
            <w:shd w:val="clear" w:color="auto" w:fill="FFFFFF"/>
            <w:vAlign w:val="bottom"/>
            <w:hideMark/>
          </w:tcPr>
          <w:p w:rsidR="00000000" w:rsidRDefault="004E30E9">
            <w:pPr>
              <w:jc w:val="center"/>
              <w:rPr>
                <w:rFonts w:eastAsia="Times New Roman"/>
                <w:sz w:val="20"/>
                <w:szCs w:val="20"/>
              </w:rPr>
            </w:pPr>
            <w:r>
              <w:rPr>
                <w:rFonts w:eastAsia="Times New Roman"/>
                <w:sz w:val="20"/>
                <w:szCs w:val="20"/>
              </w:rPr>
              <w:t> </w:t>
            </w:r>
          </w:p>
        </w:tc>
        <w:tc>
          <w:tcPr>
            <w:tcW w:w="2100" w:type="dxa"/>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9/14/2019</w:t>
            </w:r>
          </w:p>
        </w:tc>
        <w:tc>
          <w:tcPr>
            <w:tcW w:w="150" w:type="dxa"/>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195" w:type="dxa"/>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420" w:type="dxa"/>
            <w:shd w:val="clear" w:color="auto" w:fill="FFFFFF"/>
            <w:vAlign w:val="bottom"/>
            <w:hideMark/>
          </w:tcPr>
          <w:p w:rsidR="00000000" w:rsidRDefault="004E30E9">
            <w:pPr>
              <w:jc w:val="right"/>
              <w:rPr>
                <w:rFonts w:eastAsia="Times New Roman"/>
                <w:sz w:val="20"/>
                <w:szCs w:val="20"/>
              </w:rPr>
            </w:pPr>
            <w:r>
              <w:rPr>
                <w:rFonts w:eastAsia="Times New Roman"/>
                <w:sz w:val="20"/>
                <w:szCs w:val="20"/>
              </w:rPr>
              <w:t>7,000,000</w:t>
            </w:r>
          </w:p>
        </w:tc>
        <w:tc>
          <w:tcPr>
            <w:tcW w:w="195" w:type="dxa"/>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240" w:type="dxa"/>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210" w:type="dxa"/>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405" w:type="dxa"/>
            <w:shd w:val="clear" w:color="auto" w:fill="FFFFFF"/>
            <w:vAlign w:val="bottom"/>
            <w:hideMark/>
          </w:tcPr>
          <w:p w:rsidR="00000000" w:rsidRDefault="004E30E9">
            <w:pPr>
              <w:jc w:val="right"/>
              <w:rPr>
                <w:rFonts w:eastAsia="Times New Roman"/>
                <w:sz w:val="20"/>
                <w:szCs w:val="20"/>
              </w:rPr>
            </w:pPr>
            <w:r>
              <w:rPr>
                <w:rFonts w:eastAsia="Times New Roman"/>
                <w:sz w:val="20"/>
                <w:szCs w:val="20"/>
              </w:rPr>
              <w:t>25.00</w:t>
            </w:r>
          </w:p>
        </w:tc>
        <w:tc>
          <w:tcPr>
            <w:tcW w:w="240" w:type="dxa"/>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240" w:type="dxa"/>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225" w:type="dxa"/>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3075" w:type="dxa"/>
            <w:shd w:val="clear" w:color="auto" w:fill="FFFFFF"/>
            <w:vAlign w:val="bottom"/>
            <w:hideMark/>
          </w:tcPr>
          <w:p w:rsidR="00000000" w:rsidRDefault="004E30E9">
            <w:pPr>
              <w:jc w:val="right"/>
              <w:rPr>
                <w:rFonts w:eastAsia="Times New Roman"/>
                <w:sz w:val="20"/>
                <w:szCs w:val="20"/>
              </w:rPr>
            </w:pPr>
            <w:r>
              <w:rPr>
                <w:rFonts w:eastAsia="Times New Roman"/>
                <w:sz w:val="20"/>
                <w:szCs w:val="20"/>
              </w:rPr>
              <w:t>175.0</w:t>
            </w:r>
          </w:p>
        </w:tc>
        <w:tc>
          <w:tcPr>
            <w:tcW w:w="195" w:type="dxa"/>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210" w:type="dxa"/>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240" w:type="dxa"/>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2865" w:type="dxa"/>
            <w:shd w:val="clear" w:color="auto" w:fill="FFFFFF"/>
            <w:vAlign w:val="bottom"/>
            <w:hideMark/>
          </w:tcPr>
          <w:p w:rsidR="00000000" w:rsidRDefault="004E30E9">
            <w:pPr>
              <w:jc w:val="right"/>
              <w:rPr>
                <w:rFonts w:eastAsia="Times New Roman"/>
                <w:sz w:val="20"/>
                <w:szCs w:val="20"/>
              </w:rPr>
            </w:pPr>
            <w:r>
              <w:rPr>
                <w:rFonts w:eastAsia="Times New Roman"/>
                <w:sz w:val="20"/>
                <w:szCs w:val="20"/>
              </w:rPr>
              <w:t>5.5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565" w:type="dxa"/>
            <w:shd w:val="clear" w:color="auto" w:fill="CCEEFF"/>
            <w:vAlign w:val="bottom"/>
            <w:hideMark/>
          </w:tcPr>
          <w:p w:rsidR="00000000" w:rsidRDefault="004E30E9">
            <w:pPr>
              <w:pStyle w:val="a3"/>
              <w:spacing w:before="0" w:beforeAutospacing="0" w:after="0" w:afterAutospacing="0"/>
              <w:jc w:val="center"/>
              <w:rPr>
                <w:sz w:val="20"/>
                <w:szCs w:val="20"/>
              </w:rPr>
            </w:pPr>
            <w:r>
              <w:rPr>
                <w:sz w:val="20"/>
                <w:szCs w:val="20"/>
              </w:rPr>
              <w:t>Class K</w:t>
            </w:r>
          </w:p>
        </w:tc>
        <w:tc>
          <w:tcPr>
            <w:tcW w:w="180" w:type="dxa"/>
            <w:shd w:val="clear" w:color="auto" w:fill="CCEEFF"/>
            <w:vAlign w:val="bottom"/>
            <w:hideMark/>
          </w:tcPr>
          <w:p w:rsidR="00000000" w:rsidRDefault="004E30E9">
            <w:pPr>
              <w:jc w:val="center"/>
              <w:rPr>
                <w:rFonts w:eastAsia="Times New Roman"/>
                <w:sz w:val="20"/>
                <w:szCs w:val="20"/>
              </w:rPr>
            </w:pPr>
            <w:r>
              <w:rPr>
                <w:rFonts w:eastAsia="Times New Roman"/>
                <w:sz w:val="20"/>
                <w:szCs w:val="20"/>
              </w:rPr>
              <w:t> </w:t>
            </w:r>
          </w:p>
        </w:tc>
        <w:tc>
          <w:tcPr>
            <w:tcW w:w="2100" w:type="dxa"/>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9/14/2019</w:t>
            </w:r>
          </w:p>
        </w:tc>
        <w:tc>
          <w:tcPr>
            <w:tcW w:w="150" w:type="dxa"/>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195" w:type="dxa"/>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420" w:type="dxa"/>
            <w:shd w:val="clear" w:color="auto" w:fill="CCEEFF"/>
            <w:vAlign w:val="bottom"/>
            <w:hideMark/>
          </w:tcPr>
          <w:p w:rsidR="00000000" w:rsidRDefault="004E30E9">
            <w:pPr>
              <w:jc w:val="right"/>
              <w:rPr>
                <w:rFonts w:eastAsia="Times New Roman"/>
                <w:sz w:val="20"/>
                <w:szCs w:val="20"/>
              </w:rPr>
            </w:pPr>
            <w:r>
              <w:rPr>
                <w:rFonts w:eastAsia="Times New Roman"/>
                <w:sz w:val="20"/>
                <w:szCs w:val="20"/>
              </w:rPr>
              <w:t>7,000,000</w:t>
            </w:r>
          </w:p>
        </w:tc>
        <w:tc>
          <w:tcPr>
            <w:tcW w:w="195" w:type="dxa"/>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40" w:type="dxa"/>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10" w:type="dxa"/>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405" w:type="dxa"/>
            <w:shd w:val="clear" w:color="auto" w:fill="CCEEFF"/>
            <w:vAlign w:val="bottom"/>
            <w:hideMark/>
          </w:tcPr>
          <w:p w:rsidR="00000000" w:rsidRDefault="004E30E9">
            <w:pPr>
              <w:jc w:val="right"/>
              <w:rPr>
                <w:rFonts w:eastAsia="Times New Roman"/>
                <w:sz w:val="20"/>
                <w:szCs w:val="20"/>
              </w:rPr>
            </w:pPr>
            <w:r>
              <w:rPr>
                <w:rFonts w:eastAsia="Times New Roman"/>
                <w:sz w:val="20"/>
                <w:szCs w:val="20"/>
              </w:rPr>
              <w:t>25.00</w:t>
            </w:r>
          </w:p>
        </w:tc>
        <w:tc>
          <w:tcPr>
            <w:tcW w:w="240" w:type="dxa"/>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40" w:type="dxa"/>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25" w:type="dxa"/>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3075" w:type="dxa"/>
            <w:shd w:val="clear" w:color="auto" w:fill="CCEEFF"/>
            <w:vAlign w:val="bottom"/>
            <w:hideMark/>
          </w:tcPr>
          <w:p w:rsidR="00000000" w:rsidRDefault="004E30E9">
            <w:pPr>
              <w:jc w:val="right"/>
              <w:rPr>
                <w:rFonts w:eastAsia="Times New Roman"/>
                <w:sz w:val="20"/>
                <w:szCs w:val="20"/>
              </w:rPr>
            </w:pPr>
            <w:r>
              <w:rPr>
                <w:rFonts w:eastAsia="Times New Roman"/>
                <w:sz w:val="20"/>
                <w:szCs w:val="20"/>
              </w:rPr>
              <w:t>175.0</w:t>
            </w:r>
          </w:p>
        </w:tc>
        <w:tc>
          <w:tcPr>
            <w:tcW w:w="195" w:type="dxa"/>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10" w:type="dxa"/>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240" w:type="dxa"/>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2865" w:type="dxa"/>
            <w:shd w:val="clear" w:color="auto" w:fill="CCEEFF"/>
            <w:vAlign w:val="bottom"/>
            <w:hideMark/>
          </w:tcPr>
          <w:p w:rsidR="00000000" w:rsidRDefault="004E30E9">
            <w:pPr>
              <w:jc w:val="right"/>
              <w:rPr>
                <w:rFonts w:eastAsia="Times New Roman"/>
                <w:sz w:val="20"/>
                <w:szCs w:val="20"/>
              </w:rPr>
            </w:pPr>
            <w:r>
              <w:rPr>
                <w:rFonts w:eastAsia="Times New Roman"/>
                <w:sz w:val="20"/>
                <w:szCs w:val="20"/>
              </w:rPr>
              <w:t>5.9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Redemption charges res</w:t>
            </w:r>
            <w:r>
              <w:rPr>
                <w:sz w:val="20"/>
                <w:szCs w:val="20"/>
              </w:rPr>
              <w:t>ulting from the difference between the redemption amount and the carrying amount of the respective preferred stock class on the Company’s Consolidated Balance Sheets are accounted for in accordance with the FASB’s guidance on Distinguishing Liabilities fro</w:t>
            </w:r>
            <w:r>
              <w:rPr>
                <w:sz w:val="20"/>
                <w:szCs w:val="20"/>
              </w:rPr>
              <w:t>m Equity. These charges were subtracted from net income attributable to the Company to arrive at net income available to the Company’s common shareholders and used in the calculation of earnings per share.</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w:t>
      </w:r>
      <w:r>
        <w:rPr>
          <w:sz w:val="20"/>
          <w:szCs w:val="20"/>
        </w:rPr>
        <w:t xml:space="preserve">s Preferred Stock Depositary Shares for all classes are </w:t>
      </w:r>
      <w:r>
        <w:rPr>
          <w:rStyle w:val="a6"/>
          <w:sz w:val="20"/>
          <w:szCs w:val="20"/>
        </w:rPr>
        <w:t>not</w:t>
      </w:r>
      <w:r>
        <w:rPr>
          <w:sz w:val="20"/>
          <w:szCs w:val="20"/>
        </w:rPr>
        <w:t xml:space="preserve"> convertible or exchangeable for any other property or securities of the Company. </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Voting Rights - The Class L and M Preferred Stock rank pari passu as to voting rights, priority for receiving di</w:t>
      </w:r>
      <w:r>
        <w:rPr>
          <w:sz w:val="20"/>
          <w:szCs w:val="20"/>
        </w:rPr>
        <w:t>vidends and liquidation preference as set forth below.</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As to any matter on which the Class L or M Preferred Stock </w:t>
      </w:r>
      <w:r>
        <w:rPr>
          <w:rStyle w:val="a6"/>
          <w:sz w:val="20"/>
          <w:szCs w:val="20"/>
        </w:rPr>
        <w:t xml:space="preserve">may </w:t>
      </w:r>
      <w:r>
        <w:rPr>
          <w:sz w:val="20"/>
          <w:szCs w:val="20"/>
        </w:rPr>
        <w:t>vote, including any actions by written consent, each share of the Class L or M Preferred Stock shall be entitled to 1,000 votes, each of</w:t>
      </w:r>
      <w:r>
        <w:rPr>
          <w:sz w:val="20"/>
          <w:szCs w:val="20"/>
        </w:rPr>
        <w:t xml:space="preserve"> which 1,000 votes </w:t>
      </w:r>
      <w:r>
        <w:rPr>
          <w:rStyle w:val="a6"/>
          <w:sz w:val="20"/>
          <w:szCs w:val="20"/>
        </w:rPr>
        <w:t xml:space="preserve">may </w:t>
      </w:r>
      <w:r>
        <w:rPr>
          <w:sz w:val="20"/>
          <w:szCs w:val="20"/>
        </w:rPr>
        <w:t xml:space="preserve">be directed separately by the holder thereof. With respect to each share of Class L or M Preferred Stock, the holder thereof </w:t>
      </w:r>
      <w:r>
        <w:rPr>
          <w:rStyle w:val="a6"/>
          <w:sz w:val="20"/>
          <w:szCs w:val="20"/>
        </w:rPr>
        <w:t xml:space="preserve">may </w:t>
      </w:r>
      <w:r>
        <w:rPr>
          <w:sz w:val="20"/>
          <w:szCs w:val="20"/>
        </w:rPr>
        <w:t xml:space="preserve">designate up to </w:t>
      </w:r>
      <w:r>
        <w:rPr>
          <w:rStyle w:val="a6"/>
          <w:sz w:val="20"/>
          <w:szCs w:val="20"/>
        </w:rPr>
        <w:t>1,000</w:t>
      </w:r>
      <w:r>
        <w:rPr>
          <w:sz w:val="20"/>
          <w:szCs w:val="20"/>
        </w:rPr>
        <w:t xml:space="preserve"> proxies, with each such proxy having the right to vote a whole number of votes (to</w:t>
      </w:r>
      <w:r>
        <w:rPr>
          <w:sz w:val="20"/>
          <w:szCs w:val="20"/>
        </w:rPr>
        <w:t xml:space="preserve">taling </w:t>
      </w:r>
      <w:r>
        <w:rPr>
          <w:rStyle w:val="a6"/>
          <w:sz w:val="20"/>
          <w:szCs w:val="20"/>
        </w:rPr>
        <w:t>1,000</w:t>
      </w:r>
      <w:r>
        <w:rPr>
          <w:sz w:val="20"/>
          <w:szCs w:val="20"/>
        </w:rPr>
        <w:t xml:space="preserve"> votes per share of Class L or M Preferred Stock). As a result, each Class L or M Depositary Share is entitled to one vote.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Liquidation Rights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In the event of any liquidation, dissolution or winding up of the affairs of the Company, preferr</w:t>
      </w:r>
      <w:r>
        <w:rPr>
          <w:sz w:val="20"/>
          <w:szCs w:val="20"/>
        </w:rPr>
        <w:t>ed stock holders are entitled to be paid, out of the assets of the Company legally available for distribution to its stockholders, a liquidation preference of $25,000 per share of Class L Preferred Stock and $25,000 per share of Class M Preferred Stock ($2</w:t>
      </w:r>
      <w:r>
        <w:rPr>
          <w:sz w:val="20"/>
          <w:szCs w:val="20"/>
        </w:rPr>
        <w:t>5.00 per each Class L and Class M Depositary Share), plus an amount equal to any accrued and unpaid dividends to the date of payment, before any distribution of assets is made to holders of the Company’s common stock or any other capital stock that ranks j</w:t>
      </w:r>
      <w:r>
        <w:rPr>
          <w:sz w:val="20"/>
          <w:szCs w:val="20"/>
        </w:rPr>
        <w:t>unior to the preferred stock as to liquidation rights.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82598064"/>
        <w:rPr>
          <w:rFonts w:eastAsia="Times New Roman"/>
          <w:sz w:val="20"/>
          <w:szCs w:val="20"/>
        </w:rPr>
      </w:pPr>
      <w:r>
        <w:rPr>
          <w:rStyle w:val="a6"/>
          <w:rFonts w:eastAsia="Times New Roman"/>
          <w:sz w:val="20"/>
          <w:szCs w:val="20"/>
        </w:rPr>
        <w:t>85</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22" style="width:415.3pt;height:1.5pt" o:hralign="center" o:hrstd="t" o:hrnoshade="t" o:hr="t" fillcolor="black" stroked="f"/>
        </w:pict>
      </w:r>
    </w:p>
    <w:p w:rsidR="00000000" w:rsidRDefault="004E30E9">
      <w:pPr>
        <w:divId w:val="1067803950"/>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Common Stock</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w:t>
      </w:r>
      <w:r>
        <w:rPr>
          <w:rStyle w:val="a6"/>
          <w:sz w:val="20"/>
          <w:szCs w:val="20"/>
        </w:rPr>
        <w:t xml:space="preserve">September 2019, </w:t>
      </w:r>
      <w:r>
        <w:rPr>
          <w:sz w:val="20"/>
          <w:szCs w:val="20"/>
        </w:rPr>
        <w:t xml:space="preserve">the Company established an ATM program, pursuant to which the Company </w:t>
      </w:r>
      <w:r>
        <w:rPr>
          <w:rStyle w:val="a6"/>
          <w:sz w:val="20"/>
          <w:szCs w:val="20"/>
        </w:rPr>
        <w:t xml:space="preserve">may </w:t>
      </w:r>
      <w:r>
        <w:rPr>
          <w:sz w:val="20"/>
          <w:szCs w:val="20"/>
        </w:rPr>
        <w:t>offer and sell from time to time shares of its common stock, par value $0.01 per share, with an aggregate gross sales price of up to $500.0 million through a consortium of banks acti</w:t>
      </w:r>
      <w:r>
        <w:rPr>
          <w:sz w:val="20"/>
          <w:szCs w:val="20"/>
        </w:rPr>
        <w:t xml:space="preserve">ng as sales agents. Sales of the shares of common stock </w:t>
      </w:r>
      <w:r>
        <w:rPr>
          <w:rStyle w:val="a6"/>
          <w:sz w:val="20"/>
          <w:szCs w:val="20"/>
        </w:rPr>
        <w:t xml:space="preserve">may </w:t>
      </w:r>
      <w:r>
        <w:rPr>
          <w:sz w:val="20"/>
          <w:szCs w:val="20"/>
        </w:rPr>
        <w:t xml:space="preserve">be made, as needed, from time to time in “at the market” offerings as defined in Rule </w:t>
      </w:r>
      <w:r>
        <w:rPr>
          <w:rStyle w:val="a6"/>
          <w:sz w:val="20"/>
          <w:szCs w:val="20"/>
        </w:rPr>
        <w:t>415</w:t>
      </w:r>
      <w:r>
        <w:rPr>
          <w:sz w:val="20"/>
          <w:szCs w:val="20"/>
        </w:rPr>
        <w:t xml:space="preserve"> of the Securities Act of </w:t>
      </w:r>
      <w:r>
        <w:rPr>
          <w:rStyle w:val="a6"/>
          <w:sz w:val="20"/>
          <w:szCs w:val="20"/>
        </w:rPr>
        <w:t>1933,</w:t>
      </w:r>
      <w:r>
        <w:rPr>
          <w:sz w:val="20"/>
          <w:szCs w:val="20"/>
        </w:rPr>
        <w:t xml:space="preserve"> including by means of ordinary brokers’ transactions on the New York Stock </w:t>
      </w:r>
      <w:r>
        <w:rPr>
          <w:sz w:val="20"/>
          <w:szCs w:val="20"/>
        </w:rPr>
        <w:t xml:space="preserve">Exchange or otherwise (i) at market prices prevailing at the time of sale, (ii) at prices related to prevailing market prices or (iii) as otherwise agreed to with the applicable sales agent. During the year ended </w:t>
      </w:r>
      <w:r>
        <w:rPr>
          <w:rStyle w:val="a6"/>
          <w:sz w:val="20"/>
          <w:szCs w:val="20"/>
        </w:rPr>
        <w:t xml:space="preserve">December 31, 2019, </w:t>
      </w:r>
      <w:r>
        <w:rPr>
          <w:sz w:val="20"/>
          <w:szCs w:val="20"/>
        </w:rPr>
        <w:t>the Company issued 9,514</w:t>
      </w:r>
      <w:r>
        <w:rPr>
          <w:sz w:val="20"/>
          <w:szCs w:val="20"/>
        </w:rPr>
        <w:t>,544 shares and received proceeds of $200.1 million, net of commissions and fees of $1.8 million. The Company did</w:t>
      </w:r>
      <w:r>
        <w:rPr>
          <w:sz w:val="20"/>
          <w:szCs w:val="20"/>
        </w:rPr>
        <w:t xml:space="preserve"> </w:t>
      </w:r>
      <w:r>
        <w:rPr>
          <w:sz w:val="20"/>
          <w:szCs w:val="20"/>
        </w:rPr>
        <w:t>no</w:t>
      </w:r>
      <w:r>
        <w:rPr>
          <w:sz w:val="20"/>
          <w:szCs w:val="20"/>
        </w:rPr>
        <w:t>t</w:t>
      </w:r>
      <w:r>
        <w:rPr>
          <w:sz w:val="20"/>
          <w:szCs w:val="20"/>
        </w:rPr>
        <w:t xml:space="preserve"> offer for sale any shares of common stock under the ATM Program during the year ended </w:t>
      </w:r>
      <w:r>
        <w:rPr>
          <w:rStyle w:val="a6"/>
          <w:sz w:val="20"/>
          <w:szCs w:val="20"/>
        </w:rPr>
        <w:t xml:space="preserve">December 31, 2020. </w:t>
      </w:r>
      <w:r>
        <w:rPr>
          <w:sz w:val="20"/>
          <w:szCs w:val="20"/>
        </w:rPr>
        <w:t>The Company had $298.1 million av</w:t>
      </w:r>
      <w:r>
        <w:rPr>
          <w:sz w:val="20"/>
          <w:szCs w:val="20"/>
        </w:rPr>
        <w:t xml:space="preserve">ailable under this ATM program as of </w:t>
      </w:r>
      <w:r>
        <w:rPr>
          <w:rStyle w:val="a6"/>
          <w:sz w:val="20"/>
          <w:szCs w:val="20"/>
        </w:rPr>
        <w:t>December 31, 2020.</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w:t>
      </w:r>
      <w:r>
        <w:rPr>
          <w:rStyle w:val="a6"/>
          <w:sz w:val="20"/>
          <w:szCs w:val="20"/>
        </w:rPr>
        <w:t xml:space="preserve">February 2020, </w:t>
      </w:r>
      <w:r>
        <w:rPr>
          <w:sz w:val="20"/>
          <w:szCs w:val="20"/>
        </w:rPr>
        <w:t xml:space="preserve">the Company extended its share repurchase program for a term of </w:t>
      </w:r>
      <w:r>
        <w:rPr>
          <w:rStyle w:val="a6"/>
          <w:sz w:val="20"/>
          <w:szCs w:val="20"/>
        </w:rPr>
        <w:t>two</w:t>
      </w:r>
      <w:r>
        <w:rPr>
          <w:sz w:val="20"/>
          <w:szCs w:val="20"/>
        </w:rPr>
        <w:t xml:space="preserve"> years, which will expire in </w:t>
      </w:r>
      <w:r>
        <w:rPr>
          <w:rStyle w:val="a6"/>
          <w:sz w:val="20"/>
          <w:szCs w:val="20"/>
        </w:rPr>
        <w:t xml:space="preserve">February 2022. </w:t>
      </w:r>
      <w:r>
        <w:rPr>
          <w:sz w:val="20"/>
          <w:szCs w:val="20"/>
        </w:rPr>
        <w:t xml:space="preserve">Under this program, the Company </w:t>
      </w:r>
      <w:r>
        <w:rPr>
          <w:rStyle w:val="a6"/>
          <w:sz w:val="20"/>
          <w:szCs w:val="20"/>
        </w:rPr>
        <w:t xml:space="preserve">may </w:t>
      </w:r>
      <w:r>
        <w:rPr>
          <w:sz w:val="20"/>
          <w:szCs w:val="20"/>
        </w:rPr>
        <w:t>repurchase shares of its common stock, par value $0.01 per share, with an aggregate gross purchase price of up to $300.0 million. The Company did</w:t>
      </w:r>
      <w:r>
        <w:rPr>
          <w:sz w:val="20"/>
          <w:szCs w:val="20"/>
        </w:rPr>
        <w:t xml:space="preserve"> </w:t>
      </w:r>
      <w:r>
        <w:rPr>
          <w:sz w:val="20"/>
          <w:szCs w:val="20"/>
        </w:rPr>
        <w:t>no</w:t>
      </w:r>
      <w:r>
        <w:rPr>
          <w:sz w:val="20"/>
          <w:szCs w:val="20"/>
        </w:rPr>
        <w:t>t</w:t>
      </w:r>
      <w:r>
        <w:rPr>
          <w:sz w:val="20"/>
          <w:szCs w:val="20"/>
        </w:rPr>
        <w:t xml:space="preserve"> repurchase any shares under the share repurchase program during the years ended </w:t>
      </w:r>
      <w:r>
        <w:rPr>
          <w:rStyle w:val="a6"/>
          <w:sz w:val="20"/>
          <w:szCs w:val="20"/>
        </w:rPr>
        <w:t xml:space="preserve">December 31, 2020 </w:t>
      </w:r>
      <w:r>
        <w:rPr>
          <w:sz w:val="20"/>
          <w:szCs w:val="20"/>
        </w:rPr>
        <w:t xml:space="preserve">and </w:t>
      </w:r>
      <w:r>
        <w:rPr>
          <w:rStyle w:val="a6"/>
          <w:sz w:val="20"/>
          <w:szCs w:val="20"/>
        </w:rPr>
        <w:t>2019</w:t>
      </w:r>
      <w:r>
        <w:rPr>
          <w:rStyle w:val="a6"/>
          <w:sz w:val="20"/>
          <w:szCs w:val="20"/>
        </w:rPr>
        <w:t>.</w:t>
      </w:r>
      <w:r>
        <w:rPr>
          <w:sz w:val="20"/>
          <w:szCs w:val="20"/>
        </w:rPr>
        <w:t xml:space="preserve"> As of </w:t>
      </w:r>
      <w:r>
        <w:rPr>
          <w:rStyle w:val="a6"/>
          <w:sz w:val="20"/>
          <w:szCs w:val="20"/>
        </w:rPr>
        <w:t xml:space="preserve">December 31, 2020, </w:t>
      </w:r>
      <w:r>
        <w:rPr>
          <w:sz w:val="20"/>
          <w:szCs w:val="20"/>
        </w:rPr>
        <w:t>the Company had $224.9 million available under this share repurchase program.</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from time to time, repurchases shares of its common stock in amounts that offset new issuances of common stock relating to the exercise </w:t>
      </w:r>
      <w:r>
        <w:rPr>
          <w:sz w:val="20"/>
          <w:szCs w:val="20"/>
        </w:rPr>
        <w:t xml:space="preserve">of stock options or the issuance of restricted stock awards. These repurchases </w:t>
      </w:r>
      <w:r>
        <w:rPr>
          <w:rStyle w:val="a6"/>
          <w:sz w:val="20"/>
          <w:szCs w:val="20"/>
        </w:rPr>
        <w:t xml:space="preserve">may </w:t>
      </w:r>
      <w:r>
        <w:rPr>
          <w:sz w:val="20"/>
          <w:szCs w:val="20"/>
        </w:rPr>
        <w:t>occur in open market purchases, privately negotiated transactions or otherwise subject to prevailing market conditions, the Company’s liquidity requirements, contractual res</w:t>
      </w:r>
      <w:r>
        <w:rPr>
          <w:sz w:val="20"/>
          <w:szCs w:val="20"/>
        </w:rPr>
        <w:t xml:space="preserve">trictions and other factors. During </w:t>
      </w:r>
      <w:r>
        <w:rPr>
          <w:rStyle w:val="a6"/>
          <w:sz w:val="20"/>
          <w:szCs w:val="20"/>
        </w:rPr>
        <w:t>2020,</w:t>
      </w:r>
      <w:r>
        <w:rPr>
          <w:sz w:val="20"/>
          <w:szCs w:val="20"/>
        </w:rPr>
        <w:t xml:space="preserve"> </w:t>
      </w:r>
      <w:r>
        <w:rPr>
          <w:rStyle w:val="a6"/>
          <w:sz w:val="20"/>
          <w:szCs w:val="20"/>
        </w:rPr>
        <w:t>2019</w:t>
      </w:r>
      <w:r>
        <w:rPr>
          <w:sz w:val="20"/>
          <w:szCs w:val="20"/>
        </w:rPr>
        <w:t xml:space="preserve"> and </w:t>
      </w:r>
      <w:r>
        <w:rPr>
          <w:rStyle w:val="a6"/>
          <w:sz w:val="20"/>
          <w:szCs w:val="20"/>
        </w:rPr>
        <w:t>2018,</w:t>
      </w:r>
      <w:r>
        <w:rPr>
          <w:sz w:val="20"/>
          <w:szCs w:val="20"/>
        </w:rPr>
        <w:t xml:space="preserve"> the Company repurchased 294,346 shares, 223,609 shares and 278,566 shares, respectively, relating to shares of common stock surrendered to the Company to satisfy statutory minimum tax withholding obl</w:t>
      </w:r>
      <w:r>
        <w:rPr>
          <w:sz w:val="20"/>
          <w:szCs w:val="20"/>
        </w:rPr>
        <w:t>igations relating to the vesting of restricted stock awards under the Company’s equity-based compensation plans.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Convertible Units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has various types of convertible units that were issued in connection with the purchase of operating properti</w:t>
      </w:r>
      <w:r>
        <w:rPr>
          <w:sz w:val="20"/>
          <w:szCs w:val="20"/>
        </w:rPr>
        <w:t xml:space="preserve">es (see Footnote </w:t>
      </w:r>
      <w:r>
        <w:rPr>
          <w:rStyle w:val="a6"/>
          <w:sz w:val="20"/>
          <w:szCs w:val="20"/>
        </w:rPr>
        <w:t>15</w:t>
      </w:r>
      <w:r>
        <w:rPr>
          <w:sz w:val="20"/>
          <w:szCs w:val="20"/>
        </w:rPr>
        <w:t xml:space="preserve"> of the Notes to Consolidated Financial Statements). The amount of consideration that would be paid to unaffiliated holders of units issued from the Company’s consolidated subsidiaries which are </w:t>
      </w:r>
      <w:r>
        <w:rPr>
          <w:rStyle w:val="a6"/>
          <w:sz w:val="20"/>
          <w:szCs w:val="20"/>
        </w:rPr>
        <w:t>not</w:t>
      </w:r>
      <w:r>
        <w:rPr>
          <w:sz w:val="20"/>
          <w:szCs w:val="20"/>
        </w:rPr>
        <w:t xml:space="preserve"> mandatorily redeemable, as if the term</w:t>
      </w:r>
      <w:r>
        <w:rPr>
          <w:sz w:val="20"/>
          <w:szCs w:val="20"/>
        </w:rPr>
        <w:t xml:space="preserve">ination of these consolidated subsidiaries occurred on </w:t>
      </w:r>
      <w:r>
        <w:rPr>
          <w:rStyle w:val="a6"/>
          <w:sz w:val="20"/>
          <w:szCs w:val="20"/>
        </w:rPr>
        <w:t xml:space="preserve">December 31, 2020, </w:t>
      </w:r>
      <w:r>
        <w:rPr>
          <w:sz w:val="20"/>
          <w:szCs w:val="20"/>
        </w:rPr>
        <w:t xml:space="preserve">is $10.9 million. The Company has the option to settle such redemption in cash or shares of the Company’s common stock. If the Company exercised its right to settle in common stock, </w:t>
      </w:r>
      <w:r>
        <w:rPr>
          <w:sz w:val="20"/>
          <w:szCs w:val="20"/>
        </w:rPr>
        <w:t>the unit holders would receive 0.7 million shares of common stock.</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firstLine="360"/>
        <w:jc w:val="both"/>
        <w:rPr>
          <w:sz w:val="20"/>
          <w:szCs w:val="20"/>
        </w:rPr>
      </w:pPr>
      <w:r>
        <w:rPr>
          <w:i/>
          <w:iCs/>
          <w:sz w:val="20"/>
          <w:szCs w:val="20"/>
        </w:rPr>
        <w:t>Dividends Declared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following table provides a summary of the dividends declared per share:</w:t>
      </w:r>
    </w:p>
    <w:p w:rsidR="00000000" w:rsidRDefault="004E30E9">
      <w:pPr>
        <w:pStyle w:val="a3"/>
        <w:spacing w:before="0" w:beforeAutospacing="0" w:after="0" w:afterAutospacing="0"/>
        <w:ind w:left="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Year Ended December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Common Stock</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0.54000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1.12000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1.12000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Class I Depositary Shares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0.99583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1.50000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Class J Depositary Shares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1.37500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1.37500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Class K Depositary Shares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0.93359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1.40625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Class L Depositary Shares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Class M Depositary Shares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2092002096"/>
        <w:rPr>
          <w:rFonts w:eastAsia="Times New Roman"/>
          <w:sz w:val="20"/>
          <w:szCs w:val="20"/>
        </w:rPr>
      </w:pPr>
      <w:r>
        <w:rPr>
          <w:rFonts w:eastAsia="Times New Roman"/>
          <w:sz w:val="20"/>
          <w:szCs w:val="20"/>
        </w:rPr>
        <w:t xml:space="preserve">86 </w:t>
      </w:r>
    </w:p>
    <w:p w:rsidR="00000000" w:rsidRDefault="004E30E9">
      <w:pPr>
        <w:divId w:val="1546063499"/>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4E30E9">
      <w:pPr>
        <w:divId w:val="123878641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divId w:val="2005275497"/>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ind w:left="990" w:hanging="990"/>
        <w:rPr>
          <w:sz w:val="20"/>
          <w:szCs w:val="20"/>
        </w:rPr>
      </w:pPr>
      <w:r>
        <w:rPr>
          <w:rStyle w:val="a6"/>
          <w:sz w:val="20"/>
          <w:szCs w:val="20"/>
        </w:rPr>
        <w:t>18.</w:t>
      </w:r>
      <w:r>
        <w:rPr>
          <w:sz w:val="20"/>
          <w:szCs w:val="20"/>
        </w:rPr>
        <w:t>  </w:t>
      </w:r>
      <w:r>
        <w:rPr>
          <w:sz w:val="20"/>
          <w:szCs w:val="20"/>
          <w:u w:val="single"/>
        </w:rPr>
        <w:t>Supplemental Schedule of Non-Cash Investing/Financing Activities</w:t>
      </w:r>
      <w:r>
        <w:rPr>
          <w:sz w:val="20"/>
          <w:szCs w:val="20"/>
        </w:rPr>
        <w: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following schedule summarizes the non-cash investing and financing activities of the Company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(in thousands):</w:t>
      </w:r>
    </w:p>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096"/>
        <w:gridCol w:w="72"/>
        <w:gridCol w:w="100"/>
        <w:gridCol w:w="1019"/>
        <w:gridCol w:w="72"/>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Acquisition of real estate interests through proceeds held in escrow</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36,076</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Proceeds deposited in escrow through sale of real estate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5,106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41,949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Disposition of real estate interests through the issuance of mortgage receivable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3,750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14,700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Disposition of real estate interests by a deed in lieu/foreclosure of debt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3,892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7,444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Forgiveness of debt due to a deed in lieu/foreclosure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6,905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12,415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Capital expenditures accrual</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37,411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65,900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60,611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Surrender of restricted common stock</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5,395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4,030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4,360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126,274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130,262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(Decrease)/increase in redeemable noncontrolling interests’ carrying amount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(2,160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7,521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Consolidation of Joint Ventures: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Increase in real estate and other assets,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7,884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Increase in mortgages payable, other liabilities and noncontrolling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7,747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Deconsolidation of Joint Ventures: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Decrease in real estate and other assets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300,299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Increase in investments in and advances to real estate joint ventures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62,429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Decrease in mortgages and construction loan payable, other liabilities and noncontrolling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248,274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divId w:val="2113277654"/>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ind w:left="990" w:hanging="990"/>
        <w:rPr>
          <w:sz w:val="20"/>
          <w:szCs w:val="20"/>
        </w:rPr>
      </w:pPr>
      <w:r>
        <w:rPr>
          <w:rStyle w:val="a6"/>
          <w:sz w:val="20"/>
          <w:szCs w:val="20"/>
        </w:rPr>
        <w:t>19.</w:t>
      </w:r>
      <w:r>
        <w:rPr>
          <w:sz w:val="20"/>
          <w:szCs w:val="20"/>
        </w:rPr>
        <w:t>  </w:t>
      </w:r>
      <w:r>
        <w:rPr>
          <w:sz w:val="20"/>
          <w:szCs w:val="20"/>
          <w:u w:val="single"/>
        </w:rPr>
        <w:t>Transactions with Related Parties</w:t>
      </w:r>
      <w:r>
        <w:rPr>
          <w:sz w:val="20"/>
          <w:szCs w:val="20"/>
        </w:rPr>
        <w: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provides management services for shopping centers owned principally by affiliated entities and various real estate joint ventures in which certain stockholders of the Company have economic interests. Such services are performed pursuant to mana</w:t>
      </w:r>
      <w:r>
        <w:rPr>
          <w:sz w:val="20"/>
          <w:szCs w:val="20"/>
        </w:rPr>
        <w:t>gement agreements which provide for fees based upon a percentage of gross revenues from the properties and other direct costs incurred in connection with management of the centers. Substantially all of the Management and other fee income on the Company’s C</w:t>
      </w:r>
      <w:r>
        <w:rPr>
          <w:sz w:val="20"/>
          <w:szCs w:val="20"/>
        </w:rPr>
        <w:t xml:space="preserve">onsolidated Statements of Income constitute fees earned from affiliated entities. Reference is made to Footnotes </w:t>
      </w:r>
      <w:r>
        <w:rPr>
          <w:rStyle w:val="a6"/>
          <w:sz w:val="20"/>
          <w:szCs w:val="20"/>
        </w:rPr>
        <w:t>3</w:t>
      </w:r>
      <w:r>
        <w:rPr>
          <w:sz w:val="20"/>
          <w:szCs w:val="20"/>
        </w:rPr>
        <w:t xml:space="preserve"> and </w:t>
      </w:r>
      <w:r>
        <w:rPr>
          <w:rStyle w:val="a6"/>
          <w:sz w:val="20"/>
          <w:szCs w:val="20"/>
        </w:rPr>
        <w:t>7</w:t>
      </w:r>
      <w:r>
        <w:rPr>
          <w:sz w:val="20"/>
          <w:szCs w:val="20"/>
        </w:rPr>
        <w:t xml:space="preserve"> of the Notes to Consolidated Financial Statements for additional information regarding transactions with related parties.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Ripco</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Rip</w:t>
      </w:r>
      <w:r>
        <w:rPr>
          <w:sz w:val="20"/>
          <w:szCs w:val="20"/>
        </w:rPr>
        <w:t>co Real Estate Corp. (“Ripco”) business activities include serving as a leasing agent and representative for national and regional retailers including Target, Best Buy, Kohl’s and many others, providing real estate brokerage services and principal real est</w:t>
      </w:r>
      <w:r>
        <w:rPr>
          <w:sz w:val="20"/>
          <w:szCs w:val="20"/>
        </w:rPr>
        <w:t xml:space="preserve">ate investing. Todd Cooper, an officer and 50% shareholder of Ripco, is a son of Milton Cooper, Executive Chairman of the Board of Directors of the Company. During </w:t>
      </w:r>
      <w:r>
        <w:rPr>
          <w:rStyle w:val="a6"/>
          <w:sz w:val="20"/>
          <w:szCs w:val="20"/>
        </w:rPr>
        <w:t>2020,</w:t>
      </w:r>
      <w:r>
        <w:rPr>
          <w:sz w:val="20"/>
          <w:szCs w:val="20"/>
        </w:rPr>
        <w:t xml:space="preserve"> </w:t>
      </w:r>
      <w:r>
        <w:rPr>
          <w:rStyle w:val="a6"/>
          <w:sz w:val="20"/>
          <w:szCs w:val="20"/>
        </w:rPr>
        <w:t>2019</w:t>
      </w:r>
      <w:r>
        <w:rPr>
          <w:sz w:val="20"/>
          <w:szCs w:val="20"/>
        </w:rPr>
        <w:t xml:space="preserve"> and </w:t>
      </w:r>
      <w:r>
        <w:rPr>
          <w:rStyle w:val="a6"/>
          <w:sz w:val="20"/>
          <w:szCs w:val="20"/>
        </w:rPr>
        <w:t>2018,</w:t>
      </w:r>
      <w:r>
        <w:rPr>
          <w:sz w:val="20"/>
          <w:szCs w:val="20"/>
        </w:rPr>
        <w:t xml:space="preserve"> the Company paid brokerage commissions of $0.5 million, $0.4 million an</w:t>
      </w:r>
      <w:r>
        <w:rPr>
          <w:sz w:val="20"/>
          <w:szCs w:val="20"/>
        </w:rPr>
        <w:t>d $0.2 million, respectively, to Ripco for services rendered primarily as leasing agent for various national tenants in shopping center properties owned by the Company.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divId w:val="609969092"/>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ind w:left="990" w:hanging="990"/>
        <w:rPr>
          <w:sz w:val="20"/>
          <w:szCs w:val="20"/>
        </w:rPr>
      </w:pPr>
      <w:r>
        <w:rPr>
          <w:rStyle w:val="a6"/>
          <w:sz w:val="20"/>
          <w:szCs w:val="20"/>
        </w:rPr>
        <w:t>20.</w:t>
      </w:r>
      <w:r>
        <w:rPr>
          <w:sz w:val="20"/>
          <w:szCs w:val="20"/>
        </w:rPr>
        <w:t>  </w:t>
      </w:r>
      <w:r>
        <w:rPr>
          <w:sz w:val="20"/>
          <w:szCs w:val="20"/>
          <w:u w:val="single"/>
        </w:rPr>
        <w:t>Commitments and Contingencies</w:t>
      </w:r>
      <w:r>
        <w:rPr>
          <w:sz w:val="20"/>
          <w:szCs w:val="20"/>
        </w:rPr>
        <w:t>:</w:t>
      </w:r>
    </w:p>
    <w:p w:rsidR="00000000" w:rsidRDefault="004E30E9">
      <w:pPr>
        <w:pStyle w:val="a3"/>
        <w:spacing w:before="0" w:beforeAutospacing="0" w:after="0" w:afterAutospacing="0"/>
        <w:rPr>
          <w:sz w:val="20"/>
          <w:szCs w:val="20"/>
        </w:rPr>
      </w:pPr>
      <w:r>
        <w:rPr>
          <w:i/>
          <w:iCs/>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Letters of Credit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has issued letters of credit in connection with the completion and repayment guarantees primarily on certain of the Company’s redevelopment projects and guaranty of payment related to the Company’s insurance program. At </w:t>
      </w:r>
      <w:r>
        <w:rPr>
          <w:rStyle w:val="a6"/>
          <w:sz w:val="20"/>
          <w:szCs w:val="20"/>
        </w:rPr>
        <w:t xml:space="preserve">December 31, 2020, </w:t>
      </w:r>
      <w:r>
        <w:rPr>
          <w:sz w:val="20"/>
          <w:szCs w:val="20"/>
        </w:rPr>
        <w:t>these</w:t>
      </w:r>
      <w:r>
        <w:rPr>
          <w:sz w:val="20"/>
          <w:szCs w:val="20"/>
        </w:rPr>
        <w:t xml:space="preserve"> letters of credit aggregated $36.2 million.</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Other</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In connection with the construction of its development and redevelopment projects and related infrastructure, certain public agencies require posting of performance and surety bonds to guarantee that t</w:t>
      </w:r>
      <w:r>
        <w:rPr>
          <w:sz w:val="20"/>
          <w:szCs w:val="20"/>
        </w:rPr>
        <w:t xml:space="preserve">he Company’s obligations are satisfied. These bonds expire upon the completion of the improvements and infrastructure. As of </w:t>
      </w:r>
      <w:r>
        <w:rPr>
          <w:rStyle w:val="a6"/>
          <w:sz w:val="20"/>
          <w:szCs w:val="20"/>
        </w:rPr>
        <w:t xml:space="preserve">December 31, 2020, </w:t>
      </w:r>
      <w:r>
        <w:rPr>
          <w:sz w:val="20"/>
          <w:szCs w:val="20"/>
        </w:rPr>
        <w:t>there were $16.3 million in performance and surety bonds outstanding.</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is subject to various other </w:t>
      </w:r>
      <w:r>
        <w:rPr>
          <w:sz w:val="20"/>
          <w:szCs w:val="20"/>
        </w:rPr>
        <w:t xml:space="preserve">legal proceedings and claims that arise in the ordinary course of business. Management believes that the final outcome of such matters will </w:t>
      </w:r>
      <w:r>
        <w:rPr>
          <w:rStyle w:val="a6"/>
          <w:sz w:val="20"/>
          <w:szCs w:val="20"/>
        </w:rPr>
        <w:t>not</w:t>
      </w:r>
      <w:r>
        <w:rPr>
          <w:sz w:val="20"/>
          <w:szCs w:val="20"/>
        </w:rPr>
        <w:t xml:space="preserve"> have a material adverse effect on the financial position, results of operations or liquidity of the Company as o</w:t>
      </w:r>
      <w:r>
        <w:rPr>
          <w:sz w:val="20"/>
          <w:szCs w:val="20"/>
        </w:rPr>
        <w:t xml:space="preserve">f </w:t>
      </w:r>
      <w:r>
        <w:rPr>
          <w:rStyle w:val="a6"/>
          <w:sz w:val="20"/>
          <w:szCs w:val="20"/>
        </w:rPr>
        <w:t>December 31, 2020.</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divId w:val="2076319817"/>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ind w:left="990" w:hanging="990"/>
        <w:rPr>
          <w:sz w:val="20"/>
          <w:szCs w:val="20"/>
        </w:rPr>
      </w:pPr>
      <w:r>
        <w:rPr>
          <w:rStyle w:val="a6"/>
          <w:sz w:val="20"/>
          <w:szCs w:val="20"/>
        </w:rPr>
        <w:t>21.</w:t>
      </w:r>
      <w:r>
        <w:rPr>
          <w:sz w:val="20"/>
          <w:szCs w:val="20"/>
        </w:rPr>
        <w:t>  </w:t>
      </w:r>
      <w:r>
        <w:rPr>
          <w:sz w:val="20"/>
          <w:szCs w:val="20"/>
          <w:u w:val="single"/>
        </w:rPr>
        <w:t>Incentive Plans</w:t>
      </w:r>
      <w:r>
        <w:rPr>
          <w:sz w:val="20"/>
          <w:szCs w:val="20"/>
        </w:rPr>
        <w: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May 2020, </w:t>
      </w:r>
      <w:r>
        <w:rPr>
          <w:sz w:val="20"/>
          <w:szCs w:val="20"/>
        </w:rPr>
        <w:t xml:space="preserve">the Company’s stockholders approved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Plan”</w:t>
      </w:r>
      <w:r>
        <w:rPr>
          <w:sz w:val="20"/>
          <w:szCs w:val="20"/>
        </w:rPr>
        <w:t xml:space="preserve">), which is a successor to the Restated Kimco Realty Corporation </w:t>
      </w:r>
      <w:r>
        <w:rPr>
          <w:rStyle w:val="a6"/>
          <w:sz w:val="20"/>
          <w:szCs w:val="20"/>
        </w:rPr>
        <w:t>2010</w:t>
      </w:r>
      <w:r>
        <w:rPr>
          <w:sz w:val="20"/>
          <w:szCs w:val="20"/>
        </w:rPr>
        <w:t xml:space="preserve"> Equity Participation Plan (the </w:t>
      </w:r>
      <w:r>
        <w:rPr>
          <w:rStyle w:val="a6"/>
          <w:sz w:val="20"/>
          <w:szCs w:val="20"/>
        </w:rPr>
        <w:t>"2010</w:t>
      </w:r>
      <w:r>
        <w:rPr>
          <w:sz w:val="20"/>
          <w:szCs w:val="20"/>
        </w:rPr>
        <w:t xml:space="preserve"> Plan" and together with the </w:t>
      </w:r>
      <w:r>
        <w:rPr>
          <w:rStyle w:val="a6"/>
          <w:sz w:val="20"/>
          <w:szCs w:val="20"/>
        </w:rPr>
        <w:t>2020</w:t>
      </w:r>
      <w:r>
        <w:rPr>
          <w:sz w:val="20"/>
          <w:szCs w:val="20"/>
        </w:rPr>
        <w:t xml:space="preserve"> Plan, the "Plan") that expired in </w:t>
      </w:r>
      <w:r>
        <w:rPr>
          <w:rStyle w:val="a6"/>
          <w:sz w:val="20"/>
          <w:szCs w:val="20"/>
        </w:rPr>
        <w:t>March 2020.  </w:t>
      </w:r>
      <w:r>
        <w:rPr>
          <w:sz w:val="20"/>
          <w:szCs w:val="20"/>
        </w:rPr>
        <w:t xml:space="preserve">The </w:t>
      </w:r>
      <w:r>
        <w:rPr>
          <w:rStyle w:val="a6"/>
          <w:sz w:val="20"/>
          <w:szCs w:val="20"/>
        </w:rPr>
        <w:t>2020</w:t>
      </w:r>
      <w:r>
        <w:rPr>
          <w:sz w:val="20"/>
          <w:szCs w:val="20"/>
        </w:rPr>
        <w:t xml:space="preserve"> Plan provides for a maximum of 10,000,000 shares of the Comp</w:t>
      </w:r>
      <w:r>
        <w:rPr>
          <w:sz w:val="20"/>
          <w:szCs w:val="20"/>
        </w:rPr>
        <w:t xml:space="preserve">any’s common stock to be reserved for the issuance of stock options, stock appreciation rights, restricted stock, restricted stock units, performance awards, dividend equivalents, stock payments and deferred stock awards.  At </w:t>
      </w:r>
      <w:r>
        <w:rPr>
          <w:rStyle w:val="a6"/>
          <w:sz w:val="20"/>
          <w:szCs w:val="20"/>
        </w:rPr>
        <w:t xml:space="preserve">December 31, 2020, </w:t>
      </w:r>
      <w:r>
        <w:rPr>
          <w:sz w:val="20"/>
          <w:szCs w:val="20"/>
        </w:rPr>
        <w:t>the Company</w:t>
      </w:r>
      <w:r>
        <w:rPr>
          <w:sz w:val="20"/>
          <w:szCs w:val="20"/>
        </w:rPr>
        <w:t xml:space="preserve"> had 9.98 million shares of common stock available for issuance under the </w:t>
      </w:r>
      <w:r>
        <w:rPr>
          <w:rStyle w:val="a6"/>
          <w:sz w:val="20"/>
          <w:szCs w:val="20"/>
        </w:rPr>
        <w:t>2020</w:t>
      </w:r>
      <w:r>
        <w:rPr>
          <w:sz w:val="20"/>
          <w:szCs w:val="20"/>
        </w:rPr>
        <w:t xml:space="preserve"> Plan.</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481896498"/>
        <w:rPr>
          <w:rFonts w:eastAsia="Times New Roman"/>
          <w:sz w:val="20"/>
          <w:szCs w:val="20"/>
        </w:rPr>
      </w:pPr>
      <w:r>
        <w:rPr>
          <w:rStyle w:val="a6"/>
          <w:rFonts w:eastAsia="Times New Roman"/>
          <w:sz w:val="20"/>
          <w:szCs w:val="20"/>
        </w:rPr>
        <w:t>87</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24" style="width:415.3pt;height:1.5pt" o:hralign="center" o:hrstd="t" o:hrnoshade="t" o:hr="t" fillcolor="black" stroked="f"/>
        </w:pict>
      </w:r>
    </w:p>
    <w:p w:rsidR="00000000" w:rsidRDefault="004E30E9">
      <w:pPr>
        <w:divId w:val="122356495"/>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accounts for equity awards in accordance with FASB’s Compensation – Stock Compensation guidance which requires that all share-based payments to employees, including grants of employee stoc</w:t>
      </w:r>
      <w:r>
        <w:rPr>
          <w:sz w:val="20"/>
          <w:szCs w:val="20"/>
        </w:rPr>
        <w:t>k options, restricted stock and performance shares, be recognized in the Consolidated Statements of Income over the service period based on their fair values. Fair value of performance awards is determined using the Monte Carlo method, which is intended to</w:t>
      </w:r>
      <w:r>
        <w:rPr>
          <w:sz w:val="20"/>
          <w:szCs w:val="20"/>
        </w:rPr>
        <w:t xml:space="preserve"> estimate the fair value of the awards at the grant date. Fair value of restricted shares is based on the price on the date of grant.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recognized expense associated with its equity awards of $23.7 million, $20.2 million and $18.2 million, for </w:t>
      </w:r>
      <w:r>
        <w:rPr>
          <w:sz w:val="20"/>
          <w:szCs w:val="20"/>
        </w:rPr>
        <w:t xml:space="preserve">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respectively.  As of </w:t>
      </w:r>
      <w:r>
        <w:rPr>
          <w:rStyle w:val="a6"/>
          <w:sz w:val="20"/>
          <w:szCs w:val="20"/>
        </w:rPr>
        <w:t xml:space="preserve">December 31, 2020, </w:t>
      </w:r>
      <w:r>
        <w:rPr>
          <w:sz w:val="20"/>
          <w:szCs w:val="20"/>
        </w:rPr>
        <w:t>the Company had $34.4 million of total unrecognized compensation cost related to unvested stock compensation granted under the Plan.  That cost is expected to be reco</w:t>
      </w:r>
      <w:r>
        <w:rPr>
          <w:sz w:val="20"/>
          <w:szCs w:val="20"/>
        </w:rPr>
        <w:t>gnized over a weighted-average period of 2.9 years.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Stock Options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w:t>
      </w:r>
      <w:r>
        <w:rPr>
          <w:rStyle w:val="a6"/>
          <w:sz w:val="20"/>
          <w:szCs w:val="20"/>
        </w:rPr>
        <w:t>2020,</w:t>
      </w:r>
      <w:r>
        <w:rPr>
          <w:sz w:val="20"/>
          <w:szCs w:val="20"/>
        </w:rPr>
        <w:t xml:space="preserve"> </w:t>
      </w:r>
      <w:r>
        <w:rPr>
          <w:rStyle w:val="a6"/>
          <w:sz w:val="20"/>
          <w:szCs w:val="20"/>
        </w:rPr>
        <w:t>2019</w:t>
      </w:r>
      <w:r>
        <w:rPr>
          <w:sz w:val="20"/>
          <w:szCs w:val="20"/>
        </w:rPr>
        <w:t xml:space="preserve"> and </w:t>
      </w:r>
      <w:r>
        <w:rPr>
          <w:rStyle w:val="a6"/>
          <w:sz w:val="20"/>
          <w:szCs w:val="20"/>
        </w:rPr>
        <w:t>2018,</w:t>
      </w:r>
      <w:r>
        <w:rPr>
          <w:sz w:val="20"/>
          <w:szCs w:val="20"/>
        </w:rPr>
        <w:t xml:space="preserve"> the Company did</w:t>
      </w:r>
      <w:r>
        <w:rPr>
          <w:sz w:val="20"/>
          <w:szCs w:val="20"/>
        </w:rPr>
        <w:t xml:space="preserve"> </w:t>
      </w:r>
      <w:r>
        <w:rPr>
          <w:sz w:val="20"/>
          <w:szCs w:val="20"/>
        </w:rPr>
        <w:t>no</w:t>
      </w:r>
      <w:r>
        <w:rPr>
          <w:sz w:val="20"/>
          <w:szCs w:val="20"/>
        </w:rPr>
        <w:t>t</w:t>
      </w:r>
      <w:r>
        <w:rPr>
          <w:sz w:val="20"/>
          <w:szCs w:val="20"/>
        </w:rPr>
        <w:t xml:space="preserve"> grant any stock options. Information with respect to stock options outstanding under the </w:t>
      </w:r>
      <w:r>
        <w:rPr>
          <w:rStyle w:val="a6"/>
          <w:sz w:val="20"/>
          <w:szCs w:val="20"/>
        </w:rPr>
        <w:t>2010</w:t>
      </w:r>
      <w:r>
        <w:rPr>
          <w:sz w:val="20"/>
          <w:szCs w:val="20"/>
        </w:rPr>
        <w:t xml:space="preserve"> Plan for the years ended </w:t>
      </w:r>
      <w:r>
        <w:rPr>
          <w:rStyle w:val="a6"/>
          <w:sz w:val="20"/>
          <w:szCs w:val="20"/>
        </w:rPr>
        <w:t xml:space="preserve">December 31, 2020, </w:t>
      </w:r>
      <w:r>
        <w:rPr>
          <w:rStyle w:val="a6"/>
          <w:sz w:val="20"/>
          <w:szCs w:val="20"/>
        </w:rPr>
        <w:t>2019</w:t>
      </w:r>
      <w:r>
        <w:rPr>
          <w:sz w:val="20"/>
          <w:szCs w:val="20"/>
        </w:rPr>
        <w:t xml:space="preserve"> and </w:t>
      </w:r>
      <w:r>
        <w:rPr>
          <w:rStyle w:val="a6"/>
          <w:sz w:val="20"/>
          <w:szCs w:val="20"/>
        </w:rPr>
        <w:t>2018</w:t>
      </w:r>
      <w:r>
        <w:rPr>
          <w:sz w:val="20"/>
          <w:szCs w:val="20"/>
        </w:rPr>
        <w:t xml:space="preserve"> are as follows:</w:t>
      </w:r>
    </w:p>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098"/>
        <w:gridCol w:w="75"/>
        <w:gridCol w:w="75"/>
        <w:gridCol w:w="1022"/>
        <w:gridCol w:w="75"/>
        <w:gridCol w:w="75"/>
        <w:gridCol w:w="101"/>
        <w:gridCol w:w="1022"/>
        <w:gridCol w:w="75"/>
        <w:gridCol w:w="75"/>
        <w:gridCol w:w="101"/>
        <w:gridCol w:w="1022"/>
        <w:gridCol w:w="75"/>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Weighted-Average</w:t>
            </w:r>
          </w:p>
          <w:p w:rsidR="00000000" w:rsidRDefault="004E30E9">
            <w:pPr>
              <w:pStyle w:val="a3"/>
              <w:spacing w:before="0" w:beforeAutospacing="0" w:after="0" w:afterAutospacing="0"/>
              <w:jc w:val="center"/>
              <w:rPr>
                <w:sz w:val="20"/>
                <w:szCs w:val="20"/>
              </w:rPr>
            </w:pPr>
            <w:r>
              <w:rPr>
                <w:b/>
                <w:bCs/>
                <w:sz w:val="20"/>
                <w:szCs w:val="20"/>
              </w:rPr>
              <w:t>Exercise Price</w:t>
            </w:r>
          </w:p>
          <w:p w:rsidR="00000000" w:rsidRDefault="004E30E9">
            <w:pPr>
              <w:pStyle w:val="a3"/>
              <w:spacing w:before="0" w:beforeAutospacing="0" w:after="0" w:afterAutospacing="0"/>
              <w:jc w:val="center"/>
              <w:rPr>
                <w:sz w:val="20"/>
                <w:szCs w:val="20"/>
              </w:rPr>
            </w:pPr>
            <w:r>
              <w:rPr>
                <w:b/>
                <w:bCs/>
                <w:sz w:val="20"/>
                <w:szCs w:val="20"/>
              </w:rPr>
              <w:t>Per Share</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Aggregate Intrinsic Value</w:t>
            </w:r>
          </w:p>
          <w:p w:rsidR="00000000" w:rsidRDefault="004E30E9">
            <w:pPr>
              <w:pStyle w:val="a3"/>
              <w:spacing w:before="0" w:beforeAutospacing="0" w:after="0" w:afterAutospacing="0"/>
              <w:jc w:val="center"/>
              <w:rPr>
                <w:sz w:val="20"/>
                <w:szCs w:val="20"/>
              </w:rPr>
            </w:pPr>
            <w:r>
              <w:rPr>
                <w:b/>
                <w:bCs/>
                <w:sz w:val="20"/>
                <w:szCs w:val="20"/>
              </w:rPr>
              <w:t>(in millions)</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Options outstanding, January 1, 2018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3,464,946</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27.81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Exercised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(42,259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14.00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Forfeited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(1,781,321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36.53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Options outstanding, December 31, 2018</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nil"/>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1,641,366</w:t>
            </w:r>
          </w:p>
        </w:tc>
        <w:tc>
          <w:tcPr>
            <w:tcW w:w="50" w:type="pct"/>
            <w:tcBorders>
              <w:bottom w:val="nil"/>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18.78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Exercised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(268,856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14.43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Forfeited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(74,574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20.24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Options outstanding, December 31, 2019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1,297,936</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19.60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Exercised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(63,365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15.48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Forfeited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(72,250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16.20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Options outstanding, December 31, 2020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1,162,321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20.03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Options exercisable (fully vested)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900"/>
              <w:rPr>
                <w:sz w:val="20"/>
                <w:szCs w:val="20"/>
              </w:rPr>
            </w:pPr>
            <w:r>
              <w:rPr>
                <w:sz w:val="20"/>
                <w:szCs w:val="20"/>
              </w:rPr>
              <w:t>December 31, 2018</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1,641,366</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18.78</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0.4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900"/>
              <w:rPr>
                <w:sz w:val="20"/>
                <w:szCs w:val="20"/>
              </w:rPr>
            </w:pPr>
            <w:r>
              <w:rPr>
                <w:sz w:val="20"/>
                <w:szCs w:val="20"/>
              </w:rPr>
              <w:t>December 31, 2019</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1,297,936</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19.60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900"/>
              <w:rPr>
                <w:sz w:val="20"/>
                <w:szCs w:val="20"/>
              </w:rPr>
            </w:pPr>
            <w:r>
              <w:rPr>
                <w:sz w:val="20"/>
                <w:szCs w:val="20"/>
              </w:rPr>
              <w:t>December 31, 2020</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1,162,321</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20.03</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exercise price per share for options outstanding as of </w:t>
      </w:r>
      <w:r>
        <w:rPr>
          <w:rStyle w:val="a6"/>
          <w:sz w:val="20"/>
          <w:szCs w:val="20"/>
        </w:rPr>
        <w:t xml:space="preserve">December 31, 2020 </w:t>
      </w:r>
      <w:r>
        <w:rPr>
          <w:sz w:val="20"/>
          <w:szCs w:val="20"/>
        </w:rPr>
        <w:t xml:space="preserve">ranges from $15.09 to $24.12. The Company estimates forfeitures based on historical data. As of </w:t>
      </w:r>
      <w:r>
        <w:rPr>
          <w:rStyle w:val="a6"/>
          <w:sz w:val="20"/>
          <w:szCs w:val="20"/>
        </w:rPr>
        <w:t xml:space="preserve">December 31, 2020, </w:t>
      </w:r>
      <w:r>
        <w:rPr>
          <w:sz w:val="20"/>
          <w:szCs w:val="20"/>
        </w:rPr>
        <w:t>all of the Company’s outstanding options were vested. The weight</w:t>
      </w:r>
      <w:r>
        <w:rPr>
          <w:sz w:val="20"/>
          <w:szCs w:val="20"/>
        </w:rPr>
        <w:t xml:space="preserve">ed-average remaining contractual life for options outstanding and exercisable as of </w:t>
      </w:r>
      <w:r>
        <w:rPr>
          <w:rStyle w:val="a6"/>
          <w:sz w:val="20"/>
          <w:szCs w:val="20"/>
        </w:rPr>
        <w:t xml:space="preserve">December 31, 2020 </w:t>
      </w:r>
      <w:r>
        <w:rPr>
          <w:sz w:val="20"/>
          <w:szCs w:val="20"/>
        </w:rPr>
        <w:t xml:space="preserve">was 1.4 years. Cash received from options exercised under the </w:t>
      </w:r>
      <w:r>
        <w:rPr>
          <w:rStyle w:val="a6"/>
          <w:sz w:val="20"/>
          <w:szCs w:val="20"/>
        </w:rPr>
        <w:t>2010</w:t>
      </w:r>
      <w:r>
        <w:rPr>
          <w:sz w:val="20"/>
          <w:szCs w:val="20"/>
        </w:rPr>
        <w:t xml:space="preserve"> Plan was $1.0 million, $3.9 million and $0.6 million for the years ended </w:t>
      </w:r>
      <w:r>
        <w:rPr>
          <w:rStyle w:val="a6"/>
          <w:sz w:val="20"/>
          <w:szCs w:val="20"/>
        </w:rPr>
        <w:t>December 31, 2</w:t>
      </w:r>
      <w:r>
        <w:rPr>
          <w:rStyle w:val="a6"/>
          <w:sz w:val="20"/>
          <w:szCs w:val="20"/>
        </w:rPr>
        <w:t>020, 2019</w:t>
      </w:r>
      <w:r>
        <w:rPr>
          <w:sz w:val="20"/>
          <w:szCs w:val="20"/>
        </w:rPr>
        <w:t xml:space="preserve"> and </w:t>
      </w:r>
      <w:r>
        <w:rPr>
          <w:rStyle w:val="a6"/>
          <w:sz w:val="20"/>
          <w:szCs w:val="20"/>
        </w:rPr>
        <w:t>2018,</w:t>
      </w:r>
      <w:r>
        <w:rPr>
          <w:sz w:val="20"/>
          <w:szCs w:val="20"/>
        </w:rPr>
        <w:t xml:space="preserve"> respectively.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571697560"/>
        <w:rPr>
          <w:rFonts w:eastAsia="Times New Roman"/>
          <w:sz w:val="20"/>
          <w:szCs w:val="20"/>
        </w:rPr>
      </w:pPr>
      <w:r>
        <w:rPr>
          <w:rStyle w:val="a6"/>
          <w:rFonts w:eastAsia="Times New Roman"/>
          <w:sz w:val="20"/>
          <w:szCs w:val="20"/>
        </w:rPr>
        <w:t>88</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25" style="width:415.3pt;height:1.5pt" o:hralign="center" o:hrstd="t" o:hrnoshade="t" o:hr="t" fillcolor="black" stroked="f"/>
        </w:pict>
      </w:r>
    </w:p>
    <w:p w:rsidR="00000000" w:rsidRDefault="004E30E9">
      <w:pPr>
        <w:divId w:val="314604594"/>
        <w:rPr>
          <w:rFonts w:eastAsia="Times New Roman"/>
          <w:sz w:val="20"/>
          <w:szCs w:val="20"/>
        </w:rPr>
      </w:pPr>
      <w:hyperlink w:anchor="toc" w:history="1">
        <w:r>
          <w:rPr>
            <w:rStyle w:val="a4"/>
            <w:rFonts w:eastAsia="Times New Roman"/>
            <w:sz w:val="20"/>
            <w:szCs w:val="20"/>
          </w:rPr>
          <w:t>Table of Contents</w:t>
        </w:r>
      </w:hyperlink>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Restricted Stock</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Information with respect to restricted stock under the Plan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are as follows:</w:t>
      </w:r>
    </w:p>
    <w:p w:rsidR="00000000" w:rsidRDefault="004E30E9">
      <w:pPr>
        <w:pStyle w:val="a3"/>
        <w:spacing w:before="0" w:beforeAutospacing="0" w:after="0" w:afterAutospacing="0"/>
        <w:ind w:left="360"/>
        <w:jc w:val="both"/>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662"/>
        <w:gridCol w:w="74"/>
        <w:gridCol w:w="74"/>
        <w:gridCol w:w="1046"/>
        <w:gridCol w:w="75"/>
        <w:gridCol w:w="75"/>
        <w:gridCol w:w="75"/>
        <w:gridCol w:w="1047"/>
        <w:gridCol w:w="75"/>
        <w:gridCol w:w="75"/>
        <w:gridCol w:w="75"/>
        <w:gridCol w:w="1047"/>
        <w:gridCol w:w="75"/>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ind w:left="4"/>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Restricted stock outstanding as of January 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2,367,843</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2,104,914</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1,777,429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Granted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820,150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884,170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1,100,590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Vested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(784,120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(603,148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(751,201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Forfeited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(9,048</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(18,093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(21,904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Restricted stock outstanding as of December 31,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2,394,825</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2,367,843</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2,104,914</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The weighted-average grant date fair value for restricted stock issued during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were $18.67, $18.03 and $14.72, respectively.</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Restricted shares have the same voting rights as the Company’s common stock and </w:t>
      </w:r>
      <w:r>
        <w:rPr>
          <w:sz w:val="20"/>
          <w:szCs w:val="20"/>
        </w:rPr>
        <w:t xml:space="preserve">are entitled to a cash dividend per share equal to the Company’s common dividend which is taxable as ordinary income to the holder.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the dividends paid on unvested restricted shares were $2.2 million, $3</w:t>
      </w:r>
      <w:r>
        <w:rPr>
          <w:sz w:val="20"/>
          <w:szCs w:val="20"/>
        </w:rPr>
        <w:t>.0 million and $2.8 million, respectively.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Performance Shares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Information with respect to performance share awards under the </w:t>
      </w:r>
      <w:r>
        <w:rPr>
          <w:rStyle w:val="a6"/>
          <w:sz w:val="20"/>
          <w:szCs w:val="20"/>
        </w:rPr>
        <w:t>2010</w:t>
      </w:r>
      <w:r>
        <w:rPr>
          <w:sz w:val="20"/>
          <w:szCs w:val="20"/>
        </w:rPr>
        <w:t xml:space="preserve"> Plan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are as follows:</w:t>
      </w:r>
    </w:p>
    <w:p w:rsidR="00000000" w:rsidRDefault="004E30E9">
      <w:pPr>
        <w:pStyle w:val="a3"/>
        <w:spacing w:before="0" w:beforeAutospacing="0" w:after="0" w:afterAutospacing="0"/>
        <w:ind w:left="360"/>
        <w:jc w:val="both"/>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662"/>
        <w:gridCol w:w="74"/>
        <w:gridCol w:w="74"/>
        <w:gridCol w:w="1046"/>
        <w:gridCol w:w="75"/>
        <w:gridCol w:w="75"/>
        <w:gridCol w:w="75"/>
        <w:gridCol w:w="1047"/>
        <w:gridCol w:w="75"/>
        <w:gridCol w:w="75"/>
        <w:gridCol w:w="75"/>
        <w:gridCol w:w="1047"/>
        <w:gridCol w:w="75"/>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ind w:left="4"/>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Performance share awards outstanding as of January 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704,530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433,230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235,950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Granted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506,720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407,080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297,450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Vested (2)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(297,450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(135,780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(100,170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Performance share awards outstanding as of December 31,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913,800</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704,530</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433,230</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The weighted-average grant date fair value for performance shares issued during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were $18.02, $22.00 and $15.40, respectively.</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w:t>
            </w:r>
            <w:r>
              <w:rPr>
                <w:sz w:val="20"/>
                <w:szCs w:val="20"/>
              </w:rPr>
              <w:t>the corresponding common stock equivalent of these vested awards were 594,900, 104,551 and 0 shares, respectively.</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more significant assumptions underlying the determination of fair values for these performance awards granted during </w:t>
      </w:r>
      <w:r>
        <w:rPr>
          <w:rStyle w:val="a6"/>
          <w:sz w:val="20"/>
          <w:szCs w:val="20"/>
        </w:rPr>
        <w:t>2020,</w:t>
      </w:r>
      <w:r>
        <w:rPr>
          <w:sz w:val="20"/>
          <w:szCs w:val="20"/>
        </w:rPr>
        <w:t xml:space="preserve"> </w:t>
      </w:r>
      <w:r>
        <w:rPr>
          <w:rStyle w:val="a6"/>
          <w:sz w:val="20"/>
          <w:szCs w:val="20"/>
        </w:rPr>
        <w:t>2019</w:t>
      </w:r>
      <w:r>
        <w:rPr>
          <w:sz w:val="20"/>
          <w:szCs w:val="20"/>
        </w:rPr>
        <w:t xml:space="preserve"> and </w:t>
      </w:r>
      <w:r>
        <w:rPr>
          <w:rStyle w:val="a6"/>
          <w:sz w:val="20"/>
          <w:szCs w:val="20"/>
        </w:rPr>
        <w:t>2018</w:t>
      </w:r>
      <w:r>
        <w:rPr>
          <w:sz w:val="20"/>
          <w:szCs w:val="20"/>
        </w:rPr>
        <w:t xml:space="preserve"> were as follows:</w:t>
      </w:r>
    </w:p>
    <w:p w:rsidR="00000000" w:rsidRDefault="004E30E9">
      <w:pPr>
        <w:pStyle w:val="a3"/>
        <w:spacing w:before="0" w:beforeAutospacing="0" w:after="0" w:afterAutospacing="0"/>
        <w:ind w:left="360"/>
        <w:jc w:val="both"/>
        <w:rPr>
          <w:sz w:val="20"/>
          <w:szCs w:val="20"/>
        </w:rPr>
      </w:pPr>
      <w:r>
        <w:rPr>
          <w:sz w:val="20"/>
          <w:szCs w:val="20"/>
        </w:rPr>
        <w:t> </w:t>
      </w:r>
    </w:p>
    <w:tbl>
      <w:tblPr>
        <w:tblW w:w="4250" w:type="pct"/>
        <w:tblCellSpacing w:w="0" w:type="dxa"/>
        <w:tblInd w:w="1260" w:type="dxa"/>
        <w:tblCellMar>
          <w:left w:w="0" w:type="dxa"/>
          <w:right w:w="0" w:type="dxa"/>
        </w:tblCellMar>
        <w:tblLook w:val="04A0" w:firstRow="1" w:lastRow="0" w:firstColumn="1" w:lastColumn="0" w:noHBand="0" w:noVBand="1"/>
      </w:tblPr>
      <w:tblGrid>
        <w:gridCol w:w="2599"/>
        <w:gridCol w:w="50"/>
        <w:gridCol w:w="460"/>
        <w:gridCol w:w="810"/>
        <w:gridCol w:w="167"/>
        <w:gridCol w:w="50"/>
        <w:gridCol w:w="460"/>
        <w:gridCol w:w="810"/>
        <w:gridCol w:w="167"/>
        <w:gridCol w:w="50"/>
        <w:gridCol w:w="460"/>
        <w:gridCol w:w="810"/>
        <w:gridCol w:w="1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ind w:left="56"/>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3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Stock price</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ind w:left="360"/>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rsidR="00000000" w:rsidRDefault="004E30E9">
            <w:pPr>
              <w:ind w:left="360"/>
              <w:jc w:val="right"/>
              <w:rPr>
                <w:rFonts w:eastAsia="Times New Roman"/>
                <w:sz w:val="20"/>
                <w:szCs w:val="20"/>
              </w:rPr>
            </w:pPr>
            <w:r>
              <w:rPr>
                <w:rFonts w:eastAsia="Times New Roman"/>
                <w:sz w:val="20"/>
                <w:szCs w:val="20"/>
              </w:rPr>
              <w:t>18.93</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ind w:left="360"/>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rsidR="00000000" w:rsidRDefault="004E30E9">
            <w:pPr>
              <w:ind w:left="360"/>
              <w:jc w:val="right"/>
              <w:rPr>
                <w:rFonts w:eastAsia="Times New Roman"/>
                <w:sz w:val="20"/>
                <w:szCs w:val="20"/>
              </w:rPr>
            </w:pPr>
            <w:r>
              <w:rPr>
                <w:rFonts w:eastAsia="Times New Roman"/>
                <w:sz w:val="20"/>
                <w:szCs w:val="20"/>
              </w:rPr>
              <w:t>17.81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ind w:left="360"/>
              <w:rPr>
                <w:rFonts w:eastAsia="Times New Roman"/>
                <w:sz w:val="20"/>
                <w:szCs w:val="20"/>
              </w:rPr>
            </w:pPr>
            <w:r>
              <w:rPr>
                <w:rFonts w:eastAsia="Times New Roman"/>
                <w:sz w:val="20"/>
                <w:szCs w:val="20"/>
              </w:rPr>
              <w:t>$</w:t>
            </w:r>
          </w:p>
        </w:tc>
        <w:tc>
          <w:tcPr>
            <w:tcW w:w="750" w:type="pct"/>
            <w:tcBorders>
              <w:bottom w:val="nil"/>
            </w:tcBorders>
            <w:shd w:val="clear" w:color="auto" w:fill="CCEEFF"/>
            <w:vAlign w:val="bottom"/>
            <w:hideMark/>
          </w:tcPr>
          <w:p w:rsidR="00000000" w:rsidRDefault="004E30E9">
            <w:pPr>
              <w:ind w:left="360"/>
              <w:jc w:val="right"/>
              <w:rPr>
                <w:rFonts w:eastAsia="Times New Roman"/>
                <w:sz w:val="20"/>
                <w:szCs w:val="20"/>
              </w:rPr>
            </w:pPr>
            <w:r>
              <w:rPr>
                <w:rFonts w:eastAsia="Times New Roman"/>
                <w:sz w:val="20"/>
                <w:szCs w:val="20"/>
              </w:rPr>
              <w:t>14.99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Dividend yield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ind w:left="360"/>
              <w:jc w:val="right"/>
              <w:rPr>
                <w:rFonts w:eastAsia="Times New Roman"/>
                <w:sz w:val="20"/>
                <w:szCs w:val="20"/>
              </w:rPr>
            </w:pPr>
            <w:r>
              <w:rPr>
                <w:rFonts w:eastAsia="Times New Roman"/>
                <w:sz w:val="20"/>
                <w:szCs w:val="20"/>
              </w:rPr>
              <w:t>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Risk-free rate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ind w:left="360"/>
              <w:jc w:val="right"/>
              <w:rPr>
                <w:rFonts w:eastAsia="Times New Roman"/>
                <w:sz w:val="20"/>
                <w:szCs w:val="20"/>
              </w:rPr>
            </w:pPr>
            <w:r>
              <w:rPr>
                <w:rFonts w:eastAsia="Times New Roman"/>
                <w:sz w:val="20"/>
                <w:szCs w:val="20"/>
              </w:rPr>
              <w:t>1.42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ind w:left="360"/>
              <w:jc w:val="right"/>
              <w:rPr>
                <w:rFonts w:eastAsia="Times New Roman"/>
                <w:sz w:val="20"/>
                <w:szCs w:val="20"/>
              </w:rPr>
            </w:pPr>
            <w:r>
              <w:rPr>
                <w:rFonts w:eastAsia="Times New Roman"/>
                <w:sz w:val="20"/>
                <w:szCs w:val="20"/>
              </w:rPr>
              <w:t>2.52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ind w:left="360"/>
              <w:jc w:val="right"/>
              <w:rPr>
                <w:rFonts w:eastAsia="Times New Roman"/>
                <w:sz w:val="20"/>
                <w:szCs w:val="20"/>
              </w:rPr>
            </w:pPr>
            <w:r>
              <w:rPr>
                <w:rFonts w:eastAsia="Times New Roman"/>
                <w:sz w:val="20"/>
                <w:szCs w:val="20"/>
              </w:rPr>
              <w:t>2.39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Volatility (2)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ind w:left="360"/>
              <w:jc w:val="right"/>
              <w:rPr>
                <w:rFonts w:eastAsia="Times New Roman"/>
                <w:sz w:val="20"/>
                <w:szCs w:val="20"/>
              </w:rPr>
            </w:pPr>
            <w:r>
              <w:rPr>
                <w:rFonts w:eastAsia="Times New Roman"/>
                <w:sz w:val="20"/>
                <w:szCs w:val="20"/>
              </w:rPr>
              <w:t>24.67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ind w:left="360"/>
              <w:jc w:val="right"/>
              <w:rPr>
                <w:rFonts w:eastAsia="Times New Roman"/>
                <w:sz w:val="20"/>
                <w:szCs w:val="20"/>
              </w:rPr>
            </w:pPr>
            <w:r>
              <w:rPr>
                <w:rFonts w:eastAsia="Times New Roman"/>
                <w:sz w:val="20"/>
                <w:szCs w:val="20"/>
              </w:rPr>
              <w:t>24.55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4E30E9">
            <w:pPr>
              <w:ind w:left="360"/>
              <w:jc w:val="right"/>
              <w:rPr>
                <w:rFonts w:eastAsia="Times New Roman"/>
                <w:sz w:val="20"/>
                <w:szCs w:val="20"/>
              </w:rPr>
            </w:pPr>
            <w:r>
              <w:rPr>
                <w:rFonts w:eastAsia="Times New Roman"/>
                <w:sz w:val="20"/>
                <w:szCs w:val="20"/>
              </w:rPr>
              <w:t>22.90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Term of the award (years)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2.88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2.88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2.85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Total Shareholder Returns, as used in the performance share awards computation, are measured based on cumulative dividend stock prices, as such a</w:t>
            </w:r>
            <w:r>
              <w:rPr>
                <w:sz w:val="20"/>
                <w:szCs w:val="20"/>
              </w:rPr>
              <w:t xml:space="preserve"> </w:t>
            </w:r>
            <w:r>
              <w:rPr>
                <w:sz w:val="20"/>
                <w:szCs w:val="20"/>
              </w:rPr>
              <w:t>zer</w:t>
            </w:r>
            <w:r>
              <w:rPr>
                <w:sz w:val="20"/>
                <w:szCs w:val="20"/>
              </w:rPr>
              <w:t>o</w:t>
            </w:r>
            <w:r>
              <w:rPr>
                <w:sz w:val="20"/>
                <w:szCs w:val="20"/>
              </w:rPr>
              <w:t xml:space="preserve"> percent dividend yield is utilized.</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Volatility is based on the annualized standard deviation of the daily logarithmic returns on dividend-adjusted closing prices over the look-back period based on the term of the award.</w:t>
            </w:r>
          </w:p>
        </w:tc>
      </w:tr>
    </w:tbl>
    <w:p w:rsidR="00000000" w:rsidRDefault="004E30E9">
      <w:pPr>
        <w:pStyle w:val="a3"/>
        <w:spacing w:before="0" w:beforeAutospacing="0" w:after="0" w:afterAutospacing="0"/>
        <w:ind w:left="720"/>
        <w:jc w:val="both"/>
        <w:rPr>
          <w:sz w:val="20"/>
          <w:szCs w:val="20"/>
        </w:rPr>
      </w:pPr>
      <w:r>
        <w:rPr>
          <w:i/>
          <w:iCs/>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Other</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maintains a </w:t>
      </w:r>
      <w:r>
        <w:rPr>
          <w:rStyle w:val="a6"/>
          <w:sz w:val="20"/>
          <w:szCs w:val="20"/>
        </w:rPr>
        <w:t>401</w:t>
      </w:r>
      <w:r>
        <w:rPr>
          <w:sz w:val="20"/>
          <w:szCs w:val="20"/>
        </w:rPr>
        <w:t>(k)-retirement plan covering subst</w:t>
      </w:r>
      <w:r>
        <w:rPr>
          <w:sz w:val="20"/>
          <w:szCs w:val="20"/>
        </w:rPr>
        <w:t>antially all officers and employees, which permits participants to defer up to the maximum allowable amount determined by the Internal Revenue Service of their eligible compensation. This deferred compensation, together with Company matching contributions,</w:t>
      </w:r>
      <w:r>
        <w:rPr>
          <w:sz w:val="20"/>
          <w:szCs w:val="20"/>
        </w:rPr>
        <w:t xml:space="preserve"> which generally equal employee deferrals up to a maximum of 5% of their eligible compensation, is fully vested and funded as of </w:t>
      </w:r>
      <w:r>
        <w:rPr>
          <w:rStyle w:val="a6"/>
          <w:sz w:val="20"/>
          <w:szCs w:val="20"/>
        </w:rPr>
        <w:t xml:space="preserve">December 31, 2020. </w:t>
      </w:r>
      <w:r>
        <w:rPr>
          <w:sz w:val="20"/>
          <w:szCs w:val="20"/>
        </w:rPr>
        <w:t>The Company’s contributions to the plan were $2.3 million, $2.2 million and $2.2 million for the years ended</w:t>
      </w:r>
      <w:r>
        <w:rPr>
          <w:sz w:val="20"/>
          <w:szCs w:val="20"/>
        </w:rPr>
        <w:t xml:space="preserve"> </w:t>
      </w:r>
      <w:r>
        <w:rPr>
          <w:rStyle w:val="a6"/>
          <w:sz w:val="20"/>
          <w:szCs w:val="20"/>
        </w:rPr>
        <w:t>December 31, 2020, 2019</w:t>
      </w:r>
      <w:r>
        <w:rPr>
          <w:sz w:val="20"/>
          <w:szCs w:val="20"/>
        </w:rPr>
        <w:t xml:space="preserve"> and </w:t>
      </w:r>
      <w:r>
        <w:rPr>
          <w:rStyle w:val="a6"/>
          <w:sz w:val="20"/>
          <w:szCs w:val="20"/>
        </w:rPr>
        <w:t>2018,</w:t>
      </w:r>
      <w:r>
        <w:rPr>
          <w:sz w:val="20"/>
          <w:szCs w:val="20"/>
        </w:rPr>
        <w:t xml:space="preserve"> respectively.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recognized severance costs associated with employee retirements and terminations during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of $8.7 million, $2.6 million and $3.8 million, respect</w:t>
      </w:r>
      <w:r>
        <w:rPr>
          <w:sz w:val="20"/>
          <w:szCs w:val="20"/>
        </w:rPr>
        <w:t>ively.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929656455"/>
        <w:rPr>
          <w:rFonts w:eastAsia="Times New Roman"/>
          <w:sz w:val="20"/>
          <w:szCs w:val="20"/>
        </w:rPr>
      </w:pPr>
      <w:r>
        <w:rPr>
          <w:rFonts w:eastAsia="Times New Roman"/>
          <w:sz w:val="20"/>
          <w:szCs w:val="20"/>
        </w:rPr>
        <w:t xml:space="preserve">89 </w:t>
      </w:r>
    </w:p>
    <w:p w:rsidR="00000000" w:rsidRDefault="004E30E9">
      <w:pPr>
        <w:divId w:val="1295061189"/>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4E30E9">
      <w:pPr>
        <w:divId w:val="153696795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divId w:val="1615559194"/>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22.</w:t>
      </w:r>
      <w:r>
        <w:rPr>
          <w:sz w:val="20"/>
          <w:szCs w:val="20"/>
        </w:rPr>
        <w:t>  </w:t>
      </w:r>
      <w:r>
        <w:rPr>
          <w:sz w:val="20"/>
          <w:szCs w:val="20"/>
          <w:u w:val="single"/>
        </w:rPr>
        <w:t>Income Taxes</w:t>
      </w:r>
      <w:r>
        <w:rPr>
          <w:sz w:val="20"/>
          <w:szCs w:val="20"/>
        </w:rPr>
        <w:t>:</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elected to qualify as a REIT in accordance with the Code commencing with its taxable year which began </w:t>
      </w:r>
      <w:r>
        <w:rPr>
          <w:rStyle w:val="a6"/>
          <w:sz w:val="20"/>
          <w:szCs w:val="20"/>
        </w:rPr>
        <w:t xml:space="preserve">January 1, 1992. </w:t>
      </w:r>
      <w:r>
        <w:rPr>
          <w:sz w:val="20"/>
          <w:szCs w:val="20"/>
        </w:rPr>
        <w:t>To qualify as a REIT, the Company must meet several organizational and operational requirements, including a requirement that</w:t>
      </w:r>
      <w:r>
        <w:rPr>
          <w:sz w:val="20"/>
          <w:szCs w:val="20"/>
        </w:rPr>
        <w:t xml:space="preserve"> it currently distribute at least 90% of its REIT taxable income to its stockholders. Management intends to adhere to these requirements and maintain the Company’s REIT status. As a REIT, the Company generally will </w:t>
      </w:r>
      <w:r>
        <w:rPr>
          <w:rStyle w:val="a6"/>
          <w:sz w:val="20"/>
          <w:szCs w:val="20"/>
        </w:rPr>
        <w:t>not</w:t>
      </w:r>
      <w:r>
        <w:rPr>
          <w:sz w:val="20"/>
          <w:szCs w:val="20"/>
        </w:rPr>
        <w:t xml:space="preserve"> be subject to corporate federal incom</w:t>
      </w:r>
      <w:r>
        <w:rPr>
          <w:sz w:val="20"/>
          <w:szCs w:val="20"/>
        </w:rPr>
        <w:t>e tax, provided that dividends to its stockholders equal at least the amount of its REIT taxable income. If the Company were to fail to qualify as a REIT in any taxable year, it would be subject to federal income taxes at regular corporate rates (including</w:t>
      </w:r>
      <w:r>
        <w:rPr>
          <w:sz w:val="20"/>
          <w:szCs w:val="20"/>
        </w:rPr>
        <w:t xml:space="preserve"> any applicable alternative minimum tax) and would </w:t>
      </w:r>
      <w:r>
        <w:rPr>
          <w:rStyle w:val="a6"/>
          <w:sz w:val="20"/>
          <w:szCs w:val="20"/>
        </w:rPr>
        <w:t>not</w:t>
      </w:r>
      <w:r>
        <w:rPr>
          <w:sz w:val="20"/>
          <w:szCs w:val="20"/>
        </w:rPr>
        <w:t xml:space="preserve"> be permitted to elect REIT status for </w:t>
      </w:r>
      <w:r>
        <w:rPr>
          <w:rStyle w:val="a6"/>
          <w:sz w:val="20"/>
          <w:szCs w:val="20"/>
        </w:rPr>
        <w:t>four</w:t>
      </w:r>
      <w:r>
        <w:rPr>
          <w:sz w:val="20"/>
          <w:szCs w:val="20"/>
        </w:rPr>
        <w:t xml:space="preserve"> subsequent taxable years. Even if the Company qualifies for taxation as a REIT, the Company is subject to certain state and local taxes on its income and prop</w:t>
      </w:r>
      <w:r>
        <w:rPr>
          <w:sz w:val="20"/>
          <w:szCs w:val="20"/>
        </w:rPr>
        <w:t>erty, and federal income and excise taxes on its undistributed taxable income. In addition, taxable income from non-REIT activities managed through TRSs is subject to federal, state and local income taxes. The Company is also subject to local taxes on cert</w:t>
      </w:r>
      <w:r>
        <w:rPr>
          <w:sz w:val="20"/>
          <w:szCs w:val="20"/>
        </w:rPr>
        <w:t>ain non-U.S. investments.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Reconciliation between GAAP Net Income and Federal Taxable Income</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following table reconciles GAAP net income to taxable income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(in thousands):</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7"/>
        <w:gridCol w:w="101"/>
        <w:gridCol w:w="992"/>
        <w:gridCol w:w="78"/>
        <w:gridCol w:w="78"/>
        <w:gridCol w:w="100"/>
        <w:gridCol w:w="992"/>
        <w:gridCol w:w="78"/>
        <w:gridCol w:w="78"/>
        <w:gridCol w:w="100"/>
        <w:gridCol w:w="992"/>
        <w:gridCol w:w="7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(Estimated)</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(Actual)</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(Actual)</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GAAP net income attributable to the Company</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1,000,833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410,605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497,795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GAAP net (income)/loss attributable to TRSs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(960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1,119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(2,436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GAAP net income from REIT operations (1)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999,873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411,724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495,359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Net book depreciation in excess of tax depreciation</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(61,272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55,903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46,754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Capitalized leasing/legal commissions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(15,268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Deferred/prepaid/above-market and below-market rents,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(16,891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(33,287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(23,466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Fair market value debt amortization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(3,847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(4,510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(5,268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Book/tax differences from executive compensation (2)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10,388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6,026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5,460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Book/tax differences from non-qualified stock options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(231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Book/tax differences from investments in and advances to real estate joint ventures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45,782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4,837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22,263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Book/tax differences from sale of properties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(10,494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(13,830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(13,612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tcMar>
              <w:top w:w="0" w:type="dxa"/>
              <w:left w:w="180" w:type="dxa"/>
              <w:bottom w:w="0" w:type="dxa"/>
              <w:right w:w="0" w:type="dxa"/>
            </w:tcMar>
            <w:vAlign w:val="center"/>
            <w:hideMark/>
          </w:tcPr>
          <w:p w:rsidR="00000000" w:rsidRDefault="004E30E9">
            <w:pPr>
              <w:rPr>
                <w:rFonts w:eastAsia="Times New Roman"/>
                <w:sz w:val="20"/>
                <w:szCs w:val="20"/>
              </w:rPr>
            </w:pPr>
            <w:r>
              <w:rPr>
                <w:rFonts w:eastAsia="Times New Roman"/>
                <w:sz w:val="20"/>
                <w:szCs w:val="20"/>
              </w:rPr>
              <w:t>Book/tax differences from accounts receivable</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center"/>
            <w:hideMark/>
          </w:tcPr>
          <w:p w:rsidR="00000000" w:rsidRDefault="004E30E9">
            <w:pPr>
              <w:jc w:val="right"/>
              <w:rPr>
                <w:rFonts w:eastAsia="Times New Roman"/>
                <w:sz w:val="20"/>
                <w:szCs w:val="20"/>
              </w:rPr>
            </w:pPr>
            <w:r>
              <w:rPr>
                <w:rFonts w:eastAsia="Times New Roman"/>
                <w:sz w:val="20"/>
                <w:szCs w:val="20"/>
              </w:rPr>
              <w:t>45,175</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center"/>
            <w:hideMark/>
          </w:tcPr>
          <w:p w:rsidR="00000000" w:rsidRDefault="004E30E9">
            <w:pPr>
              <w:jc w:val="right"/>
              <w:rPr>
                <w:rFonts w:eastAsia="Times New Roman"/>
                <w:sz w:val="20"/>
                <w:szCs w:val="20"/>
              </w:rPr>
            </w:pPr>
            <w:r>
              <w:rPr>
                <w:rFonts w:eastAsia="Times New Roman"/>
                <w:sz w:val="20"/>
                <w:szCs w:val="20"/>
              </w:rPr>
              <w:t>1,573</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center"/>
            <w:hideMark/>
          </w:tcPr>
          <w:p w:rsidR="00000000" w:rsidRDefault="004E30E9">
            <w:pPr>
              <w:jc w:val="right"/>
              <w:rPr>
                <w:rFonts w:eastAsia="Times New Roman"/>
                <w:sz w:val="20"/>
                <w:szCs w:val="20"/>
              </w:rPr>
            </w:pPr>
            <w:r>
              <w:rPr>
                <w:rFonts w:eastAsia="Times New Roman"/>
                <w:sz w:val="20"/>
                <w:szCs w:val="20"/>
              </w:rPr>
              <w:t>1,636</w:t>
            </w:r>
          </w:p>
        </w:tc>
        <w:tc>
          <w:tcPr>
            <w:tcW w:w="50" w:type="pct"/>
            <w:shd w:val="clear" w:color="auto" w:fill="FFFFFF"/>
            <w:vAlign w:val="center"/>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Book adjustment to property carrying values and marketable equity securities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(588,777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37,709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59,866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Taxable currency exchange (loss)/gain,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929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Tangible property regulation deduction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(50,597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(40,361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GAAP gain on change in control of joint venture interests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(6,800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Dividends from TRSs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3,331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526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Severance accrual</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6,425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(475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jc w:val="right"/>
              <w:rPr>
                <w:rFonts w:eastAsia="Times New Roman"/>
                <w:sz w:val="20"/>
                <w:szCs w:val="20"/>
              </w:rPr>
            </w:pPr>
            <w:r>
              <w:rPr>
                <w:rFonts w:eastAsia="Times New Roman"/>
                <w:sz w:val="20"/>
                <w:szCs w:val="20"/>
              </w:rPr>
              <w:t>913</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Other book/tax differences,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(1,097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(3,946</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(1,774</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Adjusted REIT taxable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374,410</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463,764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527,045</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Certain amounts in the prior periods have been reclassified to conform to the current year presentation, in the table above.</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All adjustments to "GAAP net income from REIT operations" are net of amounts attributable to noncontrolling interests and TRS</w:t>
            </w:r>
            <w:r>
              <w:rPr>
                <w:sz w:val="20"/>
                <w:szCs w:val="20"/>
              </w:rPr>
              <w:t>s.</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In accordance with the Tax Cuts and Jobs Act, effective for tax years beginning on </w:t>
            </w:r>
            <w:r>
              <w:rPr>
                <w:rStyle w:val="a6"/>
                <w:sz w:val="20"/>
                <w:szCs w:val="20"/>
              </w:rPr>
              <w:t xml:space="preserve">January 1, 2018, </w:t>
            </w:r>
            <w:r>
              <w:rPr>
                <w:sz w:val="20"/>
                <w:szCs w:val="20"/>
              </w:rPr>
              <w:t xml:space="preserve">Section </w:t>
            </w:r>
            <w:r>
              <w:rPr>
                <w:rStyle w:val="a6"/>
                <w:sz w:val="20"/>
                <w:szCs w:val="20"/>
              </w:rPr>
              <w:t>162</w:t>
            </w:r>
            <w:r>
              <w:rPr>
                <w:sz w:val="20"/>
                <w:szCs w:val="20"/>
              </w:rPr>
              <w:t xml:space="preserve">(m) of the Code places a </w:t>
            </w:r>
            <w:r>
              <w:rPr>
                <w:rStyle w:val="a6"/>
                <w:sz w:val="20"/>
                <w:szCs w:val="20"/>
              </w:rPr>
              <w:t>$1.0</w:t>
            </w:r>
            <w:r>
              <w:rPr>
                <w:sz w:val="20"/>
                <w:szCs w:val="20"/>
              </w:rPr>
              <w:t xml:space="preserve"> </w:t>
            </w:r>
            <w:r>
              <w:rPr>
                <w:sz w:val="20"/>
                <w:szCs w:val="20"/>
              </w:rPr>
              <w:t xml:space="preserve">million limit per executive on the amount a company can deduct for executive compensation for each of their CEO, CFO and the other </w:t>
            </w:r>
            <w:r>
              <w:rPr>
                <w:rStyle w:val="a6"/>
                <w:sz w:val="20"/>
                <w:szCs w:val="20"/>
              </w:rPr>
              <w:t>three</w:t>
            </w:r>
            <w:r>
              <w:rPr>
                <w:sz w:val="20"/>
                <w:szCs w:val="20"/>
              </w:rPr>
              <w:t xml:space="preserve"> most highly paid executives.</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1461191739"/>
        <w:rPr>
          <w:rFonts w:eastAsia="Times New Roman"/>
          <w:sz w:val="20"/>
          <w:szCs w:val="20"/>
        </w:rPr>
      </w:pPr>
      <w:r>
        <w:rPr>
          <w:rStyle w:val="a6"/>
          <w:rFonts w:eastAsia="Times New Roman"/>
          <w:sz w:val="20"/>
          <w:szCs w:val="20"/>
        </w:rPr>
        <w:t>90</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27" style="width:415.3pt;height:1.5pt" o:hralign="center" o:hrstd="t" o:hrnoshade="t" o:hr="t" fillcolor="black" stroked="f"/>
        </w:pict>
      </w:r>
    </w:p>
    <w:p w:rsidR="00000000" w:rsidRDefault="004E30E9">
      <w:pPr>
        <w:divId w:val="11212689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Characterization of Distributions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following characterizes distributions paid for tax purposes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(a</w:t>
      </w:r>
      <w:r>
        <w:rPr>
          <w:sz w:val="20"/>
          <w:szCs w:val="20"/>
        </w:rPr>
        <w:t>mounts in thousands):</w:t>
      </w:r>
    </w:p>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1718"/>
        <w:gridCol w:w="61"/>
        <w:gridCol w:w="100"/>
        <w:gridCol w:w="771"/>
        <w:gridCol w:w="61"/>
        <w:gridCol w:w="61"/>
        <w:gridCol w:w="62"/>
        <w:gridCol w:w="772"/>
        <w:gridCol w:w="167"/>
        <w:gridCol w:w="62"/>
        <w:gridCol w:w="100"/>
        <w:gridCol w:w="772"/>
        <w:gridCol w:w="62"/>
        <w:gridCol w:w="62"/>
        <w:gridCol w:w="62"/>
        <w:gridCol w:w="772"/>
        <w:gridCol w:w="167"/>
        <w:gridCol w:w="62"/>
        <w:gridCol w:w="100"/>
        <w:gridCol w:w="772"/>
        <w:gridCol w:w="62"/>
        <w:gridCol w:w="62"/>
        <w:gridCol w:w="62"/>
        <w:gridCol w:w="772"/>
        <w:gridCol w:w="1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1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u w:val="single"/>
              </w:rPr>
              <w:t>Preferred I Dividends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7,389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5,565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2,207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4,935</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9,596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10,500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u w:val="single"/>
              </w:rPr>
              <w:t>Preferred J Dividends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11,541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6,559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3,447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5,816</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14,988</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12,375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u w:val="single"/>
              </w:rPr>
              <w:t>Preferred K Dividends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6,927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5,217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2,069</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4,627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8,996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9,844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u w:val="single"/>
              </w:rPr>
              <w:t xml:space="preserve">Preferred L Dividends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4,382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8,879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6,111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7,149</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2,652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5,420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11,531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11,531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11,531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u w:val="single"/>
              </w:rPr>
              <w:t xml:space="preserve">Preferred M Dividends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5,277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10,692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6,031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8,609</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3,194</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5,348</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13,886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13,886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11,379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u w:val="single"/>
              </w:rPr>
              <w:t>Common Dividends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Ordinary income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133,849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328,726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235,642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Capital gain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214,863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98,618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212,077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Return of capital</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3,522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42,265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23,564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352,234</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469,609</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471,283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hanging="180"/>
              <w:rPr>
                <w:sz w:val="20"/>
                <w:szCs w:val="20"/>
              </w:rPr>
            </w:pPr>
            <w:r>
              <w:rPr>
                <w:sz w:val="20"/>
                <w:szCs w:val="20"/>
              </w:rPr>
              <w:t>Total dividends distributed for tax purposes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377,651</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4E30E9">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528,606</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4E30E9">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b/>
                <w:bCs/>
                <w:sz w:val="20"/>
                <w:szCs w:val="20"/>
              </w:rPr>
              <w:t>526,912</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4E30E9">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b/>
                <w:bCs/>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w:t>
      </w:r>
      <w:r>
        <w:rPr>
          <w:sz w:val="20"/>
          <w:szCs w:val="20"/>
        </w:rPr>
        <w:t>cash dividends paid for tax purposes were equivalent to, or in excess of, the dividends paid deduction.</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Taxable REIT Subsidiaries and Taxable Entities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is subject to federal, state and local income taxes on income reported through its TRS ac</w:t>
      </w:r>
      <w:r>
        <w:rPr>
          <w:sz w:val="20"/>
          <w:szCs w:val="20"/>
        </w:rPr>
        <w:t>tivities, which include wholly owned subsidiaries of the Company. The Company’s TRSs include Kimco Realty Services II, Inc. (“KRS”), FNC Realty Corporation, Kimco Insurance Company (collectively “KRS Consolidated”) and the consolidated entity, Blue Ridge R</w:t>
      </w:r>
      <w:r>
        <w:rPr>
          <w:sz w:val="20"/>
          <w:szCs w:val="20"/>
        </w:rPr>
        <w:t>eal Estate Company/Big Boulder Corporation. </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On </w:t>
      </w:r>
      <w:r>
        <w:rPr>
          <w:rStyle w:val="a6"/>
          <w:sz w:val="20"/>
          <w:szCs w:val="20"/>
        </w:rPr>
        <w:t xml:space="preserve">December 22, 2017, </w:t>
      </w:r>
      <w:r>
        <w:rPr>
          <w:sz w:val="20"/>
          <w:szCs w:val="20"/>
        </w:rPr>
        <w:t xml:space="preserve">the Tax Cuts and Jobs Act was signed into law, making significant changes to taxation of corporations and individuals. Effective for tax years beginning on </w:t>
      </w:r>
      <w:r>
        <w:rPr>
          <w:rStyle w:val="a6"/>
          <w:sz w:val="20"/>
          <w:szCs w:val="20"/>
        </w:rPr>
        <w:t xml:space="preserve">January 1, 2018, </w:t>
      </w:r>
      <w:r>
        <w:rPr>
          <w:sz w:val="20"/>
          <w:szCs w:val="20"/>
        </w:rPr>
        <w:t>this tax refor</w:t>
      </w:r>
      <w:r>
        <w:rPr>
          <w:sz w:val="20"/>
          <w:szCs w:val="20"/>
        </w:rPr>
        <w:t xml:space="preserve">m law reduces the federal statutory income tax rate from </w:t>
      </w:r>
      <w:r>
        <w:rPr>
          <w:rStyle w:val="a6"/>
          <w:sz w:val="20"/>
          <w:szCs w:val="20"/>
        </w:rPr>
        <w:t>35%</w:t>
      </w:r>
      <w:r>
        <w:rPr>
          <w:sz w:val="20"/>
          <w:szCs w:val="20"/>
        </w:rPr>
        <w:t xml:space="preserve"> to 21% for corporations and changed other certain tax provisions and deductions.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is also subject to local non-U.S. taxes on certain investments located outside the U.S.  In general,</w:t>
      </w:r>
      <w:r>
        <w:rPr>
          <w:sz w:val="20"/>
          <w:szCs w:val="20"/>
        </w:rPr>
        <w:t xml:space="preserve"> under local country law applicable to the entity ownership structures the Company has in place and applicable tax treaties, the repatriation of cash to the Company from its subsidiaries and joint ventures in Canada, Puerto Rico and Mexico generally is </w:t>
      </w:r>
      <w:r>
        <w:rPr>
          <w:rStyle w:val="a6"/>
          <w:sz w:val="20"/>
          <w:szCs w:val="20"/>
        </w:rPr>
        <w:t>not</w:t>
      </w:r>
      <w:r>
        <w:rPr>
          <w:sz w:val="20"/>
          <w:szCs w:val="20"/>
        </w:rPr>
        <w:t xml:space="preserve"> subject to withholding tax. The Company is subject to and includes in its tax provision non-U.S. income taxes on certain investments located in jurisdictions outside the U.S. These investments are primarily held by the Company at the REIT level and </w:t>
      </w:r>
      <w:r>
        <w:rPr>
          <w:rStyle w:val="a6"/>
          <w:sz w:val="20"/>
          <w:szCs w:val="20"/>
        </w:rPr>
        <w:t>not</w:t>
      </w:r>
      <w:r>
        <w:rPr>
          <w:sz w:val="20"/>
          <w:szCs w:val="20"/>
        </w:rPr>
        <w:t xml:space="preserve"> in</w:t>
      </w:r>
      <w:r>
        <w:rPr>
          <w:sz w:val="20"/>
          <w:szCs w:val="20"/>
        </w:rPr>
        <w:t xml:space="preserve"> the Company’s TRSs. Accordingly, the Company does </w:t>
      </w:r>
      <w:r>
        <w:rPr>
          <w:rStyle w:val="a6"/>
          <w:sz w:val="20"/>
          <w:szCs w:val="20"/>
        </w:rPr>
        <w:t>not</w:t>
      </w:r>
      <w:r>
        <w:rPr>
          <w:sz w:val="20"/>
          <w:szCs w:val="20"/>
        </w:rPr>
        <w:t xml:space="preserve"> expect a U.S. income tax impact associated with the repatriation of undistributed earnings from the Company’s foreign subsidiaries.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Income taxes are accounted for under the asset and liability method. Deferred income taxes are recognized for the temporary differences between the financial reporting basis and the tax basis of taxable assets and liabilities.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877236768"/>
        <w:rPr>
          <w:rFonts w:eastAsia="Times New Roman"/>
          <w:sz w:val="20"/>
          <w:szCs w:val="20"/>
        </w:rPr>
      </w:pPr>
      <w:r>
        <w:rPr>
          <w:rStyle w:val="a6"/>
          <w:rFonts w:eastAsia="Times New Roman"/>
          <w:sz w:val="20"/>
          <w:szCs w:val="20"/>
        </w:rPr>
        <w:t>91</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28" style="width:415.3pt;height:1.5pt" o:hralign="center" o:hrstd="t" o:hrnoshade="t" o:hr="t" fillcolor="black" stroked="f"/>
        </w:pict>
      </w:r>
    </w:p>
    <w:p w:rsidR="00000000" w:rsidRDefault="004E30E9">
      <w:pPr>
        <w:divId w:val="1558584348"/>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Company’s pre-tax book income/(loss) and (provision)/benefit for income taxes relating to the Company’s TRSs and taxabl</w:t>
      </w:r>
      <w:r>
        <w:rPr>
          <w:sz w:val="20"/>
          <w:szCs w:val="20"/>
        </w:rPr>
        <w:t xml:space="preserve">e entities which have been consolidated for accounting reporting purposes,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are summarized as follows (in thousands):</w:t>
      </w:r>
    </w:p>
    <w:p w:rsidR="00000000" w:rsidRDefault="004E30E9">
      <w:pPr>
        <w:pStyle w:val="a3"/>
        <w:spacing w:before="0" w:beforeAutospacing="0" w:after="0" w:afterAutospacing="0"/>
        <w:ind w:left="360"/>
        <w:jc w:val="both"/>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4096"/>
        <w:gridCol w:w="72"/>
        <w:gridCol w:w="100"/>
        <w:gridCol w:w="1019"/>
        <w:gridCol w:w="72"/>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Income/(loss) before income taxes – U.S.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1,051</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(1,682</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4,331</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(Provision)/benefit for income taxes, net:</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Federal:</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Current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(482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3,362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(1,221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Deferred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539</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(349</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(1,198</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Federal tax benefit/(provision)</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3,013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(2,419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State and local:</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Current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Deferred</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(414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State and local tax provision</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(14</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(45</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(457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Total tax benefit/(provision)– U.S.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2,968</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(2,876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income from U.S. TRSs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1,094</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1,286</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1,455</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(Loss)/income before taxes – Non-U.S.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(64</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(599</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2,384</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Benefit/(provision) for Non-U.S. income taxes: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Current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479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1,634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Deferred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418</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(358</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Non-U.S. tax benefit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479</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349</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1,276</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 addition, the Company’s (Provision)/benefit for income taxes, net includes $1.5 </w:t>
      </w:r>
      <w:r>
        <w:rPr>
          <w:sz w:val="20"/>
          <w:szCs w:val="20"/>
        </w:rPr>
        <w:t xml:space="preserve">million of estimated state and local tax provision related to the REIT operations during the year ended </w:t>
      </w:r>
      <w:r>
        <w:rPr>
          <w:rStyle w:val="a6"/>
          <w:sz w:val="20"/>
          <w:szCs w:val="20"/>
        </w:rPr>
        <w:t>December 31, 2020.</w:t>
      </w:r>
    </w:p>
    <w:p w:rsidR="00000000" w:rsidRDefault="004E30E9">
      <w:pPr>
        <w:pStyle w:val="a3"/>
        <w:spacing w:before="0" w:beforeAutospacing="0" w:after="0" w:afterAutospacing="0"/>
        <w:ind w:left="72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(Provision)/benefit for income taxes, net differs from the amounts computed by applying the statutory federal income tax rate to ta</w:t>
      </w:r>
      <w:r>
        <w:rPr>
          <w:sz w:val="20"/>
          <w:szCs w:val="20"/>
        </w:rPr>
        <w:t>xable income before income taxes as follows (in thousands):</w:t>
      </w:r>
    </w:p>
    <w:p w:rsidR="00000000" w:rsidRDefault="004E30E9">
      <w:pPr>
        <w:pStyle w:val="a3"/>
        <w:spacing w:before="0" w:beforeAutospacing="0" w:after="0" w:afterAutospacing="0"/>
        <w:ind w:left="360"/>
        <w:jc w:val="both"/>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3655"/>
        <w:gridCol w:w="67"/>
        <w:gridCol w:w="100"/>
        <w:gridCol w:w="1039"/>
        <w:gridCol w:w="67"/>
        <w:gridCol w:w="67"/>
        <w:gridCol w:w="100"/>
        <w:gridCol w:w="1039"/>
        <w:gridCol w:w="67"/>
        <w:gridCol w:w="67"/>
        <w:gridCol w:w="100"/>
        <w:gridCol w:w="1039"/>
        <w:gridCol w:w="6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Federal (provision)/benefit at statutory tax rate (1) (2)</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(221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3,010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(2,490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State and local provision, net of federal benefit (3) (4)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(1,236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(386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Total tax (provision)/benefit – U.S.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(1,457</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2,968</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(2,876</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bl>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The year ended </w:t>
            </w:r>
            <w:r>
              <w:rPr>
                <w:rStyle w:val="a6"/>
                <w:sz w:val="20"/>
                <w:szCs w:val="20"/>
              </w:rPr>
              <w:t xml:space="preserve">December 31, 2019 </w:t>
            </w:r>
            <w:r>
              <w:rPr>
                <w:sz w:val="20"/>
                <w:szCs w:val="20"/>
              </w:rPr>
              <w:t>includes a tax benefit from AMT credit refunds of $3.7 million and $1.1 million related to the recording of a deferred tax valuation allowance.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The year ended </w:t>
            </w:r>
            <w:r>
              <w:rPr>
                <w:rStyle w:val="a6"/>
                <w:sz w:val="20"/>
                <w:szCs w:val="20"/>
              </w:rPr>
              <w:t xml:space="preserve">December 31, 2018 </w:t>
            </w:r>
            <w:r>
              <w:rPr>
                <w:sz w:val="20"/>
                <w:szCs w:val="20"/>
              </w:rPr>
              <w:t xml:space="preserve">includes a charge of $1.6 </w:t>
            </w:r>
            <w:r>
              <w:rPr>
                <w:sz w:val="20"/>
                <w:szCs w:val="20"/>
              </w:rPr>
              <w:t>million related to the recording of a deferred tax valuation allowance.</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3</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The year ended </w:t>
            </w:r>
            <w:r>
              <w:rPr>
                <w:rStyle w:val="a6"/>
                <w:sz w:val="20"/>
                <w:szCs w:val="20"/>
              </w:rPr>
              <w:t xml:space="preserve">December 31, 2018 </w:t>
            </w:r>
            <w:r>
              <w:rPr>
                <w:sz w:val="20"/>
                <w:szCs w:val="20"/>
              </w:rPr>
              <w:t>includes a charge of $0.3 million related to the recording of a deferred tax valuation allowance.</w:t>
            </w:r>
          </w:p>
        </w:tc>
      </w:tr>
      <w:tr w:rsidR="00000000">
        <w:trPr>
          <w:tblCellSpacing w:w="0" w:type="dxa"/>
        </w:trPr>
        <w:tc>
          <w:tcPr>
            <w:tcW w:w="360" w:type="dxa"/>
            <w:hideMark/>
          </w:tcPr>
          <w:p w:rsidR="00000000" w:rsidRDefault="004E30E9">
            <w:pPr>
              <w:rPr>
                <w:rFonts w:eastAsia="Times New Roman"/>
                <w:sz w:val="20"/>
                <w:szCs w:val="20"/>
              </w:rPr>
            </w:pPr>
            <w:r>
              <w:rPr>
                <w:rFonts w:eastAsia="Times New Roman"/>
                <w:sz w:val="20"/>
                <w:szCs w:val="20"/>
              </w:rPr>
              <w:t>(</w:t>
            </w:r>
            <w:r>
              <w:rPr>
                <w:rStyle w:val="a6"/>
                <w:rFonts w:eastAsia="Times New Roman"/>
                <w:sz w:val="20"/>
                <w:szCs w:val="20"/>
              </w:rPr>
              <w:t>4</w:t>
            </w:r>
            <w:r>
              <w:rPr>
                <w:rFonts w:eastAsia="Times New Roman"/>
                <w:sz w:val="20"/>
                <w:szCs w:val="20"/>
              </w:rPr>
              <w:t>)</w:t>
            </w:r>
          </w:p>
        </w:tc>
        <w:tc>
          <w:tcPr>
            <w:tcW w:w="0" w:type="auto"/>
            <w:hideMark/>
          </w:tcPr>
          <w:p w:rsidR="00000000" w:rsidRDefault="004E30E9">
            <w:pPr>
              <w:rPr>
                <w:rFonts w:eastAsia="Times New Roman"/>
                <w:sz w:val="20"/>
                <w:szCs w:val="20"/>
              </w:rPr>
            </w:pPr>
            <w:r>
              <w:rPr>
                <w:rFonts w:eastAsia="Times New Roman"/>
                <w:sz w:val="20"/>
                <w:szCs w:val="20"/>
              </w:rPr>
              <w:t xml:space="preserve">The year ended </w:t>
            </w:r>
            <w:r>
              <w:rPr>
                <w:rStyle w:val="a6"/>
                <w:rFonts w:eastAsia="Times New Roman"/>
                <w:sz w:val="20"/>
                <w:szCs w:val="20"/>
              </w:rPr>
              <w:t xml:space="preserve">December 31, 2020 </w:t>
            </w:r>
            <w:r>
              <w:rPr>
                <w:rFonts w:eastAsia="Times New Roman"/>
                <w:sz w:val="20"/>
                <w:szCs w:val="20"/>
              </w:rPr>
              <w:t xml:space="preserve">includes </w:t>
            </w:r>
            <w:r>
              <w:rPr>
                <w:rFonts w:eastAsia="Times New Roman"/>
                <w:sz w:val="20"/>
                <w:szCs w:val="20"/>
              </w:rPr>
              <w:t>$1.5 million of estimated state and local tax provision related to the REIT operations.</w:t>
            </w:r>
          </w:p>
        </w:tc>
      </w:tr>
    </w:tbl>
    <w:p w:rsidR="00000000" w:rsidRDefault="004E30E9">
      <w:pPr>
        <w:pStyle w:val="a3"/>
        <w:spacing w:before="0" w:beforeAutospacing="0" w:after="0" w:afterAutospacing="0"/>
        <w:ind w:left="360"/>
        <w:jc w:val="both"/>
        <w:rPr>
          <w:sz w:val="20"/>
          <w:szCs w:val="20"/>
        </w:rPr>
      </w:pPr>
      <w:r>
        <w:rPr>
          <w:i/>
          <w:iCs/>
          <w:sz w:val="20"/>
          <w:szCs w:val="20"/>
        </w:rPr>
        <w:t> </w:t>
      </w:r>
    </w:p>
    <w:p w:rsidR="00000000" w:rsidRDefault="004E30E9">
      <w:pPr>
        <w:pStyle w:val="a3"/>
        <w:spacing w:before="0" w:beforeAutospacing="0" w:after="0" w:afterAutospacing="0"/>
        <w:ind w:left="360"/>
        <w:jc w:val="both"/>
        <w:rPr>
          <w:sz w:val="20"/>
          <w:szCs w:val="20"/>
        </w:rPr>
      </w:pPr>
      <w:r>
        <w:rPr>
          <w:i/>
          <w:iCs/>
          <w:sz w:val="20"/>
          <w:szCs w:val="20"/>
        </w:rPr>
        <w:t>Deferred Tax Assets, Liabilities and Valuation Allowances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Company’s deferred tax assets and liabilities at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were as follows (in thou</w:t>
      </w:r>
      <w:r>
        <w:rPr>
          <w:sz w:val="20"/>
          <w:szCs w:val="20"/>
        </w:rPr>
        <w:t>sands):</w:t>
      </w:r>
    </w:p>
    <w:p w:rsidR="00000000" w:rsidRDefault="004E30E9">
      <w:pPr>
        <w:pStyle w:val="a3"/>
        <w:spacing w:before="0" w:beforeAutospacing="0" w:after="0" w:afterAutospacing="0"/>
        <w:jc w:val="both"/>
        <w:rPr>
          <w:sz w:val="20"/>
          <w:szCs w:val="20"/>
        </w:rPr>
      </w:pPr>
      <w:r>
        <w:rPr>
          <w:sz w:val="20"/>
          <w:szCs w:val="20"/>
        </w:rPr>
        <w:t> </w:t>
      </w:r>
    </w:p>
    <w:tbl>
      <w:tblPr>
        <w:tblW w:w="4500" w:type="pct"/>
        <w:tblCellSpacing w:w="0" w:type="dxa"/>
        <w:tblInd w:w="90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Deferred tax assets: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Tax/GAAP basis differences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29,105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29,618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Net operating losses (1)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17,885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20,917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Tax credit carryforwards (2)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2,340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2,340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Capital loss carryforwards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2,270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Related party deferred losses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619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619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Charitable contribution carryforwards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Valuation allowance</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(36,957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(42,703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deferred tax assets</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13,015</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13,084</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Deferred tax liabilities</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(12,765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(12,844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deferred tax assets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250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240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Expiration dates ranging from </w:t>
            </w:r>
            <w:r>
              <w:rPr>
                <w:rStyle w:val="a6"/>
                <w:sz w:val="20"/>
                <w:szCs w:val="20"/>
              </w:rPr>
              <w:t>2021</w:t>
            </w:r>
            <w:r>
              <w:rPr>
                <w:sz w:val="20"/>
                <w:szCs w:val="20"/>
              </w:rPr>
              <w:t xml:space="preserve"> to </w:t>
            </w:r>
            <w:r>
              <w:rPr>
                <w:rStyle w:val="a6"/>
                <w:sz w:val="20"/>
                <w:szCs w:val="20"/>
              </w:rPr>
              <w:t>2032.</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2</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Expiration dates ranging from </w:t>
            </w:r>
            <w:r>
              <w:rPr>
                <w:rStyle w:val="a6"/>
                <w:sz w:val="20"/>
                <w:szCs w:val="20"/>
              </w:rPr>
              <w:t>2027</w:t>
            </w:r>
            <w:r>
              <w:rPr>
                <w:sz w:val="20"/>
                <w:szCs w:val="20"/>
              </w:rPr>
              <w:t xml:space="preserve"> to </w:t>
            </w:r>
            <w:r>
              <w:rPr>
                <w:rStyle w:val="a6"/>
                <w:sz w:val="20"/>
                <w:szCs w:val="20"/>
              </w:rPr>
              <w:t>2035.</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major differences between the GAAP basis of accounting and the basis of accounting used for federal and state income tax reporting consist of impairment charges recorded for GAAP purposes, but </w:t>
      </w:r>
      <w:r>
        <w:rPr>
          <w:rStyle w:val="a6"/>
          <w:sz w:val="20"/>
          <w:szCs w:val="20"/>
        </w:rPr>
        <w:t>not</w:t>
      </w:r>
      <w:r>
        <w:rPr>
          <w:sz w:val="20"/>
          <w:szCs w:val="20"/>
        </w:rPr>
        <w:t xml:space="preserve"> recognized for tax purposes, depreciation and amortizat</w:t>
      </w:r>
      <w:r>
        <w:rPr>
          <w:sz w:val="20"/>
          <w:szCs w:val="20"/>
        </w:rPr>
        <w:t>ion, rental revenue recognized on the straight-line method for GAAP, reserves for doubtful accounts, above-market and below-market lease amortization, differences in GAAP and tax basis of assets sold, and the period in which certain gains were recognized f</w:t>
      </w:r>
      <w:r>
        <w:rPr>
          <w:sz w:val="20"/>
          <w:szCs w:val="20"/>
        </w:rPr>
        <w:t xml:space="preserve">or tax purposes, but </w:t>
      </w:r>
      <w:r>
        <w:rPr>
          <w:rStyle w:val="a6"/>
          <w:sz w:val="20"/>
          <w:szCs w:val="20"/>
        </w:rPr>
        <w:t>not</w:t>
      </w:r>
      <w:r>
        <w:rPr>
          <w:sz w:val="20"/>
          <w:szCs w:val="20"/>
        </w:rPr>
        <w:t xml:space="preserve"> yet recognized under GAAP.</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181555126"/>
        <w:rPr>
          <w:rFonts w:eastAsia="Times New Roman"/>
          <w:sz w:val="20"/>
          <w:szCs w:val="20"/>
        </w:rPr>
      </w:pPr>
      <w:r>
        <w:rPr>
          <w:rStyle w:val="a6"/>
          <w:rFonts w:eastAsia="Times New Roman"/>
          <w:sz w:val="20"/>
          <w:szCs w:val="20"/>
        </w:rPr>
        <w:t>92</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29" style="width:415.3pt;height:1.5pt" o:hralign="center" o:hrstd="t" o:hrnoshade="t" o:hr="t" fillcolor="black" stroked="f"/>
        </w:pict>
      </w:r>
    </w:p>
    <w:p w:rsidR="00000000" w:rsidRDefault="004E30E9">
      <w:pPr>
        <w:divId w:val="43510020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w:t>
      </w:r>
      <w:r>
        <w:rPr>
          <w:sz w:val="20"/>
          <w:szCs w:val="20"/>
        </w:rPr>
        <w:t>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Deferred tax assets and deferred tax liabilities are included in the captions Other assets and Other liabilities on the Company’s Consolidated Balance Sheets at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Operating losses and the valuation allowance are related primarily </w:t>
      </w:r>
      <w:r>
        <w:rPr>
          <w:sz w:val="20"/>
          <w:szCs w:val="20"/>
        </w:rPr>
        <w:t>to the Company’s consolidation of its TRSs for accounting and reporting purposes.</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Under GAAP a reduction of the carrying amounts of deferred tax assets by a valuation allowance is required, if, based on the evidence available, it is more likely than </w:t>
      </w:r>
      <w:r>
        <w:rPr>
          <w:rStyle w:val="a6"/>
          <w:sz w:val="20"/>
          <w:szCs w:val="20"/>
        </w:rPr>
        <w:t>not</w:t>
      </w:r>
      <w:r>
        <w:rPr>
          <w:sz w:val="20"/>
          <w:szCs w:val="20"/>
        </w:rPr>
        <w:t xml:space="preserve"> </w:t>
      </w:r>
      <w:r>
        <w:rPr>
          <w:sz w:val="20"/>
          <w:szCs w:val="20"/>
        </w:rPr>
        <w:t xml:space="preserve">(a likelihood of more than </w:t>
      </w:r>
      <w:r>
        <w:rPr>
          <w:rStyle w:val="a6"/>
          <w:sz w:val="20"/>
          <w:szCs w:val="20"/>
        </w:rPr>
        <w:t>50%</w:t>
      </w:r>
      <w:r>
        <w:rPr>
          <w:sz w:val="20"/>
          <w:szCs w:val="20"/>
        </w:rPr>
        <w:t xml:space="preserve">) that some portion or all of the deferred tax assets will </w:t>
      </w:r>
      <w:r>
        <w:rPr>
          <w:rStyle w:val="a6"/>
          <w:sz w:val="20"/>
          <w:szCs w:val="20"/>
        </w:rPr>
        <w:t>not</w:t>
      </w:r>
      <w:r>
        <w:rPr>
          <w:sz w:val="20"/>
          <w:szCs w:val="20"/>
        </w:rPr>
        <w:t xml:space="preserve"> be realized.  The valuation allowance should be sufficient to reduce the deferred tax asset to the amount that is more likely than </w:t>
      </w:r>
      <w:r>
        <w:rPr>
          <w:rStyle w:val="a6"/>
          <w:sz w:val="20"/>
          <w:szCs w:val="20"/>
        </w:rPr>
        <w:t>not</w:t>
      </w:r>
      <w:r>
        <w:rPr>
          <w:sz w:val="20"/>
          <w:szCs w:val="20"/>
        </w:rPr>
        <w:t xml:space="preserve"> to be realized. Effective </w:t>
      </w:r>
      <w:r>
        <w:rPr>
          <w:rStyle w:val="a6"/>
          <w:sz w:val="20"/>
          <w:szCs w:val="20"/>
        </w:rPr>
        <w:t>Au</w:t>
      </w:r>
      <w:r>
        <w:rPr>
          <w:rStyle w:val="a6"/>
          <w:sz w:val="20"/>
          <w:szCs w:val="20"/>
        </w:rPr>
        <w:t xml:space="preserve">gust 1, 2016, </w:t>
      </w:r>
      <w:r>
        <w:rPr>
          <w:sz w:val="20"/>
          <w:szCs w:val="20"/>
        </w:rPr>
        <w:t>the Company merged Kimco Realty Services, Inc. (“KRSI”), a TRS holding REIT qualifying real estate, into a wholly owned LLC (the “Merger”) and KRSI was dissolved. As a result of the Merger, the Company determined that the realization of its t</w:t>
      </w:r>
      <w:r>
        <w:rPr>
          <w:sz w:val="20"/>
          <w:szCs w:val="20"/>
        </w:rPr>
        <w:t xml:space="preserve">hen net deferred tax assets was </w:t>
      </w:r>
      <w:r>
        <w:rPr>
          <w:rStyle w:val="a6"/>
          <w:sz w:val="20"/>
          <w:szCs w:val="20"/>
        </w:rPr>
        <w:t>not</w:t>
      </w:r>
      <w:r>
        <w:rPr>
          <w:sz w:val="20"/>
          <w:szCs w:val="20"/>
        </w:rPr>
        <w:t xml:space="preserve"> deemed more likely than </w:t>
      </w:r>
      <w:r>
        <w:rPr>
          <w:rStyle w:val="a6"/>
          <w:sz w:val="20"/>
          <w:szCs w:val="20"/>
        </w:rPr>
        <w:t>not</w:t>
      </w:r>
      <w:r>
        <w:rPr>
          <w:sz w:val="20"/>
          <w:szCs w:val="20"/>
        </w:rPr>
        <w:t xml:space="preserve"> and as such, the Company recorded a full valuation allowance against these net deferred tax assets that existed at the time of the Merger.</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 prepared an analysis of the tax basis b</w:t>
      </w:r>
      <w:r>
        <w:rPr>
          <w:sz w:val="20"/>
          <w:szCs w:val="20"/>
        </w:rPr>
        <w:t>uilt-in tax gain or built-in loss inherent in each asset acquired from KRSI in the Merger. Assets of a TRS that become REIT assets in a merger transaction of the type entered into by the Company and KRSI are subject to corporate tax on the aggregate net bu</w:t>
      </w:r>
      <w:r>
        <w:rPr>
          <w:sz w:val="20"/>
          <w:szCs w:val="20"/>
        </w:rPr>
        <w:t xml:space="preserve">ilt-in gain (built-in gains in excess of built-in losses) during a recognition period. Accordingly, the Company is subject to corporate-level taxation on the aggregate net built-in gain from the sale of KRSI assets within </w:t>
      </w:r>
      <w:r>
        <w:rPr>
          <w:rStyle w:val="a6"/>
          <w:sz w:val="20"/>
          <w:szCs w:val="20"/>
        </w:rPr>
        <w:t>60</w:t>
      </w:r>
      <w:r>
        <w:rPr>
          <w:sz w:val="20"/>
          <w:szCs w:val="20"/>
        </w:rPr>
        <w:t xml:space="preserve"> months from the Merger date (th</w:t>
      </w:r>
      <w:r>
        <w:rPr>
          <w:sz w:val="20"/>
          <w:szCs w:val="20"/>
        </w:rPr>
        <w:t xml:space="preserve">e recognition period) which expires </w:t>
      </w:r>
      <w:r>
        <w:rPr>
          <w:rStyle w:val="a6"/>
          <w:sz w:val="20"/>
          <w:szCs w:val="20"/>
        </w:rPr>
        <w:t xml:space="preserve">August 1, 2021. </w:t>
      </w:r>
      <w:r>
        <w:rPr>
          <w:sz w:val="20"/>
          <w:szCs w:val="20"/>
        </w:rPr>
        <w:t xml:space="preserve">The maximum taxable amount with respect to all merged assets disposed within </w:t>
      </w:r>
      <w:r>
        <w:rPr>
          <w:rStyle w:val="a6"/>
          <w:sz w:val="20"/>
          <w:szCs w:val="20"/>
        </w:rPr>
        <w:t>60</w:t>
      </w:r>
      <w:r>
        <w:rPr>
          <w:sz w:val="20"/>
          <w:szCs w:val="20"/>
        </w:rPr>
        <w:t xml:space="preserve"> months of the Merger is limited to the aggregate net built-in gain at the Merger date. The Company compared fair value to ta</w:t>
      </w:r>
      <w:r>
        <w:rPr>
          <w:sz w:val="20"/>
          <w:szCs w:val="20"/>
        </w:rPr>
        <w:t xml:space="preserve">x basis for each property or asset to determine its built-in gain (value over basis) or built-in loss (basis over value) which could be subject to corporate level taxes if the Company disposed of the asset previously held by KRSI during the </w:t>
      </w:r>
      <w:r>
        <w:rPr>
          <w:rStyle w:val="a6"/>
          <w:sz w:val="20"/>
          <w:szCs w:val="20"/>
        </w:rPr>
        <w:t>60</w:t>
      </w:r>
      <w:r>
        <w:rPr>
          <w:sz w:val="20"/>
          <w:szCs w:val="20"/>
        </w:rPr>
        <w:t xml:space="preserve"> months follo</w:t>
      </w:r>
      <w:r>
        <w:rPr>
          <w:sz w:val="20"/>
          <w:szCs w:val="20"/>
        </w:rPr>
        <w:t>wing the Merger date. In the event that sales of KRSI assets during the recognition period result in corporate level tax, the unrecognized tax benefits reported as deferred tax assets from KRSI will be utilized to reduce the corporate level tax for GAAP pu</w:t>
      </w:r>
      <w:r>
        <w:rPr>
          <w:sz w:val="20"/>
          <w:szCs w:val="20"/>
        </w:rPr>
        <w:t>rposes.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rPr>
          <w:sz w:val="20"/>
          <w:szCs w:val="20"/>
        </w:rPr>
      </w:pPr>
      <w:r>
        <w:rPr>
          <w:i/>
          <w:iCs/>
          <w:sz w:val="20"/>
          <w:szCs w:val="20"/>
        </w:rPr>
        <w:t>Uncertain Tax Positions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Company is subject to income tax in certain jurisdictions outside the U.S., principally Canada and Mexico. The statute of limitations on assessment of tax varies from </w:t>
      </w:r>
      <w:r>
        <w:rPr>
          <w:rStyle w:val="a6"/>
          <w:sz w:val="20"/>
          <w:szCs w:val="20"/>
        </w:rPr>
        <w:t>three</w:t>
      </w:r>
      <w:r>
        <w:rPr>
          <w:sz w:val="20"/>
          <w:szCs w:val="20"/>
        </w:rPr>
        <w:t xml:space="preserve"> to </w:t>
      </w:r>
      <w:r>
        <w:rPr>
          <w:rStyle w:val="a6"/>
          <w:sz w:val="20"/>
          <w:szCs w:val="20"/>
        </w:rPr>
        <w:t>seven</w:t>
      </w:r>
      <w:r>
        <w:rPr>
          <w:sz w:val="20"/>
          <w:szCs w:val="20"/>
        </w:rPr>
        <w:t xml:space="preserve"> years depending on the jurisdictio</w:t>
      </w:r>
      <w:r>
        <w:rPr>
          <w:sz w:val="20"/>
          <w:szCs w:val="20"/>
        </w:rPr>
        <w:t xml:space="preserve">n and tax issue. Tax returns filed in each jurisdiction are subject to examination by local tax authorities. The Company is currently under audit by the Canadian Revenue Agency and Mexican Tax Authority. The resolution of these audits are </w:t>
      </w:r>
      <w:r>
        <w:rPr>
          <w:rStyle w:val="a6"/>
          <w:sz w:val="20"/>
          <w:szCs w:val="20"/>
        </w:rPr>
        <w:t>not</w:t>
      </w:r>
      <w:r>
        <w:rPr>
          <w:sz w:val="20"/>
          <w:szCs w:val="20"/>
        </w:rPr>
        <w:t xml:space="preserve"> expected to h</w:t>
      </w:r>
      <w:r>
        <w:rPr>
          <w:sz w:val="20"/>
          <w:szCs w:val="20"/>
        </w:rPr>
        <w:t xml:space="preserve">ave a material effect on the Company’s financial statements. The Company has accrued $1.5 million and $2.4 million of non-current uncertain tax positions and related interest under the provisions of the authoritative guidance that addresses accounting for </w:t>
      </w:r>
      <w:r>
        <w:rPr>
          <w:sz w:val="20"/>
          <w:szCs w:val="20"/>
        </w:rPr>
        <w:t xml:space="preserve">income taxes at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respectively, which are included in Other liabilities on the Company’s Consolidated Balance Sheets. The Company does </w:t>
      </w:r>
      <w:r>
        <w:rPr>
          <w:rStyle w:val="a6"/>
          <w:sz w:val="20"/>
          <w:szCs w:val="20"/>
        </w:rPr>
        <w:t>not</w:t>
      </w:r>
      <w:r>
        <w:rPr>
          <w:sz w:val="20"/>
          <w:szCs w:val="20"/>
        </w:rPr>
        <w:t xml:space="preserve"> believe that the total amount of unrecognized tax benefits as of </w:t>
      </w:r>
      <w:r>
        <w:rPr>
          <w:rStyle w:val="a6"/>
          <w:sz w:val="20"/>
          <w:szCs w:val="20"/>
        </w:rPr>
        <w:t xml:space="preserve">December 31, 2020, </w:t>
      </w:r>
      <w:r>
        <w:rPr>
          <w:sz w:val="20"/>
          <w:szCs w:val="20"/>
        </w:rPr>
        <w:t xml:space="preserve">will significantly increase or decrease within the next </w:t>
      </w:r>
      <w:r>
        <w:rPr>
          <w:rStyle w:val="a6"/>
          <w:sz w:val="20"/>
          <w:szCs w:val="20"/>
        </w:rPr>
        <w:t>12</w:t>
      </w:r>
      <w:r>
        <w:rPr>
          <w:sz w:val="20"/>
          <w:szCs w:val="20"/>
        </w:rPr>
        <w:t xml:space="preserve"> months.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During </w:t>
      </w:r>
      <w:r>
        <w:rPr>
          <w:rStyle w:val="a6"/>
          <w:sz w:val="20"/>
          <w:szCs w:val="20"/>
        </w:rPr>
        <w:t xml:space="preserve">August 2016, </w:t>
      </w:r>
      <w:r>
        <w:rPr>
          <w:sz w:val="20"/>
          <w:szCs w:val="20"/>
        </w:rPr>
        <w:t xml:space="preserve">the Mexican Tax Authority issued tax assessments against </w:t>
      </w:r>
      <w:r>
        <w:rPr>
          <w:rStyle w:val="a6"/>
          <w:sz w:val="20"/>
          <w:szCs w:val="20"/>
        </w:rPr>
        <w:t>35</w:t>
      </w:r>
      <w:r>
        <w:rPr>
          <w:sz w:val="20"/>
          <w:szCs w:val="20"/>
        </w:rPr>
        <w:t xml:space="preserve"> entities, including certain joint ventures, of the Company that had previously held interests in operating </w:t>
      </w:r>
      <w:r>
        <w:rPr>
          <w:sz w:val="20"/>
          <w:szCs w:val="20"/>
        </w:rPr>
        <w:t xml:space="preserve">properties in Mexico. These assessments relate to certain income tax, interest expense and withholding tax items subject to the United States-Mexico Income Tax Convention (the “Treaty”). The assessments were for the 2010 tax year with </w:t>
      </w:r>
      <w:r>
        <w:rPr>
          <w:rStyle w:val="a6"/>
          <w:sz w:val="20"/>
          <w:szCs w:val="20"/>
        </w:rPr>
        <w:t>four</w:t>
      </w:r>
      <w:r>
        <w:rPr>
          <w:sz w:val="20"/>
          <w:szCs w:val="20"/>
        </w:rPr>
        <w:t xml:space="preserve"> of the </w:t>
      </w:r>
      <w:r>
        <w:rPr>
          <w:rStyle w:val="a6"/>
          <w:sz w:val="20"/>
          <w:szCs w:val="20"/>
        </w:rPr>
        <w:t>35</w:t>
      </w:r>
      <w:r>
        <w:rPr>
          <w:sz w:val="20"/>
          <w:szCs w:val="20"/>
        </w:rPr>
        <w:t xml:space="preserve"> entiti</w:t>
      </w:r>
      <w:r>
        <w:rPr>
          <w:sz w:val="20"/>
          <w:szCs w:val="20"/>
        </w:rPr>
        <w:t xml:space="preserve">es also assessed for the years </w:t>
      </w:r>
      <w:r>
        <w:rPr>
          <w:rStyle w:val="a6"/>
          <w:sz w:val="20"/>
          <w:szCs w:val="20"/>
        </w:rPr>
        <w:t>2007</w:t>
      </w:r>
      <w:r>
        <w:rPr>
          <w:sz w:val="20"/>
          <w:szCs w:val="20"/>
        </w:rPr>
        <w:t xml:space="preserve"> and/or </w:t>
      </w:r>
      <w:r>
        <w:rPr>
          <w:rStyle w:val="a6"/>
          <w:sz w:val="20"/>
          <w:szCs w:val="20"/>
        </w:rPr>
        <w:t>2008.</w:t>
      </w:r>
      <w:r>
        <w:rPr>
          <w:sz w:val="20"/>
          <w:szCs w:val="20"/>
        </w:rPr>
        <w:t xml:space="preserve"> The assessments include amounts for taxes aggregating $33.7 million, interest aggregating $16.5 million and penalties aggregating $11.4 million. The Company’s aggregate share of these amounts is $52.6 millio</w:t>
      </w:r>
      <w:r>
        <w:rPr>
          <w:sz w:val="20"/>
          <w:szCs w:val="20"/>
        </w:rPr>
        <w:t xml:space="preserve">n. The Company filed appeals in the Mexican Tax Court in </w:t>
      </w:r>
      <w:r>
        <w:rPr>
          <w:rStyle w:val="a6"/>
          <w:sz w:val="20"/>
          <w:szCs w:val="20"/>
        </w:rPr>
        <w:t xml:space="preserve">September 2018 </w:t>
      </w:r>
      <w:r>
        <w:rPr>
          <w:sz w:val="20"/>
          <w:szCs w:val="20"/>
        </w:rPr>
        <w:t xml:space="preserve">challenging these assessments, as it believes that it has operated in accordance with the Treaty provisions and has therefore concluded that </w:t>
      </w:r>
      <w:r>
        <w:rPr>
          <w:rStyle w:val="a6"/>
          <w:sz w:val="20"/>
          <w:szCs w:val="20"/>
        </w:rPr>
        <w:t>no</w:t>
      </w:r>
      <w:r>
        <w:rPr>
          <w:sz w:val="20"/>
          <w:szCs w:val="20"/>
        </w:rPr>
        <w:t xml:space="preserve"> amounts are payable with respect to this</w:t>
      </w:r>
      <w:r>
        <w:rPr>
          <w:sz w:val="20"/>
          <w:szCs w:val="20"/>
        </w:rPr>
        <w:t xml:space="preserve"> matter. The U.S.  Competent Authority (Department of Treasury), responsible for administering U.S. tax treaties, indicates agreement with this position and has represented the Company regarding this matter with the Mexican Competent Authority. During </w:t>
      </w:r>
      <w:r>
        <w:rPr>
          <w:rStyle w:val="a6"/>
          <w:sz w:val="20"/>
          <w:szCs w:val="20"/>
        </w:rPr>
        <w:t>Apri</w:t>
      </w:r>
      <w:r>
        <w:rPr>
          <w:rStyle w:val="a6"/>
          <w:sz w:val="20"/>
          <w:szCs w:val="20"/>
        </w:rPr>
        <w:t xml:space="preserve">l 2019, </w:t>
      </w:r>
      <w:r>
        <w:rPr>
          <w:sz w:val="20"/>
          <w:szCs w:val="20"/>
        </w:rPr>
        <w:t xml:space="preserve">all the appeals were argued at a hearing in the Superior Chamber of the Tax Court. During the </w:t>
      </w:r>
      <w:r>
        <w:rPr>
          <w:rStyle w:val="a6"/>
          <w:sz w:val="20"/>
          <w:szCs w:val="20"/>
        </w:rPr>
        <w:t>fourth</w:t>
      </w:r>
      <w:r>
        <w:rPr>
          <w:sz w:val="20"/>
          <w:szCs w:val="20"/>
        </w:rPr>
        <w:t xml:space="preserve"> quarter of </w:t>
      </w:r>
      <w:r>
        <w:rPr>
          <w:rStyle w:val="a6"/>
          <w:sz w:val="20"/>
          <w:szCs w:val="20"/>
        </w:rPr>
        <w:t>2019,</w:t>
      </w:r>
      <w:r>
        <w:rPr>
          <w:sz w:val="20"/>
          <w:szCs w:val="20"/>
        </w:rPr>
        <w:t xml:space="preserve"> the Company started receiving rulings from the Mexican Tax Court and has to date received </w:t>
      </w:r>
      <w:r>
        <w:rPr>
          <w:rStyle w:val="a6"/>
          <w:sz w:val="20"/>
          <w:szCs w:val="20"/>
        </w:rPr>
        <w:t>34</w:t>
      </w:r>
      <w:r>
        <w:rPr>
          <w:sz w:val="20"/>
          <w:szCs w:val="20"/>
        </w:rPr>
        <w:t xml:space="preserve"> rulings on its </w:t>
      </w:r>
      <w:r>
        <w:rPr>
          <w:rStyle w:val="a6"/>
          <w:sz w:val="20"/>
          <w:szCs w:val="20"/>
        </w:rPr>
        <w:t>35</w:t>
      </w:r>
      <w:r>
        <w:rPr>
          <w:sz w:val="20"/>
          <w:szCs w:val="20"/>
        </w:rPr>
        <w:t xml:space="preserve"> total assessments w</w:t>
      </w:r>
      <w:r>
        <w:rPr>
          <w:sz w:val="20"/>
          <w:szCs w:val="20"/>
        </w:rPr>
        <w:t>hich found that $16.1 million ($12.8 million representing the Company’s share) of the total assessment was improperly assessed, but ruled in favor of the Mexican Tax Authority with respect to the balance of the assessments. Regarding the portion of the rul</w:t>
      </w:r>
      <w:r>
        <w:rPr>
          <w:sz w:val="20"/>
          <w:szCs w:val="20"/>
        </w:rPr>
        <w:t xml:space="preserve">ing in favor of the Mexican Tax Authority, the Company believes it has operated in accordance with the Treaty provisions and has therefore </w:t>
      </w:r>
      <w:r>
        <w:rPr>
          <w:rStyle w:val="a6"/>
          <w:sz w:val="20"/>
          <w:szCs w:val="20"/>
        </w:rPr>
        <w:t>not</w:t>
      </w:r>
      <w:r>
        <w:rPr>
          <w:sz w:val="20"/>
          <w:szCs w:val="20"/>
        </w:rPr>
        <w:t xml:space="preserve"> changed its position on this matter. The Company has filed appeals for the </w:t>
      </w:r>
      <w:r>
        <w:rPr>
          <w:rStyle w:val="a6"/>
          <w:sz w:val="20"/>
          <w:szCs w:val="20"/>
        </w:rPr>
        <w:t>34</w:t>
      </w:r>
      <w:r>
        <w:rPr>
          <w:sz w:val="20"/>
          <w:szCs w:val="20"/>
        </w:rPr>
        <w:t xml:space="preserve"> rulings it has received in the Mexi</w:t>
      </w:r>
      <w:r>
        <w:rPr>
          <w:sz w:val="20"/>
          <w:szCs w:val="20"/>
        </w:rPr>
        <w:t xml:space="preserve">can Appeals Court. The remaining ruling </w:t>
      </w:r>
      <w:r>
        <w:rPr>
          <w:rStyle w:val="a6"/>
          <w:sz w:val="20"/>
          <w:szCs w:val="20"/>
        </w:rPr>
        <w:t>not</w:t>
      </w:r>
      <w:r>
        <w:rPr>
          <w:sz w:val="20"/>
          <w:szCs w:val="20"/>
        </w:rPr>
        <w:t xml:space="preserve"> yet received from the Mexican Tax Court is expected to be consistent with the current rulings and the Company intends to appeal when received. The appeals were assigned to </w:t>
      </w:r>
      <w:r>
        <w:rPr>
          <w:rStyle w:val="a6"/>
          <w:sz w:val="20"/>
          <w:szCs w:val="20"/>
        </w:rPr>
        <w:t>18</w:t>
      </w:r>
      <w:r>
        <w:rPr>
          <w:sz w:val="20"/>
          <w:szCs w:val="20"/>
        </w:rPr>
        <w:t xml:space="preserve"> different Appeals Circuit Courts. To </w:t>
      </w:r>
      <w:r>
        <w:rPr>
          <w:sz w:val="20"/>
          <w:szCs w:val="20"/>
        </w:rPr>
        <w:t xml:space="preserve">date, </w:t>
      </w:r>
      <w:r>
        <w:rPr>
          <w:rStyle w:val="a6"/>
          <w:sz w:val="20"/>
          <w:szCs w:val="20"/>
        </w:rPr>
        <w:t>eight</w:t>
      </w:r>
      <w:r>
        <w:rPr>
          <w:sz w:val="20"/>
          <w:szCs w:val="20"/>
        </w:rPr>
        <w:t xml:space="preserve"> appealed assessments have been ruled on, of which </w:t>
      </w:r>
      <w:r>
        <w:rPr>
          <w:rStyle w:val="a6"/>
          <w:sz w:val="20"/>
          <w:szCs w:val="20"/>
        </w:rPr>
        <w:t>one</w:t>
      </w:r>
      <w:r>
        <w:rPr>
          <w:sz w:val="20"/>
          <w:szCs w:val="20"/>
        </w:rPr>
        <w:t xml:space="preserve"> Circuit Court ruled in favor of the Company and </w:t>
      </w:r>
      <w:r>
        <w:rPr>
          <w:rStyle w:val="a6"/>
          <w:sz w:val="20"/>
          <w:szCs w:val="20"/>
        </w:rPr>
        <w:t>five</w:t>
      </w:r>
      <w:r>
        <w:rPr>
          <w:sz w:val="20"/>
          <w:szCs w:val="20"/>
        </w:rPr>
        <w:t xml:space="preserve"> Circuit Courts ruled against in </w:t>
      </w:r>
      <w:r>
        <w:rPr>
          <w:rStyle w:val="a6"/>
          <w:sz w:val="20"/>
          <w:szCs w:val="20"/>
        </w:rPr>
        <w:t>seven</w:t>
      </w:r>
      <w:r>
        <w:rPr>
          <w:sz w:val="20"/>
          <w:szCs w:val="20"/>
        </w:rPr>
        <w:t xml:space="preserve"> cases.  The unfavorable rulings have been appealed to the Supreme Court in Mexico. The Company inte</w:t>
      </w:r>
      <w:r>
        <w:rPr>
          <w:sz w:val="20"/>
          <w:szCs w:val="20"/>
        </w:rPr>
        <w:t>nds to continue to vigorously defend its position and believes it will prevail, however this outcome cannot be assured.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jc w:val="center"/>
        <w:divId w:val="214506619"/>
        <w:rPr>
          <w:rFonts w:eastAsia="Times New Roman"/>
          <w:sz w:val="20"/>
          <w:szCs w:val="20"/>
        </w:rPr>
      </w:pPr>
      <w:r>
        <w:rPr>
          <w:rFonts w:eastAsia="Times New Roman"/>
          <w:sz w:val="20"/>
          <w:szCs w:val="20"/>
        </w:rPr>
        <w:t xml:space="preserve">93 </w:t>
      </w:r>
    </w:p>
    <w:p w:rsidR="00000000" w:rsidRDefault="004E30E9">
      <w:pPr>
        <w:divId w:val="1966737400"/>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4E30E9">
      <w:pPr>
        <w:divId w:val="6395035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w:t>
      </w:r>
      <w:r>
        <w:rPr>
          <w:sz w:val="20"/>
          <w:szCs w:val="20"/>
        </w:rPr>
        <w:t>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divId w:val="855197596"/>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jc w:val="both"/>
        <w:rPr>
          <w:sz w:val="20"/>
          <w:szCs w:val="20"/>
        </w:rPr>
      </w:pPr>
      <w:r>
        <w:rPr>
          <w:rStyle w:val="a6"/>
          <w:sz w:val="20"/>
          <w:szCs w:val="20"/>
        </w:rPr>
        <w:t>23.</w:t>
      </w:r>
      <w:r>
        <w:rPr>
          <w:sz w:val="20"/>
          <w:szCs w:val="20"/>
        </w:rPr>
        <w:t xml:space="preserve"> </w:t>
      </w:r>
      <w:r>
        <w:rPr>
          <w:sz w:val="20"/>
          <w:szCs w:val="20"/>
          <w:u w:val="single"/>
        </w:rPr>
        <w:t>Earnings Per Share:</w:t>
      </w:r>
    </w:p>
    <w:p w:rsidR="00000000" w:rsidRDefault="004E30E9">
      <w:pPr>
        <w:pStyle w:val="a3"/>
        <w:spacing w:before="0" w:beforeAutospacing="0" w:after="0" w:afterAutospacing="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following table sets forth the reconciliation of earnings and the weighted-average number of shares used in the calculation of basic and diluted earnings per share (amounts presented in thousands, except per share data):</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62"/>
        <w:gridCol w:w="78"/>
        <w:gridCol w:w="100"/>
        <w:gridCol w:w="992"/>
        <w:gridCol w:w="78"/>
        <w:gridCol w:w="78"/>
        <w:gridCol w:w="100"/>
        <w:gridCol w:w="992"/>
        <w:gridCol w:w="78"/>
        <w:gridCol w:w="78"/>
        <w:gridCol w:w="100"/>
        <w:gridCol w:w="992"/>
        <w:gridCol w:w="7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For the Year Ended Decemb</w:t>
            </w:r>
            <w:r>
              <w:rPr>
                <w:b/>
                <w:bCs/>
                <w:sz w:val="20"/>
                <w:szCs w:val="20"/>
              </w:rPr>
              <w:t>er 31,</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4E30E9">
            <w:pPr>
              <w:pStyle w:val="a3"/>
              <w:spacing w:before="0" w:beforeAutospacing="0" w:after="0" w:afterAutospacing="0"/>
              <w:rPr>
                <w:sz w:val="20"/>
                <w:szCs w:val="20"/>
              </w:rPr>
            </w:pPr>
            <w:r>
              <w:rPr>
                <w:i/>
                <w:iCs/>
                <w:sz w:val="20"/>
                <w:szCs w:val="20"/>
              </w:rPr>
              <w:t>Computation of Basic and Diluted Earnings Per Share:</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i/>
                <w:iCs/>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975,417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339,988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439,604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Change in estimated redemption value of redeemable noncontrolling interests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2,160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(7,521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Earnings attributable to participating securities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(6,347</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(2,599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(2,375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income available to the Company’s common shareholders for basic earnings per share</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971,230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337,389</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429,708</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Distributions on convertible units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161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99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income available to the Company’s common shareholders for diluted earnings per share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971,391</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337,419</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429,807</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Weighted average common shares outstanding – basic</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429,950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420,370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420,641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Effect of dilutive securities (1):</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Equity awards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1,475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1,365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628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208</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64</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110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431,633</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421,799</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421,379</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Basic earnings per share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2.26</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0.80</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1.02</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Diluted earnings per share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2.25</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0.80</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1.02</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The effect of the assumed conversion of certain convertible units had an anti-dilutive effect upon the calculation of Income from continuing operations per share. Accordingly, the impact of such conversions has </w:t>
            </w:r>
            <w:r>
              <w:rPr>
                <w:rStyle w:val="a6"/>
                <w:sz w:val="20"/>
                <w:szCs w:val="20"/>
              </w:rPr>
              <w:t>not</w:t>
            </w:r>
            <w:r>
              <w:rPr>
                <w:sz w:val="20"/>
                <w:szCs w:val="20"/>
              </w:rPr>
              <w:t xml:space="preserve"> been included in the determination of dil</w:t>
            </w:r>
            <w:r>
              <w:rPr>
                <w:sz w:val="20"/>
                <w:szCs w:val="20"/>
              </w:rPr>
              <w:t xml:space="preserve">uted earnings per share calculations. Additionally, there were 1.2 million, 0.5 million and 1.3 million stock options that were </w:t>
            </w:r>
            <w:r>
              <w:rPr>
                <w:rStyle w:val="a6"/>
                <w:sz w:val="20"/>
                <w:szCs w:val="20"/>
              </w:rPr>
              <w:t>not</w:t>
            </w:r>
            <w:r>
              <w:rPr>
                <w:sz w:val="20"/>
                <w:szCs w:val="20"/>
              </w:rPr>
              <w:t xml:space="preserve"> dilutive as of </w:t>
            </w:r>
            <w:r>
              <w:rPr>
                <w:rStyle w:val="a6"/>
                <w:sz w:val="20"/>
                <w:szCs w:val="20"/>
              </w:rPr>
              <w:t>December 31, 2020, 2019</w:t>
            </w:r>
            <w:r>
              <w:rPr>
                <w:sz w:val="20"/>
                <w:szCs w:val="20"/>
              </w:rPr>
              <w:t xml:space="preserve"> and </w:t>
            </w:r>
            <w:r>
              <w:rPr>
                <w:rStyle w:val="a6"/>
                <w:sz w:val="20"/>
                <w:szCs w:val="20"/>
              </w:rPr>
              <w:t>2018,</w:t>
            </w:r>
            <w:r>
              <w:rPr>
                <w:sz w:val="20"/>
                <w:szCs w:val="20"/>
              </w:rPr>
              <w:t xml:space="preserve"> respectively.</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The Company's unvested restricted share awards contain non</w:t>
      </w:r>
      <w:r>
        <w:rPr>
          <w:sz w:val="20"/>
          <w:szCs w:val="20"/>
        </w:rPr>
        <w:t xml:space="preserve">-forfeitable rights to distributions or distribution equivalents. The impact of the unvested restricted share awards on earnings per share has been calculated using the </w:t>
      </w:r>
      <w:r>
        <w:rPr>
          <w:rStyle w:val="a6"/>
          <w:sz w:val="20"/>
          <w:szCs w:val="20"/>
        </w:rPr>
        <w:t>two</w:t>
      </w:r>
      <w:r>
        <w:rPr>
          <w:sz w:val="20"/>
          <w:szCs w:val="20"/>
        </w:rPr>
        <w:t>-class method whereby earnings are allocated to the unvested restricted share awards</w:t>
      </w:r>
      <w:r>
        <w:rPr>
          <w:sz w:val="20"/>
          <w:szCs w:val="20"/>
        </w:rPr>
        <w:t xml:space="preserve"> based on dividends declared and the unvested restricted shares' participation rights in undistributed earnings.</w:t>
      </w:r>
    </w:p>
    <w:p w:rsidR="00000000" w:rsidRDefault="004E30E9">
      <w:pPr>
        <w:pStyle w:val="a3"/>
        <w:spacing w:before="0" w:beforeAutospacing="0" w:after="0" w:afterAutospacing="0"/>
        <w:rPr>
          <w:sz w:val="20"/>
          <w:szCs w:val="20"/>
        </w:rPr>
      </w:pPr>
      <w:r>
        <w:rPr>
          <w:sz w:val="20"/>
          <w:szCs w:val="20"/>
        </w:rPr>
        <w:t> </w:t>
      </w:r>
    </w:p>
    <w:p w:rsidR="00000000" w:rsidRDefault="004E30E9">
      <w:pPr>
        <w:divId w:val="373391082"/>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rStyle w:val="a6"/>
          <w:sz w:val="20"/>
          <w:szCs w:val="20"/>
        </w:rPr>
        <w:t>24.</w:t>
      </w:r>
      <w:r>
        <w:rPr>
          <w:sz w:val="20"/>
          <w:szCs w:val="20"/>
        </w:rPr>
        <w:t>  </w:t>
      </w:r>
      <w:r>
        <w:rPr>
          <w:sz w:val="20"/>
          <w:szCs w:val="20"/>
          <w:u w:val="single"/>
        </w:rPr>
        <w:t>Supplemental Financial Information (Unaudited):</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The following represents the quarterly results of operations, expressed in thousands except per share amounts, for the years ended </w:t>
      </w:r>
      <w:r>
        <w:rPr>
          <w:rStyle w:val="a6"/>
          <w:sz w:val="20"/>
          <w:szCs w:val="20"/>
        </w:rPr>
        <w:t xml:space="preserve">December 31, 2020 </w:t>
      </w:r>
      <w:r>
        <w:rPr>
          <w:sz w:val="20"/>
          <w:szCs w:val="20"/>
        </w:rPr>
        <w:t xml:space="preserve">and </w:t>
      </w:r>
      <w:r>
        <w:rPr>
          <w:rStyle w:val="a6"/>
          <w:sz w:val="20"/>
          <w:szCs w:val="20"/>
        </w:rPr>
        <w:t>2019:</w:t>
      </w:r>
    </w:p>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First </w:t>
            </w:r>
          </w:p>
          <w:p w:rsidR="00000000" w:rsidRDefault="004E30E9">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Second </w:t>
            </w:r>
          </w:p>
          <w:p w:rsidR="00000000" w:rsidRDefault="004E30E9">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Third </w:t>
            </w:r>
          </w:p>
          <w:p w:rsidR="00000000" w:rsidRDefault="004E30E9">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Fourth </w:t>
            </w:r>
          </w:p>
          <w:p w:rsidR="00000000" w:rsidRDefault="004E30E9">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Revenues</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289,744</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238,916</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259,792</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269,441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Net income/(loss) attributable to the Company</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90,100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747,893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(38,394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201,234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income/(loss) per common share:</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Basic</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0.19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1.71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(0.10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0.46</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Diluted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0.19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(0.10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0.45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14"/>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First </w:t>
            </w:r>
          </w:p>
          <w:p w:rsidR="00000000" w:rsidRDefault="004E30E9">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Second </w:t>
            </w:r>
          </w:p>
          <w:p w:rsidR="00000000" w:rsidRDefault="004E30E9">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Third </w:t>
            </w:r>
          </w:p>
          <w:p w:rsidR="00000000" w:rsidRDefault="004E30E9">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Fourth </w:t>
            </w:r>
          </w:p>
          <w:p w:rsidR="00000000" w:rsidRDefault="004E30E9">
            <w:pPr>
              <w:pStyle w:val="a3"/>
              <w:spacing w:before="0" w:beforeAutospacing="0" w:after="0" w:afterAutospacing="0"/>
              <w:jc w:val="center"/>
              <w:rPr>
                <w:sz w:val="20"/>
                <w:szCs w:val="20"/>
              </w:rPr>
            </w:pPr>
            <w:r>
              <w:rPr>
                <w:b/>
                <w:bCs/>
                <w:sz w:val="20"/>
                <w:szCs w:val="20"/>
              </w:rPr>
              <w:t>Quarter</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Revenues</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295,010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284,873</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282,871</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nil"/>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296,130</w:t>
            </w:r>
          </w:p>
        </w:tc>
        <w:tc>
          <w:tcPr>
            <w:tcW w:w="50" w:type="pct"/>
            <w:tcBorders>
              <w:bottom w:val="nil"/>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Net income attributable to the Company</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116,169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101,027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83,990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109,419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Net income per common share:</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360"/>
              <w:rPr>
                <w:sz w:val="20"/>
                <w:szCs w:val="20"/>
              </w:rPr>
            </w:pPr>
            <w:r>
              <w:rPr>
                <w:sz w:val="20"/>
                <w:szCs w:val="20"/>
              </w:rPr>
              <w:t>Basic</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0.24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0.20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0.14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0.22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360"/>
              <w:rPr>
                <w:sz w:val="20"/>
                <w:szCs w:val="20"/>
              </w:rPr>
            </w:pPr>
            <w:r>
              <w:rPr>
                <w:sz w:val="20"/>
                <w:szCs w:val="20"/>
              </w:rPr>
              <w:t>Diluted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0.24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0.14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0.22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jc w:val="center"/>
        <w:divId w:val="800654346"/>
        <w:rPr>
          <w:rFonts w:eastAsia="Times New Roman"/>
          <w:sz w:val="20"/>
          <w:szCs w:val="20"/>
        </w:rPr>
      </w:pPr>
      <w:r>
        <w:rPr>
          <w:rFonts w:eastAsia="Times New Roman"/>
          <w:sz w:val="20"/>
          <w:szCs w:val="20"/>
        </w:rPr>
        <w:t xml:space="preserve">94 </w:t>
      </w:r>
    </w:p>
    <w:p w:rsidR="00000000" w:rsidRDefault="004E30E9">
      <w:pPr>
        <w:divId w:val="1101952347"/>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4E30E9">
      <w:pPr>
        <w:divId w:val="191774074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NOTES TO CONSOLIDATED FINANCIAL STATEMENTS, continued</w:t>
      </w:r>
    </w:p>
    <w:p w:rsidR="00000000" w:rsidRDefault="004E30E9">
      <w:pPr>
        <w:pStyle w:val="a3"/>
        <w:spacing w:before="0" w:beforeAutospacing="0" w:after="0" w:afterAutospacing="0"/>
        <w:rPr>
          <w:sz w:val="20"/>
          <w:szCs w:val="20"/>
        </w:rPr>
      </w:pPr>
      <w:r>
        <w:rPr>
          <w:sz w:val="20"/>
          <w:szCs w:val="20"/>
        </w:rPr>
        <w:t> </w:t>
      </w:r>
    </w:p>
    <w:p w:rsidR="00000000" w:rsidRDefault="004E30E9">
      <w:pPr>
        <w:divId w:val="1291665199"/>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ind w:left="1080" w:hanging="1080"/>
        <w:rPr>
          <w:sz w:val="20"/>
          <w:szCs w:val="20"/>
        </w:rPr>
      </w:pPr>
      <w:r>
        <w:rPr>
          <w:rStyle w:val="a6"/>
          <w:sz w:val="20"/>
          <w:szCs w:val="20"/>
        </w:rPr>
        <w:t>25.</w:t>
      </w:r>
      <w:r>
        <w:rPr>
          <w:sz w:val="20"/>
          <w:szCs w:val="20"/>
        </w:rPr>
        <w:t>  </w:t>
      </w:r>
      <w:r>
        <w:rPr>
          <w:sz w:val="20"/>
          <w:szCs w:val="20"/>
          <w:u w:val="single"/>
        </w:rPr>
        <w:t>Captive Insurance Company:</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In </w:t>
      </w:r>
      <w:r>
        <w:rPr>
          <w:rStyle w:val="a6"/>
          <w:sz w:val="20"/>
          <w:szCs w:val="20"/>
        </w:rPr>
        <w:t xml:space="preserve">October 2007, </w:t>
      </w:r>
      <w:r>
        <w:rPr>
          <w:sz w:val="20"/>
          <w:szCs w:val="20"/>
        </w:rPr>
        <w:t xml:space="preserve">the Company formed a wholly owned captive insurance company, KIC, which provides general liability insurance coverage for all losses below the deductible under the Company’s </w:t>
      </w:r>
      <w:r>
        <w:rPr>
          <w:rStyle w:val="a6"/>
          <w:sz w:val="20"/>
          <w:szCs w:val="20"/>
        </w:rPr>
        <w:t>third</w:t>
      </w:r>
      <w:r>
        <w:rPr>
          <w:sz w:val="20"/>
          <w:szCs w:val="20"/>
        </w:rPr>
        <w:t>-party liability insurance policy. The Company created KIC as part of its ove</w:t>
      </w:r>
      <w:r>
        <w:rPr>
          <w:sz w:val="20"/>
          <w:szCs w:val="20"/>
        </w:rPr>
        <w:t>rall risk management program and to stabilize its insurance costs, manage exposure and recoup expenses through the functions of the captive program. The Company capitalized KIC in accordance with the applicable regulatory requirements. KIC established annu</w:t>
      </w:r>
      <w:r>
        <w:rPr>
          <w:sz w:val="20"/>
          <w:szCs w:val="20"/>
        </w:rPr>
        <w:t xml:space="preserve">al premiums based on projections derived from the past loss experience of the Company’s properties. KIC has engaged an independent </w:t>
      </w:r>
      <w:r>
        <w:rPr>
          <w:rStyle w:val="a6"/>
          <w:sz w:val="20"/>
          <w:szCs w:val="20"/>
        </w:rPr>
        <w:t>third</w:t>
      </w:r>
      <w:r>
        <w:rPr>
          <w:sz w:val="20"/>
          <w:szCs w:val="20"/>
        </w:rPr>
        <w:t>-party to perform an actuarial estimate of future projected claims, related deductibles and projected expenses necessary</w:t>
      </w:r>
      <w:r>
        <w:rPr>
          <w:sz w:val="20"/>
          <w:szCs w:val="20"/>
        </w:rPr>
        <w:t xml:space="preserve"> to fund associated risk management programs. Premiums paid to KIC </w:t>
      </w:r>
      <w:r>
        <w:rPr>
          <w:rStyle w:val="a6"/>
          <w:sz w:val="20"/>
          <w:szCs w:val="20"/>
        </w:rPr>
        <w:t xml:space="preserve">may </w:t>
      </w:r>
      <w:r>
        <w:rPr>
          <w:sz w:val="20"/>
          <w:szCs w:val="20"/>
        </w:rPr>
        <w:t xml:space="preserve">be adjusted based on this estimate. Like premiums paid to </w:t>
      </w:r>
      <w:r>
        <w:rPr>
          <w:rStyle w:val="a6"/>
          <w:sz w:val="20"/>
          <w:szCs w:val="20"/>
        </w:rPr>
        <w:t>third</w:t>
      </w:r>
      <w:r>
        <w:rPr>
          <w:sz w:val="20"/>
          <w:szCs w:val="20"/>
        </w:rPr>
        <w:t xml:space="preserve">-party insurance companies, premiums paid to KIC </w:t>
      </w:r>
      <w:r>
        <w:rPr>
          <w:rStyle w:val="a6"/>
          <w:sz w:val="20"/>
          <w:szCs w:val="20"/>
        </w:rPr>
        <w:t xml:space="preserve">may </w:t>
      </w:r>
      <w:r>
        <w:rPr>
          <w:sz w:val="20"/>
          <w:szCs w:val="20"/>
        </w:rPr>
        <w:t>be reimbursed by tenants pursuant to specific lease terms.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KIC assu</w:t>
      </w:r>
      <w:r>
        <w:rPr>
          <w:sz w:val="20"/>
          <w:szCs w:val="20"/>
        </w:rPr>
        <w:t>mes occurrence basis general liability coverage (</w:t>
      </w:r>
      <w:r>
        <w:rPr>
          <w:rStyle w:val="a6"/>
          <w:sz w:val="20"/>
          <w:szCs w:val="20"/>
        </w:rPr>
        <w:t>not</w:t>
      </w:r>
      <w:r>
        <w:rPr>
          <w:sz w:val="20"/>
          <w:szCs w:val="20"/>
        </w:rPr>
        <w:t xml:space="preserve"> including casualty loss or business interruption) for the Company and its affiliates under the terms of a reinsurance agreement entered into by KIC and the reinsurance provider.</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From </w:t>
      </w:r>
      <w:r>
        <w:rPr>
          <w:rStyle w:val="a6"/>
          <w:sz w:val="20"/>
          <w:szCs w:val="20"/>
        </w:rPr>
        <w:t xml:space="preserve">October 1, 2007 </w:t>
      </w:r>
      <w:r>
        <w:rPr>
          <w:sz w:val="20"/>
          <w:szCs w:val="20"/>
        </w:rPr>
        <w:t>th</w:t>
      </w:r>
      <w:r>
        <w:rPr>
          <w:sz w:val="20"/>
          <w:szCs w:val="20"/>
        </w:rPr>
        <w:t xml:space="preserve">rough </w:t>
      </w:r>
      <w:r>
        <w:rPr>
          <w:rStyle w:val="a6"/>
          <w:sz w:val="20"/>
          <w:szCs w:val="20"/>
        </w:rPr>
        <w:t xml:space="preserve">February 1, 2022, </w:t>
      </w:r>
      <w:r>
        <w:rPr>
          <w:sz w:val="20"/>
          <w:szCs w:val="20"/>
        </w:rPr>
        <w:t xml:space="preserve">KIC assumes 100% of the </w:t>
      </w:r>
      <w:r>
        <w:rPr>
          <w:rStyle w:val="a6"/>
          <w:sz w:val="20"/>
          <w:szCs w:val="20"/>
        </w:rPr>
        <w:t>first</w:t>
      </w:r>
      <w:r>
        <w:rPr>
          <w:sz w:val="20"/>
          <w:szCs w:val="20"/>
        </w:rPr>
        <w:t xml:space="preserve"> $250,000 per occurrence risk layer. This coverage is subject to annual aggregates ranging between $7.8 million and $13.2 million per policy year. The annual aggregate is adjustable based on the amount o</w:t>
      </w:r>
      <w:r>
        <w:rPr>
          <w:sz w:val="20"/>
          <w:szCs w:val="20"/>
        </w:rPr>
        <w:t>f audited square footage of the insureds’ locations and can be adjusted for subsequent program years. Defense costs erode the stated policy limits. KIC is required to pay the reinsurance provider for unallocated loss adjustment expenses an amount ranging b</w:t>
      </w:r>
      <w:r>
        <w:rPr>
          <w:sz w:val="20"/>
          <w:szCs w:val="20"/>
        </w:rPr>
        <w:t xml:space="preserve">etween 8.0% and 12.2% of incurred losses for the policy periods ending </w:t>
      </w:r>
      <w:r>
        <w:rPr>
          <w:rStyle w:val="a6"/>
          <w:sz w:val="20"/>
          <w:szCs w:val="20"/>
        </w:rPr>
        <w:t xml:space="preserve">September 30, 2008 </w:t>
      </w:r>
      <w:r>
        <w:rPr>
          <w:sz w:val="20"/>
          <w:szCs w:val="20"/>
        </w:rPr>
        <w:t xml:space="preserve">through </w:t>
      </w:r>
      <w:r>
        <w:rPr>
          <w:rStyle w:val="a6"/>
          <w:sz w:val="20"/>
          <w:szCs w:val="20"/>
        </w:rPr>
        <w:t xml:space="preserve">January 31, 2022. </w:t>
      </w:r>
      <w:r>
        <w:rPr>
          <w:sz w:val="20"/>
          <w:szCs w:val="20"/>
        </w:rPr>
        <w:t xml:space="preserve">These amounts do </w:t>
      </w:r>
      <w:r>
        <w:rPr>
          <w:rStyle w:val="a6"/>
          <w:sz w:val="20"/>
          <w:szCs w:val="20"/>
        </w:rPr>
        <w:t>not</w:t>
      </w:r>
      <w:r>
        <w:rPr>
          <w:sz w:val="20"/>
          <w:szCs w:val="20"/>
        </w:rPr>
        <w:t xml:space="preserve"> erode the Company’s per occurrence or aggregate limits.</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As of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the Company maintained a le</w:t>
      </w:r>
      <w:r>
        <w:rPr>
          <w:sz w:val="20"/>
          <w:szCs w:val="20"/>
        </w:rPr>
        <w:t xml:space="preserve">tter of credit in the amount of $21.5 million issued in favor of the reinsurance provider to provide security for the Company’s obligations under its agreement with the reinsurance provider. The letter of credit maintained as of </w:t>
      </w:r>
      <w:r>
        <w:rPr>
          <w:rStyle w:val="a6"/>
          <w:sz w:val="20"/>
          <w:szCs w:val="20"/>
        </w:rPr>
        <w:t xml:space="preserve">December 31, 2020, </w:t>
      </w:r>
      <w:r>
        <w:rPr>
          <w:sz w:val="20"/>
          <w:szCs w:val="20"/>
        </w:rPr>
        <w:t>has an e</w:t>
      </w:r>
      <w:r>
        <w:rPr>
          <w:sz w:val="20"/>
          <w:szCs w:val="20"/>
        </w:rPr>
        <w:t xml:space="preserve">xpiration date of </w:t>
      </w:r>
      <w:r>
        <w:rPr>
          <w:rStyle w:val="a6"/>
          <w:sz w:val="20"/>
          <w:szCs w:val="20"/>
        </w:rPr>
        <w:t xml:space="preserve">February 15, 2022, </w:t>
      </w:r>
      <w:r>
        <w:rPr>
          <w:sz w:val="20"/>
          <w:szCs w:val="20"/>
        </w:rPr>
        <w:t xml:space="preserve">with automatic renewals for </w:t>
      </w:r>
      <w:r>
        <w:rPr>
          <w:rStyle w:val="a6"/>
          <w:sz w:val="20"/>
          <w:szCs w:val="20"/>
        </w:rPr>
        <w:t>one</w:t>
      </w:r>
      <w:r>
        <w:rPr>
          <w:sz w:val="20"/>
          <w:szCs w:val="20"/>
        </w:rPr>
        <w:t xml:space="preserve"> year.</w:t>
      </w:r>
    </w:p>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Activity in the liability for unpaid losses and loss adjustment expenses for the years ended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is summarized as follows (in thousands):</w:t>
      </w:r>
    </w:p>
    <w:p w:rsidR="00000000" w:rsidRDefault="004E30E9">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Balance at the beginning of the year</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15,664</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16,130</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Incurred related to:</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Current year</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ind w:left="360"/>
              <w:jc w:val="right"/>
              <w:rPr>
                <w:rFonts w:eastAsia="Times New Roman"/>
                <w:sz w:val="20"/>
                <w:szCs w:val="20"/>
              </w:rPr>
            </w:pPr>
            <w:r>
              <w:rPr>
                <w:rFonts w:eastAsia="Times New Roman"/>
                <w:sz w:val="20"/>
                <w:szCs w:val="20"/>
              </w:rPr>
              <w:t>3,693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ind w:left="360"/>
              <w:jc w:val="right"/>
              <w:rPr>
                <w:rFonts w:eastAsia="Times New Roman"/>
                <w:sz w:val="20"/>
                <w:szCs w:val="20"/>
              </w:rPr>
            </w:pPr>
            <w:r>
              <w:rPr>
                <w:rFonts w:eastAsia="Times New Roman"/>
                <w:sz w:val="20"/>
                <w:szCs w:val="20"/>
              </w:rPr>
              <w:t>5,331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Prior years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4E30E9">
            <w:pPr>
              <w:ind w:left="360"/>
              <w:jc w:val="right"/>
              <w:rPr>
                <w:rFonts w:eastAsia="Times New Roman"/>
                <w:sz w:val="20"/>
                <w:szCs w:val="20"/>
              </w:rPr>
            </w:pPr>
            <w:r>
              <w:rPr>
                <w:rFonts w:eastAsia="Times New Roman"/>
                <w:sz w:val="20"/>
                <w:szCs w:val="20"/>
              </w:rPr>
              <w:t>(179</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(1,948</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incurred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4E30E9">
            <w:pPr>
              <w:ind w:left="360"/>
              <w:jc w:val="right"/>
              <w:rPr>
                <w:rFonts w:eastAsia="Times New Roman"/>
                <w:sz w:val="20"/>
                <w:szCs w:val="20"/>
              </w:rPr>
            </w:pPr>
            <w:r>
              <w:rPr>
                <w:rFonts w:eastAsia="Times New Roman"/>
                <w:sz w:val="20"/>
                <w:szCs w:val="20"/>
              </w:rPr>
              <w:t>3,514</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4E30E9">
            <w:pPr>
              <w:ind w:left="360"/>
              <w:jc w:val="right"/>
              <w:rPr>
                <w:rFonts w:eastAsia="Times New Roman"/>
                <w:sz w:val="20"/>
                <w:szCs w:val="20"/>
              </w:rPr>
            </w:pPr>
            <w:r>
              <w:rPr>
                <w:rFonts w:eastAsia="Times New Roman"/>
                <w:sz w:val="20"/>
                <w:szCs w:val="20"/>
              </w:rPr>
              <w:t>3,383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Paid related to:</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Current year</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Prior years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(4,986</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(3,593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Total paid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(5,436</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(3,849</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Balance at the end of the year</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13,742</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15,664</w:t>
            </w:r>
          </w:p>
        </w:tc>
        <w:tc>
          <w:tcPr>
            <w:tcW w:w="50" w:type="pct"/>
            <w:shd w:val="clear" w:color="auto" w:fill="FFFF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p w:rsidR="00000000" w:rsidRDefault="004E30E9">
      <w:pPr>
        <w:pStyle w:val="a3"/>
        <w:spacing w:before="0" w:beforeAutospacing="0" w:after="0" w:afterAutospacing="0"/>
        <w:ind w:left="360"/>
        <w:jc w:val="both"/>
        <w:rPr>
          <w:sz w:val="20"/>
          <w:szCs w:val="20"/>
        </w:rPr>
      </w:pPr>
      <w:r>
        <w:rPr>
          <w:sz w:val="20"/>
          <w:szCs w:val="20"/>
        </w:rPr>
        <w:t xml:space="preserve">For the years ended </w:t>
      </w:r>
      <w:r>
        <w:rPr>
          <w:rStyle w:val="a6"/>
          <w:sz w:val="20"/>
          <w:szCs w:val="20"/>
        </w:rPr>
        <w:t xml:space="preserve">December 31, 2020 </w:t>
      </w:r>
      <w:r>
        <w:rPr>
          <w:sz w:val="20"/>
          <w:szCs w:val="20"/>
        </w:rPr>
        <w:t xml:space="preserve">and </w:t>
      </w:r>
      <w:r>
        <w:rPr>
          <w:rStyle w:val="a6"/>
          <w:sz w:val="20"/>
          <w:szCs w:val="20"/>
        </w:rPr>
        <w:t>2019,</w:t>
      </w:r>
      <w:r>
        <w:rPr>
          <w:sz w:val="20"/>
          <w:szCs w:val="20"/>
        </w:rPr>
        <w:t xml:space="preserve"> the changes in estimates in insured events in the prior years, incurred losses and loss adjustment expenses resulted in a decrease of $0.2 million and $1.9 million, respectively, which was primarily due to continued regular favo</w:t>
      </w:r>
      <w:r>
        <w:rPr>
          <w:sz w:val="20"/>
          <w:szCs w:val="20"/>
        </w:rPr>
        <w:t>rable loss development on the general liability coverage assumed.</w:t>
      </w:r>
    </w:p>
    <w:p w:rsidR="00000000" w:rsidRDefault="004E30E9">
      <w:pPr>
        <w:pStyle w:val="a3"/>
        <w:spacing w:before="0" w:beforeAutospacing="0" w:after="0" w:afterAutospacing="0"/>
        <w:ind w:left="360"/>
        <w:rPr>
          <w:sz w:val="20"/>
          <w:szCs w:val="20"/>
        </w:rPr>
      </w:pPr>
      <w:r>
        <w:rPr>
          <w:sz w:val="20"/>
          <w:szCs w:val="20"/>
        </w:rPr>
        <w:t> </w:t>
      </w:r>
    </w:p>
    <w:p w:rsidR="00000000" w:rsidRDefault="004E30E9">
      <w:pPr>
        <w:jc w:val="center"/>
        <w:divId w:val="2013868179"/>
        <w:rPr>
          <w:rFonts w:eastAsia="Times New Roman"/>
          <w:sz w:val="20"/>
          <w:szCs w:val="20"/>
        </w:rPr>
      </w:pPr>
      <w:r>
        <w:rPr>
          <w:rFonts w:eastAsia="Times New Roman"/>
          <w:sz w:val="20"/>
          <w:szCs w:val="20"/>
        </w:rPr>
        <w:t xml:space="preserve">95 </w:t>
      </w:r>
    </w:p>
    <w:p w:rsidR="00000000" w:rsidRDefault="004E30E9">
      <w:pPr>
        <w:divId w:val="872578184"/>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4E30E9">
      <w:pPr>
        <w:divId w:val="1822076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divId w:val="536820799"/>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KIMCO REALTY CORPORATION AND SUBSIDIARIES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SCHEDULE II – VALUATION AND QUALIFYING ACCOUNTS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 xml:space="preserve">For Years Ended </w:t>
      </w:r>
      <w:r>
        <w:rPr>
          <w:rStyle w:val="a6"/>
          <w:sz w:val="20"/>
          <w:szCs w:val="20"/>
        </w:rPr>
        <w:t>December 31, 2020, 2019</w:t>
      </w:r>
      <w:r>
        <w:rPr>
          <w:sz w:val="20"/>
          <w:szCs w:val="20"/>
        </w:rPr>
        <w:t xml:space="preserve"> and </w:t>
      </w:r>
      <w:r>
        <w:rPr>
          <w:rStyle w:val="a6"/>
          <w:sz w:val="20"/>
          <w:szCs w:val="20"/>
        </w:rPr>
        <w:t>2018</w:t>
      </w:r>
    </w:p>
    <w:p w:rsidR="00000000" w:rsidRDefault="004E30E9">
      <w:pPr>
        <w:pStyle w:val="a3"/>
        <w:spacing w:before="0" w:beforeAutospacing="0" w:after="0" w:afterAutospacing="0"/>
        <w:ind w:left="144" w:right="144"/>
        <w:jc w:val="center"/>
        <w:rPr>
          <w:sz w:val="20"/>
          <w:szCs w:val="20"/>
        </w:rPr>
      </w:pPr>
      <w:r>
        <w:rPr>
          <w:sz w:val="20"/>
          <w:szCs w:val="20"/>
        </w:rPr>
        <w:t>(in thousands)</w:t>
      </w:r>
    </w:p>
    <w:p w:rsidR="00000000" w:rsidRDefault="004E30E9">
      <w:pPr>
        <w:pStyle w:val="a3"/>
        <w:spacing w:before="0" w:beforeAutospacing="0" w:after="0" w:afterAutospacing="0"/>
        <w:ind w:left="144" w:right="144"/>
        <w:jc w:val="center"/>
        <w:rPr>
          <w:sz w:val="20"/>
          <w:szCs w:val="20"/>
        </w:rPr>
      </w:pPr>
      <w:r>
        <w:rPr>
          <w:sz w:val="20"/>
          <w:szCs w:val="20"/>
        </w:rPr>
        <w:t> </w:t>
      </w:r>
    </w:p>
    <w:p w:rsidR="00000000" w:rsidRDefault="004E30E9">
      <w:pPr>
        <w:pStyle w:val="a3"/>
        <w:spacing w:before="0" w:beforeAutospacing="0" w:after="0" w:afterAutospacing="0"/>
        <w:ind w:left="144" w:right="144"/>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86"/>
        <w:gridCol w:w="50"/>
        <w:gridCol w:w="101"/>
        <w:gridCol w:w="760"/>
        <w:gridCol w:w="50"/>
        <w:gridCol w:w="50"/>
        <w:gridCol w:w="101"/>
        <w:gridCol w:w="706"/>
        <w:gridCol w:w="50"/>
        <w:gridCol w:w="50"/>
        <w:gridCol w:w="109"/>
        <w:gridCol w:w="980"/>
        <w:gridCol w:w="67"/>
        <w:gridCol w:w="50"/>
        <w:gridCol w:w="101"/>
        <w:gridCol w:w="860"/>
        <w:gridCol w:w="67"/>
        <w:gridCol w:w="50"/>
        <w:gridCol w:w="101"/>
        <w:gridCol w:w="667"/>
        <w:gridCol w:w="50"/>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Balance at </w:t>
            </w:r>
          </w:p>
          <w:p w:rsidR="00000000" w:rsidRDefault="004E30E9">
            <w:pPr>
              <w:pStyle w:val="a3"/>
              <w:spacing w:before="0" w:beforeAutospacing="0" w:after="0" w:afterAutospacing="0"/>
              <w:jc w:val="center"/>
              <w:rPr>
                <w:sz w:val="20"/>
                <w:szCs w:val="20"/>
              </w:rPr>
            </w:pPr>
            <w:r>
              <w:rPr>
                <w:b/>
                <w:bCs/>
                <w:sz w:val="20"/>
                <w:szCs w:val="20"/>
              </w:rPr>
              <w:t xml:space="preserve">beginning of </w:t>
            </w:r>
          </w:p>
          <w:p w:rsidR="00000000" w:rsidRDefault="004E30E9">
            <w:pPr>
              <w:pStyle w:val="a3"/>
              <w:spacing w:before="0" w:beforeAutospacing="0" w:after="0" w:afterAutospacing="0"/>
              <w:jc w:val="center"/>
              <w:rPr>
                <w:sz w:val="20"/>
                <w:szCs w:val="20"/>
              </w:rPr>
            </w:pPr>
            <w:r>
              <w:rPr>
                <w:b/>
                <w:bCs/>
                <w:sz w:val="20"/>
                <w:szCs w:val="20"/>
              </w:rPr>
              <w:t>period</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Charged to </w:t>
            </w:r>
          </w:p>
          <w:p w:rsidR="00000000" w:rsidRDefault="004E30E9">
            <w:pPr>
              <w:pStyle w:val="a3"/>
              <w:spacing w:before="0" w:beforeAutospacing="0" w:after="0" w:afterAutospacing="0"/>
              <w:jc w:val="center"/>
              <w:rPr>
                <w:sz w:val="20"/>
                <w:szCs w:val="20"/>
              </w:rPr>
            </w:pPr>
            <w:r>
              <w:rPr>
                <w:b/>
                <w:bCs/>
                <w:sz w:val="20"/>
                <w:szCs w:val="20"/>
              </w:rPr>
              <w:t>expenses</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Adjustments to </w:t>
            </w:r>
          </w:p>
          <w:p w:rsidR="00000000" w:rsidRDefault="004E30E9">
            <w:pPr>
              <w:pStyle w:val="a3"/>
              <w:spacing w:before="0" w:beforeAutospacing="0" w:after="0" w:afterAutospacing="0"/>
              <w:jc w:val="center"/>
              <w:rPr>
                <w:sz w:val="20"/>
                <w:szCs w:val="20"/>
              </w:rPr>
            </w:pPr>
            <w:r>
              <w:rPr>
                <w:b/>
                <w:bCs/>
                <w:sz w:val="20"/>
                <w:szCs w:val="20"/>
              </w:rPr>
              <w:t xml:space="preserve">valuation </w:t>
            </w:r>
          </w:p>
          <w:p w:rsidR="00000000" w:rsidRDefault="004E30E9">
            <w:pPr>
              <w:pStyle w:val="a3"/>
              <w:spacing w:before="0" w:beforeAutospacing="0" w:after="0" w:afterAutospacing="0"/>
              <w:jc w:val="center"/>
              <w:rPr>
                <w:sz w:val="20"/>
                <w:szCs w:val="20"/>
              </w:rPr>
            </w:pPr>
            <w:r>
              <w:rPr>
                <w:b/>
                <w:bCs/>
                <w:sz w:val="20"/>
                <w:szCs w:val="20"/>
              </w:rPr>
              <w:t>accounts</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Deductions</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 xml:space="preserve">Balance at </w:t>
            </w:r>
          </w:p>
          <w:p w:rsidR="00000000" w:rsidRDefault="004E30E9">
            <w:pPr>
              <w:pStyle w:val="a3"/>
              <w:spacing w:before="0" w:beforeAutospacing="0" w:after="0" w:afterAutospacing="0"/>
              <w:jc w:val="center"/>
              <w:rPr>
                <w:sz w:val="20"/>
                <w:szCs w:val="20"/>
              </w:rPr>
            </w:pPr>
            <w:r>
              <w:rPr>
                <w:b/>
                <w:bCs/>
                <w:sz w:val="20"/>
                <w:szCs w:val="20"/>
              </w:rPr>
              <w:t xml:space="preserve">end of </w:t>
            </w:r>
          </w:p>
          <w:p w:rsidR="00000000" w:rsidRDefault="004E30E9">
            <w:pPr>
              <w:pStyle w:val="a3"/>
              <w:spacing w:before="0" w:beforeAutospacing="0" w:after="0" w:afterAutospacing="0"/>
              <w:jc w:val="center"/>
              <w:rPr>
                <w:sz w:val="20"/>
                <w:szCs w:val="20"/>
              </w:rPr>
            </w:pPr>
            <w:r>
              <w:rPr>
                <w:b/>
                <w:bCs/>
                <w:sz w:val="20"/>
                <w:szCs w:val="20"/>
              </w:rPr>
              <w:t>period</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Year Ended December 31, 2020</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Allowance for uncollectable accounts (1)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22,377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22,377</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Allowance for deferred tax asset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42,703</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(5,746</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36,957</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Year Ended December 31, 2019</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Allowance for deferred tax asset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45,413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(2,710</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42,703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Year Ended December 31, 2018</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Allowance for uncollectable accounts (1)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17,066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9,254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(5,882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20,438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Allowance for deferred tax asset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54,155</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(8,742</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45,413</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E30E9">
            <w:pPr>
              <w:rPr>
                <w:rFonts w:eastAsia="Times New Roman"/>
              </w:rPr>
            </w:pPr>
            <w:r>
              <w:rPr>
                <w:rFonts w:eastAsia="Times New Roman"/>
              </w:rPr>
              <w:t> </w:t>
            </w:r>
          </w:p>
        </w:tc>
        <w:tc>
          <w:tcPr>
            <w:tcW w:w="360" w:type="dxa"/>
            <w:hideMark/>
          </w:tcPr>
          <w:p w:rsidR="00000000" w:rsidRDefault="004E30E9">
            <w:pPr>
              <w:pStyle w:val="a3"/>
              <w:spacing w:before="0" w:beforeAutospacing="0" w:after="0" w:afterAutospacing="0"/>
              <w:jc w:val="both"/>
              <w:rPr>
                <w:sz w:val="20"/>
                <w:szCs w:val="20"/>
              </w:rPr>
            </w:pPr>
            <w:r>
              <w:rPr>
                <w:sz w:val="20"/>
                <w:szCs w:val="20"/>
              </w:rPr>
              <w:t>(</w:t>
            </w:r>
            <w:r>
              <w:rPr>
                <w:rStyle w:val="a6"/>
                <w:sz w:val="20"/>
                <w:szCs w:val="20"/>
              </w:rPr>
              <w:t>1</w:t>
            </w:r>
            <w:r>
              <w:rPr>
                <w:sz w:val="20"/>
                <w:szCs w:val="20"/>
              </w:rPr>
              <w:t>)</w:t>
            </w:r>
          </w:p>
        </w:tc>
        <w:tc>
          <w:tcPr>
            <w:tcW w:w="0" w:type="auto"/>
            <w:hideMark/>
          </w:tcPr>
          <w:p w:rsidR="00000000" w:rsidRDefault="004E30E9">
            <w:pPr>
              <w:pStyle w:val="a3"/>
              <w:spacing w:before="0" w:beforeAutospacing="0" w:after="0" w:afterAutospacing="0"/>
              <w:jc w:val="both"/>
              <w:rPr>
                <w:sz w:val="20"/>
                <w:szCs w:val="20"/>
              </w:rPr>
            </w:pPr>
            <w:r>
              <w:rPr>
                <w:sz w:val="20"/>
                <w:szCs w:val="20"/>
              </w:rPr>
              <w:t xml:space="preserve">Includes allowances on accounts receivable and straight-line rents.  Effective </w:t>
            </w:r>
            <w:r>
              <w:rPr>
                <w:rStyle w:val="a6"/>
                <w:sz w:val="20"/>
                <w:szCs w:val="20"/>
              </w:rPr>
              <w:t xml:space="preserve">January 1, 2019, </w:t>
            </w:r>
            <w:r>
              <w:rPr>
                <w:sz w:val="20"/>
                <w:szCs w:val="20"/>
              </w:rPr>
              <w:t xml:space="preserve">in accordance with the adoption of Topic </w:t>
            </w:r>
            <w:r>
              <w:rPr>
                <w:rStyle w:val="a6"/>
                <w:sz w:val="20"/>
                <w:szCs w:val="20"/>
              </w:rPr>
              <w:t>842,</w:t>
            </w:r>
            <w:r>
              <w:rPr>
                <w:sz w:val="20"/>
                <w:szCs w:val="20"/>
              </w:rPr>
              <w:t xml:space="preserve"> the Company includes provision for doubtful accounts in Revenues from rental properties, net on the Company’s Cons</w:t>
            </w:r>
            <w:r>
              <w:rPr>
                <w:sz w:val="20"/>
                <w:szCs w:val="20"/>
              </w:rPr>
              <w:t xml:space="preserve">olidated Statements of Income.  If a lessee’s accounts receivable balance is considered uncollectible, these uncollectible lessee lease receivables would be recognized as a reduction in revenues and would </w:t>
            </w:r>
            <w:r>
              <w:rPr>
                <w:rStyle w:val="a6"/>
                <w:sz w:val="20"/>
                <w:szCs w:val="20"/>
              </w:rPr>
              <w:t>not</w:t>
            </w:r>
            <w:r>
              <w:rPr>
                <w:sz w:val="20"/>
                <w:szCs w:val="20"/>
              </w:rPr>
              <w:t xml:space="preserve"> be considered an allowance. With this implement</w:t>
            </w:r>
            <w:r>
              <w:rPr>
                <w:sz w:val="20"/>
                <w:szCs w:val="20"/>
              </w:rPr>
              <w:t xml:space="preserve">ation, the Allowance for Uncollectible Accounts was re-characterized to be appropriately reflected as reductions in revenues for uncollectible amounts.  In addition, the Company also recognizes a general reserve which is included for the year ended </w:t>
            </w:r>
            <w:r>
              <w:rPr>
                <w:rStyle w:val="a6"/>
                <w:sz w:val="20"/>
                <w:szCs w:val="20"/>
              </w:rPr>
              <w:t>Decembe</w:t>
            </w:r>
            <w:r>
              <w:rPr>
                <w:rStyle w:val="a6"/>
                <w:sz w:val="20"/>
                <w:szCs w:val="20"/>
              </w:rPr>
              <w:t xml:space="preserve">r 31, 2020. </w:t>
            </w:r>
            <w:r>
              <w:rPr>
                <w:sz w:val="20"/>
                <w:szCs w:val="20"/>
              </w:rPr>
              <w:t xml:space="preserve">See Footnote </w:t>
            </w:r>
            <w:r>
              <w:rPr>
                <w:rStyle w:val="a6"/>
                <w:sz w:val="20"/>
                <w:szCs w:val="20"/>
              </w:rPr>
              <w:t>1</w:t>
            </w:r>
            <w:r>
              <w:rPr>
                <w:sz w:val="20"/>
                <w:szCs w:val="20"/>
              </w:rPr>
              <w:t xml:space="preserve"> of the Notes to the Consolidated Financial Statements for additional disclosure. </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1734428758"/>
        <w:rPr>
          <w:rFonts w:eastAsia="Times New Roman"/>
          <w:sz w:val="20"/>
          <w:szCs w:val="20"/>
        </w:rPr>
      </w:pPr>
      <w:r>
        <w:rPr>
          <w:rFonts w:eastAsia="Times New Roman"/>
          <w:sz w:val="20"/>
          <w:szCs w:val="20"/>
        </w:rPr>
        <w:t xml:space="preserve">96 </w:t>
      </w:r>
    </w:p>
    <w:p w:rsidR="00000000" w:rsidRDefault="004E30E9">
      <w:pPr>
        <w:divId w:val="2100834074"/>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4E30E9">
      <w:pPr>
        <w:divId w:val="85434954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divId w:val="37318417"/>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b/>
          <w:bCs/>
          <w:sz w:val="20"/>
          <w:szCs w:val="20"/>
        </w:rPr>
        <w:t>KIMCO REALTY CORPORATION AND SUBSIDIARIES</w:t>
      </w:r>
    </w:p>
    <w:p w:rsidR="00000000" w:rsidRDefault="004E30E9">
      <w:pPr>
        <w:pStyle w:val="a3"/>
        <w:spacing w:before="0" w:beforeAutospacing="0" w:after="0" w:afterAutospacing="0"/>
        <w:jc w:val="center"/>
        <w:rPr>
          <w:sz w:val="20"/>
          <w:szCs w:val="20"/>
        </w:rPr>
      </w:pPr>
      <w:r>
        <w:rPr>
          <w:b/>
          <w:bCs/>
          <w:sz w:val="20"/>
          <w:szCs w:val="20"/>
        </w:rPr>
        <w:t>SCHEDULE III - REAL ESTATE AND ACCUMULATED DEPRECIATION</w:t>
      </w:r>
    </w:p>
    <w:p w:rsidR="00000000" w:rsidRDefault="004E30E9">
      <w:pPr>
        <w:pStyle w:val="a3"/>
        <w:spacing w:before="0" w:beforeAutospacing="0" w:after="0" w:afterAutospacing="0"/>
        <w:jc w:val="center"/>
        <w:rPr>
          <w:sz w:val="20"/>
          <w:szCs w:val="20"/>
        </w:rPr>
      </w:pPr>
      <w:r>
        <w:rPr>
          <w:rStyle w:val="a6"/>
          <w:b/>
          <w:bCs/>
          <w:sz w:val="20"/>
          <w:szCs w:val="20"/>
        </w:rPr>
        <w:t>December 31, 2020</w:t>
      </w:r>
    </w:p>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07"/>
        <w:gridCol w:w="347"/>
        <w:gridCol w:w="40"/>
        <w:gridCol w:w="80"/>
        <w:gridCol w:w="720"/>
        <w:gridCol w:w="40"/>
        <w:gridCol w:w="40"/>
        <w:gridCol w:w="224"/>
        <w:gridCol w:w="1119"/>
        <w:gridCol w:w="40"/>
        <w:gridCol w:w="40"/>
        <w:gridCol w:w="159"/>
        <w:gridCol w:w="953"/>
        <w:gridCol w:w="40"/>
        <w:gridCol w:w="40"/>
        <w:gridCol w:w="80"/>
        <w:gridCol w:w="720"/>
        <w:gridCol w:w="40"/>
        <w:gridCol w:w="40"/>
        <w:gridCol w:w="224"/>
        <w:gridCol w:w="1119"/>
        <w:gridCol w:w="40"/>
        <w:gridCol w:w="40"/>
        <w:gridCol w:w="80"/>
        <w:gridCol w:w="800"/>
        <w:gridCol w:w="40"/>
        <w:gridCol w:w="40"/>
        <w:gridCol w:w="214"/>
        <w:gridCol w:w="1066"/>
        <w:gridCol w:w="40"/>
        <w:gridCol w:w="40"/>
        <w:gridCol w:w="160"/>
        <w:gridCol w:w="1120"/>
        <w:gridCol w:w="40"/>
        <w:gridCol w:w="40"/>
        <w:gridCol w:w="196"/>
        <w:gridCol w:w="1173"/>
        <w:gridCol w:w="40"/>
        <w:gridCol w:w="1529"/>
      </w:tblGrid>
      <w:tr w:rsidR="00000000">
        <w:trPr>
          <w:tblCellSpacing w:w="0" w:type="dxa"/>
        </w:trPr>
        <w:tc>
          <w:tcPr>
            <w:tcW w:w="700" w:type="pct"/>
            <w:vAlign w:val="bottom"/>
            <w:hideMark/>
          </w:tcPr>
          <w:p w:rsidR="00000000" w:rsidRDefault="004E30E9">
            <w:pPr>
              <w:rPr>
                <w:rFonts w:eastAsia="Times New Roman"/>
                <w:sz w:val="16"/>
                <w:szCs w:val="16"/>
              </w:rPr>
            </w:pPr>
            <w:r>
              <w:rPr>
                <w:rFonts w:eastAsia="Times New Roman"/>
                <w:sz w:val="16"/>
                <w:szCs w:val="16"/>
              </w:rPr>
              <w:t> </w:t>
            </w:r>
          </w:p>
        </w:tc>
        <w:tc>
          <w:tcPr>
            <w:tcW w:w="20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 xml:space="preserve">INITIAL COST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vAlign w:val="bottom"/>
            <w:hideMark/>
          </w:tcPr>
          <w:p w:rsidR="00000000" w:rsidRDefault="004E30E9">
            <w:pPr>
              <w:pStyle w:val="a3"/>
              <w:spacing w:before="0" w:beforeAutospacing="0" w:after="0" w:afterAutospacing="0"/>
              <w:jc w:val="center"/>
              <w:rPr>
                <w:sz w:val="16"/>
                <w:szCs w:val="16"/>
              </w:rPr>
            </w:pPr>
            <w:r>
              <w:rPr>
                <w:b/>
                <w:bCs/>
                <w:sz w:val="16"/>
                <w:szCs w:val="16"/>
              </w:rPr>
              <w:t xml:space="preserve">COST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b/>
                <w:bCs/>
                <w:sz w:val="16"/>
                <w:szCs w:val="16"/>
              </w:rPr>
              <w:t> </w:t>
            </w:r>
          </w:p>
        </w:tc>
        <w:tc>
          <w:tcPr>
            <w:tcW w:w="250" w:type="pct"/>
            <w:vAlign w:val="bottom"/>
            <w:hideMark/>
          </w:tcPr>
          <w:p w:rsidR="00000000" w:rsidRDefault="004E30E9">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4E30E9">
            <w:pPr>
              <w:rPr>
                <w:rFonts w:eastAsia="Times New Roman"/>
                <w:sz w:val="16"/>
                <w:szCs w:val="16"/>
              </w:rPr>
            </w:pPr>
            <w:r>
              <w:rPr>
                <w:rFonts w:eastAsia="Times New Roman"/>
                <w:b/>
                <w:bCs/>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b/>
                <w:bCs/>
                <w:sz w:val="16"/>
                <w:szCs w:val="16"/>
              </w:rPr>
              <w:t> </w:t>
            </w:r>
          </w:p>
        </w:tc>
        <w:tc>
          <w:tcPr>
            <w:tcW w:w="250" w:type="pct"/>
            <w:vAlign w:val="bottom"/>
            <w:hideMark/>
          </w:tcPr>
          <w:p w:rsidR="00000000" w:rsidRDefault="004E30E9">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4E30E9">
            <w:pPr>
              <w:rPr>
                <w:rFonts w:eastAsia="Times New Roman"/>
                <w:sz w:val="16"/>
                <w:szCs w:val="16"/>
              </w:rPr>
            </w:pPr>
            <w:r>
              <w:rPr>
                <w:rFonts w:eastAsia="Times New Roman"/>
                <w:b/>
                <w:bCs/>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b/>
                <w:bCs/>
                <w:sz w:val="16"/>
                <w:szCs w:val="16"/>
              </w:rPr>
              <w:t> </w:t>
            </w:r>
          </w:p>
        </w:tc>
        <w:tc>
          <w:tcPr>
            <w:tcW w:w="250" w:type="pct"/>
            <w:vAlign w:val="bottom"/>
            <w:hideMark/>
          </w:tcPr>
          <w:p w:rsidR="00000000" w:rsidRDefault="004E30E9">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4E30E9">
            <w:pPr>
              <w:rPr>
                <w:rFonts w:eastAsia="Times New Roman"/>
                <w:sz w:val="16"/>
                <w:szCs w:val="16"/>
              </w:rPr>
            </w:pPr>
            <w:r>
              <w:rPr>
                <w:rFonts w:eastAsia="Times New Roman"/>
                <w:b/>
                <w:bCs/>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b/>
                <w:bCs/>
                <w:sz w:val="16"/>
                <w:szCs w:val="16"/>
              </w:rPr>
              <w:t> </w:t>
            </w:r>
          </w:p>
        </w:tc>
        <w:tc>
          <w:tcPr>
            <w:tcW w:w="250" w:type="pct"/>
            <w:vAlign w:val="bottom"/>
            <w:hideMark/>
          </w:tcPr>
          <w:p w:rsidR="00000000" w:rsidRDefault="004E30E9">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4E30E9">
            <w:pPr>
              <w:rPr>
                <w:rFonts w:eastAsia="Times New Roman"/>
                <w:sz w:val="16"/>
                <w:szCs w:val="16"/>
              </w:rPr>
            </w:pPr>
            <w:r>
              <w:rPr>
                <w:rFonts w:eastAsia="Times New Roman"/>
                <w:b/>
                <w:bCs/>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vAlign w:val="bottom"/>
            <w:hideMark/>
          </w:tcPr>
          <w:p w:rsidR="00000000" w:rsidRDefault="004E30E9">
            <w:pPr>
              <w:pStyle w:val="a3"/>
              <w:spacing w:before="0" w:beforeAutospacing="0" w:after="0" w:afterAutospacing="0"/>
              <w:jc w:val="center"/>
              <w:rPr>
                <w:sz w:val="16"/>
                <w:szCs w:val="16"/>
              </w:rPr>
            </w:pPr>
            <w:r>
              <w:rPr>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sz w:val="16"/>
                <w:szCs w:val="16"/>
              </w:rPr>
              <w:t> </w:t>
            </w:r>
          </w:p>
        </w:tc>
        <w:tc>
          <w:tcPr>
            <w:tcW w:w="50" w:type="pct"/>
            <w:vAlign w:val="bottom"/>
            <w:hideMark/>
          </w:tcPr>
          <w:p w:rsidR="00000000" w:rsidRDefault="004E30E9">
            <w:pPr>
              <w:rPr>
                <w:rFonts w:eastAsia="Times New Roman"/>
                <w:sz w:val="16"/>
                <w:szCs w:val="16"/>
              </w:rPr>
            </w:pPr>
            <w:r>
              <w:rPr>
                <w:rFonts w:eastAsia="Times New Roman"/>
                <w:b/>
                <w:bCs/>
                <w:sz w:val="16"/>
                <w:szCs w:val="16"/>
              </w:rPr>
              <w:t> </w:t>
            </w:r>
          </w:p>
        </w:tc>
        <w:tc>
          <w:tcPr>
            <w:tcW w:w="300" w:type="pct"/>
            <w:vAlign w:val="bottom"/>
            <w:hideMark/>
          </w:tcPr>
          <w:p w:rsidR="00000000" w:rsidRDefault="004E30E9">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4E30E9">
            <w:pPr>
              <w:rPr>
                <w:rFonts w:eastAsia="Times New Roman"/>
                <w:sz w:val="16"/>
                <w:szCs w:val="16"/>
              </w:rPr>
            </w:pPr>
            <w:r>
              <w:rPr>
                <w:rFonts w:eastAsia="Times New Roman"/>
                <w:b/>
                <w:bCs/>
                <w:sz w:val="16"/>
                <w:szCs w:val="16"/>
              </w:rPr>
              <w:t> </w:t>
            </w:r>
          </w:p>
        </w:tc>
        <w:tc>
          <w:tcPr>
            <w:tcW w:w="350" w:type="pct"/>
            <w:vAlign w:val="bottom"/>
            <w:hideMark/>
          </w:tcPr>
          <w:p w:rsidR="00000000" w:rsidRDefault="004E30E9">
            <w:pPr>
              <w:pStyle w:val="a3"/>
              <w:spacing w:before="0" w:beforeAutospacing="0" w:after="0" w:afterAutospacing="0"/>
              <w:jc w:val="center"/>
              <w:rPr>
                <w:sz w:val="16"/>
                <w:szCs w:val="16"/>
              </w:rPr>
            </w:pPr>
            <w:r>
              <w:rPr>
                <w:sz w:val="16"/>
                <w:szCs w:val="16"/>
              </w:rPr>
              <w:t> </w:t>
            </w:r>
          </w:p>
        </w:tc>
      </w:tr>
      <w:tr w:rsidR="00000000">
        <w:trPr>
          <w:tblCellSpacing w:w="0" w:type="dxa"/>
        </w:trPr>
        <w:tc>
          <w:tcPr>
            <w:tcW w:w="700" w:type="pct"/>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 xml:space="preserve">DESCRIPTION </w:t>
            </w:r>
          </w:p>
        </w:tc>
        <w:tc>
          <w:tcPr>
            <w:tcW w:w="200" w:type="pct"/>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 xml:space="preserve">State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 xml:space="preserve">LAND </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BUILDING AND</w:t>
            </w:r>
          </w:p>
          <w:p w:rsidR="00000000" w:rsidRDefault="004E30E9">
            <w:pPr>
              <w:pStyle w:val="a3"/>
              <w:spacing w:before="0" w:beforeAutospacing="0" w:after="0" w:afterAutospacing="0"/>
              <w:jc w:val="center"/>
              <w:rPr>
                <w:sz w:val="16"/>
                <w:szCs w:val="16"/>
              </w:rPr>
            </w:pPr>
            <w:r>
              <w:rPr>
                <w:b/>
                <w:bCs/>
                <w:sz w:val="16"/>
                <w:szCs w:val="16"/>
              </w:rPr>
              <w:t xml:space="preserve">IMPROVEMENTS </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CAPITALIZED</w:t>
            </w:r>
          </w:p>
          <w:p w:rsidR="00000000" w:rsidRDefault="004E30E9">
            <w:pPr>
              <w:pStyle w:val="a3"/>
              <w:spacing w:before="0" w:beforeAutospacing="0" w:after="0" w:afterAutospacing="0"/>
              <w:jc w:val="center"/>
              <w:rPr>
                <w:sz w:val="16"/>
                <w:szCs w:val="16"/>
              </w:rPr>
            </w:pPr>
            <w:r>
              <w:rPr>
                <w:b/>
                <w:bCs/>
                <w:sz w:val="16"/>
                <w:szCs w:val="16"/>
              </w:rPr>
              <w:t xml:space="preserve">SUBSEQUENT </w:t>
            </w:r>
          </w:p>
          <w:p w:rsidR="00000000" w:rsidRDefault="004E30E9">
            <w:pPr>
              <w:pStyle w:val="a3"/>
              <w:spacing w:before="0" w:beforeAutospacing="0" w:after="0" w:afterAutospacing="0"/>
              <w:jc w:val="center"/>
              <w:rPr>
                <w:sz w:val="16"/>
                <w:szCs w:val="16"/>
              </w:rPr>
            </w:pPr>
            <w:r>
              <w:rPr>
                <w:b/>
                <w:bCs/>
                <w:sz w:val="16"/>
                <w:szCs w:val="16"/>
              </w:rPr>
              <w:t xml:space="preserve">TO ACQUISITION (1) </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 xml:space="preserve">LAND </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 xml:space="preserve">BUILDING AND </w:t>
            </w:r>
          </w:p>
          <w:p w:rsidR="00000000" w:rsidRDefault="004E30E9">
            <w:pPr>
              <w:pStyle w:val="a3"/>
              <w:spacing w:before="0" w:beforeAutospacing="0" w:after="0" w:afterAutospacing="0"/>
              <w:jc w:val="center"/>
              <w:rPr>
                <w:sz w:val="16"/>
                <w:szCs w:val="16"/>
              </w:rPr>
            </w:pPr>
            <w:r>
              <w:rPr>
                <w:b/>
                <w:bCs/>
                <w:sz w:val="16"/>
                <w:szCs w:val="16"/>
              </w:rPr>
              <w:t xml:space="preserve">IMPROVEMENTS </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 xml:space="preserve">TOTAL </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 xml:space="preserve">ACCUMULATED </w:t>
            </w:r>
          </w:p>
          <w:p w:rsidR="00000000" w:rsidRDefault="004E30E9">
            <w:pPr>
              <w:pStyle w:val="a3"/>
              <w:spacing w:before="0" w:beforeAutospacing="0" w:after="0" w:afterAutospacing="0"/>
              <w:jc w:val="center"/>
              <w:rPr>
                <w:sz w:val="16"/>
                <w:szCs w:val="16"/>
              </w:rPr>
            </w:pPr>
            <w:r>
              <w:rPr>
                <w:b/>
                <w:bCs/>
                <w:sz w:val="16"/>
                <w:szCs w:val="16"/>
              </w:rPr>
              <w:t xml:space="preserve">DEPRECIATION </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 xml:space="preserve">TOTAL COST, </w:t>
            </w:r>
          </w:p>
          <w:p w:rsidR="00000000" w:rsidRDefault="004E30E9">
            <w:pPr>
              <w:pStyle w:val="a3"/>
              <w:spacing w:before="0" w:beforeAutospacing="0" w:after="0" w:afterAutospacing="0"/>
              <w:jc w:val="center"/>
              <w:rPr>
                <w:sz w:val="16"/>
                <w:szCs w:val="16"/>
              </w:rPr>
            </w:pPr>
            <w:r>
              <w:rPr>
                <w:b/>
                <w:bCs/>
                <w:sz w:val="16"/>
                <w:szCs w:val="16"/>
              </w:rPr>
              <w:t xml:space="preserve">NET OF ACCUMULATED </w:t>
            </w:r>
          </w:p>
          <w:p w:rsidR="00000000" w:rsidRDefault="004E30E9">
            <w:pPr>
              <w:pStyle w:val="a3"/>
              <w:spacing w:before="0" w:beforeAutospacing="0" w:after="0" w:afterAutospacing="0"/>
              <w:jc w:val="center"/>
              <w:rPr>
                <w:sz w:val="16"/>
                <w:szCs w:val="16"/>
              </w:rPr>
            </w:pPr>
            <w:r>
              <w:rPr>
                <w:b/>
                <w:bCs/>
                <w:sz w:val="16"/>
                <w:szCs w:val="16"/>
              </w:rPr>
              <w:t xml:space="preserve">DEPRECIATION </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4E30E9">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 xml:space="preserve">ENCUMBRANCES (2) </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350" w:type="pct"/>
            <w:tcBorders>
              <w:bottom w:val="single" w:sz="6" w:space="0" w:color="000000"/>
            </w:tcBorders>
            <w:vAlign w:val="bottom"/>
            <w:hideMark/>
          </w:tcPr>
          <w:p w:rsidR="00000000" w:rsidRDefault="004E30E9">
            <w:pPr>
              <w:pStyle w:val="a3"/>
              <w:spacing w:before="0" w:beforeAutospacing="0" w:after="0" w:afterAutospacing="0"/>
              <w:jc w:val="center"/>
              <w:rPr>
                <w:sz w:val="16"/>
                <w:szCs w:val="16"/>
              </w:rPr>
            </w:pPr>
            <w:r>
              <w:rPr>
                <w:b/>
                <w:bCs/>
                <w:sz w:val="16"/>
                <w:szCs w:val="16"/>
              </w:rPr>
              <w:t xml:space="preserve">DATE OF </w:t>
            </w:r>
          </w:p>
          <w:p w:rsidR="00000000" w:rsidRDefault="004E30E9">
            <w:pPr>
              <w:pStyle w:val="a3"/>
              <w:spacing w:before="0" w:beforeAutospacing="0" w:after="0" w:afterAutospacing="0"/>
              <w:jc w:val="center"/>
              <w:rPr>
                <w:sz w:val="16"/>
                <w:szCs w:val="16"/>
              </w:rPr>
            </w:pPr>
            <w:r>
              <w:rPr>
                <w:b/>
                <w:bCs/>
                <w:sz w:val="16"/>
                <w:szCs w:val="16"/>
              </w:rPr>
              <w:t xml:space="preserve">ACQUISITION(A) </w:t>
            </w:r>
          </w:p>
          <w:p w:rsidR="00000000" w:rsidRDefault="004E30E9">
            <w:pPr>
              <w:pStyle w:val="a3"/>
              <w:spacing w:before="0" w:beforeAutospacing="0" w:after="0" w:afterAutospacing="0"/>
              <w:jc w:val="center"/>
              <w:rPr>
                <w:sz w:val="16"/>
                <w:szCs w:val="16"/>
              </w:rPr>
            </w:pPr>
            <w:r>
              <w:rPr>
                <w:b/>
                <w:bCs/>
                <w:sz w:val="16"/>
                <w:szCs w:val="16"/>
              </w:rPr>
              <w:t xml:space="preserve">CONSTRUCTION(C) </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rPr>
                <w:sz w:val="16"/>
                <w:szCs w:val="16"/>
              </w:rPr>
            </w:pPr>
            <w:r>
              <w:rPr>
                <w:i/>
                <w:iCs/>
                <w:sz w:val="16"/>
                <w:szCs w:val="16"/>
              </w:rPr>
              <w:t xml:space="preserve">SHOPPING CENTERS </w:t>
            </w:r>
          </w:p>
        </w:tc>
        <w:tc>
          <w:tcPr>
            <w:tcW w:w="20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20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2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30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2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2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2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2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3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30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i/>
                <w:iCs/>
                <w:sz w:val="16"/>
                <w:szCs w:val="16"/>
              </w:rPr>
              <w:t> </w:t>
            </w:r>
          </w:p>
        </w:tc>
        <w:tc>
          <w:tcPr>
            <w:tcW w:w="3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MESA RIVERVIEW</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15,000,000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141,972,408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307,992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156,664,416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156,972,408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68,633,902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88,338,506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2005(C)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METRO SQUARE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4,101,017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16,410,632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2,314,745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4,101,017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18,725,377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22,826,394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10,470,777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12,355,617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PLAZA DEL SOL</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5,324,501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21,269,943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1,737,972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4,577,869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23,754,547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28,332,416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10,370,222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17,962,194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PLAZA AT MOUNTAINSIDE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2,450,341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9,802,046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2,579,807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2,450,341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12,381,853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14,832,194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7,419,681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7,412,513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VILLAGE CROSSROADS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5,662,554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24,981,223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1,462,414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5,662,554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26,443,637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32,106,191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7,107,669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24,998,522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NORTH VALLEY</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6,861,564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18,200,901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14,138,211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4,795,887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34,404,789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39,200,676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6,409,375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32,791,301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CHRISTOWN SPECTRUM</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33,831,348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91,004,070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15,484,366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76,638,511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63,681,273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140,319,784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16,572,377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123,747,407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BELL CAMINO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2,427,465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6,439,065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743,337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2,427,465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7,182,402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9,609,867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2,395,920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7,213,947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BELL CAMINO-SAFEWAY PARCEL</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1,104,233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4,574,035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1,104,233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4,574,035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5,678,268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266,612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5,411,656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2019(A)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COLLEGE PARK SHOPPING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3,276,951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7,741,323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1,254,123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3,276,951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8,995,446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12,272,397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3,107,501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9,164,896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327"/>
        <w:gridCol w:w="205"/>
        <w:gridCol w:w="40"/>
        <w:gridCol w:w="40"/>
        <w:gridCol w:w="720"/>
        <w:gridCol w:w="40"/>
        <w:gridCol w:w="40"/>
        <w:gridCol w:w="40"/>
        <w:gridCol w:w="800"/>
        <w:gridCol w:w="40"/>
        <w:gridCol w:w="40"/>
        <w:gridCol w:w="40"/>
        <w:gridCol w:w="800"/>
        <w:gridCol w:w="54"/>
        <w:gridCol w:w="40"/>
        <w:gridCol w:w="40"/>
        <w:gridCol w:w="720"/>
        <w:gridCol w:w="40"/>
        <w:gridCol w:w="40"/>
        <w:gridCol w:w="40"/>
        <w:gridCol w:w="800"/>
        <w:gridCol w:w="40"/>
        <w:gridCol w:w="40"/>
        <w:gridCol w:w="40"/>
        <w:gridCol w:w="800"/>
        <w:gridCol w:w="40"/>
        <w:gridCol w:w="40"/>
        <w:gridCol w:w="40"/>
        <w:gridCol w:w="720"/>
        <w:gridCol w:w="40"/>
        <w:gridCol w:w="40"/>
        <w:gridCol w:w="40"/>
        <w:gridCol w:w="800"/>
        <w:gridCol w:w="40"/>
        <w:gridCol w:w="40"/>
        <w:gridCol w:w="40"/>
        <w:gridCol w:w="720"/>
        <w:gridCol w:w="40"/>
        <w:gridCol w:w="525"/>
      </w:tblGrid>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COSTCO PLAZA - 541</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4,995,639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19,982,557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635,604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4,995,639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20,618,161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25,613,800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12,120,321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13,493,479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BROOKHURST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10,492,714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31,357,512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3,715,948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22,299,852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23,266,322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45,566,174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4,959,573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40,606,601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LAKEWOOD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1,294,176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3,669,266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(3,460,895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1,502,547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1,502,547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808,624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693,923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MADISON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5,874,396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23,476,190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2,952,818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5,874,396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26,429,008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32,303,404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13,814,083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18,489,321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CORONA HILLS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13,360,965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53,373,453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11,403,307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13,360,965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64,776,760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78,137,725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38,081,116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40,056,609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280 METRO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38,734,566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94,903,403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(592,830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38,734,566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94,310,573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133,045,139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15,257,750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117,787,389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LABAND VILLAGE SHOPPING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5,600,000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13,289,347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(779,122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5,607,237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12,502,988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18,110,225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6,680,205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11,430,020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CUPERTINO VILLAGE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19,886,099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46,534,919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27,016,568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19,886,099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73,551,487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93,437,586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23,685,282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69,752,304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NORTH COUNTY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10,205,305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28,934,219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(573,812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20,894,811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17,670,901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38,565,712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4,321,014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34,244,698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CHICO CROSSROADS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9,975,810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30,534,524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(5,299,139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7,904,664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27,306,531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35,211,195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11,082,448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24,128,747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CREEKSIDE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3,870,823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11,562,580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93,113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5,154,061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10,372,455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15,526,516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1,756,296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13,770,220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LA MIRADA THEATRE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8,816,741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35,259,965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(524,191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6,888,680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36,663,835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43,552,515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19,965,688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23,586,827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KENNETH HAHN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4,114,863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7,660,855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r>
              <w:rPr>
                <w:rFonts w:eastAsia="Times New Roman"/>
                <w:sz w:val="16"/>
                <w:szCs w:val="16"/>
              </w:rPr>
              <w:t>1,485,684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10,290,034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10,290,034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3,960,027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6,330,007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2010(A)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LA VERNE TOWN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8,414,328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23,856,418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12,419,259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16,362,169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28,327,836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44,690,005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6,265,348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38,424,657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LINCOLN HILLS TOWN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8,228,587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26,127,322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517,347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8,228,587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26,644,669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34,873,256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5,834,151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29,039,105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NOVATO FAIR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9,259,778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15,599,790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1,111,086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9,259,778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16,710,876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25,970,654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7,080,576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18,890,078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SOUTH NAPA MARKET PLACE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1,100,000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22,159,086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21,176,771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23,119,071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21,316,786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44,435,857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13,153,433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31,282,424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PLAZA DI NORTHRIDGE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12,900,000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40,574,842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1,577,797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12,900,000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42,152,639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55,052,639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16,379,505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38,673,134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LINDA MAR SHOPPING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16,548,592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37,521,194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4,485,646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16,548,592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42,006,840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58,555,432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10,108,349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48,447,083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POWAY CITY CENTRE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5,854,585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13,792,470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9,147,403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7,247,814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21,546,644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28,794,458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10,081,446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18,713,012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REDWOOD CITY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2,552,000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6,215,168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5,960,677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2,552,000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12,175,845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14,727,845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2,603,714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12,124,131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STANFORD RANCH</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10,583,764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30,007,231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2,838,540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9,982,626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33,446,909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43,429,535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6,092,715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37,336,820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CROCKER RANCH</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7,526,146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24,877,611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109,359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7,526,146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24,986,970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32,513,116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4,657,462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27,855,654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HOME DEPOT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4,592,364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18,345,257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4,592,364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18,345,257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22,937,621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10,785,790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12,151,831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SANTEE TROLLEY SQUARE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40,208,683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62,963,757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162,067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40,208,683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63,125,824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103,334,507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19,336,901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83,997,606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SAN DIEGO CARMEL MOUNTAIN</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5,322,600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8,873,991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249,367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5,322,600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9,123,358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14,445,958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2,878,796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11,567,162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FULTON MARKET PLACE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2,966,018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6,920,710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16,341,782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6,279,753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19,948,757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26,228,510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5,045,869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21,182,641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BLACK MOUNTAIN VILLAGE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4,678,015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11,913,344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1,025,682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4,678,015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12,939,026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17,617,041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5,368,087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12,248,954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RANCHO PENASQUITOS TOWNE CTR I</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14,851,595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20,342,165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749,219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14,851,595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21,091,384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35,942,979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4,071,392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31,871,587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12,300,999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RANCHO PENASQUITOS-VONS PROP.</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2,917,963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9,145,905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2,917,963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9,145,905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12,063,868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496,491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11,567,377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2019(A)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RANCHO PENASQUITOS TWN CTR II</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12,944,972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20,323,961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879,910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12,944,972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21,203,871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34,148,843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4,061,510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30,087,333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9,439,412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CITY HEIGHTS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10,687,472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28,324,896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(660,448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13,908,563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24,443,357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38,351,920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5,194,029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33,157,891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TRUCKEE CROSSROADS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2,140,000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28,324,896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(18,568,797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2,140,000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9,756,099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11,896,099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6,079,361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5,816,738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1,174,985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GATEWAY AT DONNER PASS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4,515,688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8,318,667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14,159,803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8,759,279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18,234,879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26,994,158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2,455,571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24,538,587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WESTLAKE SHOPPING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16,174,307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64,818,562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108,227,850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16,174,307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173,046,412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189,220,719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64,977,407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124,243,312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LAKEWOOD VILLAGE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8,597,100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24,374,615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(737,945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11,683,364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20,550,406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32,233,770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5,342,946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26,890,824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WHITTWOOD TOWN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57,135,695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105,814,560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2,701,687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57,138,906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108,513,036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165,651,942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17,050,427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148,601,515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2017(A)</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274"/>
        <w:gridCol w:w="223"/>
        <w:gridCol w:w="40"/>
        <w:gridCol w:w="40"/>
        <w:gridCol w:w="720"/>
        <w:gridCol w:w="40"/>
        <w:gridCol w:w="40"/>
        <w:gridCol w:w="40"/>
        <w:gridCol w:w="720"/>
        <w:gridCol w:w="40"/>
        <w:gridCol w:w="40"/>
        <w:gridCol w:w="40"/>
        <w:gridCol w:w="720"/>
        <w:gridCol w:w="54"/>
        <w:gridCol w:w="40"/>
        <w:gridCol w:w="40"/>
        <w:gridCol w:w="720"/>
        <w:gridCol w:w="40"/>
        <w:gridCol w:w="40"/>
        <w:gridCol w:w="40"/>
        <w:gridCol w:w="720"/>
        <w:gridCol w:w="40"/>
        <w:gridCol w:w="40"/>
        <w:gridCol w:w="40"/>
        <w:gridCol w:w="720"/>
        <w:gridCol w:w="40"/>
        <w:gridCol w:w="40"/>
        <w:gridCol w:w="40"/>
        <w:gridCol w:w="720"/>
        <w:gridCol w:w="40"/>
        <w:gridCol w:w="40"/>
        <w:gridCol w:w="40"/>
        <w:gridCol w:w="720"/>
        <w:gridCol w:w="40"/>
        <w:gridCol w:w="40"/>
        <w:gridCol w:w="40"/>
        <w:gridCol w:w="720"/>
        <w:gridCol w:w="40"/>
        <w:gridCol w:w="534"/>
      </w:tblGrid>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VILLAGE ON THE PARK</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2,194,463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8,885,987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19,579,292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3,018,391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27,641,351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30,659,742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6,989,480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23,670,262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QUINCY PLACE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1,148,317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4,608,249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2,477,122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1,148,317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7,085,371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8,233,688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4,047,202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4,186,486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EAST BANK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1,500,568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6,180,103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4,172,042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1,500,568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10,352,145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11,852,713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4,249,543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7,603,170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NORTHRIDGE SHOPPING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4,932,690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16,496,175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2,580,342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8,934,385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15,074,822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24,009,207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3,409,543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20,599,664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DENVER WEST 38TH STREET</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161,167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646,983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537,408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161,167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1,184,391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1,345,558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439,311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906,247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ENGLEWOOD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805,837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3,232,650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847,870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805,837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4,080,520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4,886,357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2,301,980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2,584,377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GREELEY COMMONS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3,313,095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20,069,559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988,236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3,313,095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21,057,795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24,370,890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5,653,339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18,717,551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HIGHLANDS RANCH VILLAGE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8,135,427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21,579,936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979,317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5,337,081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25,357,599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30,694,680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5,667,515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25,027,165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VILLAGE CENTER WEST</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2,010,519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8,361,084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732,679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2,010,519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9,093,763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11,104,282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2,042,056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9,062,226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HIGHLANDS RANCH II</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3,514,837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11,755,916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1,092,200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3,514,837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12,848,116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16,362,953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3,628,295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12,734,658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VILLAGE CENTER - HIGHLAND RANCH</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1,140,000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2,660,000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283,724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1,140,000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2,943,724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4,083,724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503,051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3,580,673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HERITAGE WEST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1,526,576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6,124,074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2,561,187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1,526,576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8,685,261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10,211,837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4,442,899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5,768,938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MARKET AT SOUTHPARK</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CO</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9,782,769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20,779,522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4,039,213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9,782,769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24,818,735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34,601,504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5,964,950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28,636,554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NEWTOWN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15,635,442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422,382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16,057,824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16,057,824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2,863,894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13,193,930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7,092,420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WEST FARM SHOPPING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5,805,969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23,348,024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18,635,677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7,585,116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40,204,554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47,789,670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18,936,585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28,853,085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HAMDEN MART</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13,668,167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40,890,166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6,186,421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14,225,573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46,519,181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60,744,754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9,347,255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51,397,499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18,702,173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HOME DEPOT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7,704,968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30,797,640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3,735,630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7,704,968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34,533,270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42,238,238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18,353,747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23,884,491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WILTON RIVER PARK SHOPPING CTR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7,154,585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27,509,279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463,679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7,154,584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27,972,959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35,127,543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6,339,046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28,788,497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BRIGHT HORIZONS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CT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1,211,748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4,610,610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82,937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1,211,748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4,693,547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5,905,295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1,319,102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4,586,193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WILTON CAMPUS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CT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10,168,872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31,893,016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2,519,298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10,168,872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34,412,314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44,581,186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9,509,306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35,071,880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CAMDEN SQUARE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DE</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122,741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66,738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4,706,775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3,024,375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1,871,879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4,896,254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258,544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4,637,710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PROMENADE AT CHRISTIANA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DE</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14,371,686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5,572,067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8,340,000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11,603,753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19,943,753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368,010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19,575,743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BRANDYWINE COMMONS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DE</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36,057,487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(936,597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35,120,890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35,120,890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7,205,034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27,915,856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994"/>
        <w:gridCol w:w="187"/>
        <w:gridCol w:w="40"/>
        <w:gridCol w:w="40"/>
        <w:gridCol w:w="800"/>
        <w:gridCol w:w="40"/>
        <w:gridCol w:w="40"/>
        <w:gridCol w:w="40"/>
        <w:gridCol w:w="800"/>
        <w:gridCol w:w="40"/>
        <w:gridCol w:w="40"/>
        <w:gridCol w:w="40"/>
        <w:gridCol w:w="800"/>
        <w:gridCol w:w="54"/>
        <w:gridCol w:w="40"/>
        <w:gridCol w:w="40"/>
        <w:gridCol w:w="720"/>
        <w:gridCol w:w="40"/>
        <w:gridCol w:w="40"/>
        <w:gridCol w:w="40"/>
        <w:gridCol w:w="800"/>
        <w:gridCol w:w="40"/>
        <w:gridCol w:w="40"/>
        <w:gridCol w:w="40"/>
        <w:gridCol w:w="800"/>
        <w:gridCol w:w="40"/>
        <w:gridCol w:w="40"/>
        <w:gridCol w:w="40"/>
        <w:gridCol w:w="720"/>
        <w:gridCol w:w="40"/>
        <w:gridCol w:w="40"/>
        <w:gridCol w:w="40"/>
        <w:gridCol w:w="800"/>
        <w:gridCol w:w="40"/>
        <w:gridCol w:w="40"/>
        <w:gridCol w:w="40"/>
        <w:gridCol w:w="54"/>
        <w:gridCol w:w="40"/>
        <w:gridCol w:w="534"/>
      </w:tblGrid>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CAMINO SQUARE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573,875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2,295,501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4,082,742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733,875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6,218,243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6,952,118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3,872,616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3,079,502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CORAL SQUARE PROMENADE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710,000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2,842,907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4,136,076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710,000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6,978,983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7,688,983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4,459,575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3,229,408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MAPLEWOOD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1,649,000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6,626,301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1,705,947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1,649,000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8,332,248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9,981,248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4,674,375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5,306,873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CURLEW CROSSING SHOPPING CTR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5,315,955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12,529,467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2,813,703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5,315,955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15,343,170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20,659,125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7,039,766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13,619,359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SHOPS AT SANTA BARBARA PHASE 1</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743,463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5,373,994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228,008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743,463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5,602,002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6,345,465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1,069,668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5,275,797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SHOPS AT SANTA BARBARA PHASE 2</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331,692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2,488,832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331,692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2,490,024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2,821,716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532,753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2,288,963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SHOPS AT SANTA BARBARA PHASE 3</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329,726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2,358,700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42,155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329,726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2,400,855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2,730,581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454,553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2,276,028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CORAL POINTE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2,411,608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20,507,735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569,441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2,411,608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21,077,176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23,488,784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4,003,288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19,485,496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DANIA POINTE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105,113,024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31,723,302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26,093,655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110,742,671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136,836,326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4,664,445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132,171,881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2016(C)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DANIA POINTE - PHASE II (3)</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247,984,913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26,550,097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221,434,816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247,984,913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1,892,669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246,092,244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2016(C)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FT. LAUDERDALE/CYPRESS CREEK</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14,258,760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28,042,390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3,939,979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14,258,760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31,982,369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46,241,129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11,727,431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34,513,698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HOMESTEAD-WACHTEL LAND LEASE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OAKWOOD PLAZA NORTH</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35,300,961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141,731,019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(1,370,766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35,300,961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140,360,253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175,661,214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20,355,563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155,305,651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OAKWOOD PLAZA SOUTH</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11,126,609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40,592,103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(246,505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11,126,609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40,345,598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51,472,207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6,611,972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44,860,235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OAKWOOD BUSINESS CTR-BLDG 1</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6,792,500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18,662,565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3,551,354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6,792,500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22,213,919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29,006,419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7,714,837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21,291,582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KIMCO AVENUES WALK, LLC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26,984,546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r>
              <w:rPr>
                <w:rFonts w:eastAsia="Times New Roman"/>
                <w:sz w:val="16"/>
                <w:szCs w:val="16"/>
              </w:rPr>
              <w:t>26,984,546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2005(C)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AVENUES WALK</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8,169,933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20,173,468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(23,528,330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1,724,923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3,090,148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4,815,071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840,654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3,974,417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RIVERPLACE SHOPPING CTR.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7,503,282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31,011,027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1,814,464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7,200,050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33,128,723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40,328,773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11,232,617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29,096,156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2010(A)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MERCHANTS WALK</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2,580,816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10,366,090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7,368,336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2,580,816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17,734,426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20,315,242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10,728,462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9,586,780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2001(A)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CENTER AT MISSOURI AVENUE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293,686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792,119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7,118,160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293,686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7,910,279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8,203,965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2,300,235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5,903,730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1968(C)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TRI-CITY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2,832,296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11,329,185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22,339,491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2,832,296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33,668,676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36,500,972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6,588,438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29,912,534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FT LAUDERDALE #1, FL</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1,002,733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2,602,415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16,317,140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1,774,443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18,147,845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19,922,288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11,145,558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8,776,730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1974(C)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NASA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1,754,000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4,213,164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5,967,164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5,967,164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4,209,825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1,757,339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1968(C)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GROVE GATE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365,893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1,049,172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792,700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365,893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1,841,872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2,207,765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1,635,124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572,641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1968(C)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CHEVRON OUTPARCEL</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530,570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1,253,410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530,570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1,253,410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1,783,980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421,710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1,362,270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2010(A)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IVES DAIRY CROSSING</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732,914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4,080,460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11,492,230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720,852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15,584,752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16,305,604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10,440,914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5,864,690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1985(A)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MILLER ROAD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1,138,082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4,552,327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4,674,664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1,138,082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9,226,991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10,365,073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6,228,031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4,137,042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1986(A)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KENDALE LAKES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18,491,461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28,496,001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(879,918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15,362,227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30,745,317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46,107,544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9,463,083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36,644,461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MILLER WEST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6,725,660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10,661,419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306,630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6,725,660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10,968,049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17,693,709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2,134,901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15,558,808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CORSICA SQUARE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7,225,100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10,757,386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230,745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7,225,100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10,988,131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18,213,231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2,240,758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15,972,473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FLAGLER PARK</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26,162,980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80,737,041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5,928,731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26,725,480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86,103,272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112,828,752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28,361,884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84,466,868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PARK HILL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10,763,612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19,264,248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582,539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10,763,612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19,846,787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30,610,399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5,515,131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25,095,268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WINN DIXIE-MIAMI</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2,989,640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9,410,360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(39,311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3,544,297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8,816,392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12,360,689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1,555,631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10,805,058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MARATHON SHOPPING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2,412,929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8,069,450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1,718,812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1,514,731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10,686,460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12,201,191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2,354,222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9,846,969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SODO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68,139,271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5,164,765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142,195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73,161,841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73,304,036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22,173,175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51,130,861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RENAISSANCE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9,104,379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36,540,873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14,592,305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9,122,758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51,114,799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60,237,557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22,646,257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37,591,300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MILLENIA PLAZA PHASE II</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7,711,000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20,702,992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4,039,168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7,698,200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24,754,960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32,453,160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9,874,781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22,578,379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RIVERSIDE LANDINGS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3,512,202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14,439,668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213,561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3,512,202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14,653,229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18,165,431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2,763,566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15,401,865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GRAND OAKS VILLAGE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7,409,319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19,653,869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(297,561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5,846,339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20,919,288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26,765,627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5,083,559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21,682,068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PLANTATION CROSSING</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2,782,030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8,077,260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2,640,749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2,782,030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10,718,009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13,500,039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1,373,969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12,126,070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POMPANO POINTE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10,516,500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14,355,836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621,788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10,516,500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14,977,624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25,494,124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1,977,772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23,516,352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UNIVERSITY TOWN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5,515,265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13,041,400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586,635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5,515,265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13,628,035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19,143,300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4,111,906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15,031,394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OAK TREE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917,360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2,363,288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3,280,648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3,280,648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2,595,366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685,282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1968(C)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TUTTLEBEE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254,961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828,465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2,411,902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254,961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3,240,367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3,495,328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2,144,975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1,350,353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SOUTH MIAMI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1,280,440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5,133,825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4,104,074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1,280,440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9,237,899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10,518,339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5,287,907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5,230,432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CARROLLWOOD COMMONS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5,220,445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16,884,228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3,667,030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5,220,445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20,551,258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25,771,703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11,262,828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14,508,875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VILLAGE COMMONS SHOPPING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2,192,331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8,774,158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5,296,264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2,192,331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14,070,422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16,262,753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7,186,002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9,076,751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MISSION BELL SHOPPING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5,056,426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11,843,119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8,691,083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5,067,033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20,523,595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25,590,628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8,085,673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17,504,955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VILLAGE COMMONS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2,026,423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5,106,476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2,055,527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2,026,423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7,162,003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9,188,426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1,937,635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7,250,791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BELMART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1,656,097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3,394,420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5,706,042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1,656,097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9,100,462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10,756,559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1,459,253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9,297,306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531"/>
        <w:gridCol w:w="232"/>
        <w:gridCol w:w="40"/>
        <w:gridCol w:w="40"/>
        <w:gridCol w:w="720"/>
        <w:gridCol w:w="40"/>
        <w:gridCol w:w="40"/>
        <w:gridCol w:w="40"/>
        <w:gridCol w:w="720"/>
        <w:gridCol w:w="40"/>
        <w:gridCol w:w="40"/>
        <w:gridCol w:w="40"/>
        <w:gridCol w:w="720"/>
        <w:gridCol w:w="54"/>
        <w:gridCol w:w="40"/>
        <w:gridCol w:w="40"/>
        <w:gridCol w:w="720"/>
        <w:gridCol w:w="40"/>
        <w:gridCol w:w="40"/>
        <w:gridCol w:w="40"/>
        <w:gridCol w:w="720"/>
        <w:gridCol w:w="40"/>
        <w:gridCol w:w="40"/>
        <w:gridCol w:w="40"/>
        <w:gridCol w:w="720"/>
        <w:gridCol w:w="40"/>
        <w:gridCol w:w="40"/>
        <w:gridCol w:w="40"/>
        <w:gridCol w:w="720"/>
        <w:gridCol w:w="40"/>
        <w:gridCol w:w="40"/>
        <w:gridCol w:w="40"/>
        <w:gridCol w:w="720"/>
        <w:gridCol w:w="40"/>
        <w:gridCol w:w="40"/>
        <w:gridCol w:w="40"/>
        <w:gridCol w:w="720"/>
        <w:gridCol w:w="40"/>
        <w:gridCol w:w="534"/>
      </w:tblGrid>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MARKET AT HAYNES BRIDGE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GA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4,880,659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21,549,424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1,704,882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4,889,863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23,245,102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28,134,965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8,683,617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19,451,348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EMBRY VILLAGE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GA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18,147,054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33,009,514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4,019,275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18,160,525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37,015,318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55,175,843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23,875,485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31,300,358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PERIMETER EXPO PROPERTY</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GA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14,770,275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44,295,457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2,599,355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16,142,152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45,522,935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61,665,087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7,403,344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54,261,743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RIVERWALK MARKETPLACE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GA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3,512,202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18,862,571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148,516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3,512,202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19,011,087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22,523,289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2,917,737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19,605,552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LAWRENCEVILLE MARKET</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GA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8,878,266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29,691,191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622,527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9,060,436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30,131,548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39,191,984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7,787,394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31,404,590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BRAELINN VILLAGE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GA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7,314,719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20,738,792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(640,739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3,731,347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23,681,425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27,412,772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4,671,502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22,741,270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SAVANNAH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GA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2,052,270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8,232,978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5,113,919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2,052,270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13,346,897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15,399,167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8,141,518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7,257,649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CHATHAM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GA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13,390,238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35,115,882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1,800,894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13,403,262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36,903,752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50,307,014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14,226,534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36,080,480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CLIVE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IA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500,525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2,002,101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500,525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2,002,101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2,502,626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1,279,120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1,223,506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PLAZA DEL PRADO</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IL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10,203,960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28,409,786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1,939,277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10,203,960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30,349,063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40,553,023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5,309,044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35,243,979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SKOKIE POINTE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IL</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2,276,360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9,726,150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2,628,440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9,374,070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12,002,510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4,664,817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7,337,693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HAWTHORN HILLS SQUARE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IL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6,783,928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33,033,624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3,162,458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6,783,928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36,196,082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42,980,010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10,739,688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32,240,322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LINWOOD SQUARE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IN</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3,411,037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8,686,773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521,823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3,411,037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9,208,596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12,619,633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352,898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12,266,735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5,092,103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2019(A)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GREENWOOD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IN</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423,371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1,883,421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20,568,420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1,640,748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21,234,464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22,875,212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4,329,891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18,545,321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1970(C)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ABINGTON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10,457,183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494,652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10,457,183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494,652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10,951,835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223,572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10,728,263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3,765,696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WASHINGTON ST.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11,007,593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5,652,368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9,672,304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12,957,593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13,374,672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26,332,265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3,294,086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23,038,179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5,154,370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MEMORIAL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16,411,388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27,553,908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997,520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16,411,388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28,551,428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44,962,816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5,181,269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39,781,547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14,213,412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MAIN ST.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555,898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2,139,494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555,898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2,139,494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2,695,392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538,443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2,156,949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1,160,478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MORRISSEY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4,097,251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3,751,068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r>
              <w:rPr>
                <w:rFonts w:eastAsia="Times New Roman"/>
                <w:sz w:val="16"/>
                <w:szCs w:val="16"/>
              </w:rPr>
              <w:t>695,389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4,097,251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3,055,679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7,152,930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384,484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6,768,446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2,658,847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GLENDALE SQUARE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4,698,891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7,141,090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309,805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4,698,891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7,450,895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12,149,786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1,717,907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10,431,879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4,921,462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FALMOUTH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2,361,071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13,065,817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1,520,888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2,361,071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14,586,705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16,947,776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2,866,682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14,081,094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6,925,506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WAVERLY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1,215,005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3,622,911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321,467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1,203,205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3,956,178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5,159,383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930,755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4,228,628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1,955,997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FESTIVAL OF HYANNIS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15,038,197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40,682,853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1,846,621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15,038,197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42,529,474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57,567,671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9,845,267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47,722,404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FELLSWAY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5,300,388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11,013,543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829,830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5,300,388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11,843,373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17,143,761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2,042,477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15,101,284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5,875,685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NORTH QUINCY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6,332,542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17,954,110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(274,381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3,894,436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20,117,835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24,012,271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3,635,148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20,377,123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ADAMS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2,089,363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3,226,648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12,409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2,089,363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3,239,057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5,328,420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720,682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4,607,738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1,630,349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BROADWAY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6,485,065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343,422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6,485,065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343,422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6,828,487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168,551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6,659,936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2,502,014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VINNIN SQUARE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5,545,425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16,324,060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260,662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5,545,425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16,584,722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22,130,147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4,292,574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17,837,573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7,741,985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PARADISE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4,183,038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12,194,885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1,709,987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4,183,038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13,904,872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18,087,910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3,349,943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14,737,967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7,482,010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BELMONT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11,104,983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848,844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11,104,983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848,844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11,953,827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280,609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11,673,218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4,420,480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VINNIN SQUARE IN-LINE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582,228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2,094,560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(77,429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582,228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2,017,131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2,599,359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331,833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2,267,526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LINDEN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4,628,215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3,535,431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587,609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4,628,215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4,123,040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8,751,255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1,367,574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7,383,681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3,073,854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NORTH AVE.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1,163,875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1,194,673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23,933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1,163,875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1,218,606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2,382,481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374,350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2,008,131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782,152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WASHINGTON ST.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7,380,918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9,987,119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2,095,754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7,380,918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12,082,873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19,463,791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2,364,023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17,099,768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5,305,390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MILL ST.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4,195,024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6,203,410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770,252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4,195,024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6,973,662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11,168,686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1,589,436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9,579,250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3,469,130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656"/>
        <w:gridCol w:w="249"/>
        <w:gridCol w:w="40"/>
        <w:gridCol w:w="40"/>
        <w:gridCol w:w="720"/>
        <w:gridCol w:w="40"/>
        <w:gridCol w:w="40"/>
        <w:gridCol w:w="40"/>
        <w:gridCol w:w="800"/>
        <w:gridCol w:w="40"/>
        <w:gridCol w:w="40"/>
        <w:gridCol w:w="40"/>
        <w:gridCol w:w="720"/>
        <w:gridCol w:w="54"/>
        <w:gridCol w:w="40"/>
        <w:gridCol w:w="40"/>
        <w:gridCol w:w="720"/>
        <w:gridCol w:w="40"/>
        <w:gridCol w:w="40"/>
        <w:gridCol w:w="40"/>
        <w:gridCol w:w="800"/>
        <w:gridCol w:w="40"/>
        <w:gridCol w:w="40"/>
        <w:gridCol w:w="40"/>
        <w:gridCol w:w="800"/>
        <w:gridCol w:w="40"/>
        <w:gridCol w:w="40"/>
        <w:gridCol w:w="40"/>
        <w:gridCol w:w="720"/>
        <w:gridCol w:w="40"/>
        <w:gridCol w:w="40"/>
        <w:gridCol w:w="40"/>
        <w:gridCol w:w="800"/>
        <w:gridCol w:w="40"/>
        <w:gridCol w:w="40"/>
        <w:gridCol w:w="40"/>
        <w:gridCol w:w="720"/>
        <w:gridCol w:w="40"/>
        <w:gridCol w:w="534"/>
      </w:tblGrid>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FULLERTON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14,237,901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6,743,980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10,130,358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14,237,901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16,874,338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31,112,239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2,474,848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28,637,391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GREENBRIER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8,891,468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30,304,760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701,346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8,891,468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31,006,106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39,897,574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5,857,157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34,040,417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INGLESIDE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10,416,726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17,889,235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509,491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10,416,726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18,398,726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28,815,452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4,046,004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24,769,448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WILKENS BELTWAY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9,948,235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22,125,942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1,851,406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9,948,235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23,977,348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33,925,583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4,457,688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29,467,895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YORK ROAD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4,276,715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37,205,757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114,563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4,276,715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37,320,320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41,597,035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6,484,982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35,112,053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PUTTY HILL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4,192,152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11,112,111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733,222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4,192,152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11,845,333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16,037,485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3,547,695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12,489,790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SNOWDEN SQUARE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1,929,402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4,557,934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5,155,349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3,326,422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8,316,263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11,642,685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2,231,141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9,411,544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COLUMBIA CROSSING</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3,612,550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34,344,509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1,787,039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3,612,550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36,131,548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39,744,098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5,834,713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33,909,385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DORSEY'S SEARCH VILLAGE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6,321,963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27,996,087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611,622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6,321,963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28,607,709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34,929,672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4,639,954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30,289,718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HICKORY RIDGE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7,183,646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26,947,776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914,701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7,183,646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27,862,477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35,046,123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4,640,497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30,405,626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HICKORY RIDGE (SUNOCO)</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543,197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2,122,234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543,197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2,122,234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2,665,431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451,540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2,213,891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KINGS CONTRIVANCE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9,308,349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31,759,940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1,178,679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9,308,349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32,938,619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42,246,968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6,798,215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35,448,753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HARPER'S CHOICE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8,429,284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18,373,994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1,589,307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8,429,284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19,963,301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28,392,585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3,687,980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24,704,605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WILDE LAKE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1,468,038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5,869,862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26,647,784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2,577,073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31,408,611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33,985,684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11,231,674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22,754,010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RIVERHILL VILLAGE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16,825,496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23,282,222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349,435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16,825,496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23,631,657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40,457,153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5,600,696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34,856,457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COLUMBIA CROSSING OUTPARCELS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1,279,200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2,870,800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20,602,841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6,147,248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18,605,593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24,752,841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4,414,835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20,338,006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COLUMBIA CROSSING II SHOP.CTR.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3,137,628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19,868,075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4,766,798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3,137,628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24,634,873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27,772,501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4,338,021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23,434,480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SHOPS AT DISTRICT HEIGHTS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8,165,638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21,970,661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(1,325,546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7,298,215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21,512,538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28,810,753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3,210,633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25,600,120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12,338,092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ENCHANTED FOREST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20,123,946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34,345,102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888,894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20,123,946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35,233,996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55,357,942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7,250,636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48,107,306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SHOPPES AT EASTON</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6,523,713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16,402,204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(2,771,003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5,630,344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14,524,570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20,154,914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3,284,581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16,870,333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VILLAGES AT URBANA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3,190,074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20,089,141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4,828,774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18,456,508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23,285,282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3,028,180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20,257,102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GAITHERSBURG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244,890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6,787,534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1,752,884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244,890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8,540,418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8,785,308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4,419,147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4,366,161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1999(A)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KENTLANDS MARKET SQUARE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20,167,048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84,615,052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16,531,901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20,167,048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101,146,953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121,314,001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12,019,870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109,294,131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30,173,767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SHAWAN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4,466,000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20,222,367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55,327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4,466,000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20,277,694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24,743,694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12,607,792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12,135,902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LAUREL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349,562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1,398,250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6,143,718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1,571,288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6,320,242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7,891,530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2,539,591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5,351,939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LAUREL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274,580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1,100,968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173,969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274,580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1,274,937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1,549,517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1,224,930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324,587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1972(C)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MILL STATION THEATER/RSTRNTS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23,378,543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1,089,760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(3,729,443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14,737,597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6,001,263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20,738,860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1,012,354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19,726,506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2016(C)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MILL STATION DEVELOPMENT</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21,320,924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60,489,404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16,075,820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65,734,508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81,810,328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1,424,791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80,385,537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CENTRE COURT-RETAIL/BANK</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1,035,359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7,785,830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284,760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1,035,359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8,070,590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9,105,949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1,777,184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7,328,765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1,015,043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CENTRE COURT-GIANT</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3,854,099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12,769,628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95,541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3,854,099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12,865,169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16,719,268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3,468,165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13,251,103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4,523,800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CENTRE COURT-OLD COURT/COURTYD</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2,279,177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5,284,577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25,704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2,279,177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5,310,281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7,589,458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1,325,769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6,263,689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RADCLIFFE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12,042,713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21,187,946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116,844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12,042,713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21,304,790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33,347,503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4,689,967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28,657,536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TIMONIUM CROSSING</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2,525,377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14,862,817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473,059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2,525,377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15,335,876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17,861,253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2,997,785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14,863,468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TIMONIUM SQUARE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6,000,000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24,282,998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14,325,728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7,331,195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37,277,531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44,608,726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18,502,141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26,106,585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TOWSON PLACE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MD</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43,886,876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101,764,931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3,884,323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43,270,792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106,265,338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149,536,130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26,241,065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123,295,065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407"/>
        <w:gridCol w:w="249"/>
        <w:gridCol w:w="40"/>
        <w:gridCol w:w="40"/>
        <w:gridCol w:w="720"/>
        <w:gridCol w:w="40"/>
        <w:gridCol w:w="40"/>
        <w:gridCol w:w="40"/>
        <w:gridCol w:w="720"/>
        <w:gridCol w:w="40"/>
        <w:gridCol w:w="40"/>
        <w:gridCol w:w="40"/>
        <w:gridCol w:w="720"/>
        <w:gridCol w:w="54"/>
        <w:gridCol w:w="40"/>
        <w:gridCol w:w="40"/>
        <w:gridCol w:w="720"/>
        <w:gridCol w:w="40"/>
        <w:gridCol w:w="40"/>
        <w:gridCol w:w="40"/>
        <w:gridCol w:w="720"/>
        <w:gridCol w:w="40"/>
        <w:gridCol w:w="40"/>
        <w:gridCol w:w="40"/>
        <w:gridCol w:w="800"/>
        <w:gridCol w:w="40"/>
        <w:gridCol w:w="40"/>
        <w:gridCol w:w="40"/>
        <w:gridCol w:w="720"/>
        <w:gridCol w:w="40"/>
        <w:gridCol w:w="40"/>
        <w:gridCol w:w="40"/>
        <w:gridCol w:w="720"/>
        <w:gridCol w:w="40"/>
        <w:gridCol w:w="40"/>
        <w:gridCol w:w="40"/>
        <w:gridCol w:w="720"/>
        <w:gridCol w:w="40"/>
        <w:gridCol w:w="534"/>
      </w:tblGrid>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CENTURY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MI</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178,785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925,818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1,030,295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95,905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2,038,993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2,134,898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906,461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1,228,437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1968(C)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THE FOUNTAINS AT ARBOR LAKES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MN</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28,585,296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66,699,024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14,322,042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29,485,296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80,121,066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109,606,362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33,928,214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75,678,148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CENTER POINT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MO</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550,204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550,204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550,204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550,203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WOODLAWN MARKETPLACE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919,251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3,570,981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2,820,130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919,251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6,391,111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7,310,362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4,346,540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2,963,822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TYVOLA SQUARE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4,736,345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8,698,903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13,435,248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13,435,248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10,155,373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3,279,875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1986(A)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CROSSROADS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767,864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3,098,881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1,233,350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767,864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4,332,231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5,100,095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2,254,286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2,845,809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2000(A)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JETTON VILLAGE SHOPPES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3,875,224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10,292,231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584,327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2,143,695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12,608,087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14,751,782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3,131,442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11,620,340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WOODLAWN SHOPPING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2,010,725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5,833,626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2,156,743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2,010,725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7,990,369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10,001,094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2,034,144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7,966,950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CROSSROADS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13,405,529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86,455,763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(427,297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13,405,529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86,028,466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99,433,995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17,934,602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81,499,393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QUAIL CORNERS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7,318,321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26,675,644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1,952,511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7,318,321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28,628,155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35,946,476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5,386,660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30,559,816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14,633,727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DAVIDSON COMMONS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2,978,533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12,859,867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508,757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2,978,533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13,368,624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16,347,157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3,220,173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13,126,984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PARK PLACE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5,461,478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16,163,494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4,889,191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5,469,809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21,044,354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26,514,163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8,383,687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18,130,476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MOORESVILLE CROSSING</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12,013,727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30,604,173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489,919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11,625,801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31,482,018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43,107,819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13,207,170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29,900,649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PLEASANT VALLEY PROMENADE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5,208,885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20,885,792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22,521,186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5,208,885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43,406,978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48,615,863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22,878,409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25,737,454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BRENNAN STATION</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7,749,751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20,556,891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(344,091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6,321,923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21,640,628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27,962,551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6,651,035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21,311,516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BRENNAN STATION OUTPARCEL</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627,906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1,665,576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(186,984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450,232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1,656,266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2,106,498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415,017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1,691,481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CLOVERDALE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540,667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719,655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7,535,398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540,667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8,255,053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8,795,720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4,249,108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4,546,612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1969(C)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WEBSTER SQUARE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NH</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11,683,145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41,708,383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5,914,072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11,683,145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47,622,455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59,305,600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9,058,889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50,246,711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WEBSTER SQUARE - DSW</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NH</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1,346,391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3,638,397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131,388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1,346,391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3,769,785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5,116,176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647,828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4,468,348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WEBSTER SQUARE NORTH</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NH</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2,163,138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6,511,424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131,176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2,163,138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6,642,600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8,805,738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1,381,090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7,424,648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ROCKINGHAM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NH</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2,660,915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10,643,660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23,991,703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3,148,715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34,147,563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37,296,278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14,966,093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22,330,185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SHOP RITE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2,417,583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6,364,094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2,431,917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2,417,583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8,796,011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11,213,594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7,441,574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3,772,020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1985(C)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MARLTON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4,318,534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153,375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4,471,909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4,471,909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2,725,754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1,746,155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HILLVIEW SHOPPING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16,007,647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32,607,423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1,019,256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16,007,647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33,626,679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49,634,326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6,168,310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43,466,016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GARDEN STATE PAVILIONS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7,530,709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10,801,949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21,436,057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12,203,841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27,564,874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39,768,715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9,364,390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30,404,325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CLARK SHOPRITE 70 CENTRAL AVE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3,496,673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11,693,769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994,829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13,959,593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2,225,678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16,185,271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1,167,124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15,018,147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COMMERCE CENTER WEST</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385,760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1,290,080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160,534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793,595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1,042,779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1,836,374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290,590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1,545,784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COMMERCE CENTER EAST</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1,518,930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5,079,690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1,753,865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7,235,196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1,117,289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8,352,485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612,018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7,740,467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CENTRAL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3,170,465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10,602,845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525,936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5,145,167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9,154,079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14,299,246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3,001,578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11,297,668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EAST WINDSOR VILLAGE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9,335,011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23,777,978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589,083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9,335,011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24,367,061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33,702,072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8,138,835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25,563,237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HOLMDEL TOWNE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10,824,624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43,301,494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11,331,077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10,824,624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54,632,571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65,457,195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25,600,909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39,856,286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COMMONS AT HOLMDEL</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16,537,556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38,759,952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4,784,343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16,537,556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43,544,295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60,081,851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19,179,428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40,902,423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PLAZA AT HILLSDALE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7,601,596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6,994,196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1,654,977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7,601,596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8,649,173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16,250,769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2,060,745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14,190,024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5,247,361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MAPLE SHADE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9,957,611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2,301,448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12,259,059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12,259,059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3,520,275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8,738,784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PLAZA AT SHORT HILLS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20,155,471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11,061,984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682,452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20,155,471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11,744,436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31,899,907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3,088,919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28,810,988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8,204,541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NORTH BRUNSWICK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3,204,978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12,819,912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27,492,467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3,204,978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40,312,379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43,517,357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22,739,677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20,777,680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PISCATAWAY TOWN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3,851,839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15,410,851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1,584,216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3,851,839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16,995,067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20,846,906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9,721,766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11,125,140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RIDGEWOOD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2,106,566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1,303,621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3,410,187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3,860,187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2,030,829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1,829,358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UNION CRESCENT III</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7,895,483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3,010,640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28,965,399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8,696,579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31,174,943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39,871,522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19,213,708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20,657,814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WESTMONT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601,655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2,404,604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13,565,153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601,655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15,969,757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16,571,412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8,135,948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8,435,464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WILLOWBROOK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15,320,436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40,996,874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10,703,829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15,320,436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51,700,703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67,021,139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9,659,601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57,361,538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DEL MONTE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NV</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2,489,429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5,590,415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223,460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2,210,000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6,093,304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8,303,304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3,385,368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4,917,936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1,304,805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DEL MONTE PLAZA ANCHOR PARCEL</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NV</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6,512,745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17,599,602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140,485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6,520,017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17,732,815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24,252,832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2,167,329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22,085,503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REDFIELD PROMENADE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NV</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4,415,339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32,035,192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599,966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4,415,339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32,635,158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37,050,497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8,995,513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28,054,984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MCQUEEN CROSSINGS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NV</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5,017,431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20,779,024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992,583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5,017,431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21,771,607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26,789,038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5,860,311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20,928,727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GALENA JUNCTION</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NV</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8,931,027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17,503,387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1,033,505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8,931,027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18,536,892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27,467,919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4,134,549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23,333,370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D'ANDREA MARKETPLACE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NV</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11,556,067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29,435,364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572,971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11,556,067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30,008,335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41,564,402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10,536,928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31,027,474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SPARKS MERCANTILE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NV</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6,221,614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17,069,172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165,610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6,221,614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17,234,782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23,456,396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4,070,976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19,385,420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567"/>
        <w:gridCol w:w="196"/>
        <w:gridCol w:w="40"/>
        <w:gridCol w:w="40"/>
        <w:gridCol w:w="720"/>
        <w:gridCol w:w="40"/>
        <w:gridCol w:w="40"/>
        <w:gridCol w:w="40"/>
        <w:gridCol w:w="800"/>
        <w:gridCol w:w="40"/>
        <w:gridCol w:w="40"/>
        <w:gridCol w:w="40"/>
        <w:gridCol w:w="800"/>
        <w:gridCol w:w="54"/>
        <w:gridCol w:w="40"/>
        <w:gridCol w:w="40"/>
        <w:gridCol w:w="720"/>
        <w:gridCol w:w="40"/>
        <w:gridCol w:w="40"/>
        <w:gridCol w:w="40"/>
        <w:gridCol w:w="800"/>
        <w:gridCol w:w="40"/>
        <w:gridCol w:w="40"/>
        <w:gridCol w:w="40"/>
        <w:gridCol w:w="800"/>
        <w:gridCol w:w="40"/>
        <w:gridCol w:w="40"/>
        <w:gridCol w:w="40"/>
        <w:gridCol w:w="720"/>
        <w:gridCol w:w="40"/>
        <w:gridCol w:w="40"/>
        <w:gridCol w:w="40"/>
        <w:gridCol w:w="800"/>
        <w:gridCol w:w="40"/>
        <w:gridCol w:w="40"/>
        <w:gridCol w:w="40"/>
        <w:gridCol w:w="720"/>
        <w:gridCol w:w="40"/>
        <w:gridCol w:w="534"/>
      </w:tblGrid>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BRIDGEHAMPTON COMMONS-W&amp;E SIDE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1,811,752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3,107,232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36,206,904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1,858,188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39,267,700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41,125,888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23,913,758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17,212,130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1972(C)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OCEAN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564,097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2,268,768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19,003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564,097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2,287,771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2,851,868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1,036,522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1,815,346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KINGS HIGHWAY</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2,743,820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6,811,268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2,265,409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2,743,820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9,076,677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11,820,497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4,090,894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7,729,603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RALPH AVENUE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4,414,466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11,339,857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3,964,235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4,414,467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15,304,091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19,718,558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6,174,728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13,543,830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BELLMORE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1,272,269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3,183,547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1,683,700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1,272,269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4,867,247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6,139,516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2,300,481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3,839,035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MARKET AT BAY SHORE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12,359,621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30,707,802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6,641,498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12,359,621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37,349,300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49,708,921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15,631,737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34,077,184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11,963,066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KEY FOOD - ATLANTIC AVE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2,272,500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5,624,589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509,260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4,808,822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3,597,527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8,406,349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943,371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7,462,978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VETERANS MEMORIAL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5,968,082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23,243,404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20,546,639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5,980,130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43,777,995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49,758,125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17,498,760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32,259,365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BIRCHWOOD PLAZA COMMACK</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3,630,000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4,774,791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1,246,823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3,630,000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6,021,614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9,651,614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2,282,408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7,369,206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ELMONT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3,011,658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7,606,066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6,517,563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3,011,658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14,123,629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17,135,287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4,574,649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12,560,638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ELMSFORD CENTER 1</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4,134,273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1,193,084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4,134,273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1,193,084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5,327,357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260,525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5,066,832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ELMSFORD CENTER 2</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4,076,403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15,598,504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1,118,941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4,245,442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16,548,406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20,793,848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4,201,443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16,592,405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FRANKLIN SQUARE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1,078,541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2,516,581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4,169,428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1,078,541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6,686,009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7,764,550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3,213,769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4,550,781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AIRPORT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22,711,189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107,011,500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6,011,483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22,711,189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113,022,983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135,734,172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22,738,108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112,996,064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KISSENA BOULEVARD SHOPPING CTR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11,610,000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2,933,487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1,590,377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11,610,000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4,523,864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16,133,864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1,226,049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14,907,815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HAMPTON BAYS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1,495,105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5,979,320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3,426,833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1,495,105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9,406,153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10,901,258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8,247,555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2,653,703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1989(A)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HICKSVILLE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3,542,739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8,266,375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2,544,652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3,542,739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10,811,027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14,353,766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4,371,522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9,982,244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TURNPIKE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2,471,832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5,839,416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811,116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2,471,832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6,650,532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9,122,364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2,177,657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6,944,707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JERICHO COMMONS SOUTH</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12,368,330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33,071,495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3,602,303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12,368,330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36,673,798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49,042,128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13,606,878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35,435,250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4,820,223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501 NORTH BROADWAY</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1,175,543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(57,618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1,117,925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1,117,925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472,289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645,636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MILLERIDGE INN</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7,500,330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481,316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(47,091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7,500,000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434,555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7,934,555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49,063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7,885,492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FAMILY DOLLAR UNION TURNPIKE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909,000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2,249,775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258,033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1,056,709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2,360,099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3,416,808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605,446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2,811,362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LITTLE NECK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3,277,254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13,161,218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6,062,939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3,277,253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19,224,158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22,501,411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8,903,016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13,598,395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KEY FOOD - 21ST STREET</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1,090,800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2,699,730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(159,449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1,669,153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1,961,928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3,631,081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420,415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3,210,666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MANHASSET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4,567,003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19,165,808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32,485,753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3,471,939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52,746,625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56,218,564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29,031,993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27,186,571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1999(A)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MANHASSET CENTER (RESIDENTIAL)</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950,000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950,000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950,000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950,000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MASPETH QUEENS-DUANE READE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1,872,013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4,827,940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1,036,886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1,872,013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5,864,826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7,736,839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2,370,655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5,366,184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1,746,452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NORTH MASSAPEQUA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1,880,816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4,388,549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(1,914,768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4,354,597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4,354,597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4,307,791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46,806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MINEOLA CROSSINGS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4,150,000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7,520,692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213,964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4,150,000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7,734,656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11,884,656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2,686,165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9,198,491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SMITHTOWN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3,528,000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7,364,098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511,572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3,436,722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7,966,948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11,403,670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3,500,080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7,903,590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MANETTO HILL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263,693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584,031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11,511,460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263,693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12,095,491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12,359,184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7,350,118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5,009,066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1969(C)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SYOSSET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106,655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76,197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2,182,636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106,655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2,258,833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2,365,488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1,280,288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1,085,200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1990(C)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RICHMOND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2,280,000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9,027,951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21,728,940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2,280,000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30,756,891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33,036,891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16,232,406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16,804,485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1989(A)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GREENRIDGE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2,940,000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11,811,964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7,524,470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3,148,424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19,128,010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22,276,434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9,834,444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12,441,990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THE BOULEVARD</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28,723,536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38,232,267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216,796,203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28,723,536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255,028,470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283,752,006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14,816,320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268,935,686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FOREST AVENUE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4,558,592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10,441,408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903,215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4,558,592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11,344,623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15,903,215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4,441,308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11,461,907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INDEPENDENCE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12,279,093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34,813,852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(259,700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16,131,632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30,701,613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46,833,245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8,214,132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38,619,113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KEY FOOD - CENTRAL AVE.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2,787,600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6,899,310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(394,910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2,603,321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6,688,679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9,292,000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1,498,681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7,793,319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WHITE PLAINS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1,777,775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4,453,894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2,520,991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1,777,775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6,974,885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8,752,660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2,724,711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6,027,949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CHAMPION FOOD SUPERMARKET</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757,500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1,874,813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(24,388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2,241,118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366,807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2,607,925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215,617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2,392,308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SHOPRITE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871,977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3,487,909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871,977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3,487,909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4,359,886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2,510,089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1,849,797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ROMAINE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782,459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1,825,737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588,133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782,459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2,413,870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3,196,329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954,512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2,241,817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2005(A)</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274"/>
        <w:gridCol w:w="214"/>
        <w:gridCol w:w="40"/>
        <w:gridCol w:w="40"/>
        <w:gridCol w:w="720"/>
        <w:gridCol w:w="40"/>
        <w:gridCol w:w="40"/>
        <w:gridCol w:w="40"/>
        <w:gridCol w:w="800"/>
        <w:gridCol w:w="40"/>
        <w:gridCol w:w="40"/>
        <w:gridCol w:w="40"/>
        <w:gridCol w:w="720"/>
        <w:gridCol w:w="54"/>
        <w:gridCol w:w="40"/>
        <w:gridCol w:w="40"/>
        <w:gridCol w:w="720"/>
        <w:gridCol w:w="40"/>
        <w:gridCol w:w="40"/>
        <w:gridCol w:w="40"/>
        <w:gridCol w:w="800"/>
        <w:gridCol w:w="40"/>
        <w:gridCol w:w="40"/>
        <w:gridCol w:w="40"/>
        <w:gridCol w:w="800"/>
        <w:gridCol w:w="40"/>
        <w:gridCol w:w="40"/>
        <w:gridCol w:w="40"/>
        <w:gridCol w:w="720"/>
        <w:gridCol w:w="40"/>
        <w:gridCol w:w="40"/>
        <w:gridCol w:w="40"/>
        <w:gridCol w:w="800"/>
        <w:gridCol w:w="40"/>
        <w:gridCol w:w="40"/>
        <w:gridCol w:w="40"/>
        <w:gridCol w:w="54"/>
        <w:gridCol w:w="40"/>
        <w:gridCol w:w="534"/>
      </w:tblGrid>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OREGON TRAIL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OR</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5,802,422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12,622,879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443,736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5,802,422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13,066,615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18,869,037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5,748,725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13,120,312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JANTZEN BEACH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OR</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57,575,244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102,844,429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302,414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57,588,287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103,133,800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160,722,087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15,219,539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145,502,548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SUBURBAN SQUARE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70,679,871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166,351,381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74,923,585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71,279,871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240,674,966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311,954,837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61,032,081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250,922,756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CENTER SQUARE SHOPPING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731,888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2,927,551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1,250,946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691,297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4,219,088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4,910,385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2,975,444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1,934,941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WAYNE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6,127,623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15,605,012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586,306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6,135,670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16,183,271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22,318,941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5,794,561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16,524,380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DEVON VILLAGE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4,856,379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25,846,910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4,251,183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4,856,379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30,098,093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34,954,472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9,660,242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25,294,230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POCONO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1,050,000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2,372,628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17,647,871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1,050,000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20,020,499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21,070,499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1,782,425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19,288,074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1973(C)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WHITELAND TOWN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731,888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2,927,551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59,067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731,888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2,986,618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3,718,506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1,862,032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1,856,474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HARRISBURG EAST SHOPPING CTR.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452,888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6,665,238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11,507,124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3,002,888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15,622,362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18,625,250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8,596,811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10,028,439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TOWNSHIP LINE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731,888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2,927,551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731,888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2,927,551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3,659,439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1,826,592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1,832,847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HORSHAM POINT</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3,813,247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18,189,450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94,638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3,813,247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18,284,088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22,097,335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2,959,732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19,137,603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HOLIDAY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7,726,844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20,014,243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(5,068,084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6,098,316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16,574,687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22,673,003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4,697,416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17,975,587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NORRITON SQUARE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686,134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2,664,535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4,321,998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774,084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6,898,583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7,672,667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5,187,771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2,484,896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1984(A)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FRANKFORD AVENUE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731,888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2,927,551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731,888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2,927,551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3,659,439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1,826,592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1,832,847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WEXFORD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6,413,635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9,774,600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10,747,958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6,299,299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20,636,894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26,936,193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5,794,499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21,141,694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2010(A)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LINCOLN SQUARE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90,478,522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74,705,539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10,532,804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154,651,257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165,184,061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6,748,144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158,435,917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2017(C)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CRANBERRY TOWNSHIP-PARCEL 1&amp;2</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10,270,846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30,769,592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1,951,268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6,070,254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36,921,452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42,991,706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5,726,438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37,265,268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CROSSROADS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788,761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3,155,044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13,915,930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976,439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16,883,296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17,859,735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10,937,138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6,922,597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1986(A)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SPRINGFIELD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919,998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4,981,589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13,182,633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920,000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18,164,220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19,084,220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11,534,171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7,550,049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1983(A)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SHREWSBURY SQUARE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8,066,107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16,997,997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(2,098,623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6,171,638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16,793,843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22,965,481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3,454,950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19,510,531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WHITEHALL MALL</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5,195,577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5,195,577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5,195,577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3,241,685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1,953,892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WHOLE FOODS AT WYNNEWOOD</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15,042,165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11,784,771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13,772,394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13,054,542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26,826,936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1,109,542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25,717,394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2014(C)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SHOPPES AT WYNNEWOOD</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7,478,907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3,684,674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7,478,907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3,684,674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11,163,581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418,878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10,744,703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2015(C)</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114"/>
        <w:gridCol w:w="196"/>
        <w:gridCol w:w="40"/>
        <w:gridCol w:w="40"/>
        <w:gridCol w:w="720"/>
        <w:gridCol w:w="40"/>
        <w:gridCol w:w="40"/>
        <w:gridCol w:w="40"/>
        <w:gridCol w:w="720"/>
        <w:gridCol w:w="40"/>
        <w:gridCol w:w="40"/>
        <w:gridCol w:w="40"/>
        <w:gridCol w:w="720"/>
        <w:gridCol w:w="40"/>
        <w:gridCol w:w="40"/>
        <w:gridCol w:w="40"/>
        <w:gridCol w:w="720"/>
        <w:gridCol w:w="40"/>
        <w:gridCol w:w="40"/>
        <w:gridCol w:w="40"/>
        <w:gridCol w:w="720"/>
        <w:gridCol w:w="40"/>
        <w:gridCol w:w="40"/>
        <w:gridCol w:w="40"/>
        <w:gridCol w:w="720"/>
        <w:gridCol w:w="40"/>
        <w:gridCol w:w="40"/>
        <w:gridCol w:w="40"/>
        <w:gridCol w:w="720"/>
        <w:gridCol w:w="40"/>
        <w:gridCol w:w="40"/>
        <w:gridCol w:w="40"/>
        <w:gridCol w:w="720"/>
        <w:gridCol w:w="40"/>
        <w:gridCol w:w="40"/>
        <w:gridCol w:w="40"/>
        <w:gridCol w:w="54"/>
        <w:gridCol w:w="40"/>
        <w:gridCol w:w="534"/>
      </w:tblGrid>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REXVILLE TOWN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24,872,982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48,688,161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9,080,665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25,678,064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56,963,744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82,641,808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34,972,961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47,668,847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PLAZA CENTRO - COSTCO</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3,627,973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10,752,213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1,573,414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3,866,206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12,087,394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15,953,600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7,166,627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8,786,973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PLAZA CENTRO - MALL</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19,873,263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58,719,179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12,289,331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19,408,112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71,473,661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90,881,773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37,053,999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53,827,774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PLAZA CENTRO - RETAIL</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5,935,566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16,509,748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3,138,474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6,026,070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19,557,718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25,583,788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10,286,307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15,297,481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PLAZA CENTRO - SAM'S CLUB</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6,643,224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20,224,758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2,766,593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6,520,090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23,114,485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29,634,575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21,857,777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7,776,798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LOS COLOBOS - BUILDERS SQUARE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4,404,593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9,627,903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1,283,497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4,461,145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10,854,848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15,315,993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10,091,418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5,224,575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LOS COLOBOS - KMART</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4,594,944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10,120,147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789,782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4,402,338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11,102,535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15,504,873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10,210,113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5,294,760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LOS COLOBOS I</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12,890,882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26,046,669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5,245,260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13,613,375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30,569,436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44,182,811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17,840,722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26,342,089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LOS COLOBOS II</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14,893,698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30,680,556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6,570,218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15,142,300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37,002,172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52,144,472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21,506,165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30,638,307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WESTERN PLAZA - MAYAGUEZ ONE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10,857,773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12,252,522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1,528,575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11,241,993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13,396,877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24,638,870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10,702,298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13,936,572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WESTERN PLAZA - MAYAGUEZ TWO</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16,874,345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19,911,045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3,937,678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16,872,647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23,850,421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40,723,068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18,028,998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22,694,070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MANATI VILLA MARIA SC</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2,781,447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5,673,119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2,213,931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2,606,588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8,061,909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10,668,497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4,764,999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5,903,498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PONCE TOWNE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14,432,778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28,448,754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6,185,025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14,903,024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34,163,533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49,066,557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21,217,701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27,848,856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TRUJILLO ALTO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PR</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12,053,673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24,445,858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5,067,766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12,289,288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29,278,009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41,567,297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16,579,676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24,987,621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ST. ANDREWS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SC</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730,164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3,132,092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18,973,079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730,164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22,105,171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22,835,335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12,320,513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10,514,822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1978(C)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WESTWOOD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SC</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1,744,430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6,986,094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14,951,361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1,726,833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21,955,052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23,681,885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5,836,373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17,845,512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WOODRUFF SHOPPING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SC</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3,110,439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15,501,117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1,341,011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3,465,199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16,487,368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19,952,567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4,746,300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15,206,267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2010(A)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FOREST PARK</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SC</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1,920,241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9,544,875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580,963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1,920,241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10,125,838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12,046,079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2,336,596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9,709,483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OLD TOWNE VILLAGE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TN</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4,133,904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4,449,302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8,583,206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8,583,206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6,444,263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2,138,943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1978(C)</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363"/>
        <w:gridCol w:w="187"/>
        <w:gridCol w:w="40"/>
        <w:gridCol w:w="40"/>
        <w:gridCol w:w="720"/>
        <w:gridCol w:w="40"/>
        <w:gridCol w:w="40"/>
        <w:gridCol w:w="40"/>
        <w:gridCol w:w="720"/>
        <w:gridCol w:w="40"/>
        <w:gridCol w:w="40"/>
        <w:gridCol w:w="40"/>
        <w:gridCol w:w="720"/>
        <w:gridCol w:w="54"/>
        <w:gridCol w:w="40"/>
        <w:gridCol w:w="40"/>
        <w:gridCol w:w="720"/>
        <w:gridCol w:w="40"/>
        <w:gridCol w:w="40"/>
        <w:gridCol w:w="40"/>
        <w:gridCol w:w="720"/>
        <w:gridCol w:w="40"/>
        <w:gridCol w:w="40"/>
        <w:gridCol w:w="40"/>
        <w:gridCol w:w="720"/>
        <w:gridCol w:w="40"/>
        <w:gridCol w:w="40"/>
        <w:gridCol w:w="40"/>
        <w:gridCol w:w="720"/>
        <w:gridCol w:w="40"/>
        <w:gridCol w:w="40"/>
        <w:gridCol w:w="40"/>
        <w:gridCol w:w="720"/>
        <w:gridCol w:w="40"/>
        <w:gridCol w:w="40"/>
        <w:gridCol w:w="40"/>
        <w:gridCol w:w="720"/>
        <w:gridCol w:w="40"/>
        <w:gridCol w:w="534"/>
      </w:tblGrid>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CENTER OF THE HILLS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2,923,585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11,706,145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3,449,912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2,923,585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15,156,057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18,079,642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7,055,163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11,024,479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GATEWAY STATION</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1,373,692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28,145,158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3,523,644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1,374,880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31,667,614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33,042,494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6,629,432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26,413,062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2011(A)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LAS TIENDAS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8,678,107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27,279,792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7,943,925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28,013,974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35,957,899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8,068,224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27,889,675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2005(C)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GATEWAY STATION PHASE II</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4,140,176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12,020,460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713,259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4,143,385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12,730,510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16,873,895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1,364,061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15,509,834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CONROE MARKETPLACE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18,869,087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50,756,554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(2,677,180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10,841,611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56,106,850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66,948,461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10,104,958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56,843,503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MONTGOMERY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10,739,067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63,065,333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(419,790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10,738,796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62,645,814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73,384,610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13,416,364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59,968,246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25,802,424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PRESTON LEBANON CROSSING</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13,552,180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28,427,070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12,163,694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29,815,556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41,979,250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9,582,330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32,396,920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2006(C)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LAKE PRAIRIE TOWN CROSSING</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7,897,491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29,290,148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6,783,464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30,404,175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37,187,639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7,739,383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29,448,256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CENTER AT BAYBROOK</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6,941,017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27,727,491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11,838,558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6,928,120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39,578,946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46,507,066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19,845,688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26,661,378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CYPRESS TOWNE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6,033,932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1,692,407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2,251,666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5,474,673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7,726,339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1,555,275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6,171,064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2003(C)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CYPRESS TOWNE CENTER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12,329,195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36,836,381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880,338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8,644,145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41,401,769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50,045,914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6,516,916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43,528,998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CYPRESS TOWNE CENTER (PHASE II)</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2,061,477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6,157,862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(1,361,233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270,374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6,587,732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6,858,106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1,402,130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5,455,976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THE CENTRE AT COPPERFIELD</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6,723,267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22,524,551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539,011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6,723,357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23,063,472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29,786,829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5,061,448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24,725,381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COPPERWOOD VILLAGE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13,848,109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84,183,731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958,779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13,848,109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85,142,510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98,990,619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16,417,993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82,572,626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ATASCOCITA COMMONS SHOP.CTR.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16,322,636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54,587,066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(717,990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15,640,837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54,550,875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70,191,712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11,168,971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59,022,741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TOMBALL CROSSINGS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8,517,427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28,484,450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969,146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7,964,894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30,006,129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37,971,023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6,287,828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31,683,195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COPPERFIELD VILLAGE SHOP.CTR.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7,827,639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34,864,441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471,227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7,827,639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35,335,668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43,163,307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6,876,844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36,286,463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KROGER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520,340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2,081,356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1,477,184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520,340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3,558,540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4,078,880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2,189,764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1,889,116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ACCENT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500,414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2,830,835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500,414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2,835,889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3,336,303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1,754,962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1,581,341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1996(A)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WOODBRIDGE SHOPPING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2,568,705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6,813,716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366,452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2,568,705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7,180,168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9,748,873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2,117,065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7,631,808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GRAND PARKWAY MARKETPLACE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25,363,548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68,335,804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21,937,009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71,762,343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93,699,352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5,445,467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88,253,885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GRAND PARKWAY MARKET PLACE II</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TX</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13,436,447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39,317,517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12,556,112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40,197,852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52,753,964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2,615,556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50,138,408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2015(C)</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363"/>
        <w:gridCol w:w="232"/>
        <w:gridCol w:w="40"/>
        <w:gridCol w:w="40"/>
        <w:gridCol w:w="720"/>
        <w:gridCol w:w="40"/>
        <w:gridCol w:w="40"/>
        <w:gridCol w:w="40"/>
        <w:gridCol w:w="800"/>
        <w:gridCol w:w="40"/>
        <w:gridCol w:w="40"/>
        <w:gridCol w:w="40"/>
        <w:gridCol w:w="774"/>
        <w:gridCol w:w="54"/>
        <w:gridCol w:w="40"/>
        <w:gridCol w:w="40"/>
        <w:gridCol w:w="720"/>
        <w:gridCol w:w="40"/>
        <w:gridCol w:w="40"/>
        <w:gridCol w:w="40"/>
        <w:gridCol w:w="800"/>
        <w:gridCol w:w="40"/>
        <w:gridCol w:w="40"/>
        <w:gridCol w:w="40"/>
        <w:gridCol w:w="800"/>
        <w:gridCol w:w="40"/>
        <w:gridCol w:w="40"/>
        <w:gridCol w:w="40"/>
        <w:gridCol w:w="720"/>
        <w:gridCol w:w="40"/>
        <w:gridCol w:w="40"/>
        <w:gridCol w:w="40"/>
        <w:gridCol w:w="800"/>
        <w:gridCol w:w="40"/>
        <w:gridCol w:w="40"/>
        <w:gridCol w:w="40"/>
        <w:gridCol w:w="720"/>
        <w:gridCol w:w="40"/>
        <w:gridCol w:w="525"/>
      </w:tblGrid>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BURKE TOWN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VA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43,240,068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(5,703,824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37,536,244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37,536,244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7,567,540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29,968,704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2014(A)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OLD TOWN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VA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4,500,000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41,569,735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r>
              <w:rPr>
                <w:rFonts w:eastAsia="Times New Roman"/>
                <w:sz w:val="16"/>
                <w:szCs w:val="16"/>
              </w:rPr>
              <w:t>14,900,620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3,052,800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28,116,315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31,169,115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7,366,595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23,802,520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POTOMAC RUN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VA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27,369,515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48,451,209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3,497,101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27,369,515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51,948,310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79,317,825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16,727,819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62,590,006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2008(A)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DULLES TOWN CROSSING</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VA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53,285,116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104,175,738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238,695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53,285,116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104,414,433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157,699,549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23,625,433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134,074,116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DOCSTONE COMMONS</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VA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3,839,249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11,468,264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475,814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3,903,963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11,879,364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15,783,327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1,635,510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14,147,817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DOCSTONE O/P - STAPLES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VA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1,425,307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4,317,552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(883,709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1,167,588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3,691,562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4,859,150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700,794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4,158,356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STAFFORD MARKETPLACE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VA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26,893,429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86,449,614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2,732,587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26,893,429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89,182,201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116,075,630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15,949,336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100,126,294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GORDON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VA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3,330,621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(24,804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3,305,817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3,305,817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420,083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2,885,734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AUBURN NORTH</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WA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7,785,841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18,157,625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9,756,591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7,785,841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27,914,216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35,700,057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9,005,405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26,694,652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THE MARKETPLACE AT FACTORIA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WA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60,502,358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92,696,231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18,324,940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60,502,358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111,021,171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171,523,529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25,535,366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145,988,163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52,657,957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2013(A)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FRONTIER VILLAGE SHOPPING CTR.</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WA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10,750,863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44,860,769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2,616,046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10,750,863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47,476,815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58,227,678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8,819,011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49,408,667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GATEWAY SHOPPING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WA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6,937,929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11,270,322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9,194,330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6,937,929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20,464,652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27,402,581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2,343,891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25,058,690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OLYMPIA WEST OUTPARCEL</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WA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799,640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100,360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900,000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1,260,000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194,283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1,065,717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FRANKLIN PARK COMMONS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WA</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5,418,825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11,988,657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7,413,488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5,418,825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19,402,145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24,820,970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3,141,448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21,679,522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SILVERDALE PLAZA</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WA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3,875,013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33,109,418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106,142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3,755,613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33,334,960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37,090,573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7,944,735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29,145,838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CCEEFF"/>
            <w:tcMar>
              <w:top w:w="0" w:type="dxa"/>
              <w:left w:w="180" w:type="dxa"/>
              <w:bottom w:w="0" w:type="dxa"/>
              <w:right w:w="0" w:type="dxa"/>
            </w:tcMar>
            <w:vAlign w:val="center"/>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center"/>
            <w:hideMark/>
          </w:tcPr>
          <w:p w:rsidR="00000000" w:rsidRDefault="004E30E9">
            <w:pPr>
              <w:rPr>
                <w:rFonts w:eastAsia="Times New Roman"/>
                <w:sz w:val="16"/>
                <w:szCs w:val="16"/>
              </w:rPr>
            </w:pPr>
            <w:r>
              <w:rPr>
                <w:rFonts w:eastAsia="Times New Roman"/>
                <w:sz w:val="16"/>
                <w:szCs w:val="16"/>
              </w:rPr>
              <w:t> </w:t>
            </w:r>
          </w:p>
        </w:tc>
      </w:tr>
    </w:tbl>
    <w:p w:rsidR="00000000" w:rsidRDefault="004E30E9">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425"/>
        <w:gridCol w:w="507"/>
        <w:gridCol w:w="40"/>
        <w:gridCol w:w="80"/>
        <w:gridCol w:w="920"/>
        <w:gridCol w:w="40"/>
        <w:gridCol w:w="40"/>
        <w:gridCol w:w="80"/>
        <w:gridCol w:w="920"/>
        <w:gridCol w:w="40"/>
        <w:gridCol w:w="40"/>
        <w:gridCol w:w="80"/>
        <w:gridCol w:w="920"/>
        <w:gridCol w:w="54"/>
        <w:gridCol w:w="40"/>
        <w:gridCol w:w="80"/>
        <w:gridCol w:w="920"/>
        <w:gridCol w:w="40"/>
        <w:gridCol w:w="40"/>
        <w:gridCol w:w="80"/>
        <w:gridCol w:w="920"/>
        <w:gridCol w:w="40"/>
        <w:gridCol w:w="40"/>
        <w:gridCol w:w="80"/>
        <w:gridCol w:w="1000"/>
        <w:gridCol w:w="40"/>
        <w:gridCol w:w="40"/>
        <w:gridCol w:w="80"/>
        <w:gridCol w:w="920"/>
        <w:gridCol w:w="40"/>
        <w:gridCol w:w="40"/>
        <w:gridCol w:w="80"/>
        <w:gridCol w:w="920"/>
        <w:gridCol w:w="40"/>
        <w:gridCol w:w="40"/>
        <w:gridCol w:w="80"/>
        <w:gridCol w:w="800"/>
        <w:gridCol w:w="40"/>
        <w:gridCol w:w="534"/>
      </w:tblGrid>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rPr>
                <w:sz w:val="16"/>
                <w:szCs w:val="16"/>
              </w:rPr>
            </w:pPr>
            <w:r>
              <w:rPr>
                <w:i/>
                <w:iCs/>
                <w:sz w:val="16"/>
                <w:szCs w:val="16"/>
              </w:rPr>
              <w:t>OTHER PROPERTY INTERESTS</w:t>
            </w:r>
          </w:p>
        </w:tc>
        <w:tc>
          <w:tcPr>
            <w:tcW w:w="20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20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30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2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3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30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i/>
                <w:iCs/>
                <w:sz w:val="16"/>
                <w:szCs w:val="16"/>
              </w:rPr>
              <w:t> </w:t>
            </w:r>
          </w:p>
        </w:tc>
        <w:tc>
          <w:tcPr>
            <w:tcW w:w="3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ASANTE RETAIL CENTER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8,702,635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3,405,683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(1,068,846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11,039,472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11,039,472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11,039,472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2004(C)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SURPRISE SPECTRUM</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AZ</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4,138,760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94,572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(94,572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4,138,760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4,138,760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4,138,760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2008(C)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LAKE WALES S.C.</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FL</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601,052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601,052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601,052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601,052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2009(A)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TREASURE VALLEY</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ID</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6,501,240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(5,520,565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519,811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460,864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980,675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460,864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519,811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2005(C)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LINWOOD-INDIANAPOLIS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IN</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31,045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31,045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31,045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31,045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1991(A)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FLINT - VACANT LAND</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MI</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101,424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(10,000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91,424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91,424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91,424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CHARLOTTE SPORTS &amp; FITNESS CTR</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500,754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1,858,643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499,465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500,754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2,358,108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2,858,862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1,973,093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885,769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1986(A)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WAKEFIELD COMMONS III</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6,506,450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(5,397,400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786,863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322,187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1,109,050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250,982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858,068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2001(C)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WAKEFIELD CROSSINGS</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NC</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3,413,932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(3,276,783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137,149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137,149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137,149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2001(C)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HILLSBOROUGH PROMENADE</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NJ</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11,886,809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(6,632,045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5,006,054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248,710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5,254,764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80,538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5,174,226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2001(C)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KEY BANK BUILDING</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1,500,000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40,486,755</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(7,862,326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668,637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33,455,792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34,124,429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20,933,109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13,191,320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NORTHPORT LAND PARCEL</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14,460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81,983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96,443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96,443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5,358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91,085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2012(A)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MERRY LANE (PARKING LOT)</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1,485,531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1,749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1,256,374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1,485,531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1,258,123</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2,743,654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2,743,654</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JERICHO ATRIUM</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10,624,099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20,065,496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3,657,027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10,624,099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23,722,523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34,346,622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5,416,357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28,930,265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2016(A)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BIRCHWOOD PARK</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NY</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3,507,162</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4,126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(2,434,201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1,077,087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1,077,087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1,077,087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2007(A)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HIGH PARK CTR RETAIL</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OH</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3,783,875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(3,298,325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485,550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485,550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485,550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2001(C)</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MCMINNVILLE PLAZA</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OR</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4,062,327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211,379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4,062,327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211,379</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4,273,706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4,273,706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2006(C)</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ind w:left="180"/>
              <w:rPr>
                <w:sz w:val="16"/>
                <w:szCs w:val="16"/>
              </w:rPr>
            </w:pPr>
            <w:r>
              <w:rPr>
                <w:sz w:val="16"/>
                <w:szCs w:val="16"/>
              </w:rPr>
              <w:t>COULTER AVE. PARCEL</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PA</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577,630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1,348,019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15,812,264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16,795,296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942,617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17,737,913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64,695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17,673,218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pStyle w:val="a3"/>
              <w:spacing w:before="0" w:beforeAutospacing="0" w:after="0" w:afterAutospacing="0"/>
              <w:jc w:val="center"/>
              <w:rPr>
                <w:sz w:val="16"/>
                <w:szCs w:val="16"/>
              </w:rPr>
            </w:pPr>
            <w:r>
              <w:rPr>
                <w:rStyle w:val="a6"/>
                <w:sz w:val="16"/>
                <w:szCs w:val="16"/>
              </w:rPr>
              <w:t>2015(A)</w:t>
            </w:r>
          </w:p>
        </w:tc>
      </w:tr>
      <w:tr w:rsidR="004E30E9">
        <w:trPr>
          <w:tblCellSpacing w:w="0" w:type="dxa"/>
        </w:trPr>
        <w:tc>
          <w:tcPr>
            <w:tcW w:w="700" w:type="pct"/>
            <w:shd w:val="clear" w:color="auto" w:fill="CCEEFF"/>
            <w:vAlign w:val="bottom"/>
            <w:hideMark/>
          </w:tcPr>
          <w:p w:rsidR="00000000" w:rsidRDefault="004E30E9">
            <w:pPr>
              <w:pStyle w:val="a3"/>
              <w:spacing w:before="0" w:beforeAutospacing="0" w:after="0" w:afterAutospacing="0"/>
              <w:ind w:left="180"/>
              <w:rPr>
                <w:sz w:val="16"/>
                <w:szCs w:val="16"/>
              </w:rPr>
            </w:pPr>
            <w:r>
              <w:rPr>
                <w:sz w:val="16"/>
                <w:szCs w:val="16"/>
              </w:rPr>
              <w:t>BLUE RIDGE</w:t>
            </w:r>
          </w:p>
        </w:tc>
        <w:tc>
          <w:tcPr>
            <w:tcW w:w="200" w:type="pct"/>
            <w:shd w:val="clear" w:color="auto" w:fill="CCEEFF"/>
            <w:vAlign w:val="bottom"/>
            <w:hideMark/>
          </w:tcPr>
          <w:p w:rsidR="00000000" w:rsidRDefault="004E30E9">
            <w:pPr>
              <w:pStyle w:val="a3"/>
              <w:spacing w:before="0" w:beforeAutospacing="0" w:after="0" w:afterAutospacing="0"/>
              <w:rPr>
                <w:sz w:val="16"/>
                <w:szCs w:val="16"/>
              </w:rPr>
            </w:pPr>
            <w:r>
              <w:rPr>
                <w:rStyle w:val="a6"/>
                <w:sz w:val="16"/>
                <w:szCs w:val="16"/>
              </w:rPr>
              <w:t>Various</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12,346,900</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71,529,796</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(52,781,058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3,554,097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27,541,541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31,095,638</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19,549,577</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11,546,061</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pStyle w:val="a3"/>
              <w:spacing w:before="0" w:beforeAutospacing="0" w:after="0" w:afterAutospacing="0"/>
              <w:jc w:val="center"/>
              <w:rPr>
                <w:sz w:val="16"/>
                <w:szCs w:val="16"/>
              </w:rPr>
            </w:pPr>
            <w:r>
              <w:rPr>
                <w:rStyle w:val="a6"/>
                <w:sz w:val="16"/>
                <w:szCs w:val="16"/>
              </w:rPr>
              <w:t>2005(A)</w:t>
            </w:r>
          </w:p>
        </w:tc>
      </w:tr>
      <w:tr w:rsidR="004E30E9">
        <w:trPr>
          <w:tblCellSpacing w:w="0" w:type="dxa"/>
        </w:trPr>
        <w:tc>
          <w:tcPr>
            <w:tcW w:w="700" w:type="pct"/>
            <w:shd w:val="clear" w:color="auto" w:fill="FFFFFF"/>
            <w:vAlign w:val="bottom"/>
            <w:hideMark/>
          </w:tcPr>
          <w:p w:rsidR="00000000" w:rsidRDefault="004E30E9">
            <w:pPr>
              <w:pStyle w:val="a3"/>
              <w:spacing w:before="0" w:beforeAutospacing="0" w:after="0" w:afterAutospacing="0"/>
              <w:rPr>
                <w:sz w:val="16"/>
                <w:szCs w:val="16"/>
              </w:rPr>
            </w:pPr>
            <w:r>
              <w:rPr>
                <w:sz w:val="16"/>
                <w:szCs w:val="16"/>
              </w:rPr>
              <w:t>BALANCE OF PORTFOLIO (4)</w:t>
            </w:r>
          </w:p>
        </w:tc>
        <w:tc>
          <w:tcPr>
            <w:tcW w:w="200" w:type="pct"/>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Various</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1,907,178</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65,127,203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(24,810,900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116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42,223,365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42,223,481</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5,909,726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36,313,755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rPr>
                <w:rFonts w:eastAsia="Times New Roman"/>
                <w:sz w:val="16"/>
                <w:szCs w:val="16"/>
              </w:rPr>
            </w:pPr>
            <w:r>
              <w:rPr>
                <w:rStyle w:val="a6"/>
                <w:rFonts w:eastAsia="Times New Roman"/>
                <w:sz w:val="16"/>
                <w:szCs w:val="16"/>
              </w:rPr>
              <w:t> </w:t>
            </w:r>
          </w:p>
        </w:tc>
      </w:tr>
      <w:tr w:rsidR="004E30E9">
        <w:trPr>
          <w:tblCellSpacing w:w="0" w:type="dxa"/>
        </w:trPr>
        <w:tc>
          <w:tcPr>
            <w:tcW w:w="70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CCEEFF"/>
            <w:tcMar>
              <w:top w:w="0" w:type="dxa"/>
              <w:left w:w="0" w:type="dxa"/>
              <w:bottom w:w="15" w:type="dxa"/>
              <w:right w:w="0" w:type="dxa"/>
            </w:tcMar>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4E30E9">
            <w:pPr>
              <w:rPr>
                <w:rFonts w:eastAsia="Times New Roman"/>
                <w:sz w:val="16"/>
                <w:szCs w:val="16"/>
              </w:rPr>
            </w:pPr>
            <w:r>
              <w:rPr>
                <w:rFonts w:eastAsia="Times New Roman"/>
                <w:sz w:val="16"/>
                <w:szCs w:val="16"/>
              </w:rPr>
              <w:t> </w:t>
            </w:r>
          </w:p>
        </w:tc>
      </w:tr>
      <w:tr w:rsidR="004E30E9">
        <w:trPr>
          <w:tblCellSpacing w:w="0" w:type="dxa"/>
        </w:trPr>
        <w:tc>
          <w:tcPr>
            <w:tcW w:w="700" w:type="pct"/>
            <w:gridSpan w:val="2"/>
            <w:shd w:val="clear" w:color="auto" w:fill="FFFFFF"/>
            <w:vAlign w:val="bottom"/>
            <w:hideMark/>
          </w:tcPr>
          <w:p w:rsidR="00000000" w:rsidRDefault="004E30E9">
            <w:pPr>
              <w:pStyle w:val="a3"/>
              <w:spacing w:before="0" w:beforeAutospacing="0" w:after="0" w:afterAutospacing="0"/>
              <w:rPr>
                <w:sz w:val="16"/>
                <w:szCs w:val="16"/>
              </w:rPr>
            </w:pPr>
            <w:r>
              <w:rPr>
                <w:rStyle w:val="a6"/>
                <w:sz w:val="16"/>
                <w:szCs w:val="16"/>
              </w:rPr>
              <w:t>TOTALS</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2,899,246,680</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6,892,573,684</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2,277,006,785</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2,787,559,893</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9,281,267,256</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12,068,827,149</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2,717,113,527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35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9,351,713,622</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w:t>
            </w:r>
          </w:p>
        </w:tc>
        <w:tc>
          <w:tcPr>
            <w:tcW w:w="300" w:type="pct"/>
            <w:shd w:val="clear" w:color="auto" w:fill="FFFFFF"/>
            <w:vAlign w:val="bottom"/>
            <w:hideMark/>
          </w:tcPr>
          <w:p w:rsidR="00000000" w:rsidRDefault="004E30E9">
            <w:pPr>
              <w:jc w:val="right"/>
              <w:rPr>
                <w:rFonts w:eastAsia="Times New Roman"/>
                <w:sz w:val="16"/>
                <w:szCs w:val="16"/>
              </w:rPr>
            </w:pPr>
            <w:r>
              <w:rPr>
                <w:rFonts w:eastAsia="Times New Roman"/>
                <w:sz w:val="16"/>
                <w:szCs w:val="16"/>
              </w:rPr>
              <w:t>311,272,167</w:t>
            </w:r>
          </w:p>
        </w:tc>
        <w:tc>
          <w:tcPr>
            <w:tcW w:w="50" w:type="pct"/>
            <w:shd w:val="clear" w:color="auto" w:fill="FFFFFF"/>
            <w:vAlign w:val="bottom"/>
            <w:hideMark/>
          </w:tcPr>
          <w:p w:rsidR="00000000" w:rsidRDefault="004E30E9">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4E30E9">
            <w:pPr>
              <w:rPr>
                <w:rFonts w:eastAsia="Times New Roman"/>
                <w:sz w:val="16"/>
                <w:szCs w:val="16"/>
              </w:rPr>
            </w:pPr>
            <w:r>
              <w:rPr>
                <w:rStyle w:val="a6"/>
                <w:rFonts w:eastAsia="Times New Roman"/>
                <w:sz w:val="16"/>
                <w:szCs w:val="16"/>
              </w:rPr>
              <w:t> </w:t>
            </w:r>
          </w:p>
        </w:tc>
      </w:tr>
    </w:tbl>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
        <w:gridCol w:w="360"/>
        <w:gridCol w:w="7766"/>
      </w:tblGrid>
      <w:tr w:rsidR="00000000">
        <w:trPr>
          <w:tblCellSpacing w:w="0" w:type="dxa"/>
        </w:trPr>
        <w:tc>
          <w:tcPr>
            <w:tcW w:w="180" w:type="dxa"/>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rPr>
                <w:rFonts w:eastAsia="Times New Roman"/>
                <w:sz w:val="20"/>
                <w:szCs w:val="20"/>
              </w:rPr>
            </w:pPr>
            <w:r>
              <w:rPr>
                <w:rFonts w:eastAsia="Times New Roman"/>
                <w:sz w:val="20"/>
                <w:szCs w:val="20"/>
              </w:rPr>
              <w:t>(</w:t>
            </w:r>
            <w:r>
              <w:rPr>
                <w:rStyle w:val="a6"/>
                <w:rFonts w:eastAsia="Times New Roman"/>
                <w:sz w:val="20"/>
                <w:szCs w:val="20"/>
              </w:rPr>
              <w:t>1</w:t>
            </w:r>
            <w:r>
              <w:rPr>
                <w:rFonts w:eastAsia="Times New Roman"/>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The negative balance for costs capitalized subsequent to acquisition could include parcels/out-parcels sold, assets held-for-sale, provision for losses and/or demolition of part of a property for redevelopment. </w:t>
            </w:r>
          </w:p>
        </w:tc>
      </w:tr>
      <w:tr w:rsidR="00000000">
        <w:trPr>
          <w:tblCellSpacing w:w="0" w:type="dxa"/>
        </w:trPr>
        <w:tc>
          <w:tcPr>
            <w:tcW w:w="180" w:type="dxa"/>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rPr>
                <w:rFonts w:eastAsia="Times New Roman"/>
                <w:sz w:val="20"/>
                <w:szCs w:val="20"/>
              </w:rPr>
            </w:pPr>
            <w:r>
              <w:rPr>
                <w:rFonts w:eastAsia="Times New Roman"/>
                <w:sz w:val="20"/>
                <w:szCs w:val="20"/>
              </w:rPr>
              <w:t>(</w:t>
            </w:r>
            <w:r>
              <w:rPr>
                <w:rStyle w:val="a6"/>
                <w:rFonts w:eastAsia="Times New Roman"/>
                <w:sz w:val="20"/>
                <w:szCs w:val="20"/>
              </w:rPr>
              <w:t>2</w:t>
            </w:r>
            <w:r>
              <w:rPr>
                <w:rFonts w:eastAsia="Times New Roman"/>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Includes fair market value of debt adjustments, net and deferred financing costs, net. </w:t>
            </w:r>
          </w:p>
        </w:tc>
      </w:tr>
      <w:tr w:rsidR="00000000">
        <w:trPr>
          <w:tblCellSpacing w:w="0" w:type="dxa"/>
        </w:trPr>
        <w:tc>
          <w:tcPr>
            <w:tcW w:w="180" w:type="dxa"/>
            <w:hideMark/>
          </w:tcPr>
          <w:p w:rsidR="00000000" w:rsidRDefault="004E30E9">
            <w:pPr>
              <w:rPr>
                <w:rFonts w:eastAsia="Times New Roman"/>
                <w:sz w:val="20"/>
                <w:szCs w:val="20"/>
              </w:rPr>
            </w:pPr>
            <w:r>
              <w:rPr>
                <w:rFonts w:eastAsia="Times New Roman"/>
                <w:sz w:val="20"/>
                <w:szCs w:val="20"/>
              </w:rPr>
              <w:t> </w:t>
            </w:r>
          </w:p>
        </w:tc>
        <w:tc>
          <w:tcPr>
            <w:tcW w:w="360" w:type="dxa"/>
            <w:hideMark/>
          </w:tcPr>
          <w:p w:rsidR="00000000" w:rsidRDefault="004E30E9">
            <w:pPr>
              <w:rPr>
                <w:rFonts w:eastAsia="Times New Roman"/>
                <w:sz w:val="20"/>
                <w:szCs w:val="20"/>
              </w:rPr>
            </w:pPr>
            <w:r>
              <w:rPr>
                <w:rFonts w:eastAsia="Times New Roman"/>
                <w:sz w:val="20"/>
                <w:szCs w:val="20"/>
              </w:rPr>
              <w:t>(</w:t>
            </w:r>
            <w:r>
              <w:rPr>
                <w:rStyle w:val="a6"/>
                <w:rFonts w:eastAsia="Times New Roman"/>
                <w:sz w:val="20"/>
                <w:szCs w:val="20"/>
              </w:rPr>
              <w:t>3</w:t>
            </w:r>
            <w:r>
              <w:rPr>
                <w:rFonts w:eastAsia="Times New Roman"/>
                <w:sz w:val="20"/>
                <w:szCs w:val="20"/>
              </w:rPr>
              <w:t>)</w:t>
            </w:r>
          </w:p>
        </w:tc>
        <w:tc>
          <w:tcPr>
            <w:tcW w:w="0" w:type="auto"/>
            <w:hideMark/>
          </w:tcPr>
          <w:p w:rsidR="00000000" w:rsidRDefault="004E30E9">
            <w:pPr>
              <w:pStyle w:val="a3"/>
              <w:spacing w:before="0" w:beforeAutospacing="0" w:after="0" w:afterAutospacing="0"/>
              <w:rPr>
                <w:sz w:val="20"/>
                <w:szCs w:val="20"/>
              </w:rPr>
            </w:pPr>
            <w:r>
              <w:rPr>
                <w:sz w:val="20"/>
                <w:szCs w:val="20"/>
              </w:rPr>
              <w:t>Shopping center includes active real estate under development project or land held for development. </w:t>
            </w:r>
          </w:p>
        </w:tc>
      </w:tr>
      <w:tr w:rsidR="00000000">
        <w:trPr>
          <w:tblCellSpacing w:w="0" w:type="dxa"/>
        </w:trPr>
        <w:tc>
          <w:tcPr>
            <w:tcW w:w="180" w:type="dxa"/>
            <w:vAlign w:val="center"/>
            <w:hideMark/>
          </w:tcPr>
          <w:p w:rsidR="00000000" w:rsidRDefault="004E30E9">
            <w:pPr>
              <w:rPr>
                <w:rFonts w:eastAsia="Times New Roman"/>
                <w:sz w:val="20"/>
                <w:szCs w:val="20"/>
              </w:rPr>
            </w:pPr>
            <w:r>
              <w:rPr>
                <w:rFonts w:eastAsia="Times New Roman"/>
                <w:sz w:val="20"/>
                <w:szCs w:val="20"/>
              </w:rPr>
              <w:t> </w:t>
            </w:r>
          </w:p>
        </w:tc>
        <w:tc>
          <w:tcPr>
            <w:tcW w:w="360" w:type="dxa"/>
            <w:vAlign w:val="center"/>
            <w:hideMark/>
          </w:tcPr>
          <w:p w:rsidR="00000000" w:rsidRDefault="004E30E9">
            <w:pPr>
              <w:rPr>
                <w:rFonts w:eastAsia="Times New Roman"/>
                <w:sz w:val="20"/>
                <w:szCs w:val="20"/>
              </w:rPr>
            </w:pPr>
            <w:r>
              <w:rPr>
                <w:rFonts w:eastAsia="Times New Roman"/>
                <w:sz w:val="20"/>
                <w:szCs w:val="20"/>
              </w:rPr>
              <w:t>(</w:t>
            </w:r>
            <w:r>
              <w:rPr>
                <w:rStyle w:val="a6"/>
                <w:rFonts w:eastAsia="Times New Roman"/>
                <w:sz w:val="20"/>
                <w:szCs w:val="20"/>
              </w:rPr>
              <w:t>4</w:t>
            </w:r>
            <w:r>
              <w:rPr>
                <w:rFonts w:eastAsia="Times New Roman"/>
                <w:sz w:val="20"/>
                <w:szCs w:val="20"/>
              </w:rPr>
              <w:t>)</w:t>
            </w:r>
          </w:p>
        </w:tc>
        <w:tc>
          <w:tcPr>
            <w:tcW w:w="0" w:type="auto"/>
            <w:vAlign w:val="center"/>
            <w:hideMark/>
          </w:tcPr>
          <w:p w:rsidR="00000000" w:rsidRDefault="004E30E9">
            <w:pPr>
              <w:rPr>
                <w:rFonts w:eastAsia="Times New Roman"/>
                <w:sz w:val="20"/>
                <w:szCs w:val="20"/>
              </w:rPr>
            </w:pPr>
            <w:r>
              <w:rPr>
                <w:rFonts w:eastAsia="Times New Roman"/>
                <w:sz w:val="20"/>
                <w:szCs w:val="20"/>
              </w:rPr>
              <w:t>Includes fixtures, leasehold improvements and other c</w:t>
            </w:r>
            <w:r>
              <w:rPr>
                <w:rFonts w:eastAsia="Times New Roman"/>
                <w:sz w:val="20"/>
                <w:szCs w:val="20"/>
              </w:rPr>
              <w:t>osts capitalized.</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942150201"/>
        <w:rPr>
          <w:rFonts w:eastAsia="Times New Roman"/>
          <w:sz w:val="20"/>
          <w:szCs w:val="20"/>
        </w:rPr>
      </w:pPr>
      <w:r>
        <w:rPr>
          <w:rStyle w:val="a6"/>
          <w:rFonts w:eastAsia="Times New Roman"/>
          <w:sz w:val="20"/>
          <w:szCs w:val="20"/>
        </w:rPr>
        <w:t>97</w:t>
      </w:r>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pict>
          <v:rect id="_x0000_i1134" style="width:415.3pt;height:1.5pt" o:hralign="center" o:hrstd="t" o:hrnoshade="t" o:hr="t" fillcolor="black" stroked="f"/>
        </w:pict>
      </w:r>
    </w:p>
    <w:p w:rsidR="00000000" w:rsidRDefault="004E30E9">
      <w:pPr>
        <w:divId w:val="33483996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Depreciation and amortization are provided on the straight-line method over the estimated useful lives of the assets as follows:</w:t>
      </w:r>
    </w:p>
    <w:p w:rsidR="00000000" w:rsidRDefault="004E30E9">
      <w:pPr>
        <w:pStyle w:val="a3"/>
        <w:spacing w:before="0" w:beforeAutospacing="0" w:after="0" w:afterAutospacing="0"/>
        <w:rPr>
          <w:sz w:val="20"/>
          <w:szCs w:val="20"/>
        </w:rPr>
      </w:pPr>
      <w:r>
        <w:rPr>
          <w:sz w:val="20"/>
          <w:szCs w:val="20"/>
        </w:rPr>
        <w:t> </w:t>
      </w:r>
    </w:p>
    <w:tbl>
      <w:tblPr>
        <w:tblW w:w="4000" w:type="pct"/>
        <w:tblCellSpacing w:w="0" w:type="dxa"/>
        <w:tblCellMar>
          <w:left w:w="0" w:type="dxa"/>
          <w:right w:w="0" w:type="dxa"/>
        </w:tblCellMar>
        <w:tblLook w:val="04A0" w:firstRow="1" w:lastRow="0" w:firstColumn="1" w:lastColumn="0" w:noHBand="0" w:noVBand="1"/>
      </w:tblPr>
      <w:tblGrid>
        <w:gridCol w:w="4652"/>
        <w:gridCol w:w="66"/>
        <w:gridCol w:w="1861"/>
        <w:gridCol w:w="66"/>
      </w:tblGrid>
      <w:tr w:rsidR="00000000">
        <w:trPr>
          <w:tblCellSpacing w:w="0" w:type="dxa"/>
        </w:trPr>
        <w:tc>
          <w:tcPr>
            <w:tcW w:w="350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Buildings and building improvements (in years)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1400" w:type="pct"/>
            <w:shd w:val="clear" w:color="auto" w:fill="CCEEFF"/>
            <w:vAlign w:val="bottom"/>
            <w:hideMark/>
          </w:tcPr>
          <w:p w:rsidR="00000000" w:rsidRDefault="004E30E9">
            <w:pPr>
              <w:rPr>
                <w:rFonts w:eastAsia="Times New Roman"/>
                <w:sz w:val="20"/>
                <w:szCs w:val="20"/>
              </w:rPr>
            </w:pPr>
            <w:r>
              <w:rPr>
                <w:rFonts w:eastAsia="Times New Roman"/>
                <w:sz w:val="20"/>
                <w:szCs w:val="20"/>
              </w:rPr>
              <w:t>5 to 50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FFFFFF"/>
            <w:hideMark/>
          </w:tcPr>
          <w:p w:rsidR="00000000" w:rsidRDefault="004E30E9">
            <w:pPr>
              <w:pStyle w:val="a3"/>
              <w:spacing w:before="0" w:beforeAutospacing="0" w:after="0" w:afterAutospacing="0"/>
              <w:ind w:left="180" w:hanging="180"/>
              <w:rPr>
                <w:sz w:val="20"/>
                <w:szCs w:val="20"/>
              </w:rPr>
            </w:pPr>
            <w:r>
              <w:rPr>
                <w:sz w:val="20"/>
                <w:szCs w:val="20"/>
              </w:rPr>
              <w:t>Fixtures, building and leasehold improvements (including certain identified intangible assets)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1400" w:type="pct"/>
            <w:shd w:val="clear" w:color="auto" w:fill="FFFFFF"/>
            <w:vAlign w:val="bottom"/>
            <w:hideMark/>
          </w:tcPr>
          <w:p w:rsidR="00000000" w:rsidRDefault="004E30E9">
            <w:pPr>
              <w:pStyle w:val="a3"/>
              <w:spacing w:before="0" w:beforeAutospacing="0" w:after="0" w:afterAutospacing="0"/>
              <w:rPr>
                <w:sz w:val="20"/>
                <w:szCs w:val="20"/>
              </w:rPr>
            </w:pPr>
            <w:r>
              <w:rPr>
                <w:sz w:val="20"/>
                <w:szCs w:val="20"/>
              </w:rPr>
              <w:t>Terms of leases or useful lives, whichever is shorter</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rPr>
        <w:t xml:space="preserve">The aggregate cost for Federal income tax purposes was approximately $10.0 billion at </w:t>
      </w:r>
      <w:r>
        <w:rPr>
          <w:rStyle w:val="a6"/>
          <w:sz w:val="20"/>
          <w:szCs w:val="20"/>
        </w:rPr>
        <w:t>December 31, 2</w:t>
      </w:r>
      <w:r>
        <w:rPr>
          <w:rStyle w:val="a6"/>
          <w:sz w:val="20"/>
          <w:szCs w:val="20"/>
        </w:rPr>
        <w:t>020.</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rPr>
        <w:t xml:space="preserve">The changes in total real estate assets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are as follows:</w:t>
      </w:r>
    </w:p>
    <w:p w:rsidR="00000000" w:rsidRDefault="004E30E9">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074"/>
        <w:gridCol w:w="50"/>
        <w:gridCol w:w="100"/>
        <w:gridCol w:w="1250"/>
        <w:gridCol w:w="67"/>
        <w:gridCol w:w="50"/>
        <w:gridCol w:w="100"/>
        <w:gridCol w:w="1250"/>
        <w:gridCol w:w="67"/>
        <w:gridCol w:w="50"/>
        <w:gridCol w:w="100"/>
        <w:gridCol w:w="1250"/>
        <w:gridCol w:w="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Balance, beginning of period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11,929,276,453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11,877,190,495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12,653,444,998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Additions during period:</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Acquisitions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10,448,877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43,970,631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3,420,020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Improvements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210,389,543</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404,210,910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554,408,568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Deductions during period:</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Sales and assets held-for-sale</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(30,764,579</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(307,607,731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(836,988,450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Transfers to operating lease right-of-use assets, net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(8,525,554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Transfers to unconsolidated joint ventures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(315,728,832</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Adjustment for fully depreciated assets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(45,041,556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(43,080,882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(72,992,791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Adjustment of property carrying values</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(5,481,589</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(36,881,416</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r>
              <w:rPr>
                <w:rFonts w:eastAsia="Times New Roman"/>
                <w:sz w:val="20"/>
                <w:szCs w:val="20"/>
              </w:rPr>
              <w:t>108,373,018</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Balance, end of period</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12,068,827,149</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11,929,276,453</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11,877,190,495</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rPr>
        <w:t xml:space="preserve">The changes in accumulated depreciation for the years ended </w:t>
      </w:r>
      <w:r>
        <w:rPr>
          <w:rStyle w:val="a6"/>
          <w:sz w:val="20"/>
          <w:szCs w:val="20"/>
        </w:rPr>
        <w:t>December 31, 2020, 2019</w:t>
      </w:r>
      <w:r>
        <w:rPr>
          <w:sz w:val="20"/>
          <w:szCs w:val="20"/>
        </w:rPr>
        <w:t xml:space="preserve"> and </w:t>
      </w:r>
      <w:r>
        <w:rPr>
          <w:rStyle w:val="a6"/>
          <w:sz w:val="20"/>
          <w:szCs w:val="20"/>
        </w:rPr>
        <w:t>2018</w:t>
      </w:r>
      <w:r>
        <w:rPr>
          <w:sz w:val="20"/>
          <w:szCs w:val="20"/>
        </w:rPr>
        <w:t xml:space="preserve"> are as follows:</w:t>
      </w:r>
    </w:p>
    <w:p w:rsidR="00000000" w:rsidRDefault="004E30E9">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374"/>
        <w:gridCol w:w="50"/>
        <w:gridCol w:w="100"/>
        <w:gridCol w:w="1150"/>
        <w:gridCol w:w="67"/>
        <w:gridCol w:w="50"/>
        <w:gridCol w:w="100"/>
        <w:gridCol w:w="1150"/>
        <w:gridCol w:w="67"/>
        <w:gridCol w:w="50"/>
        <w:gridCol w:w="100"/>
        <w:gridCol w:w="1150"/>
        <w:gridCol w:w="67"/>
      </w:tblGrid>
      <w:tr w:rsidR="00000000">
        <w:trPr>
          <w:tblCellSpacing w:w="0" w:type="dxa"/>
        </w:trPr>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2020</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2019</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2450" w:type="pct"/>
            <w:shd w:val="clear" w:color="auto" w:fill="CCEEFF"/>
            <w:vAlign w:val="bottom"/>
            <w:hideMark/>
          </w:tcPr>
          <w:p w:rsidR="00000000" w:rsidRDefault="004E30E9">
            <w:pPr>
              <w:pStyle w:val="a3"/>
              <w:spacing w:before="0" w:beforeAutospacing="0" w:after="0" w:afterAutospacing="0"/>
              <w:rPr>
                <w:sz w:val="20"/>
                <w:szCs w:val="20"/>
              </w:rPr>
            </w:pPr>
            <w:r>
              <w:rPr>
                <w:sz w:val="20"/>
                <w:szCs w:val="20"/>
              </w:rPr>
              <w:t>Balance, beginning of period</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2,500,052,642</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2,385,287,743</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2,433,052,747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Additions during period:</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Depreciation for year</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265,143,630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260,533,557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293,667,298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rPr>
                <w:sz w:val="20"/>
                <w:szCs w:val="20"/>
              </w:rPr>
            </w:pPr>
            <w:r>
              <w:rPr>
                <w:sz w:val="20"/>
                <w:szCs w:val="20"/>
              </w:rPr>
              <w:t>Deductions during period:</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Sales and assets held-for-sale</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(3,041,189</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(88,079,838</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(256,804,957</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Transfers to operating lease right-of-use assets, net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(1,342,030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ind w:left="180"/>
              <w:rPr>
                <w:sz w:val="20"/>
                <w:szCs w:val="20"/>
              </w:rPr>
            </w:pPr>
            <w:r>
              <w:rPr>
                <w:sz w:val="20"/>
                <w:szCs w:val="20"/>
              </w:rPr>
              <w:t>Transfers to unconsolidated joint ventures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(11,634,554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4E30E9">
            <w:pPr>
              <w:pStyle w:val="a3"/>
              <w:spacing w:before="0" w:beforeAutospacing="0" w:after="0" w:afterAutospacing="0"/>
              <w:ind w:left="180"/>
              <w:rPr>
                <w:sz w:val="20"/>
                <w:szCs w:val="20"/>
              </w:rPr>
            </w:pPr>
            <w:r>
              <w:rPr>
                <w:sz w:val="20"/>
                <w:szCs w:val="20"/>
              </w:rPr>
              <w:t>Adjustment for fully depreciated assets/other</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(45,041,556</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(56,346,790</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4E30E9">
            <w:pPr>
              <w:jc w:val="right"/>
              <w:rPr>
                <w:rFonts w:eastAsia="Times New Roman"/>
                <w:sz w:val="20"/>
                <w:szCs w:val="20"/>
              </w:rPr>
            </w:pPr>
            <w:r>
              <w:rPr>
                <w:rFonts w:eastAsia="Times New Roman"/>
                <w:sz w:val="20"/>
                <w:szCs w:val="20"/>
              </w:rPr>
              <w:t>(72,992,791</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4E30E9">
            <w:pPr>
              <w:pStyle w:val="a3"/>
              <w:spacing w:before="0" w:beforeAutospacing="0" w:after="0" w:afterAutospacing="0"/>
              <w:rPr>
                <w:sz w:val="20"/>
                <w:szCs w:val="20"/>
              </w:rPr>
            </w:pPr>
            <w:r>
              <w:rPr>
                <w:sz w:val="20"/>
                <w:szCs w:val="20"/>
              </w:rPr>
              <w:t>Balance, end of period</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2,717,113,527</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2,500,052,642</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sz w:val="20"/>
                <w:szCs w:val="20"/>
              </w:rPr>
              <w:t>2,385,287,743</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rPr>
        <w:t>Reclassifications:</w:t>
      </w:r>
    </w:p>
    <w:p w:rsidR="00000000" w:rsidRDefault="004E30E9">
      <w:pPr>
        <w:pStyle w:val="a3"/>
        <w:spacing w:before="0" w:beforeAutospacing="0" w:after="0" w:afterAutospacing="0"/>
        <w:rPr>
          <w:sz w:val="20"/>
          <w:szCs w:val="20"/>
        </w:rPr>
      </w:pPr>
      <w:r>
        <w:rPr>
          <w:sz w:val="20"/>
          <w:szCs w:val="20"/>
        </w:rPr>
        <w:t>Certain Amounts in the Prior Period Have Been Reclassified in Order to Conform with the Current Period's Presentation.</w:t>
      </w:r>
    </w:p>
    <w:p w:rsidR="00000000" w:rsidRDefault="004E30E9">
      <w:pPr>
        <w:pStyle w:val="a3"/>
        <w:spacing w:before="0" w:beforeAutospacing="0" w:after="0" w:afterAutospacing="0"/>
        <w:rPr>
          <w:sz w:val="20"/>
          <w:szCs w:val="20"/>
        </w:rPr>
      </w:pPr>
      <w:r>
        <w:rPr>
          <w:sz w:val="20"/>
          <w:szCs w:val="20"/>
        </w:rPr>
        <w:t> </w:t>
      </w:r>
    </w:p>
    <w:p w:rsidR="00000000" w:rsidRDefault="004E30E9">
      <w:pPr>
        <w:jc w:val="center"/>
        <w:divId w:val="1448505834"/>
        <w:rPr>
          <w:rFonts w:eastAsia="Times New Roman"/>
          <w:sz w:val="20"/>
          <w:szCs w:val="20"/>
        </w:rPr>
      </w:pPr>
      <w:r>
        <w:rPr>
          <w:rFonts w:eastAsia="Times New Roman"/>
          <w:sz w:val="20"/>
          <w:szCs w:val="20"/>
        </w:rPr>
        <w:t xml:space="preserve">98 </w:t>
      </w:r>
    </w:p>
    <w:p w:rsidR="00000000" w:rsidRDefault="004E30E9">
      <w:pPr>
        <w:divId w:val="555749738"/>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4E30E9">
      <w:pPr>
        <w:divId w:val="11715304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4E30E9">
      <w:pPr>
        <w:divId w:val="723605621"/>
        <w:rPr>
          <w:rFonts w:eastAsia="Times New Roman"/>
          <w:sz w:val="20"/>
          <w:szCs w:val="20"/>
        </w:rPr>
      </w:pPr>
      <w:r>
        <w:rPr>
          <w:rFonts w:eastAsia="Times New Roman"/>
          <w:sz w:val="20"/>
          <w:szCs w:val="20"/>
        </w:rPr>
        <w:t xml:space="preserve">  </w:t>
      </w:r>
    </w:p>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b/>
          <w:bCs/>
          <w:sz w:val="20"/>
          <w:szCs w:val="20"/>
        </w:rPr>
        <w:t>KIMCO REALTY CORPORATION AND SUBSIDIARIES</w:t>
      </w:r>
    </w:p>
    <w:p w:rsidR="00000000" w:rsidRDefault="004E30E9">
      <w:pPr>
        <w:pStyle w:val="a3"/>
        <w:spacing w:before="0" w:beforeAutospacing="0" w:after="0" w:afterAutospacing="0"/>
        <w:jc w:val="center"/>
        <w:rPr>
          <w:sz w:val="20"/>
          <w:szCs w:val="20"/>
        </w:rPr>
      </w:pPr>
      <w:r>
        <w:rPr>
          <w:b/>
          <w:bCs/>
          <w:sz w:val="20"/>
          <w:szCs w:val="20"/>
        </w:rPr>
        <w:t>SCHEDULE IV - MORTGAGE LOANS ON REAL ESTATE</w:t>
      </w:r>
    </w:p>
    <w:p w:rsidR="00000000" w:rsidRDefault="004E30E9">
      <w:pPr>
        <w:pStyle w:val="a3"/>
        <w:spacing w:before="0" w:beforeAutospacing="0" w:after="0" w:afterAutospacing="0"/>
        <w:jc w:val="center"/>
        <w:rPr>
          <w:sz w:val="20"/>
          <w:szCs w:val="20"/>
        </w:rPr>
      </w:pPr>
      <w:r>
        <w:rPr>
          <w:b/>
          <w:bCs/>
          <w:sz w:val="20"/>
          <w:szCs w:val="20"/>
        </w:rPr>
        <w:t xml:space="preserve">As of </w:t>
      </w:r>
      <w:r>
        <w:rPr>
          <w:rStyle w:val="a6"/>
          <w:b/>
          <w:bCs/>
          <w:sz w:val="20"/>
          <w:szCs w:val="20"/>
        </w:rPr>
        <w:t>December 31, 2020</w:t>
      </w:r>
    </w:p>
    <w:p w:rsidR="00000000" w:rsidRDefault="004E30E9">
      <w:pPr>
        <w:pStyle w:val="a3"/>
        <w:spacing w:before="0" w:beforeAutospacing="0" w:after="0" w:afterAutospacing="0"/>
        <w:jc w:val="center"/>
        <w:rPr>
          <w:sz w:val="20"/>
          <w:szCs w:val="20"/>
        </w:rPr>
      </w:pPr>
      <w:r>
        <w:rPr>
          <w:b/>
          <w:bCs/>
          <w:sz w:val="20"/>
          <w:szCs w:val="20"/>
        </w:rPr>
        <w:t>(in thousands)</w:t>
      </w:r>
    </w:p>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35"/>
        <w:gridCol w:w="57"/>
        <w:gridCol w:w="84"/>
        <w:gridCol w:w="583"/>
        <w:gridCol w:w="167"/>
        <w:gridCol w:w="778"/>
        <w:gridCol w:w="888"/>
        <w:gridCol w:w="57"/>
        <w:gridCol w:w="101"/>
        <w:gridCol w:w="638"/>
        <w:gridCol w:w="57"/>
        <w:gridCol w:w="58"/>
        <w:gridCol w:w="101"/>
        <w:gridCol w:w="819"/>
        <w:gridCol w:w="58"/>
        <w:gridCol w:w="58"/>
        <w:gridCol w:w="101"/>
        <w:gridCol w:w="819"/>
        <w:gridCol w:w="67"/>
        <w:gridCol w:w="50"/>
        <w:gridCol w:w="101"/>
        <w:gridCol w:w="971"/>
        <w:gridCol w:w="58"/>
      </w:tblGrid>
      <w:tr w:rsidR="00000000">
        <w:trPr>
          <w:tblCellSpacing w:w="0" w:type="dxa"/>
        </w:trPr>
        <w:tc>
          <w:tcPr>
            <w:tcW w:w="1000" w:type="pct"/>
            <w:tcBorders>
              <w:bottom w:val="single" w:sz="6" w:space="0" w:color="000000"/>
            </w:tcBorders>
            <w:vAlign w:val="bottom"/>
            <w:hideMark/>
          </w:tcPr>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jc w:val="center"/>
              <w:rPr>
                <w:sz w:val="20"/>
                <w:szCs w:val="20"/>
              </w:rPr>
            </w:pPr>
            <w:r>
              <w:rPr>
                <w:b/>
                <w:bCs/>
                <w:sz w:val="20"/>
                <w:szCs w:val="20"/>
              </w:rPr>
              <w:t>Description</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Interest</w:t>
            </w:r>
          </w:p>
          <w:p w:rsidR="00000000" w:rsidRDefault="004E30E9">
            <w:pPr>
              <w:pStyle w:val="a3"/>
              <w:spacing w:before="0" w:beforeAutospacing="0" w:after="0" w:afterAutospacing="0"/>
              <w:jc w:val="center"/>
              <w:rPr>
                <w:sz w:val="20"/>
                <w:szCs w:val="20"/>
              </w:rPr>
            </w:pPr>
            <w:r>
              <w:rPr>
                <w:b/>
                <w:bCs/>
                <w:sz w:val="20"/>
                <w:szCs w:val="20"/>
              </w:rPr>
              <w:t>Rate</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Final Maturity</w:t>
            </w:r>
          </w:p>
          <w:p w:rsidR="00000000" w:rsidRDefault="004E30E9">
            <w:pPr>
              <w:pStyle w:val="a3"/>
              <w:spacing w:before="0" w:beforeAutospacing="0" w:after="0" w:afterAutospacing="0"/>
              <w:jc w:val="center"/>
              <w:rPr>
                <w:sz w:val="20"/>
                <w:szCs w:val="20"/>
              </w:rPr>
            </w:pPr>
            <w:r>
              <w:rPr>
                <w:b/>
                <w:bCs/>
                <w:sz w:val="20"/>
                <w:szCs w:val="20"/>
              </w:rPr>
              <w:t>Date</w:t>
            </w:r>
          </w:p>
        </w:tc>
        <w:tc>
          <w:tcPr>
            <w:tcW w:w="550" w:type="pct"/>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Periodic Payment</w:t>
            </w:r>
          </w:p>
          <w:p w:rsidR="00000000" w:rsidRDefault="004E30E9">
            <w:pPr>
              <w:pStyle w:val="a3"/>
              <w:spacing w:before="0" w:beforeAutospacing="0" w:after="0" w:afterAutospacing="0"/>
              <w:jc w:val="center"/>
              <w:rPr>
                <w:sz w:val="20"/>
                <w:szCs w:val="20"/>
              </w:rPr>
            </w:pPr>
            <w:r>
              <w:rPr>
                <w:b/>
                <w:bCs/>
                <w:sz w:val="20"/>
                <w:szCs w:val="20"/>
              </w:rPr>
              <w:t>Terms (a)</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Prior Liens</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Original Face</w:t>
            </w:r>
          </w:p>
          <w:p w:rsidR="00000000" w:rsidRDefault="004E30E9">
            <w:pPr>
              <w:pStyle w:val="a3"/>
              <w:spacing w:before="0" w:beforeAutospacing="0" w:after="0" w:afterAutospacing="0"/>
              <w:jc w:val="center"/>
              <w:rPr>
                <w:sz w:val="20"/>
                <w:szCs w:val="20"/>
              </w:rPr>
            </w:pPr>
            <w:r>
              <w:rPr>
                <w:b/>
                <w:bCs/>
                <w:sz w:val="20"/>
                <w:szCs w:val="20"/>
              </w:rPr>
              <w:t>Amount</w:t>
            </w:r>
          </w:p>
          <w:p w:rsidR="00000000" w:rsidRDefault="004E30E9">
            <w:pPr>
              <w:pStyle w:val="a3"/>
              <w:spacing w:before="0" w:beforeAutospacing="0" w:after="0" w:afterAutospacing="0"/>
              <w:jc w:val="center"/>
              <w:rPr>
                <w:sz w:val="20"/>
                <w:szCs w:val="20"/>
              </w:rPr>
            </w:pPr>
            <w:r>
              <w:rPr>
                <w:b/>
                <w:bCs/>
                <w:sz w:val="20"/>
                <w:szCs w:val="20"/>
              </w:rPr>
              <w:t>of Mortgages</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Carrying Amount of Mortgages (b)</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4E30E9">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4E30E9">
            <w:pPr>
              <w:pStyle w:val="a3"/>
              <w:spacing w:before="0" w:beforeAutospacing="0" w:after="0" w:afterAutospacing="0"/>
              <w:jc w:val="center"/>
              <w:rPr>
                <w:sz w:val="20"/>
                <w:szCs w:val="20"/>
              </w:rPr>
            </w:pPr>
            <w:r>
              <w:rPr>
                <w:b/>
                <w:bCs/>
                <w:sz w:val="20"/>
                <w:szCs w:val="20"/>
              </w:rPr>
              <w:t>Principal Amount of</w:t>
            </w:r>
          </w:p>
          <w:p w:rsidR="00000000" w:rsidRDefault="004E30E9">
            <w:pPr>
              <w:pStyle w:val="a3"/>
              <w:spacing w:before="0" w:beforeAutospacing="0" w:after="0" w:afterAutospacing="0"/>
              <w:jc w:val="center"/>
              <w:rPr>
                <w:sz w:val="20"/>
                <w:szCs w:val="20"/>
              </w:rPr>
            </w:pPr>
            <w:r>
              <w:rPr>
                <w:b/>
                <w:bCs/>
                <w:sz w:val="20"/>
                <w:szCs w:val="20"/>
              </w:rPr>
              <w:t>Loans Subject to</w:t>
            </w:r>
          </w:p>
          <w:p w:rsidR="00000000" w:rsidRDefault="004E30E9">
            <w:pPr>
              <w:pStyle w:val="a3"/>
              <w:spacing w:before="0" w:beforeAutospacing="0" w:after="0" w:afterAutospacing="0"/>
              <w:jc w:val="center"/>
              <w:rPr>
                <w:sz w:val="20"/>
                <w:szCs w:val="20"/>
              </w:rPr>
            </w:pPr>
            <w:r>
              <w:rPr>
                <w:b/>
                <w:bCs/>
                <w:sz w:val="20"/>
                <w:szCs w:val="20"/>
              </w:rPr>
              <w:t>Delinquent Principal</w:t>
            </w:r>
          </w:p>
          <w:p w:rsidR="00000000" w:rsidRDefault="004E30E9">
            <w:pPr>
              <w:pStyle w:val="a3"/>
              <w:spacing w:before="0" w:beforeAutospacing="0" w:after="0" w:afterAutospacing="0"/>
              <w:jc w:val="center"/>
              <w:rPr>
                <w:sz w:val="20"/>
                <w:szCs w:val="20"/>
              </w:rPr>
            </w:pPr>
            <w:r>
              <w:rPr>
                <w:b/>
                <w:bCs/>
                <w:sz w:val="20"/>
                <w:szCs w:val="20"/>
              </w:rPr>
              <w:t>or Interest</w:t>
            </w:r>
          </w:p>
        </w:tc>
        <w:tc>
          <w:tcPr>
            <w:tcW w:w="50" w:type="pct"/>
            <w:tcBorders>
              <w:bottom w:val="single" w:sz="6" w:space="0" w:color="000000"/>
            </w:tcBorders>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CCEEFF"/>
            <w:vAlign w:val="bottom"/>
            <w:hideMark/>
          </w:tcPr>
          <w:p w:rsidR="00000000" w:rsidRDefault="004E30E9">
            <w:pPr>
              <w:pStyle w:val="a3"/>
              <w:spacing w:before="0" w:beforeAutospacing="0" w:after="0" w:afterAutospacing="0"/>
              <w:rPr>
                <w:sz w:val="20"/>
                <w:szCs w:val="20"/>
              </w:rPr>
            </w:pPr>
            <w:r>
              <w:rPr>
                <w:b/>
                <w:bCs/>
                <w:sz w:val="20"/>
                <w:szCs w:val="20"/>
                <w:u w:val="single"/>
              </w:rPr>
              <w:t>Mortgage Loans: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40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r>
      <w:tr w:rsidR="00000000">
        <w:trPr>
          <w:tblCellSpacing w:w="0" w:type="dxa"/>
        </w:trPr>
        <w:tc>
          <w:tcPr>
            <w:tcW w:w="1000" w:type="pct"/>
            <w:shd w:val="clear" w:color="auto" w:fill="FFFFFF"/>
            <w:vAlign w:val="bottom"/>
            <w:hideMark/>
          </w:tcPr>
          <w:p w:rsidR="00000000" w:rsidRDefault="004E30E9">
            <w:pPr>
              <w:pStyle w:val="a3"/>
              <w:spacing w:before="0" w:beforeAutospacing="0" w:after="0" w:afterAutospacing="0"/>
              <w:ind w:left="360"/>
              <w:rPr>
                <w:sz w:val="20"/>
                <w:szCs w:val="20"/>
              </w:rPr>
            </w:pPr>
            <w:r>
              <w:rPr>
                <w:b/>
                <w:bCs/>
                <w:i/>
                <w:iCs/>
                <w:sz w:val="20"/>
                <w:szCs w:val="20"/>
              </w:rPr>
              <w:t xml:space="preserve">Retail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3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40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60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r>
      <w:tr w:rsidR="00000000">
        <w:trPr>
          <w:tblCellSpacing w:w="0" w:type="dxa"/>
        </w:trPr>
        <w:tc>
          <w:tcPr>
            <w:tcW w:w="1000" w:type="pct"/>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Las Vegas, NV</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May-33</w:t>
            </w:r>
          </w:p>
        </w:tc>
        <w:tc>
          <w:tcPr>
            <w:tcW w:w="550" w:type="pct"/>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I</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3,075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3,075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Walker, MI</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4.00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Dec-24</w:t>
            </w:r>
          </w:p>
        </w:tc>
        <w:tc>
          <w:tcPr>
            <w:tcW w:w="550" w:type="pct"/>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P&amp; I</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3,750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3,671</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Pompano, FL</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Dec-22</w:t>
            </w:r>
          </w:p>
        </w:tc>
        <w:tc>
          <w:tcPr>
            <w:tcW w:w="550" w:type="pct"/>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I</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4E30E9">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25,000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Mesa, AZ</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12.00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Aug-21</w:t>
            </w:r>
          </w:p>
        </w:tc>
        <w:tc>
          <w:tcPr>
            <w:tcW w:w="550" w:type="pct"/>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I</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4E30E9">
            <w:pP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FFFFFF"/>
            <w:vAlign w:val="bottom"/>
            <w:hideMark/>
          </w:tcPr>
          <w:p w:rsidR="00000000" w:rsidRDefault="004E30E9">
            <w:pPr>
              <w:pStyle w:val="a3"/>
              <w:spacing w:before="0" w:beforeAutospacing="0" w:after="0" w:afterAutospacing="0"/>
              <w:ind w:left="360"/>
              <w:rPr>
                <w:sz w:val="20"/>
                <w:szCs w:val="20"/>
              </w:rPr>
            </w:pPr>
            <w:r>
              <w:rPr>
                <w:b/>
                <w:bCs/>
                <w:i/>
                <w:iCs/>
                <w:sz w:val="20"/>
                <w:szCs w:val="20"/>
              </w:rPr>
              <w:t>Nonretail</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3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40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60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i/>
                <w:iCs/>
                <w:sz w:val="20"/>
                <w:szCs w:val="20"/>
              </w:rPr>
              <w:t> </w:t>
            </w:r>
          </w:p>
        </w:tc>
      </w:tr>
      <w:tr w:rsidR="00000000">
        <w:trPr>
          <w:tblCellSpacing w:w="0" w:type="dxa"/>
        </w:trPr>
        <w:tc>
          <w:tcPr>
            <w:tcW w:w="1000" w:type="pct"/>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Commack, NY</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7.41</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Oct-26</w:t>
            </w:r>
          </w:p>
        </w:tc>
        <w:tc>
          <w:tcPr>
            <w:tcW w:w="550" w:type="pct"/>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P&amp; I</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1,354</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256</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Melbourne, FL</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6.88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Dec-30</w:t>
            </w:r>
          </w:p>
        </w:tc>
        <w:tc>
          <w:tcPr>
            <w:tcW w:w="550" w:type="pct"/>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P&amp;I</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4E30E9">
            <w:pP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244</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FFFFFF"/>
            <w:vAlign w:val="bottom"/>
            <w:hideMark/>
          </w:tcPr>
          <w:p w:rsidR="00000000" w:rsidRDefault="004E30E9">
            <w:pPr>
              <w:pStyle w:val="a3"/>
              <w:spacing w:before="0" w:beforeAutospacing="0" w:after="0" w:afterAutospacing="0"/>
              <w:rPr>
                <w:sz w:val="20"/>
                <w:szCs w:val="20"/>
              </w:rPr>
            </w:pPr>
            <w:r>
              <w:rPr>
                <w:b/>
                <w:bCs/>
                <w:sz w:val="20"/>
                <w:szCs w:val="20"/>
                <w:u w:val="single"/>
              </w:rPr>
              <w:t>Other Financing Loans:</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3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40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60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b/>
                <w:bCs/>
                <w:sz w:val="20"/>
                <w:szCs w:val="20"/>
              </w:rPr>
              <w:t> </w:t>
            </w:r>
          </w:p>
        </w:tc>
      </w:tr>
      <w:tr w:rsidR="00000000">
        <w:trPr>
          <w:tblCellSpacing w:w="0" w:type="dxa"/>
        </w:trPr>
        <w:tc>
          <w:tcPr>
            <w:tcW w:w="1000" w:type="pct"/>
            <w:shd w:val="clear" w:color="auto" w:fill="CCEEFF"/>
            <w:vAlign w:val="bottom"/>
            <w:hideMark/>
          </w:tcPr>
          <w:p w:rsidR="00000000" w:rsidRDefault="004E30E9">
            <w:pPr>
              <w:pStyle w:val="a3"/>
              <w:spacing w:before="0" w:beforeAutospacing="0" w:after="0" w:afterAutospacing="0"/>
              <w:ind w:left="360"/>
              <w:rPr>
                <w:sz w:val="20"/>
                <w:szCs w:val="20"/>
              </w:rPr>
            </w:pPr>
            <w:r>
              <w:rPr>
                <w:b/>
                <w:bCs/>
                <w:i/>
                <w:iCs/>
                <w:sz w:val="20"/>
                <w:szCs w:val="20"/>
              </w:rPr>
              <w:t>Nonretail</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3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40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4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60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i/>
                <w:iCs/>
                <w:sz w:val="20"/>
                <w:szCs w:val="20"/>
              </w:rPr>
              <w:t> </w:t>
            </w:r>
          </w:p>
        </w:tc>
      </w:tr>
      <w:tr w:rsidR="00000000">
        <w:trPr>
          <w:tblCellSpacing w:w="0" w:type="dxa"/>
        </w:trPr>
        <w:tc>
          <w:tcPr>
            <w:tcW w:w="1000" w:type="pct"/>
            <w:shd w:val="clear" w:color="auto" w:fill="FFFFFF"/>
            <w:vAlign w:val="bottom"/>
            <w:hideMark/>
          </w:tcPr>
          <w:p w:rsidR="00000000" w:rsidRDefault="004E30E9">
            <w:pPr>
              <w:pStyle w:val="a3"/>
              <w:spacing w:before="0" w:beforeAutospacing="0" w:after="0" w:afterAutospacing="0"/>
              <w:ind w:left="540"/>
              <w:rPr>
                <w:sz w:val="20"/>
                <w:szCs w:val="20"/>
              </w:rPr>
            </w:pPr>
            <w:r>
              <w:rPr>
                <w:sz w:val="20"/>
                <w:szCs w:val="20"/>
              </w:rPr>
              <w:t>Borrower A</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2.28</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Apr-27</w:t>
            </w:r>
          </w:p>
        </w:tc>
        <w:tc>
          <w:tcPr>
            <w:tcW w:w="550" w:type="pct"/>
            <w:shd w:val="clear" w:color="auto" w:fill="FFFFFF"/>
            <w:vAlign w:val="bottom"/>
            <w:hideMark/>
          </w:tcPr>
          <w:p w:rsidR="00000000" w:rsidRDefault="004E30E9">
            <w:pPr>
              <w:pStyle w:val="a3"/>
              <w:spacing w:before="0" w:beforeAutospacing="0" w:after="0" w:afterAutospacing="0"/>
              <w:jc w:val="center"/>
              <w:rPr>
                <w:sz w:val="20"/>
                <w:szCs w:val="20"/>
              </w:rPr>
            </w:pPr>
            <w:r>
              <w:rPr>
                <w:rStyle w:val="a6"/>
                <w:sz w:val="20"/>
                <w:szCs w:val="20"/>
              </w:rPr>
              <w:t>P&amp; I</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4E30E9">
            <w:pP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600</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jc w:val="right"/>
              <w:rPr>
                <w:rFonts w:eastAsia="Times New Roman"/>
                <w:sz w:val="20"/>
                <w:szCs w:val="20"/>
              </w:rPr>
            </w:pPr>
            <w:r>
              <w:rPr>
                <w:rFonts w:eastAsia="Times New Roman"/>
                <w:sz w:val="20"/>
                <w:szCs w:val="20"/>
              </w:rPr>
              <w:t>305</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CCEEFF"/>
            <w:vAlign w:val="bottom"/>
            <w:hideMark/>
          </w:tcPr>
          <w:p w:rsidR="00000000" w:rsidRDefault="004E30E9">
            <w:pPr>
              <w:pStyle w:val="a3"/>
              <w:spacing w:before="0" w:beforeAutospacing="0" w:after="0" w:afterAutospacing="0"/>
              <w:ind w:left="540"/>
              <w:rPr>
                <w:sz w:val="20"/>
                <w:szCs w:val="20"/>
              </w:rPr>
            </w:pPr>
            <w:r>
              <w:rPr>
                <w:sz w:val="20"/>
                <w:szCs w:val="20"/>
              </w:rPr>
              <w:t>Borrower B</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5.00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May-20</w:t>
            </w:r>
          </w:p>
        </w:tc>
        <w:tc>
          <w:tcPr>
            <w:tcW w:w="550" w:type="pct"/>
            <w:shd w:val="clear" w:color="auto" w:fill="CCEEFF"/>
            <w:vAlign w:val="bottom"/>
            <w:hideMark/>
          </w:tcPr>
          <w:p w:rsidR="00000000" w:rsidRDefault="004E30E9">
            <w:pPr>
              <w:pStyle w:val="a3"/>
              <w:spacing w:before="0" w:beforeAutospacing="0" w:after="0" w:afterAutospacing="0"/>
              <w:jc w:val="center"/>
              <w:rPr>
                <w:sz w:val="20"/>
                <w:szCs w:val="20"/>
              </w:rPr>
            </w:pPr>
            <w:r>
              <w:rPr>
                <w:rStyle w:val="a6"/>
                <w:sz w:val="20"/>
                <w:szCs w:val="20"/>
              </w:rPr>
              <w:t>P&amp;I</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4E30E9">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175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125</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CCEEFF"/>
            <w:vAlign w:val="bottom"/>
            <w:hideMark/>
          </w:tcPr>
          <w:p w:rsidR="00000000" w:rsidRDefault="004E30E9">
            <w:pPr>
              <w:pStyle w:val="a3"/>
              <w:spacing w:before="0" w:beforeAutospacing="0" w:after="0" w:afterAutospacing="0"/>
              <w:rPr>
                <w:sz w:val="20"/>
                <w:szCs w:val="20"/>
              </w:rPr>
            </w:pPr>
            <w:r>
              <w:rPr>
                <w:b/>
                <w:bCs/>
                <w:sz w:val="20"/>
                <w:szCs w:val="20"/>
                <w:u w:val="single"/>
              </w:rPr>
              <w:t>Allowance for Credit losses:</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4E30E9">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rPr>
                <w:rFonts w:eastAsia="Times New Roman"/>
                <w:sz w:val="20"/>
                <w:szCs w:val="20"/>
              </w:rPr>
            </w:pPr>
            <w:r>
              <w:rPr>
                <w:rStyle w:val="a6"/>
                <w:rFonts w:eastAsia="Times New Roman"/>
                <w:sz w:val="20"/>
                <w:szCs w:val="20"/>
              </w:rPr>
              <w:t> </w:t>
            </w:r>
          </w:p>
        </w:tc>
        <w:tc>
          <w:tcPr>
            <w:tcW w:w="550" w:type="pct"/>
            <w:shd w:val="clear" w:color="auto" w:fill="CCEEFF"/>
            <w:vAlign w:val="bottom"/>
            <w:hideMark/>
          </w:tcPr>
          <w:p w:rsidR="00000000" w:rsidRDefault="004E30E9">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4E30E9">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E30E9">
            <w:pPr>
              <w:jc w:val="right"/>
              <w:rPr>
                <w:rFonts w:eastAsia="Times New Roman"/>
                <w:sz w:val="20"/>
                <w:szCs w:val="20"/>
              </w:rPr>
            </w:pPr>
            <w:r>
              <w:rPr>
                <w:rFonts w:eastAsia="Times New Roman"/>
                <w:sz w:val="20"/>
                <w:szCs w:val="20"/>
              </w:rPr>
              <w:t>(930</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E30E9">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100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350" w:type="pct"/>
            <w:shd w:val="clear" w:color="auto" w:fill="CCEEFF"/>
            <w:vAlign w:val="bottom"/>
            <w:hideMark/>
          </w:tcPr>
          <w:p w:rsidR="00000000" w:rsidRDefault="004E30E9">
            <w:pPr>
              <w:rPr>
                <w:rFonts w:eastAsia="Times New Roman"/>
                <w:sz w:val="20"/>
                <w:szCs w:val="20"/>
              </w:rPr>
            </w:pPr>
            <w:r>
              <w:rPr>
                <w:rStyle w:val="a6"/>
                <w:rFonts w:eastAsia="Times New Roman"/>
                <w:b/>
                <w:bCs/>
                <w:sz w:val="20"/>
                <w:szCs w:val="20"/>
              </w:rPr>
              <w:t> </w:t>
            </w:r>
          </w:p>
        </w:tc>
        <w:tc>
          <w:tcPr>
            <w:tcW w:w="50" w:type="pct"/>
            <w:shd w:val="clear" w:color="auto" w:fill="CCEEFF"/>
            <w:vAlign w:val="bottom"/>
            <w:hideMark/>
          </w:tcPr>
          <w:p w:rsidR="00000000" w:rsidRDefault="004E30E9">
            <w:pPr>
              <w:rPr>
                <w:rFonts w:eastAsia="Times New Roman"/>
                <w:sz w:val="20"/>
                <w:szCs w:val="20"/>
              </w:rPr>
            </w:pPr>
            <w:r>
              <w:rPr>
                <w:rFonts w:eastAsia="Times New Roman"/>
                <w:b/>
                <w:bCs/>
                <w:sz w:val="20"/>
                <w:szCs w:val="20"/>
              </w:rPr>
              <w:t> </w:t>
            </w:r>
          </w:p>
        </w:tc>
        <w:tc>
          <w:tcPr>
            <w:tcW w:w="450" w:type="pct"/>
            <w:shd w:val="clear" w:color="auto" w:fill="CCEEFF"/>
            <w:vAlign w:val="bottom"/>
            <w:hideMark/>
          </w:tcPr>
          <w:p w:rsidR="00000000" w:rsidRDefault="004E30E9">
            <w:pPr>
              <w:rPr>
                <w:rFonts w:eastAsia="Times New Roman"/>
                <w:sz w:val="20"/>
                <w:szCs w:val="20"/>
              </w:rPr>
            </w:pPr>
            <w:r>
              <w:rPr>
                <w:rStyle w:val="a6"/>
                <w:rFonts w:eastAsia="Times New Roman"/>
                <w:sz w:val="20"/>
                <w:szCs w:val="20"/>
              </w:rPr>
              <w:t> </w:t>
            </w:r>
          </w:p>
        </w:tc>
        <w:tc>
          <w:tcPr>
            <w:tcW w:w="550" w:type="pct"/>
            <w:shd w:val="clear" w:color="auto" w:fill="CCEEFF"/>
            <w:vAlign w:val="bottom"/>
            <w:hideMark/>
          </w:tcPr>
          <w:p w:rsidR="00000000" w:rsidRDefault="004E30E9">
            <w:pPr>
              <w:rPr>
                <w:rFonts w:eastAsia="Times New Roman"/>
                <w:sz w:val="20"/>
                <w:szCs w:val="20"/>
              </w:rPr>
            </w:pPr>
            <w:r>
              <w:rPr>
                <w:rStyle w:val="a6"/>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Style w:val="a6"/>
                <w:rFonts w:eastAsia="Times New Roman"/>
                <w:b/>
                <w:bCs/>
                <w:sz w:val="20"/>
                <w:szCs w:val="20"/>
              </w:rPr>
              <w:t>-</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34,954</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Fonts w:eastAsia="Times New Roman"/>
                <w:b/>
                <w:bCs/>
                <w:sz w:val="20"/>
                <w:szCs w:val="20"/>
              </w:rPr>
              <w:t>32,246</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4E30E9">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4E30E9">
            <w:pPr>
              <w:jc w:val="right"/>
              <w:rPr>
                <w:rFonts w:eastAsia="Times New Roman"/>
                <w:sz w:val="20"/>
                <w:szCs w:val="20"/>
              </w:rPr>
            </w:pPr>
            <w:r>
              <w:rPr>
                <w:rStyle w:val="a6"/>
                <w:rFonts w:eastAsia="Times New Roman"/>
                <w:b/>
                <w:bCs/>
                <w:sz w:val="20"/>
                <w:szCs w:val="20"/>
              </w:rPr>
              <w:t>-</w:t>
            </w:r>
          </w:p>
        </w:tc>
        <w:tc>
          <w:tcPr>
            <w:tcW w:w="50" w:type="pct"/>
            <w:shd w:val="clear" w:color="auto" w:fill="CCEEFF"/>
            <w:tcMar>
              <w:top w:w="0" w:type="dxa"/>
              <w:left w:w="0" w:type="dxa"/>
              <w:bottom w:w="45" w:type="dxa"/>
              <w:right w:w="0" w:type="dxa"/>
            </w:tcMar>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060"/>
        <w:gridCol w:w="100"/>
        <w:gridCol w:w="100"/>
        <w:gridCol w:w="99"/>
        <w:gridCol w:w="99"/>
        <w:gridCol w:w="99"/>
        <w:gridCol w:w="99"/>
        <w:gridCol w:w="50"/>
        <w:gridCol w:w="50"/>
        <w:gridCol w:w="50"/>
        <w:gridCol w:w="50"/>
        <w:gridCol w:w="50"/>
        <w:gridCol w:w="50"/>
        <w:gridCol w:w="50"/>
        <w:gridCol w:w="50"/>
        <w:gridCol w:w="50"/>
        <w:gridCol w:w="50"/>
        <w:gridCol w:w="50"/>
        <w:gridCol w:w="50"/>
        <w:gridCol w:w="50"/>
      </w:tblGrid>
      <w:tr w:rsidR="00000000">
        <w:trPr>
          <w:tblCellSpacing w:w="0" w:type="dxa"/>
        </w:trPr>
        <w:tc>
          <w:tcPr>
            <w:tcW w:w="0" w:type="auto"/>
            <w:vAlign w:val="bottom"/>
            <w:hideMark/>
          </w:tcPr>
          <w:p w:rsidR="00000000" w:rsidRDefault="004E30E9">
            <w:pPr>
              <w:pStyle w:val="a3"/>
              <w:spacing w:before="0" w:beforeAutospacing="0" w:after="0" w:afterAutospacing="0"/>
              <w:rPr>
                <w:sz w:val="20"/>
                <w:szCs w:val="20"/>
              </w:rPr>
            </w:pPr>
            <w:r>
              <w:rPr>
                <w:sz w:val="20"/>
                <w:szCs w:val="20"/>
              </w:rPr>
              <w:t>(a) I = Interest only; P&amp;I = Principal &amp; Interest.</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r>
      <w:tr w:rsidR="00000000">
        <w:trPr>
          <w:tblCellSpacing w:w="0" w:type="dxa"/>
        </w:trPr>
        <w:tc>
          <w:tcPr>
            <w:tcW w:w="0" w:type="auto"/>
            <w:gridSpan w:val="7"/>
            <w:vAlign w:val="bottom"/>
            <w:hideMark/>
          </w:tcPr>
          <w:p w:rsidR="00000000" w:rsidRDefault="004E30E9">
            <w:pPr>
              <w:pStyle w:val="a3"/>
              <w:spacing w:before="0" w:beforeAutospacing="0" w:after="0" w:afterAutospacing="0"/>
              <w:rPr>
                <w:sz w:val="20"/>
                <w:szCs w:val="20"/>
              </w:rPr>
            </w:pPr>
            <w:r>
              <w:rPr>
                <w:sz w:val="20"/>
                <w:szCs w:val="20"/>
              </w:rPr>
              <w:t xml:space="preserve">(b) The aggregate cost for Federal income tax purposes was approximately $32.2 million as of </w:t>
            </w:r>
            <w:r>
              <w:rPr>
                <w:rStyle w:val="a6"/>
                <w:sz w:val="20"/>
                <w:szCs w:val="20"/>
              </w:rPr>
              <w:t>December 31, 2020.</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c>
          <w:tcPr>
            <w:tcW w:w="0" w:type="auto"/>
            <w:vAlign w:val="bottom"/>
            <w:hideMark/>
          </w:tcPr>
          <w:p w:rsidR="00000000" w:rsidRDefault="004E30E9">
            <w:pPr>
              <w:rPr>
                <w:rFonts w:eastAsia="Times New Roman"/>
                <w:sz w:val="20"/>
                <w:szCs w:val="20"/>
              </w:rPr>
            </w:pPr>
            <w:r>
              <w:rPr>
                <w:rFonts w:eastAsia="Times New Roman"/>
                <w:sz w:val="20"/>
                <w:szCs w:val="20"/>
              </w:rPr>
              <w:t> </w:t>
            </w:r>
          </w:p>
        </w:tc>
      </w:tr>
    </w:tbl>
    <w:p w:rsidR="00000000" w:rsidRDefault="004E30E9">
      <w:pPr>
        <w:pStyle w:val="a3"/>
        <w:spacing w:before="0" w:beforeAutospacing="0" w:after="0" w:afterAutospacing="0"/>
        <w:rPr>
          <w:sz w:val="20"/>
          <w:szCs w:val="20"/>
        </w:rPr>
      </w:pPr>
      <w:r>
        <w:rPr>
          <w:sz w:val="20"/>
          <w:szCs w:val="20"/>
        </w:rPr>
        <w:t> </w:t>
      </w:r>
    </w:p>
    <w:p w:rsidR="00000000" w:rsidRDefault="004E30E9">
      <w:pPr>
        <w:pStyle w:val="a3"/>
        <w:spacing w:before="0" w:beforeAutospacing="0" w:after="0" w:afterAutospacing="0"/>
        <w:rPr>
          <w:sz w:val="20"/>
          <w:szCs w:val="20"/>
        </w:rPr>
      </w:pPr>
      <w:r>
        <w:rPr>
          <w:sz w:val="20"/>
          <w:szCs w:val="20"/>
        </w:rPr>
        <w:t xml:space="preserve">For a reconciliation of mortgage and other financing receivables from </w:t>
      </w:r>
      <w:r>
        <w:rPr>
          <w:rStyle w:val="a6"/>
          <w:sz w:val="20"/>
          <w:szCs w:val="20"/>
        </w:rPr>
        <w:t xml:space="preserve">January 1, 2018 </w:t>
      </w:r>
      <w:r>
        <w:rPr>
          <w:sz w:val="20"/>
          <w:szCs w:val="20"/>
        </w:rPr>
        <w:t xml:space="preserve">to </w:t>
      </w:r>
      <w:r>
        <w:rPr>
          <w:rStyle w:val="a6"/>
          <w:sz w:val="20"/>
          <w:szCs w:val="20"/>
        </w:rPr>
        <w:t xml:space="preserve">December 31, 2020, </w:t>
      </w:r>
      <w:r>
        <w:rPr>
          <w:sz w:val="20"/>
          <w:szCs w:val="20"/>
        </w:rPr>
        <w:t xml:space="preserve">see Footnote </w:t>
      </w:r>
      <w:r>
        <w:rPr>
          <w:rStyle w:val="a6"/>
          <w:sz w:val="20"/>
          <w:szCs w:val="20"/>
        </w:rPr>
        <w:t>12</w:t>
      </w:r>
      <w:r>
        <w:rPr>
          <w:sz w:val="20"/>
          <w:szCs w:val="20"/>
        </w:rPr>
        <w:t xml:space="preserve"> of the Notes to the Consolidated Financial Statements included in this Form </w:t>
      </w:r>
      <w:r>
        <w:rPr>
          <w:rStyle w:val="a6"/>
          <w:sz w:val="20"/>
          <w:szCs w:val="20"/>
        </w:rPr>
        <w:t>10</w:t>
      </w:r>
      <w:r>
        <w:rPr>
          <w:sz w:val="20"/>
          <w:szCs w:val="20"/>
        </w:rPr>
        <w:t>-K.</w:t>
      </w:r>
    </w:p>
    <w:p w:rsidR="00000000" w:rsidRDefault="004E30E9">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495" w:type="pct"/>
            <w:vAlign w:val="bottom"/>
            <w:hideMark/>
          </w:tcPr>
          <w:p w:rsidR="00000000" w:rsidRDefault="004E30E9">
            <w:pPr>
              <w:pStyle w:val="a3"/>
              <w:spacing w:before="0" w:beforeAutospacing="0" w:after="0" w:afterAutospacing="0"/>
              <w:rPr>
                <w:sz w:val="20"/>
                <w:szCs w:val="20"/>
              </w:rPr>
            </w:pPr>
            <w:r>
              <w:rPr>
                <w:sz w:val="20"/>
                <w:szCs w:val="20"/>
              </w:rPr>
              <w:t xml:space="preserve">The Company feels it is </w:t>
            </w:r>
            <w:r>
              <w:rPr>
                <w:rStyle w:val="a6"/>
                <w:sz w:val="20"/>
                <w:szCs w:val="20"/>
              </w:rPr>
              <w:t>not</w:t>
            </w:r>
            <w:r>
              <w:rPr>
                <w:sz w:val="20"/>
                <w:szCs w:val="20"/>
              </w:rPr>
              <w:t xml:space="preserve"> practicable to estim</w:t>
            </w:r>
            <w:r>
              <w:rPr>
                <w:sz w:val="20"/>
                <w:szCs w:val="20"/>
              </w:rPr>
              <w:t xml:space="preserve">ate the fair value of each receivable as quoted market prices are </w:t>
            </w:r>
            <w:r>
              <w:rPr>
                <w:rStyle w:val="a6"/>
                <w:sz w:val="20"/>
                <w:szCs w:val="20"/>
              </w:rPr>
              <w:t>not</w:t>
            </w:r>
            <w:r>
              <w:rPr>
                <w:sz w:val="20"/>
                <w:szCs w:val="20"/>
              </w:rPr>
              <w:t xml:space="preserve"> available.  </w:t>
            </w:r>
          </w:p>
        </w:tc>
      </w:tr>
      <w:tr w:rsidR="00000000">
        <w:trPr>
          <w:tblCellSpacing w:w="0" w:type="dxa"/>
        </w:trPr>
        <w:tc>
          <w:tcPr>
            <w:tcW w:w="3495" w:type="pct"/>
            <w:vAlign w:val="bottom"/>
            <w:hideMark/>
          </w:tcPr>
          <w:p w:rsidR="00000000" w:rsidRDefault="004E30E9">
            <w:pPr>
              <w:pStyle w:val="a3"/>
              <w:spacing w:before="0" w:beforeAutospacing="0" w:after="0" w:afterAutospacing="0"/>
              <w:rPr>
                <w:sz w:val="20"/>
                <w:szCs w:val="20"/>
              </w:rPr>
            </w:pPr>
            <w:r>
              <w:rPr>
                <w:sz w:val="20"/>
                <w:szCs w:val="20"/>
              </w:rPr>
              <w:t>The cost of obtaining an independent valuation on these assets is deemed excessive considering the materiality of the total receivables.</w:t>
            </w:r>
          </w:p>
        </w:tc>
      </w:tr>
    </w:tbl>
    <w:p w:rsidR="00000000" w:rsidRDefault="004E30E9">
      <w:pPr>
        <w:pStyle w:val="a3"/>
        <w:spacing w:before="0" w:beforeAutospacing="0" w:after="0" w:afterAutospacing="0"/>
        <w:rPr>
          <w:sz w:val="20"/>
          <w:szCs w:val="20"/>
        </w:rPr>
      </w:pPr>
      <w:r>
        <w:rPr>
          <w:sz w:val="20"/>
          <w:szCs w:val="20"/>
        </w:rPr>
        <w:t> </w:t>
      </w:r>
    </w:p>
    <w:p w:rsidR="004E30E9" w:rsidRDefault="004E30E9">
      <w:pPr>
        <w:jc w:val="center"/>
        <w:divId w:val="681399586"/>
        <w:rPr>
          <w:rFonts w:eastAsia="Times New Roman"/>
          <w:sz w:val="20"/>
          <w:szCs w:val="20"/>
        </w:rPr>
      </w:pPr>
      <w:r>
        <w:rPr>
          <w:rFonts w:eastAsia="Times New Roman"/>
          <w:sz w:val="20"/>
          <w:szCs w:val="20"/>
        </w:rPr>
        <w:t xml:space="preserve">99 </w:t>
      </w:r>
    </w:p>
    <w:sectPr w:rsidR="004E30E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E30E9"/>
    <w:rsid w:val="004E30E9"/>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fasb.org/srt-types/2017-01-31"/>
  <w:attachedSchema w:val="http://www.xbrl.org/2009/utr"/>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www.kimcorealty.com/20201231"/>
  <w:attachedSchema w:val="http://xbrl.sec.gov/currency/2020-01-31"/>
  <w:attachedSchema w:val="http://fasb.org/srt/2020-01-31"/>
  <w:attachedSchema w:val="http://xbrl.sec.gov/rr/2018-01-31"/>
  <w:attachedSchema w:val="http://fasb.org/us-gaap/2020-01-31"/>
  <w:attachedSchema w:val="http://xbrl.sec.gov/sic/2020-01-31"/>
  <w:attachedSchema w:val="http://xbrl.sec.gov/exch/2020-01-31"/>
  <w:attachedSchema w:val="http://xbrl.sec.gov/country/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0808">
      <w:marLeft w:val="0"/>
      <w:marRight w:val="0"/>
      <w:marTop w:val="0"/>
      <w:marBottom w:val="0"/>
      <w:divBdr>
        <w:top w:val="none" w:sz="0" w:space="0" w:color="auto"/>
        <w:left w:val="none" w:sz="0" w:space="0" w:color="auto"/>
        <w:bottom w:val="none" w:sz="0" w:space="0" w:color="auto"/>
        <w:right w:val="none" w:sz="0" w:space="0" w:color="auto"/>
      </w:divBdr>
    </w:div>
    <w:div w:id="37318417">
      <w:marLeft w:val="0"/>
      <w:marRight w:val="0"/>
      <w:marTop w:val="0"/>
      <w:marBottom w:val="0"/>
      <w:divBdr>
        <w:top w:val="none" w:sz="0" w:space="0" w:color="auto"/>
        <w:left w:val="none" w:sz="0" w:space="0" w:color="auto"/>
        <w:bottom w:val="none" w:sz="0" w:space="0" w:color="auto"/>
        <w:right w:val="none" w:sz="0" w:space="0" w:color="auto"/>
      </w:divBdr>
    </w:div>
    <w:div w:id="62265536">
      <w:marLeft w:val="0"/>
      <w:marRight w:val="0"/>
      <w:marTop w:val="0"/>
      <w:marBottom w:val="0"/>
      <w:divBdr>
        <w:top w:val="none" w:sz="0" w:space="0" w:color="auto"/>
        <w:left w:val="none" w:sz="0" w:space="0" w:color="auto"/>
        <w:bottom w:val="none" w:sz="0" w:space="0" w:color="auto"/>
        <w:right w:val="none" w:sz="0" w:space="0" w:color="auto"/>
      </w:divBdr>
      <w:divsChild>
        <w:div w:id="156071908">
          <w:marLeft w:val="0"/>
          <w:marRight w:val="0"/>
          <w:marTop w:val="0"/>
          <w:marBottom w:val="0"/>
          <w:divBdr>
            <w:top w:val="none" w:sz="0" w:space="0" w:color="auto"/>
            <w:left w:val="none" w:sz="0" w:space="0" w:color="auto"/>
            <w:bottom w:val="none" w:sz="0" w:space="0" w:color="auto"/>
            <w:right w:val="none" w:sz="0" w:space="0" w:color="auto"/>
          </w:divBdr>
        </w:div>
        <w:div w:id="298658175">
          <w:marLeft w:val="0"/>
          <w:marRight w:val="0"/>
          <w:marTop w:val="0"/>
          <w:marBottom w:val="0"/>
          <w:divBdr>
            <w:top w:val="none" w:sz="0" w:space="0" w:color="auto"/>
            <w:left w:val="none" w:sz="0" w:space="0" w:color="auto"/>
            <w:bottom w:val="none" w:sz="0" w:space="0" w:color="auto"/>
            <w:right w:val="none" w:sz="0" w:space="0" w:color="auto"/>
          </w:divBdr>
        </w:div>
      </w:divsChild>
    </w:div>
    <w:div w:id="75060835">
      <w:marLeft w:val="0"/>
      <w:marRight w:val="0"/>
      <w:marTop w:val="0"/>
      <w:marBottom w:val="0"/>
      <w:divBdr>
        <w:top w:val="none" w:sz="0" w:space="0" w:color="auto"/>
        <w:left w:val="none" w:sz="0" w:space="0" w:color="auto"/>
        <w:bottom w:val="none" w:sz="0" w:space="0" w:color="auto"/>
        <w:right w:val="none" w:sz="0" w:space="0" w:color="auto"/>
      </w:divBdr>
    </w:div>
    <w:div w:id="88236900">
      <w:marLeft w:val="0"/>
      <w:marRight w:val="0"/>
      <w:marTop w:val="0"/>
      <w:marBottom w:val="0"/>
      <w:divBdr>
        <w:top w:val="none" w:sz="0" w:space="0" w:color="auto"/>
        <w:left w:val="none" w:sz="0" w:space="0" w:color="auto"/>
        <w:bottom w:val="none" w:sz="0" w:space="0" w:color="auto"/>
        <w:right w:val="none" w:sz="0" w:space="0" w:color="auto"/>
      </w:divBdr>
    </w:div>
    <w:div w:id="116681046">
      <w:marLeft w:val="0"/>
      <w:marRight w:val="0"/>
      <w:marTop w:val="0"/>
      <w:marBottom w:val="0"/>
      <w:divBdr>
        <w:top w:val="none" w:sz="0" w:space="0" w:color="auto"/>
        <w:left w:val="none" w:sz="0" w:space="0" w:color="auto"/>
        <w:bottom w:val="none" w:sz="0" w:space="0" w:color="auto"/>
        <w:right w:val="none" w:sz="0" w:space="0" w:color="auto"/>
      </w:divBdr>
    </w:div>
    <w:div w:id="119033374">
      <w:marLeft w:val="0"/>
      <w:marRight w:val="0"/>
      <w:marTop w:val="0"/>
      <w:marBottom w:val="0"/>
      <w:divBdr>
        <w:top w:val="none" w:sz="0" w:space="0" w:color="auto"/>
        <w:left w:val="none" w:sz="0" w:space="0" w:color="auto"/>
        <w:bottom w:val="none" w:sz="0" w:space="0" w:color="auto"/>
        <w:right w:val="none" w:sz="0" w:space="0" w:color="auto"/>
      </w:divBdr>
      <w:divsChild>
        <w:div w:id="416027036">
          <w:marLeft w:val="0"/>
          <w:marRight w:val="0"/>
          <w:marTop w:val="0"/>
          <w:marBottom w:val="0"/>
          <w:divBdr>
            <w:top w:val="none" w:sz="0" w:space="0" w:color="auto"/>
            <w:left w:val="none" w:sz="0" w:space="0" w:color="auto"/>
            <w:bottom w:val="none" w:sz="0" w:space="0" w:color="auto"/>
            <w:right w:val="none" w:sz="0" w:space="0" w:color="auto"/>
          </w:divBdr>
        </w:div>
        <w:div w:id="356008581">
          <w:marLeft w:val="0"/>
          <w:marRight w:val="0"/>
          <w:marTop w:val="0"/>
          <w:marBottom w:val="0"/>
          <w:divBdr>
            <w:top w:val="none" w:sz="0" w:space="0" w:color="auto"/>
            <w:left w:val="none" w:sz="0" w:space="0" w:color="auto"/>
            <w:bottom w:val="none" w:sz="0" w:space="0" w:color="auto"/>
            <w:right w:val="none" w:sz="0" w:space="0" w:color="auto"/>
          </w:divBdr>
        </w:div>
      </w:divsChild>
    </w:div>
    <w:div w:id="122356495">
      <w:marLeft w:val="0"/>
      <w:marRight w:val="0"/>
      <w:marTop w:val="0"/>
      <w:marBottom w:val="0"/>
      <w:divBdr>
        <w:top w:val="none" w:sz="0" w:space="0" w:color="auto"/>
        <w:left w:val="none" w:sz="0" w:space="0" w:color="auto"/>
        <w:bottom w:val="none" w:sz="0" w:space="0" w:color="auto"/>
        <w:right w:val="none" w:sz="0" w:space="0" w:color="auto"/>
      </w:divBdr>
    </w:div>
    <w:div w:id="155728100">
      <w:marLeft w:val="0"/>
      <w:marRight w:val="0"/>
      <w:marTop w:val="0"/>
      <w:marBottom w:val="0"/>
      <w:divBdr>
        <w:top w:val="none" w:sz="0" w:space="0" w:color="auto"/>
        <w:left w:val="none" w:sz="0" w:space="0" w:color="auto"/>
        <w:bottom w:val="none" w:sz="0" w:space="0" w:color="auto"/>
        <w:right w:val="none" w:sz="0" w:space="0" w:color="auto"/>
      </w:divBdr>
      <w:divsChild>
        <w:div w:id="1653018962">
          <w:marLeft w:val="0"/>
          <w:marRight w:val="0"/>
          <w:marTop w:val="0"/>
          <w:marBottom w:val="0"/>
          <w:divBdr>
            <w:top w:val="none" w:sz="0" w:space="0" w:color="auto"/>
            <w:left w:val="none" w:sz="0" w:space="0" w:color="auto"/>
            <w:bottom w:val="none" w:sz="0" w:space="0" w:color="auto"/>
            <w:right w:val="none" w:sz="0" w:space="0" w:color="auto"/>
          </w:divBdr>
        </w:div>
        <w:div w:id="69694015">
          <w:marLeft w:val="0"/>
          <w:marRight w:val="0"/>
          <w:marTop w:val="0"/>
          <w:marBottom w:val="0"/>
          <w:divBdr>
            <w:top w:val="none" w:sz="0" w:space="0" w:color="auto"/>
            <w:left w:val="none" w:sz="0" w:space="0" w:color="auto"/>
            <w:bottom w:val="none" w:sz="0" w:space="0" w:color="auto"/>
            <w:right w:val="none" w:sz="0" w:space="0" w:color="auto"/>
          </w:divBdr>
        </w:div>
      </w:divsChild>
    </w:div>
    <w:div w:id="156263027">
      <w:marLeft w:val="0"/>
      <w:marRight w:val="0"/>
      <w:marTop w:val="0"/>
      <w:marBottom w:val="0"/>
      <w:divBdr>
        <w:top w:val="none" w:sz="0" w:space="0" w:color="auto"/>
        <w:left w:val="none" w:sz="0" w:space="0" w:color="auto"/>
        <w:bottom w:val="none" w:sz="0" w:space="0" w:color="auto"/>
        <w:right w:val="none" w:sz="0" w:space="0" w:color="auto"/>
      </w:divBdr>
    </w:div>
    <w:div w:id="165748831">
      <w:marLeft w:val="0"/>
      <w:marRight w:val="0"/>
      <w:marTop w:val="0"/>
      <w:marBottom w:val="0"/>
      <w:divBdr>
        <w:top w:val="none" w:sz="0" w:space="0" w:color="auto"/>
        <w:left w:val="none" w:sz="0" w:space="0" w:color="auto"/>
        <w:bottom w:val="none" w:sz="0" w:space="0" w:color="auto"/>
        <w:right w:val="none" w:sz="0" w:space="0" w:color="auto"/>
      </w:divBdr>
    </w:div>
    <w:div w:id="181555126">
      <w:marLeft w:val="0"/>
      <w:marRight w:val="0"/>
      <w:marTop w:val="0"/>
      <w:marBottom w:val="0"/>
      <w:divBdr>
        <w:top w:val="none" w:sz="0" w:space="0" w:color="auto"/>
        <w:left w:val="none" w:sz="0" w:space="0" w:color="auto"/>
        <w:bottom w:val="none" w:sz="0" w:space="0" w:color="auto"/>
        <w:right w:val="none" w:sz="0" w:space="0" w:color="auto"/>
      </w:divBdr>
    </w:div>
    <w:div w:id="182598064">
      <w:marLeft w:val="0"/>
      <w:marRight w:val="0"/>
      <w:marTop w:val="0"/>
      <w:marBottom w:val="0"/>
      <w:divBdr>
        <w:top w:val="none" w:sz="0" w:space="0" w:color="auto"/>
        <w:left w:val="none" w:sz="0" w:space="0" w:color="auto"/>
        <w:bottom w:val="none" w:sz="0" w:space="0" w:color="auto"/>
        <w:right w:val="none" w:sz="0" w:space="0" w:color="auto"/>
      </w:divBdr>
    </w:div>
    <w:div w:id="190149156">
      <w:marLeft w:val="0"/>
      <w:marRight w:val="0"/>
      <w:marTop w:val="0"/>
      <w:marBottom w:val="0"/>
      <w:divBdr>
        <w:top w:val="none" w:sz="0" w:space="0" w:color="auto"/>
        <w:left w:val="none" w:sz="0" w:space="0" w:color="auto"/>
        <w:bottom w:val="none" w:sz="0" w:space="0" w:color="auto"/>
        <w:right w:val="none" w:sz="0" w:space="0" w:color="auto"/>
      </w:divBdr>
      <w:divsChild>
        <w:div w:id="738018662">
          <w:marLeft w:val="0"/>
          <w:marRight w:val="0"/>
          <w:marTop w:val="0"/>
          <w:marBottom w:val="0"/>
          <w:divBdr>
            <w:top w:val="none" w:sz="0" w:space="0" w:color="auto"/>
            <w:left w:val="none" w:sz="0" w:space="0" w:color="auto"/>
            <w:bottom w:val="none" w:sz="0" w:space="0" w:color="auto"/>
            <w:right w:val="none" w:sz="0" w:space="0" w:color="auto"/>
          </w:divBdr>
        </w:div>
        <w:div w:id="65038090">
          <w:marLeft w:val="0"/>
          <w:marRight w:val="0"/>
          <w:marTop w:val="0"/>
          <w:marBottom w:val="0"/>
          <w:divBdr>
            <w:top w:val="none" w:sz="0" w:space="0" w:color="auto"/>
            <w:left w:val="none" w:sz="0" w:space="0" w:color="auto"/>
            <w:bottom w:val="none" w:sz="0" w:space="0" w:color="auto"/>
            <w:right w:val="none" w:sz="0" w:space="0" w:color="auto"/>
          </w:divBdr>
        </w:div>
      </w:divsChild>
    </w:div>
    <w:div w:id="197862672">
      <w:marLeft w:val="0"/>
      <w:marRight w:val="0"/>
      <w:marTop w:val="0"/>
      <w:marBottom w:val="0"/>
      <w:divBdr>
        <w:top w:val="none" w:sz="0" w:space="0" w:color="auto"/>
        <w:left w:val="none" w:sz="0" w:space="0" w:color="auto"/>
        <w:bottom w:val="none" w:sz="0" w:space="0" w:color="auto"/>
        <w:right w:val="none" w:sz="0" w:space="0" w:color="auto"/>
      </w:divBdr>
    </w:div>
    <w:div w:id="198057085">
      <w:marLeft w:val="0"/>
      <w:marRight w:val="0"/>
      <w:marTop w:val="0"/>
      <w:marBottom w:val="0"/>
      <w:divBdr>
        <w:top w:val="none" w:sz="0" w:space="0" w:color="auto"/>
        <w:left w:val="none" w:sz="0" w:space="0" w:color="auto"/>
        <w:bottom w:val="none" w:sz="0" w:space="0" w:color="auto"/>
        <w:right w:val="none" w:sz="0" w:space="0" w:color="auto"/>
      </w:divBdr>
    </w:div>
    <w:div w:id="205456377">
      <w:marLeft w:val="0"/>
      <w:marRight w:val="0"/>
      <w:marTop w:val="0"/>
      <w:marBottom w:val="0"/>
      <w:divBdr>
        <w:top w:val="none" w:sz="0" w:space="0" w:color="auto"/>
        <w:left w:val="none" w:sz="0" w:space="0" w:color="auto"/>
        <w:bottom w:val="none" w:sz="0" w:space="0" w:color="auto"/>
        <w:right w:val="none" w:sz="0" w:space="0" w:color="auto"/>
      </w:divBdr>
      <w:divsChild>
        <w:div w:id="1728070731">
          <w:marLeft w:val="0"/>
          <w:marRight w:val="0"/>
          <w:marTop w:val="0"/>
          <w:marBottom w:val="0"/>
          <w:divBdr>
            <w:top w:val="none" w:sz="0" w:space="0" w:color="auto"/>
            <w:left w:val="none" w:sz="0" w:space="0" w:color="auto"/>
            <w:bottom w:val="none" w:sz="0" w:space="0" w:color="auto"/>
            <w:right w:val="none" w:sz="0" w:space="0" w:color="auto"/>
          </w:divBdr>
        </w:div>
      </w:divsChild>
    </w:div>
    <w:div w:id="228227502">
      <w:marLeft w:val="0"/>
      <w:marRight w:val="0"/>
      <w:marTop w:val="0"/>
      <w:marBottom w:val="0"/>
      <w:divBdr>
        <w:top w:val="none" w:sz="0" w:space="0" w:color="auto"/>
        <w:left w:val="none" w:sz="0" w:space="0" w:color="auto"/>
        <w:bottom w:val="none" w:sz="0" w:space="0" w:color="auto"/>
        <w:right w:val="none" w:sz="0" w:space="0" w:color="auto"/>
      </w:divBdr>
    </w:div>
    <w:div w:id="283539977">
      <w:marLeft w:val="0"/>
      <w:marRight w:val="0"/>
      <w:marTop w:val="0"/>
      <w:marBottom w:val="0"/>
      <w:divBdr>
        <w:top w:val="none" w:sz="0" w:space="0" w:color="auto"/>
        <w:left w:val="none" w:sz="0" w:space="0" w:color="auto"/>
        <w:bottom w:val="none" w:sz="0" w:space="0" w:color="auto"/>
        <w:right w:val="none" w:sz="0" w:space="0" w:color="auto"/>
      </w:divBdr>
    </w:div>
    <w:div w:id="295795222">
      <w:marLeft w:val="0"/>
      <w:marRight w:val="0"/>
      <w:marTop w:val="0"/>
      <w:marBottom w:val="0"/>
      <w:divBdr>
        <w:top w:val="none" w:sz="0" w:space="0" w:color="auto"/>
        <w:left w:val="none" w:sz="0" w:space="0" w:color="auto"/>
        <w:bottom w:val="none" w:sz="0" w:space="0" w:color="auto"/>
        <w:right w:val="none" w:sz="0" w:space="0" w:color="auto"/>
      </w:divBdr>
    </w:div>
    <w:div w:id="296883480">
      <w:marLeft w:val="0"/>
      <w:marRight w:val="0"/>
      <w:marTop w:val="0"/>
      <w:marBottom w:val="0"/>
      <w:divBdr>
        <w:top w:val="none" w:sz="0" w:space="0" w:color="auto"/>
        <w:left w:val="none" w:sz="0" w:space="0" w:color="auto"/>
        <w:bottom w:val="none" w:sz="0" w:space="0" w:color="auto"/>
        <w:right w:val="none" w:sz="0" w:space="0" w:color="auto"/>
      </w:divBdr>
      <w:divsChild>
        <w:div w:id="1680230782">
          <w:marLeft w:val="0"/>
          <w:marRight w:val="0"/>
          <w:marTop w:val="0"/>
          <w:marBottom w:val="0"/>
          <w:divBdr>
            <w:top w:val="none" w:sz="0" w:space="0" w:color="auto"/>
            <w:left w:val="none" w:sz="0" w:space="0" w:color="auto"/>
            <w:bottom w:val="none" w:sz="0" w:space="0" w:color="auto"/>
            <w:right w:val="none" w:sz="0" w:space="0" w:color="auto"/>
          </w:divBdr>
        </w:div>
        <w:div w:id="122386901">
          <w:marLeft w:val="0"/>
          <w:marRight w:val="0"/>
          <w:marTop w:val="0"/>
          <w:marBottom w:val="0"/>
          <w:divBdr>
            <w:top w:val="none" w:sz="0" w:space="0" w:color="auto"/>
            <w:left w:val="none" w:sz="0" w:space="0" w:color="auto"/>
            <w:bottom w:val="none" w:sz="0" w:space="0" w:color="auto"/>
            <w:right w:val="none" w:sz="0" w:space="0" w:color="auto"/>
          </w:divBdr>
        </w:div>
      </w:divsChild>
    </w:div>
    <w:div w:id="296884876">
      <w:marLeft w:val="0"/>
      <w:marRight w:val="0"/>
      <w:marTop w:val="0"/>
      <w:marBottom w:val="0"/>
      <w:divBdr>
        <w:top w:val="none" w:sz="0" w:space="0" w:color="auto"/>
        <w:left w:val="none" w:sz="0" w:space="0" w:color="auto"/>
        <w:bottom w:val="none" w:sz="0" w:space="0" w:color="auto"/>
        <w:right w:val="none" w:sz="0" w:space="0" w:color="auto"/>
      </w:divBdr>
    </w:div>
    <w:div w:id="312610892">
      <w:marLeft w:val="0"/>
      <w:marRight w:val="0"/>
      <w:marTop w:val="0"/>
      <w:marBottom w:val="0"/>
      <w:divBdr>
        <w:top w:val="none" w:sz="0" w:space="0" w:color="auto"/>
        <w:left w:val="none" w:sz="0" w:space="0" w:color="auto"/>
        <w:bottom w:val="none" w:sz="0" w:space="0" w:color="auto"/>
        <w:right w:val="none" w:sz="0" w:space="0" w:color="auto"/>
      </w:divBdr>
      <w:divsChild>
        <w:div w:id="829518356">
          <w:marLeft w:val="0"/>
          <w:marRight w:val="0"/>
          <w:marTop w:val="0"/>
          <w:marBottom w:val="0"/>
          <w:divBdr>
            <w:top w:val="none" w:sz="0" w:space="0" w:color="auto"/>
            <w:left w:val="none" w:sz="0" w:space="0" w:color="auto"/>
            <w:bottom w:val="none" w:sz="0" w:space="0" w:color="auto"/>
            <w:right w:val="none" w:sz="0" w:space="0" w:color="auto"/>
          </w:divBdr>
        </w:div>
        <w:div w:id="292367854">
          <w:marLeft w:val="0"/>
          <w:marRight w:val="0"/>
          <w:marTop w:val="0"/>
          <w:marBottom w:val="0"/>
          <w:divBdr>
            <w:top w:val="none" w:sz="0" w:space="0" w:color="auto"/>
            <w:left w:val="none" w:sz="0" w:space="0" w:color="auto"/>
            <w:bottom w:val="none" w:sz="0" w:space="0" w:color="auto"/>
            <w:right w:val="none" w:sz="0" w:space="0" w:color="auto"/>
          </w:divBdr>
        </w:div>
      </w:divsChild>
    </w:div>
    <w:div w:id="314604594">
      <w:marLeft w:val="0"/>
      <w:marRight w:val="0"/>
      <w:marTop w:val="0"/>
      <w:marBottom w:val="0"/>
      <w:divBdr>
        <w:top w:val="none" w:sz="0" w:space="0" w:color="auto"/>
        <w:left w:val="none" w:sz="0" w:space="0" w:color="auto"/>
        <w:bottom w:val="none" w:sz="0" w:space="0" w:color="auto"/>
        <w:right w:val="none" w:sz="0" w:space="0" w:color="auto"/>
      </w:divBdr>
    </w:div>
    <w:div w:id="322197246">
      <w:marLeft w:val="0"/>
      <w:marRight w:val="0"/>
      <w:marTop w:val="0"/>
      <w:marBottom w:val="0"/>
      <w:divBdr>
        <w:top w:val="none" w:sz="0" w:space="0" w:color="auto"/>
        <w:left w:val="none" w:sz="0" w:space="0" w:color="auto"/>
        <w:bottom w:val="none" w:sz="0" w:space="0" w:color="auto"/>
        <w:right w:val="none" w:sz="0" w:space="0" w:color="auto"/>
      </w:divBdr>
    </w:div>
    <w:div w:id="334839963">
      <w:marLeft w:val="0"/>
      <w:marRight w:val="0"/>
      <w:marTop w:val="0"/>
      <w:marBottom w:val="0"/>
      <w:divBdr>
        <w:top w:val="none" w:sz="0" w:space="0" w:color="auto"/>
        <w:left w:val="none" w:sz="0" w:space="0" w:color="auto"/>
        <w:bottom w:val="none" w:sz="0" w:space="0" w:color="auto"/>
        <w:right w:val="none" w:sz="0" w:space="0" w:color="auto"/>
      </w:divBdr>
    </w:div>
    <w:div w:id="334919649">
      <w:marLeft w:val="0"/>
      <w:marRight w:val="0"/>
      <w:marTop w:val="0"/>
      <w:marBottom w:val="0"/>
      <w:divBdr>
        <w:top w:val="none" w:sz="0" w:space="0" w:color="auto"/>
        <w:left w:val="none" w:sz="0" w:space="0" w:color="auto"/>
        <w:bottom w:val="none" w:sz="0" w:space="0" w:color="auto"/>
        <w:right w:val="none" w:sz="0" w:space="0" w:color="auto"/>
      </w:divBdr>
      <w:divsChild>
        <w:div w:id="1668098751">
          <w:marLeft w:val="0"/>
          <w:marRight w:val="0"/>
          <w:marTop w:val="0"/>
          <w:marBottom w:val="0"/>
          <w:divBdr>
            <w:top w:val="none" w:sz="0" w:space="0" w:color="auto"/>
            <w:left w:val="none" w:sz="0" w:space="0" w:color="auto"/>
            <w:bottom w:val="none" w:sz="0" w:space="0" w:color="auto"/>
            <w:right w:val="none" w:sz="0" w:space="0" w:color="auto"/>
          </w:divBdr>
        </w:div>
        <w:div w:id="1918203769">
          <w:marLeft w:val="0"/>
          <w:marRight w:val="0"/>
          <w:marTop w:val="0"/>
          <w:marBottom w:val="0"/>
          <w:divBdr>
            <w:top w:val="none" w:sz="0" w:space="0" w:color="auto"/>
            <w:left w:val="none" w:sz="0" w:space="0" w:color="auto"/>
            <w:bottom w:val="none" w:sz="0" w:space="0" w:color="auto"/>
            <w:right w:val="none" w:sz="0" w:space="0" w:color="auto"/>
          </w:divBdr>
        </w:div>
      </w:divsChild>
    </w:div>
    <w:div w:id="337388207">
      <w:marLeft w:val="0"/>
      <w:marRight w:val="0"/>
      <w:marTop w:val="0"/>
      <w:marBottom w:val="0"/>
      <w:divBdr>
        <w:top w:val="none" w:sz="0" w:space="0" w:color="auto"/>
        <w:left w:val="none" w:sz="0" w:space="0" w:color="auto"/>
        <w:bottom w:val="none" w:sz="0" w:space="0" w:color="auto"/>
        <w:right w:val="none" w:sz="0" w:space="0" w:color="auto"/>
      </w:divBdr>
      <w:divsChild>
        <w:div w:id="1143694823">
          <w:marLeft w:val="0"/>
          <w:marRight w:val="0"/>
          <w:marTop w:val="0"/>
          <w:marBottom w:val="0"/>
          <w:divBdr>
            <w:top w:val="none" w:sz="0" w:space="0" w:color="auto"/>
            <w:left w:val="none" w:sz="0" w:space="0" w:color="auto"/>
            <w:bottom w:val="none" w:sz="0" w:space="0" w:color="auto"/>
            <w:right w:val="none" w:sz="0" w:space="0" w:color="auto"/>
          </w:divBdr>
        </w:div>
        <w:div w:id="46807178">
          <w:marLeft w:val="0"/>
          <w:marRight w:val="0"/>
          <w:marTop w:val="0"/>
          <w:marBottom w:val="0"/>
          <w:divBdr>
            <w:top w:val="none" w:sz="0" w:space="0" w:color="auto"/>
            <w:left w:val="none" w:sz="0" w:space="0" w:color="auto"/>
            <w:bottom w:val="none" w:sz="0" w:space="0" w:color="auto"/>
            <w:right w:val="none" w:sz="0" w:space="0" w:color="auto"/>
          </w:divBdr>
        </w:div>
      </w:divsChild>
    </w:div>
    <w:div w:id="346754205">
      <w:marLeft w:val="0"/>
      <w:marRight w:val="0"/>
      <w:marTop w:val="0"/>
      <w:marBottom w:val="0"/>
      <w:divBdr>
        <w:top w:val="none" w:sz="0" w:space="0" w:color="auto"/>
        <w:left w:val="none" w:sz="0" w:space="0" w:color="auto"/>
        <w:bottom w:val="none" w:sz="0" w:space="0" w:color="auto"/>
        <w:right w:val="none" w:sz="0" w:space="0" w:color="auto"/>
      </w:divBdr>
      <w:divsChild>
        <w:div w:id="1752312461">
          <w:marLeft w:val="0"/>
          <w:marRight w:val="0"/>
          <w:marTop w:val="0"/>
          <w:marBottom w:val="0"/>
          <w:divBdr>
            <w:top w:val="none" w:sz="0" w:space="0" w:color="auto"/>
            <w:left w:val="none" w:sz="0" w:space="0" w:color="auto"/>
            <w:bottom w:val="none" w:sz="0" w:space="0" w:color="auto"/>
            <w:right w:val="none" w:sz="0" w:space="0" w:color="auto"/>
          </w:divBdr>
        </w:div>
        <w:div w:id="2011828172">
          <w:marLeft w:val="0"/>
          <w:marRight w:val="0"/>
          <w:marTop w:val="0"/>
          <w:marBottom w:val="0"/>
          <w:divBdr>
            <w:top w:val="none" w:sz="0" w:space="0" w:color="auto"/>
            <w:left w:val="none" w:sz="0" w:space="0" w:color="auto"/>
            <w:bottom w:val="none" w:sz="0" w:space="0" w:color="auto"/>
            <w:right w:val="none" w:sz="0" w:space="0" w:color="auto"/>
          </w:divBdr>
        </w:div>
      </w:divsChild>
    </w:div>
    <w:div w:id="358360369">
      <w:marLeft w:val="0"/>
      <w:marRight w:val="0"/>
      <w:marTop w:val="0"/>
      <w:marBottom w:val="0"/>
      <w:divBdr>
        <w:top w:val="none" w:sz="0" w:space="0" w:color="auto"/>
        <w:left w:val="none" w:sz="0" w:space="0" w:color="auto"/>
        <w:bottom w:val="none" w:sz="0" w:space="0" w:color="auto"/>
        <w:right w:val="none" w:sz="0" w:space="0" w:color="auto"/>
      </w:divBdr>
    </w:div>
    <w:div w:id="373391082">
      <w:marLeft w:val="0"/>
      <w:marRight w:val="0"/>
      <w:marTop w:val="0"/>
      <w:marBottom w:val="0"/>
      <w:divBdr>
        <w:top w:val="none" w:sz="0" w:space="0" w:color="auto"/>
        <w:left w:val="none" w:sz="0" w:space="0" w:color="auto"/>
        <w:bottom w:val="none" w:sz="0" w:space="0" w:color="auto"/>
        <w:right w:val="none" w:sz="0" w:space="0" w:color="auto"/>
      </w:divBdr>
    </w:div>
    <w:div w:id="375201880">
      <w:marLeft w:val="0"/>
      <w:marRight w:val="0"/>
      <w:marTop w:val="0"/>
      <w:marBottom w:val="0"/>
      <w:divBdr>
        <w:top w:val="none" w:sz="0" w:space="0" w:color="auto"/>
        <w:left w:val="none" w:sz="0" w:space="0" w:color="auto"/>
        <w:bottom w:val="none" w:sz="0" w:space="0" w:color="auto"/>
        <w:right w:val="none" w:sz="0" w:space="0" w:color="auto"/>
      </w:divBdr>
      <w:divsChild>
        <w:div w:id="348608238">
          <w:marLeft w:val="0"/>
          <w:marRight w:val="0"/>
          <w:marTop w:val="0"/>
          <w:marBottom w:val="0"/>
          <w:divBdr>
            <w:top w:val="none" w:sz="0" w:space="0" w:color="auto"/>
            <w:left w:val="none" w:sz="0" w:space="0" w:color="auto"/>
            <w:bottom w:val="none" w:sz="0" w:space="0" w:color="auto"/>
            <w:right w:val="none" w:sz="0" w:space="0" w:color="auto"/>
          </w:divBdr>
          <w:divsChild>
            <w:div w:id="2120029914">
              <w:marLeft w:val="0"/>
              <w:marRight w:val="0"/>
              <w:marTop w:val="0"/>
              <w:marBottom w:val="0"/>
              <w:divBdr>
                <w:top w:val="none" w:sz="0" w:space="0" w:color="auto"/>
                <w:left w:val="none" w:sz="0" w:space="0" w:color="auto"/>
                <w:bottom w:val="none" w:sz="0" w:space="0" w:color="auto"/>
                <w:right w:val="none" w:sz="0" w:space="0" w:color="auto"/>
              </w:divBdr>
              <w:divsChild>
                <w:div w:id="1840341132">
                  <w:marLeft w:val="0"/>
                  <w:marRight w:val="0"/>
                  <w:marTop w:val="0"/>
                  <w:marBottom w:val="0"/>
                  <w:divBdr>
                    <w:top w:val="none" w:sz="0" w:space="0" w:color="auto"/>
                    <w:left w:val="none" w:sz="0" w:space="0" w:color="auto"/>
                    <w:bottom w:val="none" w:sz="0" w:space="0" w:color="auto"/>
                    <w:right w:val="none" w:sz="0" w:space="0" w:color="auto"/>
                  </w:divBdr>
                </w:div>
              </w:divsChild>
            </w:div>
            <w:div w:id="10863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282">
      <w:marLeft w:val="0"/>
      <w:marRight w:val="0"/>
      <w:marTop w:val="0"/>
      <w:marBottom w:val="0"/>
      <w:divBdr>
        <w:top w:val="none" w:sz="0" w:space="0" w:color="auto"/>
        <w:left w:val="none" w:sz="0" w:space="0" w:color="auto"/>
        <w:bottom w:val="none" w:sz="0" w:space="0" w:color="auto"/>
        <w:right w:val="none" w:sz="0" w:space="0" w:color="auto"/>
      </w:divBdr>
    </w:div>
    <w:div w:id="418061030">
      <w:marLeft w:val="0"/>
      <w:marRight w:val="0"/>
      <w:marTop w:val="0"/>
      <w:marBottom w:val="0"/>
      <w:divBdr>
        <w:top w:val="none" w:sz="0" w:space="0" w:color="auto"/>
        <w:left w:val="none" w:sz="0" w:space="0" w:color="auto"/>
        <w:bottom w:val="none" w:sz="0" w:space="0" w:color="auto"/>
        <w:right w:val="none" w:sz="0" w:space="0" w:color="auto"/>
      </w:divBdr>
    </w:div>
    <w:div w:id="427385673">
      <w:marLeft w:val="0"/>
      <w:marRight w:val="0"/>
      <w:marTop w:val="0"/>
      <w:marBottom w:val="0"/>
      <w:divBdr>
        <w:top w:val="none" w:sz="0" w:space="0" w:color="auto"/>
        <w:left w:val="none" w:sz="0" w:space="0" w:color="auto"/>
        <w:bottom w:val="none" w:sz="0" w:space="0" w:color="auto"/>
        <w:right w:val="none" w:sz="0" w:space="0" w:color="auto"/>
      </w:divBdr>
    </w:div>
    <w:div w:id="435100200">
      <w:marLeft w:val="0"/>
      <w:marRight w:val="0"/>
      <w:marTop w:val="0"/>
      <w:marBottom w:val="0"/>
      <w:divBdr>
        <w:top w:val="none" w:sz="0" w:space="0" w:color="auto"/>
        <w:left w:val="none" w:sz="0" w:space="0" w:color="auto"/>
        <w:bottom w:val="none" w:sz="0" w:space="0" w:color="auto"/>
        <w:right w:val="none" w:sz="0" w:space="0" w:color="auto"/>
      </w:divBdr>
    </w:div>
    <w:div w:id="478962144">
      <w:marLeft w:val="0"/>
      <w:marRight w:val="0"/>
      <w:marTop w:val="0"/>
      <w:marBottom w:val="0"/>
      <w:divBdr>
        <w:top w:val="none" w:sz="0" w:space="0" w:color="auto"/>
        <w:left w:val="none" w:sz="0" w:space="0" w:color="auto"/>
        <w:bottom w:val="none" w:sz="0" w:space="0" w:color="auto"/>
        <w:right w:val="none" w:sz="0" w:space="0" w:color="auto"/>
      </w:divBdr>
    </w:div>
    <w:div w:id="480511664">
      <w:marLeft w:val="0"/>
      <w:marRight w:val="0"/>
      <w:marTop w:val="0"/>
      <w:marBottom w:val="0"/>
      <w:divBdr>
        <w:top w:val="none" w:sz="0" w:space="0" w:color="auto"/>
        <w:left w:val="none" w:sz="0" w:space="0" w:color="auto"/>
        <w:bottom w:val="none" w:sz="0" w:space="0" w:color="auto"/>
        <w:right w:val="none" w:sz="0" w:space="0" w:color="auto"/>
      </w:divBdr>
    </w:div>
    <w:div w:id="481896498">
      <w:marLeft w:val="0"/>
      <w:marRight w:val="0"/>
      <w:marTop w:val="0"/>
      <w:marBottom w:val="0"/>
      <w:divBdr>
        <w:top w:val="none" w:sz="0" w:space="0" w:color="auto"/>
        <w:left w:val="none" w:sz="0" w:space="0" w:color="auto"/>
        <w:bottom w:val="none" w:sz="0" w:space="0" w:color="auto"/>
        <w:right w:val="none" w:sz="0" w:space="0" w:color="auto"/>
      </w:divBdr>
    </w:div>
    <w:div w:id="504517010">
      <w:marLeft w:val="0"/>
      <w:marRight w:val="0"/>
      <w:marTop w:val="0"/>
      <w:marBottom w:val="0"/>
      <w:divBdr>
        <w:top w:val="none" w:sz="0" w:space="0" w:color="auto"/>
        <w:left w:val="none" w:sz="0" w:space="0" w:color="auto"/>
        <w:bottom w:val="none" w:sz="0" w:space="0" w:color="auto"/>
        <w:right w:val="none" w:sz="0" w:space="0" w:color="auto"/>
      </w:divBdr>
      <w:divsChild>
        <w:div w:id="876510344">
          <w:marLeft w:val="0"/>
          <w:marRight w:val="0"/>
          <w:marTop w:val="0"/>
          <w:marBottom w:val="0"/>
          <w:divBdr>
            <w:top w:val="none" w:sz="0" w:space="0" w:color="auto"/>
            <w:left w:val="none" w:sz="0" w:space="0" w:color="auto"/>
            <w:bottom w:val="none" w:sz="0" w:space="0" w:color="auto"/>
            <w:right w:val="none" w:sz="0" w:space="0" w:color="auto"/>
          </w:divBdr>
        </w:div>
      </w:divsChild>
    </w:div>
    <w:div w:id="507335278">
      <w:marLeft w:val="0"/>
      <w:marRight w:val="0"/>
      <w:marTop w:val="0"/>
      <w:marBottom w:val="0"/>
      <w:divBdr>
        <w:top w:val="none" w:sz="0" w:space="0" w:color="auto"/>
        <w:left w:val="none" w:sz="0" w:space="0" w:color="auto"/>
        <w:bottom w:val="none" w:sz="0" w:space="0" w:color="auto"/>
        <w:right w:val="none" w:sz="0" w:space="0" w:color="auto"/>
      </w:divBdr>
      <w:divsChild>
        <w:div w:id="1983072730">
          <w:marLeft w:val="0"/>
          <w:marRight w:val="0"/>
          <w:marTop w:val="0"/>
          <w:marBottom w:val="0"/>
          <w:divBdr>
            <w:top w:val="none" w:sz="0" w:space="0" w:color="auto"/>
            <w:left w:val="none" w:sz="0" w:space="0" w:color="auto"/>
            <w:bottom w:val="none" w:sz="0" w:space="0" w:color="auto"/>
            <w:right w:val="none" w:sz="0" w:space="0" w:color="auto"/>
          </w:divBdr>
        </w:div>
        <w:div w:id="1063680646">
          <w:marLeft w:val="0"/>
          <w:marRight w:val="0"/>
          <w:marTop w:val="0"/>
          <w:marBottom w:val="0"/>
          <w:divBdr>
            <w:top w:val="none" w:sz="0" w:space="0" w:color="auto"/>
            <w:left w:val="none" w:sz="0" w:space="0" w:color="auto"/>
            <w:bottom w:val="none" w:sz="0" w:space="0" w:color="auto"/>
            <w:right w:val="none" w:sz="0" w:space="0" w:color="auto"/>
          </w:divBdr>
        </w:div>
      </w:divsChild>
    </w:div>
    <w:div w:id="512888621">
      <w:marLeft w:val="0"/>
      <w:marRight w:val="0"/>
      <w:marTop w:val="0"/>
      <w:marBottom w:val="0"/>
      <w:divBdr>
        <w:top w:val="none" w:sz="0" w:space="0" w:color="auto"/>
        <w:left w:val="none" w:sz="0" w:space="0" w:color="auto"/>
        <w:bottom w:val="none" w:sz="0" w:space="0" w:color="auto"/>
        <w:right w:val="none" w:sz="0" w:space="0" w:color="auto"/>
      </w:divBdr>
      <w:divsChild>
        <w:div w:id="907811795">
          <w:marLeft w:val="0"/>
          <w:marRight w:val="0"/>
          <w:marTop w:val="0"/>
          <w:marBottom w:val="0"/>
          <w:divBdr>
            <w:top w:val="none" w:sz="0" w:space="0" w:color="auto"/>
            <w:left w:val="none" w:sz="0" w:space="0" w:color="auto"/>
            <w:bottom w:val="none" w:sz="0" w:space="0" w:color="auto"/>
            <w:right w:val="none" w:sz="0" w:space="0" w:color="auto"/>
          </w:divBdr>
        </w:div>
        <w:div w:id="91974401">
          <w:marLeft w:val="0"/>
          <w:marRight w:val="0"/>
          <w:marTop w:val="0"/>
          <w:marBottom w:val="0"/>
          <w:divBdr>
            <w:top w:val="none" w:sz="0" w:space="0" w:color="auto"/>
            <w:left w:val="none" w:sz="0" w:space="0" w:color="auto"/>
            <w:bottom w:val="none" w:sz="0" w:space="0" w:color="auto"/>
            <w:right w:val="none" w:sz="0" w:space="0" w:color="auto"/>
          </w:divBdr>
        </w:div>
      </w:divsChild>
    </w:div>
    <w:div w:id="536820799">
      <w:marLeft w:val="0"/>
      <w:marRight w:val="0"/>
      <w:marTop w:val="0"/>
      <w:marBottom w:val="0"/>
      <w:divBdr>
        <w:top w:val="none" w:sz="0" w:space="0" w:color="auto"/>
        <w:left w:val="none" w:sz="0" w:space="0" w:color="auto"/>
        <w:bottom w:val="none" w:sz="0" w:space="0" w:color="auto"/>
        <w:right w:val="none" w:sz="0" w:space="0" w:color="auto"/>
      </w:divBdr>
    </w:div>
    <w:div w:id="550851562">
      <w:marLeft w:val="0"/>
      <w:marRight w:val="0"/>
      <w:marTop w:val="0"/>
      <w:marBottom w:val="0"/>
      <w:divBdr>
        <w:top w:val="none" w:sz="0" w:space="0" w:color="auto"/>
        <w:left w:val="none" w:sz="0" w:space="0" w:color="auto"/>
        <w:bottom w:val="none" w:sz="0" w:space="0" w:color="auto"/>
        <w:right w:val="none" w:sz="0" w:space="0" w:color="auto"/>
      </w:divBdr>
    </w:div>
    <w:div w:id="553276880">
      <w:marLeft w:val="0"/>
      <w:marRight w:val="0"/>
      <w:marTop w:val="0"/>
      <w:marBottom w:val="0"/>
      <w:divBdr>
        <w:top w:val="none" w:sz="0" w:space="0" w:color="auto"/>
        <w:left w:val="none" w:sz="0" w:space="0" w:color="auto"/>
        <w:bottom w:val="none" w:sz="0" w:space="0" w:color="auto"/>
        <w:right w:val="none" w:sz="0" w:space="0" w:color="auto"/>
      </w:divBdr>
      <w:divsChild>
        <w:div w:id="1889369882">
          <w:marLeft w:val="0"/>
          <w:marRight w:val="0"/>
          <w:marTop w:val="0"/>
          <w:marBottom w:val="0"/>
          <w:divBdr>
            <w:top w:val="none" w:sz="0" w:space="0" w:color="auto"/>
            <w:left w:val="none" w:sz="0" w:space="0" w:color="auto"/>
            <w:bottom w:val="none" w:sz="0" w:space="0" w:color="auto"/>
            <w:right w:val="none" w:sz="0" w:space="0" w:color="auto"/>
          </w:divBdr>
        </w:div>
        <w:div w:id="918440482">
          <w:marLeft w:val="0"/>
          <w:marRight w:val="0"/>
          <w:marTop w:val="0"/>
          <w:marBottom w:val="0"/>
          <w:divBdr>
            <w:top w:val="none" w:sz="0" w:space="0" w:color="auto"/>
            <w:left w:val="none" w:sz="0" w:space="0" w:color="auto"/>
            <w:bottom w:val="none" w:sz="0" w:space="0" w:color="auto"/>
            <w:right w:val="none" w:sz="0" w:space="0" w:color="auto"/>
          </w:divBdr>
        </w:div>
      </w:divsChild>
    </w:div>
    <w:div w:id="555749738">
      <w:marLeft w:val="0"/>
      <w:marRight w:val="0"/>
      <w:marTop w:val="0"/>
      <w:marBottom w:val="0"/>
      <w:divBdr>
        <w:top w:val="none" w:sz="0" w:space="0" w:color="auto"/>
        <w:left w:val="none" w:sz="0" w:space="0" w:color="auto"/>
        <w:bottom w:val="none" w:sz="0" w:space="0" w:color="auto"/>
        <w:right w:val="none" w:sz="0" w:space="0" w:color="auto"/>
      </w:divBdr>
      <w:divsChild>
        <w:div w:id="1448505834">
          <w:marLeft w:val="0"/>
          <w:marRight w:val="0"/>
          <w:marTop w:val="0"/>
          <w:marBottom w:val="0"/>
          <w:divBdr>
            <w:top w:val="none" w:sz="0" w:space="0" w:color="auto"/>
            <w:left w:val="none" w:sz="0" w:space="0" w:color="auto"/>
            <w:bottom w:val="none" w:sz="0" w:space="0" w:color="auto"/>
            <w:right w:val="none" w:sz="0" w:space="0" w:color="auto"/>
          </w:divBdr>
        </w:div>
        <w:div w:id="1171530485">
          <w:marLeft w:val="0"/>
          <w:marRight w:val="0"/>
          <w:marTop w:val="0"/>
          <w:marBottom w:val="0"/>
          <w:divBdr>
            <w:top w:val="none" w:sz="0" w:space="0" w:color="auto"/>
            <w:left w:val="none" w:sz="0" w:space="0" w:color="auto"/>
            <w:bottom w:val="none" w:sz="0" w:space="0" w:color="auto"/>
            <w:right w:val="none" w:sz="0" w:space="0" w:color="auto"/>
          </w:divBdr>
        </w:div>
      </w:divsChild>
    </w:div>
    <w:div w:id="571697560">
      <w:marLeft w:val="0"/>
      <w:marRight w:val="0"/>
      <w:marTop w:val="0"/>
      <w:marBottom w:val="0"/>
      <w:divBdr>
        <w:top w:val="none" w:sz="0" w:space="0" w:color="auto"/>
        <w:left w:val="none" w:sz="0" w:space="0" w:color="auto"/>
        <w:bottom w:val="none" w:sz="0" w:space="0" w:color="auto"/>
        <w:right w:val="none" w:sz="0" w:space="0" w:color="auto"/>
      </w:divBdr>
    </w:div>
    <w:div w:id="589824212">
      <w:marLeft w:val="0"/>
      <w:marRight w:val="0"/>
      <w:marTop w:val="0"/>
      <w:marBottom w:val="0"/>
      <w:divBdr>
        <w:top w:val="none" w:sz="0" w:space="0" w:color="auto"/>
        <w:left w:val="none" w:sz="0" w:space="0" w:color="auto"/>
        <w:bottom w:val="none" w:sz="0" w:space="0" w:color="auto"/>
        <w:right w:val="none" w:sz="0" w:space="0" w:color="auto"/>
      </w:divBdr>
    </w:div>
    <w:div w:id="593899024">
      <w:marLeft w:val="0"/>
      <w:marRight w:val="0"/>
      <w:marTop w:val="0"/>
      <w:marBottom w:val="0"/>
      <w:divBdr>
        <w:top w:val="none" w:sz="0" w:space="0" w:color="auto"/>
        <w:left w:val="none" w:sz="0" w:space="0" w:color="auto"/>
        <w:bottom w:val="none" w:sz="0" w:space="0" w:color="auto"/>
        <w:right w:val="none" w:sz="0" w:space="0" w:color="auto"/>
      </w:divBdr>
    </w:div>
    <w:div w:id="600991512">
      <w:marLeft w:val="0"/>
      <w:marRight w:val="0"/>
      <w:marTop w:val="0"/>
      <w:marBottom w:val="0"/>
      <w:divBdr>
        <w:top w:val="none" w:sz="0" w:space="0" w:color="auto"/>
        <w:left w:val="none" w:sz="0" w:space="0" w:color="auto"/>
        <w:bottom w:val="none" w:sz="0" w:space="0" w:color="auto"/>
        <w:right w:val="none" w:sz="0" w:space="0" w:color="auto"/>
      </w:divBdr>
      <w:divsChild>
        <w:div w:id="641663721">
          <w:marLeft w:val="0"/>
          <w:marRight w:val="0"/>
          <w:marTop w:val="0"/>
          <w:marBottom w:val="0"/>
          <w:divBdr>
            <w:top w:val="none" w:sz="0" w:space="0" w:color="auto"/>
            <w:left w:val="none" w:sz="0" w:space="0" w:color="auto"/>
            <w:bottom w:val="none" w:sz="0" w:space="0" w:color="auto"/>
            <w:right w:val="none" w:sz="0" w:space="0" w:color="auto"/>
          </w:divBdr>
        </w:div>
        <w:div w:id="898785951">
          <w:marLeft w:val="0"/>
          <w:marRight w:val="0"/>
          <w:marTop w:val="0"/>
          <w:marBottom w:val="0"/>
          <w:divBdr>
            <w:top w:val="none" w:sz="0" w:space="0" w:color="auto"/>
            <w:left w:val="none" w:sz="0" w:space="0" w:color="auto"/>
            <w:bottom w:val="none" w:sz="0" w:space="0" w:color="auto"/>
            <w:right w:val="none" w:sz="0" w:space="0" w:color="auto"/>
          </w:divBdr>
        </w:div>
      </w:divsChild>
    </w:div>
    <w:div w:id="609969092">
      <w:marLeft w:val="0"/>
      <w:marRight w:val="0"/>
      <w:marTop w:val="0"/>
      <w:marBottom w:val="0"/>
      <w:divBdr>
        <w:top w:val="none" w:sz="0" w:space="0" w:color="auto"/>
        <w:left w:val="none" w:sz="0" w:space="0" w:color="auto"/>
        <w:bottom w:val="none" w:sz="0" w:space="0" w:color="auto"/>
        <w:right w:val="none" w:sz="0" w:space="0" w:color="auto"/>
      </w:divBdr>
    </w:div>
    <w:div w:id="621497320">
      <w:marLeft w:val="0"/>
      <w:marRight w:val="0"/>
      <w:marTop w:val="0"/>
      <w:marBottom w:val="0"/>
      <w:divBdr>
        <w:top w:val="none" w:sz="0" w:space="0" w:color="auto"/>
        <w:left w:val="none" w:sz="0" w:space="0" w:color="auto"/>
        <w:bottom w:val="none" w:sz="0" w:space="0" w:color="auto"/>
        <w:right w:val="none" w:sz="0" w:space="0" w:color="auto"/>
      </w:divBdr>
    </w:div>
    <w:div w:id="621888007">
      <w:marLeft w:val="0"/>
      <w:marRight w:val="0"/>
      <w:marTop w:val="0"/>
      <w:marBottom w:val="0"/>
      <w:divBdr>
        <w:top w:val="none" w:sz="0" w:space="0" w:color="auto"/>
        <w:left w:val="none" w:sz="0" w:space="0" w:color="auto"/>
        <w:bottom w:val="none" w:sz="0" w:space="0" w:color="auto"/>
        <w:right w:val="none" w:sz="0" w:space="0" w:color="auto"/>
      </w:divBdr>
      <w:divsChild>
        <w:div w:id="1601717337">
          <w:marLeft w:val="0"/>
          <w:marRight w:val="0"/>
          <w:marTop w:val="0"/>
          <w:marBottom w:val="0"/>
          <w:divBdr>
            <w:top w:val="none" w:sz="0" w:space="0" w:color="auto"/>
            <w:left w:val="none" w:sz="0" w:space="0" w:color="auto"/>
            <w:bottom w:val="none" w:sz="0" w:space="0" w:color="auto"/>
            <w:right w:val="none" w:sz="0" w:space="0" w:color="auto"/>
          </w:divBdr>
        </w:div>
        <w:div w:id="617295930">
          <w:marLeft w:val="0"/>
          <w:marRight w:val="0"/>
          <w:marTop w:val="0"/>
          <w:marBottom w:val="0"/>
          <w:divBdr>
            <w:top w:val="none" w:sz="0" w:space="0" w:color="auto"/>
            <w:left w:val="none" w:sz="0" w:space="0" w:color="auto"/>
            <w:bottom w:val="none" w:sz="0" w:space="0" w:color="auto"/>
            <w:right w:val="none" w:sz="0" w:space="0" w:color="auto"/>
          </w:divBdr>
        </w:div>
      </w:divsChild>
    </w:div>
    <w:div w:id="625281438">
      <w:marLeft w:val="0"/>
      <w:marRight w:val="0"/>
      <w:marTop w:val="0"/>
      <w:marBottom w:val="0"/>
      <w:divBdr>
        <w:top w:val="none" w:sz="0" w:space="0" w:color="auto"/>
        <w:left w:val="none" w:sz="0" w:space="0" w:color="auto"/>
        <w:bottom w:val="none" w:sz="0" w:space="0" w:color="auto"/>
        <w:right w:val="none" w:sz="0" w:space="0" w:color="auto"/>
      </w:divBdr>
    </w:div>
    <w:div w:id="626163168">
      <w:marLeft w:val="0"/>
      <w:marRight w:val="0"/>
      <w:marTop w:val="0"/>
      <w:marBottom w:val="0"/>
      <w:divBdr>
        <w:top w:val="none" w:sz="0" w:space="0" w:color="auto"/>
        <w:left w:val="none" w:sz="0" w:space="0" w:color="auto"/>
        <w:bottom w:val="none" w:sz="0" w:space="0" w:color="auto"/>
        <w:right w:val="none" w:sz="0" w:space="0" w:color="auto"/>
      </w:divBdr>
      <w:divsChild>
        <w:div w:id="1118529526">
          <w:marLeft w:val="0"/>
          <w:marRight w:val="0"/>
          <w:marTop w:val="0"/>
          <w:marBottom w:val="0"/>
          <w:divBdr>
            <w:top w:val="none" w:sz="0" w:space="0" w:color="auto"/>
            <w:left w:val="none" w:sz="0" w:space="0" w:color="auto"/>
            <w:bottom w:val="none" w:sz="0" w:space="0" w:color="auto"/>
            <w:right w:val="none" w:sz="0" w:space="0" w:color="auto"/>
          </w:divBdr>
        </w:div>
        <w:div w:id="1597246439">
          <w:marLeft w:val="0"/>
          <w:marRight w:val="0"/>
          <w:marTop w:val="0"/>
          <w:marBottom w:val="0"/>
          <w:divBdr>
            <w:top w:val="none" w:sz="0" w:space="0" w:color="auto"/>
            <w:left w:val="none" w:sz="0" w:space="0" w:color="auto"/>
            <w:bottom w:val="none" w:sz="0" w:space="0" w:color="auto"/>
            <w:right w:val="none" w:sz="0" w:space="0" w:color="auto"/>
          </w:divBdr>
        </w:div>
      </w:divsChild>
    </w:div>
    <w:div w:id="638455838">
      <w:marLeft w:val="0"/>
      <w:marRight w:val="0"/>
      <w:marTop w:val="0"/>
      <w:marBottom w:val="0"/>
      <w:divBdr>
        <w:top w:val="none" w:sz="0" w:space="0" w:color="auto"/>
        <w:left w:val="none" w:sz="0" w:space="0" w:color="auto"/>
        <w:bottom w:val="none" w:sz="0" w:space="0" w:color="auto"/>
        <w:right w:val="none" w:sz="0" w:space="0" w:color="auto"/>
      </w:divBdr>
    </w:div>
    <w:div w:id="638803484">
      <w:marLeft w:val="0"/>
      <w:marRight w:val="0"/>
      <w:marTop w:val="0"/>
      <w:marBottom w:val="0"/>
      <w:divBdr>
        <w:top w:val="none" w:sz="0" w:space="0" w:color="auto"/>
        <w:left w:val="none" w:sz="0" w:space="0" w:color="auto"/>
        <w:bottom w:val="none" w:sz="0" w:space="0" w:color="auto"/>
        <w:right w:val="none" w:sz="0" w:space="0" w:color="auto"/>
      </w:divBdr>
    </w:div>
    <w:div w:id="646864047">
      <w:marLeft w:val="0"/>
      <w:marRight w:val="0"/>
      <w:marTop w:val="0"/>
      <w:marBottom w:val="0"/>
      <w:divBdr>
        <w:top w:val="none" w:sz="0" w:space="0" w:color="auto"/>
        <w:left w:val="none" w:sz="0" w:space="0" w:color="auto"/>
        <w:bottom w:val="none" w:sz="0" w:space="0" w:color="auto"/>
        <w:right w:val="none" w:sz="0" w:space="0" w:color="auto"/>
      </w:divBdr>
      <w:divsChild>
        <w:div w:id="1785690684">
          <w:marLeft w:val="0"/>
          <w:marRight w:val="0"/>
          <w:marTop w:val="0"/>
          <w:marBottom w:val="0"/>
          <w:divBdr>
            <w:top w:val="none" w:sz="0" w:space="0" w:color="auto"/>
            <w:left w:val="none" w:sz="0" w:space="0" w:color="auto"/>
            <w:bottom w:val="none" w:sz="0" w:space="0" w:color="auto"/>
            <w:right w:val="none" w:sz="0" w:space="0" w:color="auto"/>
          </w:divBdr>
        </w:div>
        <w:div w:id="1789081675">
          <w:marLeft w:val="0"/>
          <w:marRight w:val="0"/>
          <w:marTop w:val="0"/>
          <w:marBottom w:val="0"/>
          <w:divBdr>
            <w:top w:val="none" w:sz="0" w:space="0" w:color="auto"/>
            <w:left w:val="none" w:sz="0" w:space="0" w:color="auto"/>
            <w:bottom w:val="none" w:sz="0" w:space="0" w:color="auto"/>
            <w:right w:val="none" w:sz="0" w:space="0" w:color="auto"/>
          </w:divBdr>
        </w:div>
      </w:divsChild>
    </w:div>
    <w:div w:id="649091691">
      <w:marLeft w:val="0"/>
      <w:marRight w:val="0"/>
      <w:marTop w:val="0"/>
      <w:marBottom w:val="0"/>
      <w:divBdr>
        <w:top w:val="none" w:sz="0" w:space="0" w:color="auto"/>
        <w:left w:val="none" w:sz="0" w:space="0" w:color="auto"/>
        <w:bottom w:val="none" w:sz="0" w:space="0" w:color="auto"/>
        <w:right w:val="none" w:sz="0" w:space="0" w:color="auto"/>
      </w:divBdr>
    </w:div>
    <w:div w:id="662516463">
      <w:marLeft w:val="0"/>
      <w:marRight w:val="0"/>
      <w:marTop w:val="0"/>
      <w:marBottom w:val="0"/>
      <w:divBdr>
        <w:top w:val="none" w:sz="0" w:space="0" w:color="auto"/>
        <w:left w:val="none" w:sz="0" w:space="0" w:color="auto"/>
        <w:bottom w:val="none" w:sz="0" w:space="0" w:color="auto"/>
        <w:right w:val="none" w:sz="0" w:space="0" w:color="auto"/>
      </w:divBdr>
    </w:div>
    <w:div w:id="681324646">
      <w:marLeft w:val="0"/>
      <w:marRight w:val="0"/>
      <w:marTop w:val="0"/>
      <w:marBottom w:val="0"/>
      <w:divBdr>
        <w:top w:val="none" w:sz="0" w:space="0" w:color="auto"/>
        <w:left w:val="none" w:sz="0" w:space="0" w:color="auto"/>
        <w:bottom w:val="none" w:sz="0" w:space="0" w:color="auto"/>
        <w:right w:val="none" w:sz="0" w:space="0" w:color="auto"/>
      </w:divBdr>
    </w:div>
    <w:div w:id="697315796">
      <w:marLeft w:val="0"/>
      <w:marRight w:val="0"/>
      <w:marTop w:val="0"/>
      <w:marBottom w:val="0"/>
      <w:divBdr>
        <w:top w:val="none" w:sz="0" w:space="0" w:color="auto"/>
        <w:left w:val="none" w:sz="0" w:space="0" w:color="auto"/>
        <w:bottom w:val="none" w:sz="0" w:space="0" w:color="auto"/>
        <w:right w:val="none" w:sz="0" w:space="0" w:color="auto"/>
      </w:divBdr>
    </w:div>
    <w:div w:id="714156849">
      <w:marLeft w:val="0"/>
      <w:marRight w:val="0"/>
      <w:marTop w:val="0"/>
      <w:marBottom w:val="0"/>
      <w:divBdr>
        <w:top w:val="none" w:sz="0" w:space="0" w:color="auto"/>
        <w:left w:val="none" w:sz="0" w:space="0" w:color="auto"/>
        <w:bottom w:val="none" w:sz="0" w:space="0" w:color="auto"/>
        <w:right w:val="none" w:sz="0" w:space="0" w:color="auto"/>
      </w:divBdr>
      <w:divsChild>
        <w:div w:id="1987854478">
          <w:marLeft w:val="0"/>
          <w:marRight w:val="0"/>
          <w:marTop w:val="0"/>
          <w:marBottom w:val="0"/>
          <w:divBdr>
            <w:top w:val="none" w:sz="0" w:space="0" w:color="auto"/>
            <w:left w:val="none" w:sz="0" w:space="0" w:color="auto"/>
            <w:bottom w:val="none" w:sz="0" w:space="0" w:color="auto"/>
            <w:right w:val="none" w:sz="0" w:space="0" w:color="auto"/>
          </w:divBdr>
        </w:div>
        <w:div w:id="313728854">
          <w:marLeft w:val="0"/>
          <w:marRight w:val="0"/>
          <w:marTop w:val="0"/>
          <w:marBottom w:val="0"/>
          <w:divBdr>
            <w:top w:val="none" w:sz="0" w:space="0" w:color="auto"/>
            <w:left w:val="none" w:sz="0" w:space="0" w:color="auto"/>
            <w:bottom w:val="none" w:sz="0" w:space="0" w:color="auto"/>
            <w:right w:val="none" w:sz="0" w:space="0" w:color="auto"/>
          </w:divBdr>
        </w:div>
      </w:divsChild>
    </w:div>
    <w:div w:id="721366447">
      <w:marLeft w:val="0"/>
      <w:marRight w:val="0"/>
      <w:marTop w:val="0"/>
      <w:marBottom w:val="0"/>
      <w:divBdr>
        <w:top w:val="none" w:sz="0" w:space="0" w:color="auto"/>
        <w:left w:val="none" w:sz="0" w:space="0" w:color="auto"/>
        <w:bottom w:val="none" w:sz="0" w:space="0" w:color="auto"/>
        <w:right w:val="none" w:sz="0" w:space="0" w:color="auto"/>
      </w:divBdr>
    </w:div>
    <w:div w:id="723605621">
      <w:marLeft w:val="0"/>
      <w:marRight w:val="0"/>
      <w:marTop w:val="0"/>
      <w:marBottom w:val="0"/>
      <w:divBdr>
        <w:top w:val="none" w:sz="0" w:space="0" w:color="auto"/>
        <w:left w:val="none" w:sz="0" w:space="0" w:color="auto"/>
        <w:bottom w:val="none" w:sz="0" w:space="0" w:color="auto"/>
        <w:right w:val="none" w:sz="0" w:space="0" w:color="auto"/>
      </w:divBdr>
    </w:div>
    <w:div w:id="738098325">
      <w:marLeft w:val="0"/>
      <w:marRight w:val="0"/>
      <w:marTop w:val="0"/>
      <w:marBottom w:val="0"/>
      <w:divBdr>
        <w:top w:val="none" w:sz="0" w:space="0" w:color="auto"/>
        <w:left w:val="none" w:sz="0" w:space="0" w:color="auto"/>
        <w:bottom w:val="none" w:sz="0" w:space="0" w:color="auto"/>
        <w:right w:val="none" w:sz="0" w:space="0" w:color="auto"/>
      </w:divBdr>
      <w:divsChild>
        <w:div w:id="637614340">
          <w:marLeft w:val="0"/>
          <w:marRight w:val="0"/>
          <w:marTop w:val="0"/>
          <w:marBottom w:val="0"/>
          <w:divBdr>
            <w:top w:val="none" w:sz="0" w:space="0" w:color="auto"/>
            <w:left w:val="none" w:sz="0" w:space="0" w:color="auto"/>
            <w:bottom w:val="none" w:sz="0" w:space="0" w:color="auto"/>
            <w:right w:val="none" w:sz="0" w:space="0" w:color="auto"/>
          </w:divBdr>
        </w:div>
        <w:div w:id="1680278960">
          <w:marLeft w:val="0"/>
          <w:marRight w:val="0"/>
          <w:marTop w:val="0"/>
          <w:marBottom w:val="0"/>
          <w:divBdr>
            <w:top w:val="none" w:sz="0" w:space="0" w:color="auto"/>
            <w:left w:val="none" w:sz="0" w:space="0" w:color="auto"/>
            <w:bottom w:val="none" w:sz="0" w:space="0" w:color="auto"/>
            <w:right w:val="none" w:sz="0" w:space="0" w:color="auto"/>
          </w:divBdr>
        </w:div>
      </w:divsChild>
    </w:div>
    <w:div w:id="744451510">
      <w:marLeft w:val="0"/>
      <w:marRight w:val="0"/>
      <w:marTop w:val="0"/>
      <w:marBottom w:val="0"/>
      <w:divBdr>
        <w:top w:val="none" w:sz="0" w:space="0" w:color="auto"/>
        <w:left w:val="none" w:sz="0" w:space="0" w:color="auto"/>
        <w:bottom w:val="none" w:sz="0" w:space="0" w:color="auto"/>
        <w:right w:val="none" w:sz="0" w:space="0" w:color="auto"/>
      </w:divBdr>
    </w:div>
    <w:div w:id="771969613">
      <w:marLeft w:val="0"/>
      <w:marRight w:val="0"/>
      <w:marTop w:val="0"/>
      <w:marBottom w:val="0"/>
      <w:divBdr>
        <w:top w:val="none" w:sz="0" w:space="0" w:color="auto"/>
        <w:left w:val="none" w:sz="0" w:space="0" w:color="auto"/>
        <w:bottom w:val="none" w:sz="0" w:space="0" w:color="auto"/>
        <w:right w:val="none" w:sz="0" w:space="0" w:color="auto"/>
      </w:divBdr>
      <w:divsChild>
        <w:div w:id="693456455">
          <w:marLeft w:val="0"/>
          <w:marRight w:val="0"/>
          <w:marTop w:val="0"/>
          <w:marBottom w:val="0"/>
          <w:divBdr>
            <w:top w:val="none" w:sz="0" w:space="0" w:color="auto"/>
            <w:left w:val="none" w:sz="0" w:space="0" w:color="auto"/>
            <w:bottom w:val="none" w:sz="0" w:space="0" w:color="auto"/>
            <w:right w:val="none" w:sz="0" w:space="0" w:color="auto"/>
          </w:divBdr>
        </w:div>
        <w:div w:id="463737401">
          <w:marLeft w:val="0"/>
          <w:marRight w:val="0"/>
          <w:marTop w:val="0"/>
          <w:marBottom w:val="0"/>
          <w:divBdr>
            <w:top w:val="none" w:sz="0" w:space="0" w:color="auto"/>
            <w:left w:val="none" w:sz="0" w:space="0" w:color="auto"/>
            <w:bottom w:val="none" w:sz="0" w:space="0" w:color="auto"/>
            <w:right w:val="none" w:sz="0" w:space="0" w:color="auto"/>
          </w:divBdr>
        </w:div>
      </w:divsChild>
    </w:div>
    <w:div w:id="777677769">
      <w:marLeft w:val="0"/>
      <w:marRight w:val="0"/>
      <w:marTop w:val="0"/>
      <w:marBottom w:val="0"/>
      <w:divBdr>
        <w:top w:val="none" w:sz="0" w:space="0" w:color="auto"/>
        <w:left w:val="none" w:sz="0" w:space="0" w:color="auto"/>
        <w:bottom w:val="none" w:sz="0" w:space="0" w:color="auto"/>
        <w:right w:val="none" w:sz="0" w:space="0" w:color="auto"/>
      </w:divBdr>
      <w:divsChild>
        <w:div w:id="1407262279">
          <w:marLeft w:val="0"/>
          <w:marRight w:val="0"/>
          <w:marTop w:val="0"/>
          <w:marBottom w:val="0"/>
          <w:divBdr>
            <w:top w:val="none" w:sz="0" w:space="0" w:color="auto"/>
            <w:left w:val="none" w:sz="0" w:space="0" w:color="auto"/>
            <w:bottom w:val="none" w:sz="0" w:space="0" w:color="auto"/>
            <w:right w:val="none" w:sz="0" w:space="0" w:color="auto"/>
          </w:divBdr>
        </w:div>
        <w:div w:id="578712385">
          <w:marLeft w:val="0"/>
          <w:marRight w:val="0"/>
          <w:marTop w:val="0"/>
          <w:marBottom w:val="0"/>
          <w:divBdr>
            <w:top w:val="none" w:sz="0" w:space="0" w:color="auto"/>
            <w:left w:val="none" w:sz="0" w:space="0" w:color="auto"/>
            <w:bottom w:val="none" w:sz="0" w:space="0" w:color="auto"/>
            <w:right w:val="none" w:sz="0" w:space="0" w:color="auto"/>
          </w:divBdr>
        </w:div>
      </w:divsChild>
    </w:div>
    <w:div w:id="779448063">
      <w:marLeft w:val="0"/>
      <w:marRight w:val="0"/>
      <w:marTop w:val="0"/>
      <w:marBottom w:val="0"/>
      <w:divBdr>
        <w:top w:val="none" w:sz="0" w:space="0" w:color="auto"/>
        <w:left w:val="none" w:sz="0" w:space="0" w:color="auto"/>
        <w:bottom w:val="none" w:sz="0" w:space="0" w:color="auto"/>
        <w:right w:val="none" w:sz="0" w:space="0" w:color="auto"/>
      </w:divBdr>
      <w:divsChild>
        <w:div w:id="1427769865">
          <w:marLeft w:val="0"/>
          <w:marRight w:val="0"/>
          <w:marTop w:val="0"/>
          <w:marBottom w:val="0"/>
          <w:divBdr>
            <w:top w:val="none" w:sz="0" w:space="0" w:color="auto"/>
            <w:left w:val="none" w:sz="0" w:space="0" w:color="auto"/>
            <w:bottom w:val="none" w:sz="0" w:space="0" w:color="auto"/>
            <w:right w:val="none" w:sz="0" w:space="0" w:color="auto"/>
          </w:divBdr>
        </w:div>
        <w:div w:id="241717008">
          <w:marLeft w:val="0"/>
          <w:marRight w:val="0"/>
          <w:marTop w:val="0"/>
          <w:marBottom w:val="0"/>
          <w:divBdr>
            <w:top w:val="none" w:sz="0" w:space="0" w:color="auto"/>
            <w:left w:val="none" w:sz="0" w:space="0" w:color="auto"/>
            <w:bottom w:val="none" w:sz="0" w:space="0" w:color="auto"/>
            <w:right w:val="none" w:sz="0" w:space="0" w:color="auto"/>
          </w:divBdr>
        </w:div>
      </w:divsChild>
    </w:div>
    <w:div w:id="782959896">
      <w:marLeft w:val="0"/>
      <w:marRight w:val="0"/>
      <w:marTop w:val="0"/>
      <w:marBottom w:val="0"/>
      <w:divBdr>
        <w:top w:val="none" w:sz="0" w:space="0" w:color="auto"/>
        <w:left w:val="none" w:sz="0" w:space="0" w:color="auto"/>
        <w:bottom w:val="none" w:sz="0" w:space="0" w:color="auto"/>
        <w:right w:val="none" w:sz="0" w:space="0" w:color="auto"/>
      </w:divBdr>
    </w:div>
    <w:div w:id="788354072">
      <w:marLeft w:val="0"/>
      <w:marRight w:val="0"/>
      <w:marTop w:val="0"/>
      <w:marBottom w:val="0"/>
      <w:divBdr>
        <w:top w:val="none" w:sz="0" w:space="0" w:color="auto"/>
        <w:left w:val="none" w:sz="0" w:space="0" w:color="auto"/>
        <w:bottom w:val="none" w:sz="0" w:space="0" w:color="auto"/>
        <w:right w:val="none" w:sz="0" w:space="0" w:color="auto"/>
      </w:divBdr>
    </w:div>
    <w:div w:id="801072714">
      <w:marLeft w:val="0"/>
      <w:marRight w:val="0"/>
      <w:marTop w:val="0"/>
      <w:marBottom w:val="0"/>
      <w:divBdr>
        <w:top w:val="none" w:sz="0" w:space="0" w:color="auto"/>
        <w:left w:val="none" w:sz="0" w:space="0" w:color="auto"/>
        <w:bottom w:val="none" w:sz="0" w:space="0" w:color="auto"/>
        <w:right w:val="none" w:sz="0" w:space="0" w:color="auto"/>
      </w:divBdr>
      <w:divsChild>
        <w:div w:id="804272027">
          <w:marLeft w:val="0"/>
          <w:marRight w:val="0"/>
          <w:marTop w:val="0"/>
          <w:marBottom w:val="0"/>
          <w:divBdr>
            <w:top w:val="none" w:sz="0" w:space="0" w:color="auto"/>
            <w:left w:val="none" w:sz="0" w:space="0" w:color="auto"/>
            <w:bottom w:val="none" w:sz="0" w:space="0" w:color="auto"/>
            <w:right w:val="none" w:sz="0" w:space="0" w:color="auto"/>
          </w:divBdr>
          <w:divsChild>
            <w:div w:id="1410536440">
              <w:marLeft w:val="0"/>
              <w:marRight w:val="0"/>
              <w:marTop w:val="0"/>
              <w:marBottom w:val="0"/>
              <w:divBdr>
                <w:top w:val="none" w:sz="0" w:space="0" w:color="auto"/>
                <w:left w:val="none" w:sz="0" w:space="0" w:color="auto"/>
                <w:bottom w:val="none" w:sz="0" w:space="0" w:color="auto"/>
                <w:right w:val="none" w:sz="0" w:space="0" w:color="auto"/>
              </w:divBdr>
            </w:div>
          </w:divsChild>
        </w:div>
        <w:div w:id="1248461091">
          <w:marLeft w:val="0"/>
          <w:marRight w:val="0"/>
          <w:marTop w:val="0"/>
          <w:marBottom w:val="0"/>
          <w:divBdr>
            <w:top w:val="none" w:sz="0" w:space="0" w:color="auto"/>
            <w:left w:val="none" w:sz="0" w:space="0" w:color="auto"/>
            <w:bottom w:val="none" w:sz="0" w:space="0" w:color="auto"/>
            <w:right w:val="none" w:sz="0" w:space="0" w:color="auto"/>
          </w:divBdr>
        </w:div>
      </w:divsChild>
    </w:div>
    <w:div w:id="825560528">
      <w:marLeft w:val="0"/>
      <w:marRight w:val="0"/>
      <w:marTop w:val="0"/>
      <w:marBottom w:val="0"/>
      <w:divBdr>
        <w:top w:val="none" w:sz="0" w:space="0" w:color="auto"/>
        <w:left w:val="none" w:sz="0" w:space="0" w:color="auto"/>
        <w:bottom w:val="none" w:sz="0" w:space="0" w:color="auto"/>
        <w:right w:val="none" w:sz="0" w:space="0" w:color="auto"/>
      </w:divBdr>
    </w:div>
    <w:div w:id="829902509">
      <w:marLeft w:val="0"/>
      <w:marRight w:val="0"/>
      <w:marTop w:val="0"/>
      <w:marBottom w:val="0"/>
      <w:divBdr>
        <w:top w:val="none" w:sz="0" w:space="0" w:color="auto"/>
        <w:left w:val="none" w:sz="0" w:space="0" w:color="auto"/>
        <w:bottom w:val="none" w:sz="0" w:space="0" w:color="auto"/>
        <w:right w:val="none" w:sz="0" w:space="0" w:color="auto"/>
      </w:divBdr>
      <w:divsChild>
        <w:div w:id="125861066">
          <w:marLeft w:val="0"/>
          <w:marRight w:val="0"/>
          <w:marTop w:val="0"/>
          <w:marBottom w:val="0"/>
          <w:divBdr>
            <w:top w:val="none" w:sz="0" w:space="0" w:color="auto"/>
            <w:left w:val="none" w:sz="0" w:space="0" w:color="auto"/>
            <w:bottom w:val="none" w:sz="0" w:space="0" w:color="auto"/>
            <w:right w:val="none" w:sz="0" w:space="0" w:color="auto"/>
          </w:divBdr>
        </w:div>
        <w:div w:id="1987851949">
          <w:marLeft w:val="0"/>
          <w:marRight w:val="0"/>
          <w:marTop w:val="0"/>
          <w:marBottom w:val="0"/>
          <w:divBdr>
            <w:top w:val="none" w:sz="0" w:space="0" w:color="auto"/>
            <w:left w:val="none" w:sz="0" w:space="0" w:color="auto"/>
            <w:bottom w:val="none" w:sz="0" w:space="0" w:color="auto"/>
            <w:right w:val="none" w:sz="0" w:space="0" w:color="auto"/>
          </w:divBdr>
        </w:div>
      </w:divsChild>
    </w:div>
    <w:div w:id="830214011">
      <w:marLeft w:val="0"/>
      <w:marRight w:val="0"/>
      <w:marTop w:val="0"/>
      <w:marBottom w:val="0"/>
      <w:divBdr>
        <w:top w:val="none" w:sz="0" w:space="0" w:color="auto"/>
        <w:left w:val="none" w:sz="0" w:space="0" w:color="auto"/>
        <w:bottom w:val="none" w:sz="0" w:space="0" w:color="auto"/>
        <w:right w:val="none" w:sz="0" w:space="0" w:color="auto"/>
      </w:divBdr>
    </w:div>
    <w:div w:id="836270614">
      <w:marLeft w:val="0"/>
      <w:marRight w:val="0"/>
      <w:marTop w:val="0"/>
      <w:marBottom w:val="0"/>
      <w:divBdr>
        <w:top w:val="none" w:sz="0" w:space="0" w:color="auto"/>
        <w:left w:val="none" w:sz="0" w:space="0" w:color="auto"/>
        <w:bottom w:val="none" w:sz="0" w:space="0" w:color="auto"/>
        <w:right w:val="none" w:sz="0" w:space="0" w:color="auto"/>
      </w:divBdr>
      <w:divsChild>
        <w:div w:id="436751254">
          <w:marLeft w:val="0"/>
          <w:marRight w:val="0"/>
          <w:marTop w:val="0"/>
          <w:marBottom w:val="0"/>
          <w:divBdr>
            <w:top w:val="none" w:sz="0" w:space="0" w:color="auto"/>
            <w:left w:val="none" w:sz="0" w:space="0" w:color="auto"/>
            <w:bottom w:val="none" w:sz="0" w:space="0" w:color="auto"/>
            <w:right w:val="none" w:sz="0" w:space="0" w:color="auto"/>
          </w:divBdr>
        </w:div>
        <w:div w:id="1327628543">
          <w:marLeft w:val="0"/>
          <w:marRight w:val="0"/>
          <w:marTop w:val="0"/>
          <w:marBottom w:val="0"/>
          <w:divBdr>
            <w:top w:val="none" w:sz="0" w:space="0" w:color="auto"/>
            <w:left w:val="none" w:sz="0" w:space="0" w:color="auto"/>
            <w:bottom w:val="none" w:sz="0" w:space="0" w:color="auto"/>
            <w:right w:val="none" w:sz="0" w:space="0" w:color="auto"/>
          </w:divBdr>
        </w:div>
      </w:divsChild>
    </w:div>
    <w:div w:id="839081130">
      <w:marLeft w:val="0"/>
      <w:marRight w:val="0"/>
      <w:marTop w:val="0"/>
      <w:marBottom w:val="0"/>
      <w:divBdr>
        <w:top w:val="none" w:sz="0" w:space="0" w:color="auto"/>
        <w:left w:val="none" w:sz="0" w:space="0" w:color="auto"/>
        <w:bottom w:val="none" w:sz="0" w:space="0" w:color="auto"/>
        <w:right w:val="none" w:sz="0" w:space="0" w:color="auto"/>
      </w:divBdr>
    </w:div>
    <w:div w:id="855197596">
      <w:marLeft w:val="0"/>
      <w:marRight w:val="0"/>
      <w:marTop w:val="0"/>
      <w:marBottom w:val="0"/>
      <w:divBdr>
        <w:top w:val="none" w:sz="0" w:space="0" w:color="auto"/>
        <w:left w:val="none" w:sz="0" w:space="0" w:color="auto"/>
        <w:bottom w:val="none" w:sz="0" w:space="0" w:color="auto"/>
        <w:right w:val="none" w:sz="0" w:space="0" w:color="auto"/>
      </w:divBdr>
    </w:div>
    <w:div w:id="855269337">
      <w:marLeft w:val="0"/>
      <w:marRight w:val="0"/>
      <w:marTop w:val="0"/>
      <w:marBottom w:val="0"/>
      <w:divBdr>
        <w:top w:val="none" w:sz="0" w:space="0" w:color="auto"/>
        <w:left w:val="none" w:sz="0" w:space="0" w:color="auto"/>
        <w:bottom w:val="none" w:sz="0" w:space="0" w:color="auto"/>
        <w:right w:val="none" w:sz="0" w:space="0" w:color="auto"/>
      </w:divBdr>
      <w:divsChild>
        <w:div w:id="263341091">
          <w:marLeft w:val="0"/>
          <w:marRight w:val="0"/>
          <w:marTop w:val="0"/>
          <w:marBottom w:val="0"/>
          <w:divBdr>
            <w:top w:val="none" w:sz="0" w:space="0" w:color="auto"/>
            <w:left w:val="none" w:sz="0" w:space="0" w:color="auto"/>
            <w:bottom w:val="none" w:sz="0" w:space="0" w:color="auto"/>
            <w:right w:val="none" w:sz="0" w:space="0" w:color="auto"/>
          </w:divBdr>
        </w:div>
        <w:div w:id="140269125">
          <w:marLeft w:val="0"/>
          <w:marRight w:val="0"/>
          <w:marTop w:val="0"/>
          <w:marBottom w:val="0"/>
          <w:divBdr>
            <w:top w:val="none" w:sz="0" w:space="0" w:color="auto"/>
            <w:left w:val="none" w:sz="0" w:space="0" w:color="auto"/>
            <w:bottom w:val="none" w:sz="0" w:space="0" w:color="auto"/>
            <w:right w:val="none" w:sz="0" w:space="0" w:color="auto"/>
          </w:divBdr>
        </w:div>
      </w:divsChild>
    </w:div>
    <w:div w:id="865675455">
      <w:marLeft w:val="0"/>
      <w:marRight w:val="0"/>
      <w:marTop w:val="0"/>
      <w:marBottom w:val="0"/>
      <w:divBdr>
        <w:top w:val="none" w:sz="0" w:space="0" w:color="auto"/>
        <w:left w:val="none" w:sz="0" w:space="0" w:color="auto"/>
        <w:bottom w:val="none" w:sz="0" w:space="0" w:color="auto"/>
        <w:right w:val="none" w:sz="0" w:space="0" w:color="auto"/>
      </w:divBdr>
    </w:div>
    <w:div w:id="872578184">
      <w:marLeft w:val="0"/>
      <w:marRight w:val="0"/>
      <w:marTop w:val="0"/>
      <w:marBottom w:val="0"/>
      <w:divBdr>
        <w:top w:val="none" w:sz="0" w:space="0" w:color="auto"/>
        <w:left w:val="none" w:sz="0" w:space="0" w:color="auto"/>
        <w:bottom w:val="none" w:sz="0" w:space="0" w:color="auto"/>
        <w:right w:val="none" w:sz="0" w:space="0" w:color="auto"/>
      </w:divBdr>
      <w:divsChild>
        <w:div w:id="2013868179">
          <w:marLeft w:val="0"/>
          <w:marRight w:val="0"/>
          <w:marTop w:val="0"/>
          <w:marBottom w:val="0"/>
          <w:divBdr>
            <w:top w:val="none" w:sz="0" w:space="0" w:color="auto"/>
            <w:left w:val="none" w:sz="0" w:space="0" w:color="auto"/>
            <w:bottom w:val="none" w:sz="0" w:space="0" w:color="auto"/>
            <w:right w:val="none" w:sz="0" w:space="0" w:color="auto"/>
          </w:divBdr>
        </w:div>
        <w:div w:id="182207687">
          <w:marLeft w:val="0"/>
          <w:marRight w:val="0"/>
          <w:marTop w:val="0"/>
          <w:marBottom w:val="0"/>
          <w:divBdr>
            <w:top w:val="none" w:sz="0" w:space="0" w:color="auto"/>
            <w:left w:val="none" w:sz="0" w:space="0" w:color="auto"/>
            <w:bottom w:val="none" w:sz="0" w:space="0" w:color="auto"/>
            <w:right w:val="none" w:sz="0" w:space="0" w:color="auto"/>
          </w:divBdr>
        </w:div>
      </w:divsChild>
    </w:div>
    <w:div w:id="872881232">
      <w:marLeft w:val="0"/>
      <w:marRight w:val="0"/>
      <w:marTop w:val="0"/>
      <w:marBottom w:val="0"/>
      <w:divBdr>
        <w:top w:val="none" w:sz="0" w:space="0" w:color="auto"/>
        <w:left w:val="none" w:sz="0" w:space="0" w:color="auto"/>
        <w:bottom w:val="none" w:sz="0" w:space="0" w:color="auto"/>
        <w:right w:val="none" w:sz="0" w:space="0" w:color="auto"/>
      </w:divBdr>
      <w:divsChild>
        <w:div w:id="2015452238">
          <w:marLeft w:val="0"/>
          <w:marRight w:val="0"/>
          <w:marTop w:val="0"/>
          <w:marBottom w:val="0"/>
          <w:divBdr>
            <w:top w:val="none" w:sz="0" w:space="0" w:color="auto"/>
            <w:left w:val="none" w:sz="0" w:space="0" w:color="auto"/>
            <w:bottom w:val="none" w:sz="0" w:space="0" w:color="auto"/>
            <w:right w:val="none" w:sz="0" w:space="0" w:color="auto"/>
          </w:divBdr>
        </w:div>
      </w:divsChild>
    </w:div>
    <w:div w:id="881792308">
      <w:marLeft w:val="0"/>
      <w:marRight w:val="0"/>
      <w:marTop w:val="0"/>
      <w:marBottom w:val="0"/>
      <w:divBdr>
        <w:top w:val="none" w:sz="0" w:space="0" w:color="auto"/>
        <w:left w:val="none" w:sz="0" w:space="0" w:color="auto"/>
        <w:bottom w:val="none" w:sz="0" w:space="0" w:color="auto"/>
        <w:right w:val="none" w:sz="0" w:space="0" w:color="auto"/>
      </w:divBdr>
      <w:divsChild>
        <w:div w:id="1729646269">
          <w:marLeft w:val="0"/>
          <w:marRight w:val="0"/>
          <w:marTop w:val="0"/>
          <w:marBottom w:val="0"/>
          <w:divBdr>
            <w:top w:val="none" w:sz="0" w:space="0" w:color="auto"/>
            <w:left w:val="none" w:sz="0" w:space="0" w:color="auto"/>
            <w:bottom w:val="none" w:sz="0" w:space="0" w:color="auto"/>
            <w:right w:val="none" w:sz="0" w:space="0" w:color="auto"/>
          </w:divBdr>
        </w:div>
        <w:div w:id="1204948117">
          <w:marLeft w:val="0"/>
          <w:marRight w:val="0"/>
          <w:marTop w:val="0"/>
          <w:marBottom w:val="0"/>
          <w:divBdr>
            <w:top w:val="none" w:sz="0" w:space="0" w:color="auto"/>
            <w:left w:val="none" w:sz="0" w:space="0" w:color="auto"/>
            <w:bottom w:val="none" w:sz="0" w:space="0" w:color="auto"/>
            <w:right w:val="none" w:sz="0" w:space="0" w:color="auto"/>
          </w:divBdr>
        </w:div>
      </w:divsChild>
    </w:div>
    <w:div w:id="899753428">
      <w:marLeft w:val="0"/>
      <w:marRight w:val="0"/>
      <w:marTop w:val="0"/>
      <w:marBottom w:val="0"/>
      <w:divBdr>
        <w:top w:val="none" w:sz="0" w:space="0" w:color="auto"/>
        <w:left w:val="none" w:sz="0" w:space="0" w:color="auto"/>
        <w:bottom w:val="none" w:sz="0" w:space="0" w:color="auto"/>
        <w:right w:val="none" w:sz="0" w:space="0" w:color="auto"/>
      </w:divBdr>
    </w:div>
    <w:div w:id="906188714">
      <w:marLeft w:val="0"/>
      <w:marRight w:val="0"/>
      <w:marTop w:val="0"/>
      <w:marBottom w:val="0"/>
      <w:divBdr>
        <w:top w:val="none" w:sz="0" w:space="0" w:color="auto"/>
        <w:left w:val="none" w:sz="0" w:space="0" w:color="auto"/>
        <w:bottom w:val="none" w:sz="0" w:space="0" w:color="auto"/>
        <w:right w:val="none" w:sz="0" w:space="0" w:color="auto"/>
      </w:divBdr>
      <w:divsChild>
        <w:div w:id="939918567">
          <w:marLeft w:val="0"/>
          <w:marRight w:val="0"/>
          <w:marTop w:val="0"/>
          <w:marBottom w:val="0"/>
          <w:divBdr>
            <w:top w:val="none" w:sz="0" w:space="0" w:color="auto"/>
            <w:left w:val="none" w:sz="0" w:space="0" w:color="auto"/>
            <w:bottom w:val="none" w:sz="0" w:space="0" w:color="auto"/>
            <w:right w:val="none" w:sz="0" w:space="0" w:color="auto"/>
          </w:divBdr>
        </w:div>
        <w:div w:id="503055792">
          <w:marLeft w:val="0"/>
          <w:marRight w:val="0"/>
          <w:marTop w:val="0"/>
          <w:marBottom w:val="0"/>
          <w:divBdr>
            <w:top w:val="none" w:sz="0" w:space="0" w:color="auto"/>
            <w:left w:val="none" w:sz="0" w:space="0" w:color="auto"/>
            <w:bottom w:val="none" w:sz="0" w:space="0" w:color="auto"/>
            <w:right w:val="none" w:sz="0" w:space="0" w:color="auto"/>
          </w:divBdr>
        </w:div>
      </w:divsChild>
    </w:div>
    <w:div w:id="911738802">
      <w:marLeft w:val="0"/>
      <w:marRight w:val="0"/>
      <w:marTop w:val="0"/>
      <w:marBottom w:val="0"/>
      <w:divBdr>
        <w:top w:val="none" w:sz="0" w:space="0" w:color="auto"/>
        <w:left w:val="none" w:sz="0" w:space="0" w:color="auto"/>
        <w:bottom w:val="none" w:sz="0" w:space="0" w:color="auto"/>
        <w:right w:val="none" w:sz="0" w:space="0" w:color="auto"/>
      </w:divBdr>
      <w:divsChild>
        <w:div w:id="236939721">
          <w:marLeft w:val="0"/>
          <w:marRight w:val="0"/>
          <w:marTop w:val="0"/>
          <w:marBottom w:val="0"/>
          <w:divBdr>
            <w:top w:val="none" w:sz="0" w:space="0" w:color="auto"/>
            <w:left w:val="none" w:sz="0" w:space="0" w:color="auto"/>
            <w:bottom w:val="none" w:sz="0" w:space="0" w:color="auto"/>
            <w:right w:val="none" w:sz="0" w:space="0" w:color="auto"/>
          </w:divBdr>
        </w:div>
        <w:div w:id="1911771813">
          <w:marLeft w:val="0"/>
          <w:marRight w:val="0"/>
          <w:marTop w:val="0"/>
          <w:marBottom w:val="0"/>
          <w:divBdr>
            <w:top w:val="none" w:sz="0" w:space="0" w:color="auto"/>
            <w:left w:val="none" w:sz="0" w:space="0" w:color="auto"/>
            <w:bottom w:val="none" w:sz="0" w:space="0" w:color="auto"/>
            <w:right w:val="none" w:sz="0" w:space="0" w:color="auto"/>
          </w:divBdr>
        </w:div>
      </w:divsChild>
    </w:div>
    <w:div w:id="942150201">
      <w:marLeft w:val="0"/>
      <w:marRight w:val="0"/>
      <w:marTop w:val="0"/>
      <w:marBottom w:val="0"/>
      <w:divBdr>
        <w:top w:val="none" w:sz="0" w:space="0" w:color="auto"/>
        <w:left w:val="none" w:sz="0" w:space="0" w:color="auto"/>
        <w:bottom w:val="none" w:sz="0" w:space="0" w:color="auto"/>
        <w:right w:val="none" w:sz="0" w:space="0" w:color="auto"/>
      </w:divBdr>
    </w:div>
    <w:div w:id="946277660">
      <w:marLeft w:val="0"/>
      <w:marRight w:val="0"/>
      <w:marTop w:val="0"/>
      <w:marBottom w:val="0"/>
      <w:divBdr>
        <w:top w:val="none" w:sz="0" w:space="0" w:color="auto"/>
        <w:left w:val="none" w:sz="0" w:space="0" w:color="auto"/>
        <w:bottom w:val="none" w:sz="0" w:space="0" w:color="auto"/>
        <w:right w:val="none" w:sz="0" w:space="0" w:color="auto"/>
      </w:divBdr>
      <w:divsChild>
        <w:div w:id="490945160">
          <w:marLeft w:val="0"/>
          <w:marRight w:val="0"/>
          <w:marTop w:val="0"/>
          <w:marBottom w:val="0"/>
          <w:divBdr>
            <w:top w:val="none" w:sz="0" w:space="0" w:color="auto"/>
            <w:left w:val="none" w:sz="0" w:space="0" w:color="auto"/>
            <w:bottom w:val="none" w:sz="0" w:space="0" w:color="auto"/>
            <w:right w:val="none" w:sz="0" w:space="0" w:color="auto"/>
          </w:divBdr>
        </w:div>
        <w:div w:id="2079280345">
          <w:marLeft w:val="0"/>
          <w:marRight w:val="0"/>
          <w:marTop w:val="0"/>
          <w:marBottom w:val="0"/>
          <w:divBdr>
            <w:top w:val="none" w:sz="0" w:space="0" w:color="auto"/>
            <w:left w:val="none" w:sz="0" w:space="0" w:color="auto"/>
            <w:bottom w:val="none" w:sz="0" w:space="0" w:color="auto"/>
            <w:right w:val="none" w:sz="0" w:space="0" w:color="auto"/>
          </w:divBdr>
        </w:div>
      </w:divsChild>
    </w:div>
    <w:div w:id="954024096">
      <w:marLeft w:val="0"/>
      <w:marRight w:val="0"/>
      <w:marTop w:val="0"/>
      <w:marBottom w:val="0"/>
      <w:divBdr>
        <w:top w:val="none" w:sz="0" w:space="0" w:color="auto"/>
        <w:left w:val="none" w:sz="0" w:space="0" w:color="auto"/>
        <w:bottom w:val="none" w:sz="0" w:space="0" w:color="auto"/>
        <w:right w:val="none" w:sz="0" w:space="0" w:color="auto"/>
      </w:divBdr>
      <w:divsChild>
        <w:div w:id="1111703009">
          <w:marLeft w:val="0"/>
          <w:marRight w:val="0"/>
          <w:marTop w:val="0"/>
          <w:marBottom w:val="0"/>
          <w:divBdr>
            <w:top w:val="none" w:sz="0" w:space="0" w:color="auto"/>
            <w:left w:val="none" w:sz="0" w:space="0" w:color="auto"/>
            <w:bottom w:val="none" w:sz="0" w:space="0" w:color="auto"/>
            <w:right w:val="none" w:sz="0" w:space="0" w:color="auto"/>
          </w:divBdr>
        </w:div>
        <w:div w:id="110906014">
          <w:marLeft w:val="0"/>
          <w:marRight w:val="0"/>
          <w:marTop w:val="0"/>
          <w:marBottom w:val="0"/>
          <w:divBdr>
            <w:top w:val="none" w:sz="0" w:space="0" w:color="auto"/>
            <w:left w:val="none" w:sz="0" w:space="0" w:color="auto"/>
            <w:bottom w:val="none" w:sz="0" w:space="0" w:color="auto"/>
            <w:right w:val="none" w:sz="0" w:space="0" w:color="auto"/>
          </w:divBdr>
        </w:div>
      </w:divsChild>
    </w:div>
    <w:div w:id="955868977">
      <w:marLeft w:val="0"/>
      <w:marRight w:val="0"/>
      <w:marTop w:val="0"/>
      <w:marBottom w:val="0"/>
      <w:divBdr>
        <w:top w:val="none" w:sz="0" w:space="0" w:color="auto"/>
        <w:left w:val="none" w:sz="0" w:space="0" w:color="auto"/>
        <w:bottom w:val="none" w:sz="0" w:space="0" w:color="auto"/>
        <w:right w:val="none" w:sz="0" w:space="0" w:color="auto"/>
      </w:divBdr>
    </w:div>
    <w:div w:id="971330042">
      <w:marLeft w:val="0"/>
      <w:marRight w:val="0"/>
      <w:marTop w:val="0"/>
      <w:marBottom w:val="0"/>
      <w:divBdr>
        <w:top w:val="none" w:sz="0" w:space="0" w:color="auto"/>
        <w:left w:val="none" w:sz="0" w:space="0" w:color="auto"/>
        <w:bottom w:val="none" w:sz="0" w:space="0" w:color="auto"/>
        <w:right w:val="none" w:sz="0" w:space="0" w:color="auto"/>
      </w:divBdr>
      <w:divsChild>
        <w:div w:id="109056594">
          <w:marLeft w:val="0"/>
          <w:marRight w:val="0"/>
          <w:marTop w:val="0"/>
          <w:marBottom w:val="0"/>
          <w:divBdr>
            <w:top w:val="none" w:sz="0" w:space="0" w:color="auto"/>
            <w:left w:val="none" w:sz="0" w:space="0" w:color="auto"/>
            <w:bottom w:val="none" w:sz="0" w:space="0" w:color="auto"/>
            <w:right w:val="none" w:sz="0" w:space="0" w:color="auto"/>
          </w:divBdr>
        </w:div>
        <w:div w:id="1736778305">
          <w:marLeft w:val="0"/>
          <w:marRight w:val="0"/>
          <w:marTop w:val="0"/>
          <w:marBottom w:val="0"/>
          <w:divBdr>
            <w:top w:val="none" w:sz="0" w:space="0" w:color="auto"/>
            <w:left w:val="none" w:sz="0" w:space="0" w:color="auto"/>
            <w:bottom w:val="none" w:sz="0" w:space="0" w:color="auto"/>
            <w:right w:val="none" w:sz="0" w:space="0" w:color="auto"/>
          </w:divBdr>
        </w:div>
      </w:divsChild>
    </w:div>
    <w:div w:id="979044330">
      <w:marLeft w:val="0"/>
      <w:marRight w:val="0"/>
      <w:marTop w:val="0"/>
      <w:marBottom w:val="0"/>
      <w:divBdr>
        <w:top w:val="none" w:sz="0" w:space="0" w:color="auto"/>
        <w:left w:val="none" w:sz="0" w:space="0" w:color="auto"/>
        <w:bottom w:val="none" w:sz="0" w:space="0" w:color="auto"/>
        <w:right w:val="none" w:sz="0" w:space="0" w:color="auto"/>
      </w:divBdr>
      <w:divsChild>
        <w:div w:id="1214392244">
          <w:marLeft w:val="0"/>
          <w:marRight w:val="0"/>
          <w:marTop w:val="0"/>
          <w:marBottom w:val="0"/>
          <w:divBdr>
            <w:top w:val="none" w:sz="0" w:space="0" w:color="auto"/>
            <w:left w:val="none" w:sz="0" w:space="0" w:color="auto"/>
            <w:bottom w:val="none" w:sz="0" w:space="0" w:color="auto"/>
            <w:right w:val="none" w:sz="0" w:space="0" w:color="auto"/>
          </w:divBdr>
        </w:div>
        <w:div w:id="724597526">
          <w:marLeft w:val="0"/>
          <w:marRight w:val="0"/>
          <w:marTop w:val="0"/>
          <w:marBottom w:val="0"/>
          <w:divBdr>
            <w:top w:val="none" w:sz="0" w:space="0" w:color="auto"/>
            <w:left w:val="none" w:sz="0" w:space="0" w:color="auto"/>
            <w:bottom w:val="none" w:sz="0" w:space="0" w:color="auto"/>
            <w:right w:val="none" w:sz="0" w:space="0" w:color="auto"/>
          </w:divBdr>
        </w:div>
      </w:divsChild>
    </w:div>
    <w:div w:id="982345086">
      <w:marLeft w:val="0"/>
      <w:marRight w:val="0"/>
      <w:marTop w:val="0"/>
      <w:marBottom w:val="0"/>
      <w:divBdr>
        <w:top w:val="none" w:sz="0" w:space="0" w:color="auto"/>
        <w:left w:val="none" w:sz="0" w:space="0" w:color="auto"/>
        <w:bottom w:val="none" w:sz="0" w:space="0" w:color="auto"/>
        <w:right w:val="none" w:sz="0" w:space="0" w:color="auto"/>
      </w:divBdr>
    </w:div>
    <w:div w:id="994382775">
      <w:marLeft w:val="0"/>
      <w:marRight w:val="0"/>
      <w:marTop w:val="0"/>
      <w:marBottom w:val="0"/>
      <w:divBdr>
        <w:top w:val="none" w:sz="0" w:space="0" w:color="auto"/>
        <w:left w:val="none" w:sz="0" w:space="0" w:color="auto"/>
        <w:bottom w:val="none" w:sz="0" w:space="0" w:color="auto"/>
        <w:right w:val="none" w:sz="0" w:space="0" w:color="auto"/>
      </w:divBdr>
      <w:divsChild>
        <w:div w:id="288628050">
          <w:marLeft w:val="0"/>
          <w:marRight w:val="0"/>
          <w:marTop w:val="0"/>
          <w:marBottom w:val="0"/>
          <w:divBdr>
            <w:top w:val="none" w:sz="0" w:space="0" w:color="auto"/>
            <w:left w:val="none" w:sz="0" w:space="0" w:color="auto"/>
            <w:bottom w:val="none" w:sz="0" w:space="0" w:color="auto"/>
            <w:right w:val="none" w:sz="0" w:space="0" w:color="auto"/>
          </w:divBdr>
        </w:div>
        <w:div w:id="1633555152">
          <w:marLeft w:val="0"/>
          <w:marRight w:val="0"/>
          <w:marTop w:val="0"/>
          <w:marBottom w:val="0"/>
          <w:divBdr>
            <w:top w:val="none" w:sz="0" w:space="0" w:color="auto"/>
            <w:left w:val="none" w:sz="0" w:space="0" w:color="auto"/>
            <w:bottom w:val="none" w:sz="0" w:space="0" w:color="auto"/>
            <w:right w:val="none" w:sz="0" w:space="0" w:color="auto"/>
          </w:divBdr>
        </w:div>
      </w:divsChild>
    </w:div>
    <w:div w:id="1006440540">
      <w:marLeft w:val="0"/>
      <w:marRight w:val="0"/>
      <w:marTop w:val="0"/>
      <w:marBottom w:val="0"/>
      <w:divBdr>
        <w:top w:val="none" w:sz="0" w:space="0" w:color="auto"/>
        <w:left w:val="none" w:sz="0" w:space="0" w:color="auto"/>
        <w:bottom w:val="none" w:sz="0" w:space="0" w:color="auto"/>
        <w:right w:val="none" w:sz="0" w:space="0" w:color="auto"/>
      </w:divBdr>
      <w:divsChild>
        <w:div w:id="1460611531">
          <w:marLeft w:val="0"/>
          <w:marRight w:val="0"/>
          <w:marTop w:val="0"/>
          <w:marBottom w:val="0"/>
          <w:divBdr>
            <w:top w:val="none" w:sz="0" w:space="0" w:color="auto"/>
            <w:left w:val="none" w:sz="0" w:space="0" w:color="auto"/>
            <w:bottom w:val="none" w:sz="0" w:space="0" w:color="auto"/>
            <w:right w:val="none" w:sz="0" w:space="0" w:color="auto"/>
          </w:divBdr>
        </w:div>
        <w:div w:id="1683161773">
          <w:marLeft w:val="0"/>
          <w:marRight w:val="0"/>
          <w:marTop w:val="0"/>
          <w:marBottom w:val="0"/>
          <w:divBdr>
            <w:top w:val="none" w:sz="0" w:space="0" w:color="auto"/>
            <w:left w:val="none" w:sz="0" w:space="0" w:color="auto"/>
            <w:bottom w:val="none" w:sz="0" w:space="0" w:color="auto"/>
            <w:right w:val="none" w:sz="0" w:space="0" w:color="auto"/>
          </w:divBdr>
        </w:div>
      </w:divsChild>
    </w:div>
    <w:div w:id="1015616355">
      <w:marLeft w:val="0"/>
      <w:marRight w:val="0"/>
      <w:marTop w:val="0"/>
      <w:marBottom w:val="0"/>
      <w:divBdr>
        <w:top w:val="none" w:sz="0" w:space="0" w:color="auto"/>
        <w:left w:val="none" w:sz="0" w:space="0" w:color="auto"/>
        <w:bottom w:val="none" w:sz="0" w:space="0" w:color="auto"/>
        <w:right w:val="none" w:sz="0" w:space="0" w:color="auto"/>
      </w:divBdr>
      <w:divsChild>
        <w:div w:id="345638747">
          <w:marLeft w:val="0"/>
          <w:marRight w:val="0"/>
          <w:marTop w:val="0"/>
          <w:marBottom w:val="0"/>
          <w:divBdr>
            <w:top w:val="none" w:sz="0" w:space="0" w:color="auto"/>
            <w:left w:val="none" w:sz="0" w:space="0" w:color="auto"/>
            <w:bottom w:val="none" w:sz="0" w:space="0" w:color="auto"/>
            <w:right w:val="none" w:sz="0" w:space="0" w:color="auto"/>
          </w:divBdr>
        </w:div>
        <w:div w:id="811479802">
          <w:marLeft w:val="0"/>
          <w:marRight w:val="0"/>
          <w:marTop w:val="0"/>
          <w:marBottom w:val="0"/>
          <w:divBdr>
            <w:top w:val="none" w:sz="0" w:space="0" w:color="auto"/>
            <w:left w:val="none" w:sz="0" w:space="0" w:color="auto"/>
            <w:bottom w:val="none" w:sz="0" w:space="0" w:color="auto"/>
            <w:right w:val="none" w:sz="0" w:space="0" w:color="auto"/>
          </w:divBdr>
        </w:div>
      </w:divsChild>
    </w:div>
    <w:div w:id="1039818746">
      <w:marLeft w:val="0"/>
      <w:marRight w:val="0"/>
      <w:marTop w:val="0"/>
      <w:marBottom w:val="0"/>
      <w:divBdr>
        <w:top w:val="none" w:sz="0" w:space="0" w:color="auto"/>
        <w:left w:val="none" w:sz="0" w:space="0" w:color="auto"/>
        <w:bottom w:val="none" w:sz="0" w:space="0" w:color="auto"/>
        <w:right w:val="none" w:sz="0" w:space="0" w:color="auto"/>
      </w:divBdr>
    </w:div>
    <w:div w:id="1042752226">
      <w:marLeft w:val="0"/>
      <w:marRight w:val="0"/>
      <w:marTop w:val="0"/>
      <w:marBottom w:val="0"/>
      <w:divBdr>
        <w:top w:val="none" w:sz="0" w:space="0" w:color="auto"/>
        <w:left w:val="none" w:sz="0" w:space="0" w:color="auto"/>
        <w:bottom w:val="none" w:sz="0" w:space="0" w:color="auto"/>
        <w:right w:val="none" w:sz="0" w:space="0" w:color="auto"/>
      </w:divBdr>
    </w:div>
    <w:div w:id="1049571573">
      <w:marLeft w:val="0"/>
      <w:marRight w:val="0"/>
      <w:marTop w:val="0"/>
      <w:marBottom w:val="0"/>
      <w:divBdr>
        <w:top w:val="none" w:sz="0" w:space="0" w:color="auto"/>
        <w:left w:val="none" w:sz="0" w:space="0" w:color="auto"/>
        <w:bottom w:val="none" w:sz="0" w:space="0" w:color="auto"/>
        <w:right w:val="none" w:sz="0" w:space="0" w:color="auto"/>
      </w:divBdr>
      <w:divsChild>
        <w:div w:id="140584504">
          <w:marLeft w:val="0"/>
          <w:marRight w:val="0"/>
          <w:marTop w:val="0"/>
          <w:marBottom w:val="0"/>
          <w:divBdr>
            <w:top w:val="none" w:sz="0" w:space="0" w:color="auto"/>
            <w:left w:val="none" w:sz="0" w:space="0" w:color="auto"/>
            <w:bottom w:val="none" w:sz="0" w:space="0" w:color="auto"/>
            <w:right w:val="none" w:sz="0" w:space="0" w:color="auto"/>
          </w:divBdr>
        </w:div>
        <w:div w:id="1264192851">
          <w:marLeft w:val="0"/>
          <w:marRight w:val="0"/>
          <w:marTop w:val="0"/>
          <w:marBottom w:val="0"/>
          <w:divBdr>
            <w:top w:val="none" w:sz="0" w:space="0" w:color="auto"/>
            <w:left w:val="none" w:sz="0" w:space="0" w:color="auto"/>
            <w:bottom w:val="none" w:sz="0" w:space="0" w:color="auto"/>
            <w:right w:val="none" w:sz="0" w:space="0" w:color="auto"/>
          </w:divBdr>
        </w:div>
      </w:divsChild>
    </w:div>
    <w:div w:id="1067803950">
      <w:marLeft w:val="0"/>
      <w:marRight w:val="0"/>
      <w:marTop w:val="0"/>
      <w:marBottom w:val="0"/>
      <w:divBdr>
        <w:top w:val="none" w:sz="0" w:space="0" w:color="auto"/>
        <w:left w:val="none" w:sz="0" w:space="0" w:color="auto"/>
        <w:bottom w:val="none" w:sz="0" w:space="0" w:color="auto"/>
        <w:right w:val="none" w:sz="0" w:space="0" w:color="auto"/>
      </w:divBdr>
    </w:div>
    <w:div w:id="1098064525">
      <w:marLeft w:val="0"/>
      <w:marRight w:val="0"/>
      <w:marTop w:val="0"/>
      <w:marBottom w:val="0"/>
      <w:divBdr>
        <w:top w:val="none" w:sz="0" w:space="0" w:color="auto"/>
        <w:left w:val="none" w:sz="0" w:space="0" w:color="auto"/>
        <w:bottom w:val="none" w:sz="0" w:space="0" w:color="auto"/>
        <w:right w:val="none" w:sz="0" w:space="0" w:color="auto"/>
      </w:divBdr>
      <w:divsChild>
        <w:div w:id="1636374071">
          <w:marLeft w:val="0"/>
          <w:marRight w:val="0"/>
          <w:marTop w:val="0"/>
          <w:marBottom w:val="0"/>
          <w:divBdr>
            <w:top w:val="none" w:sz="0" w:space="0" w:color="auto"/>
            <w:left w:val="none" w:sz="0" w:space="0" w:color="auto"/>
            <w:bottom w:val="none" w:sz="0" w:space="0" w:color="auto"/>
            <w:right w:val="none" w:sz="0" w:space="0" w:color="auto"/>
          </w:divBdr>
        </w:div>
        <w:div w:id="1501117916">
          <w:marLeft w:val="0"/>
          <w:marRight w:val="0"/>
          <w:marTop w:val="0"/>
          <w:marBottom w:val="0"/>
          <w:divBdr>
            <w:top w:val="none" w:sz="0" w:space="0" w:color="auto"/>
            <w:left w:val="none" w:sz="0" w:space="0" w:color="auto"/>
            <w:bottom w:val="none" w:sz="0" w:space="0" w:color="auto"/>
            <w:right w:val="none" w:sz="0" w:space="0" w:color="auto"/>
          </w:divBdr>
        </w:div>
      </w:divsChild>
    </w:div>
    <w:div w:id="1101952347">
      <w:marLeft w:val="0"/>
      <w:marRight w:val="0"/>
      <w:marTop w:val="0"/>
      <w:marBottom w:val="0"/>
      <w:divBdr>
        <w:top w:val="none" w:sz="0" w:space="0" w:color="auto"/>
        <w:left w:val="none" w:sz="0" w:space="0" w:color="auto"/>
        <w:bottom w:val="none" w:sz="0" w:space="0" w:color="auto"/>
        <w:right w:val="none" w:sz="0" w:space="0" w:color="auto"/>
      </w:divBdr>
      <w:divsChild>
        <w:div w:id="800654346">
          <w:marLeft w:val="0"/>
          <w:marRight w:val="0"/>
          <w:marTop w:val="0"/>
          <w:marBottom w:val="0"/>
          <w:divBdr>
            <w:top w:val="none" w:sz="0" w:space="0" w:color="auto"/>
            <w:left w:val="none" w:sz="0" w:space="0" w:color="auto"/>
            <w:bottom w:val="none" w:sz="0" w:space="0" w:color="auto"/>
            <w:right w:val="none" w:sz="0" w:space="0" w:color="auto"/>
          </w:divBdr>
        </w:div>
        <w:div w:id="1917740741">
          <w:marLeft w:val="0"/>
          <w:marRight w:val="0"/>
          <w:marTop w:val="0"/>
          <w:marBottom w:val="0"/>
          <w:divBdr>
            <w:top w:val="none" w:sz="0" w:space="0" w:color="auto"/>
            <w:left w:val="none" w:sz="0" w:space="0" w:color="auto"/>
            <w:bottom w:val="none" w:sz="0" w:space="0" w:color="auto"/>
            <w:right w:val="none" w:sz="0" w:space="0" w:color="auto"/>
          </w:divBdr>
        </w:div>
      </w:divsChild>
    </w:div>
    <w:div w:id="1107000332">
      <w:marLeft w:val="0"/>
      <w:marRight w:val="0"/>
      <w:marTop w:val="0"/>
      <w:marBottom w:val="0"/>
      <w:divBdr>
        <w:top w:val="none" w:sz="0" w:space="0" w:color="auto"/>
        <w:left w:val="none" w:sz="0" w:space="0" w:color="auto"/>
        <w:bottom w:val="none" w:sz="0" w:space="0" w:color="auto"/>
        <w:right w:val="none" w:sz="0" w:space="0" w:color="auto"/>
      </w:divBdr>
      <w:divsChild>
        <w:div w:id="753821691">
          <w:marLeft w:val="0"/>
          <w:marRight w:val="0"/>
          <w:marTop w:val="0"/>
          <w:marBottom w:val="0"/>
          <w:divBdr>
            <w:top w:val="none" w:sz="0" w:space="0" w:color="auto"/>
            <w:left w:val="none" w:sz="0" w:space="0" w:color="auto"/>
            <w:bottom w:val="none" w:sz="0" w:space="0" w:color="auto"/>
            <w:right w:val="none" w:sz="0" w:space="0" w:color="auto"/>
          </w:divBdr>
        </w:div>
        <w:div w:id="1027801547">
          <w:marLeft w:val="0"/>
          <w:marRight w:val="0"/>
          <w:marTop w:val="0"/>
          <w:marBottom w:val="0"/>
          <w:divBdr>
            <w:top w:val="none" w:sz="0" w:space="0" w:color="auto"/>
            <w:left w:val="none" w:sz="0" w:space="0" w:color="auto"/>
            <w:bottom w:val="none" w:sz="0" w:space="0" w:color="auto"/>
            <w:right w:val="none" w:sz="0" w:space="0" w:color="auto"/>
          </w:divBdr>
        </w:div>
      </w:divsChild>
    </w:div>
    <w:div w:id="1121263248">
      <w:marLeft w:val="0"/>
      <w:marRight w:val="0"/>
      <w:marTop w:val="0"/>
      <w:marBottom w:val="0"/>
      <w:divBdr>
        <w:top w:val="none" w:sz="0" w:space="0" w:color="auto"/>
        <w:left w:val="none" w:sz="0" w:space="0" w:color="auto"/>
        <w:bottom w:val="none" w:sz="0" w:space="0" w:color="auto"/>
        <w:right w:val="none" w:sz="0" w:space="0" w:color="auto"/>
      </w:divBdr>
    </w:div>
    <w:div w:id="1121268987">
      <w:marLeft w:val="0"/>
      <w:marRight w:val="0"/>
      <w:marTop w:val="0"/>
      <w:marBottom w:val="0"/>
      <w:divBdr>
        <w:top w:val="none" w:sz="0" w:space="0" w:color="auto"/>
        <w:left w:val="none" w:sz="0" w:space="0" w:color="auto"/>
        <w:bottom w:val="none" w:sz="0" w:space="0" w:color="auto"/>
        <w:right w:val="none" w:sz="0" w:space="0" w:color="auto"/>
      </w:divBdr>
    </w:div>
    <w:div w:id="1142189268">
      <w:marLeft w:val="0"/>
      <w:marRight w:val="0"/>
      <w:marTop w:val="0"/>
      <w:marBottom w:val="0"/>
      <w:divBdr>
        <w:top w:val="none" w:sz="0" w:space="0" w:color="auto"/>
        <w:left w:val="none" w:sz="0" w:space="0" w:color="auto"/>
        <w:bottom w:val="none" w:sz="0" w:space="0" w:color="auto"/>
        <w:right w:val="none" w:sz="0" w:space="0" w:color="auto"/>
      </w:divBdr>
    </w:div>
    <w:div w:id="1159544327">
      <w:marLeft w:val="0"/>
      <w:marRight w:val="0"/>
      <w:marTop w:val="0"/>
      <w:marBottom w:val="0"/>
      <w:divBdr>
        <w:top w:val="none" w:sz="0" w:space="0" w:color="auto"/>
        <w:left w:val="none" w:sz="0" w:space="0" w:color="auto"/>
        <w:bottom w:val="none" w:sz="0" w:space="0" w:color="auto"/>
        <w:right w:val="none" w:sz="0" w:space="0" w:color="auto"/>
      </w:divBdr>
      <w:divsChild>
        <w:div w:id="128405978">
          <w:marLeft w:val="0"/>
          <w:marRight w:val="0"/>
          <w:marTop w:val="0"/>
          <w:marBottom w:val="0"/>
          <w:divBdr>
            <w:top w:val="none" w:sz="0" w:space="0" w:color="auto"/>
            <w:left w:val="none" w:sz="0" w:space="0" w:color="auto"/>
            <w:bottom w:val="none" w:sz="0" w:space="0" w:color="auto"/>
            <w:right w:val="none" w:sz="0" w:space="0" w:color="auto"/>
          </w:divBdr>
          <w:divsChild>
            <w:div w:id="6813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2133">
      <w:marLeft w:val="0"/>
      <w:marRight w:val="0"/>
      <w:marTop w:val="0"/>
      <w:marBottom w:val="0"/>
      <w:divBdr>
        <w:top w:val="none" w:sz="0" w:space="0" w:color="auto"/>
        <w:left w:val="none" w:sz="0" w:space="0" w:color="auto"/>
        <w:bottom w:val="none" w:sz="0" w:space="0" w:color="auto"/>
        <w:right w:val="none" w:sz="0" w:space="0" w:color="auto"/>
      </w:divBdr>
    </w:div>
    <w:div w:id="1165363656">
      <w:marLeft w:val="0"/>
      <w:marRight w:val="0"/>
      <w:marTop w:val="0"/>
      <w:marBottom w:val="0"/>
      <w:divBdr>
        <w:top w:val="none" w:sz="0" w:space="0" w:color="auto"/>
        <w:left w:val="none" w:sz="0" w:space="0" w:color="auto"/>
        <w:bottom w:val="none" w:sz="0" w:space="0" w:color="auto"/>
        <w:right w:val="none" w:sz="0" w:space="0" w:color="auto"/>
      </w:divBdr>
      <w:divsChild>
        <w:div w:id="749077977">
          <w:marLeft w:val="0"/>
          <w:marRight w:val="0"/>
          <w:marTop w:val="0"/>
          <w:marBottom w:val="0"/>
          <w:divBdr>
            <w:top w:val="none" w:sz="0" w:space="0" w:color="auto"/>
            <w:left w:val="none" w:sz="0" w:space="0" w:color="auto"/>
            <w:bottom w:val="none" w:sz="0" w:space="0" w:color="auto"/>
            <w:right w:val="none" w:sz="0" w:space="0" w:color="auto"/>
          </w:divBdr>
        </w:div>
        <w:div w:id="1452701970">
          <w:marLeft w:val="0"/>
          <w:marRight w:val="0"/>
          <w:marTop w:val="0"/>
          <w:marBottom w:val="0"/>
          <w:divBdr>
            <w:top w:val="none" w:sz="0" w:space="0" w:color="auto"/>
            <w:left w:val="none" w:sz="0" w:space="0" w:color="auto"/>
            <w:bottom w:val="none" w:sz="0" w:space="0" w:color="auto"/>
            <w:right w:val="none" w:sz="0" w:space="0" w:color="auto"/>
          </w:divBdr>
        </w:div>
      </w:divsChild>
    </w:div>
    <w:div w:id="1205216828">
      <w:marLeft w:val="0"/>
      <w:marRight w:val="0"/>
      <w:marTop w:val="0"/>
      <w:marBottom w:val="0"/>
      <w:divBdr>
        <w:top w:val="none" w:sz="0" w:space="0" w:color="auto"/>
        <w:left w:val="none" w:sz="0" w:space="0" w:color="auto"/>
        <w:bottom w:val="none" w:sz="0" w:space="0" w:color="auto"/>
        <w:right w:val="none" w:sz="0" w:space="0" w:color="auto"/>
      </w:divBdr>
    </w:div>
    <w:div w:id="1210998253">
      <w:marLeft w:val="0"/>
      <w:marRight w:val="0"/>
      <w:marTop w:val="0"/>
      <w:marBottom w:val="0"/>
      <w:divBdr>
        <w:top w:val="none" w:sz="0" w:space="0" w:color="auto"/>
        <w:left w:val="none" w:sz="0" w:space="0" w:color="auto"/>
        <w:bottom w:val="none" w:sz="0" w:space="0" w:color="auto"/>
        <w:right w:val="none" w:sz="0" w:space="0" w:color="auto"/>
      </w:divBdr>
    </w:div>
    <w:div w:id="1291665199">
      <w:marLeft w:val="0"/>
      <w:marRight w:val="0"/>
      <w:marTop w:val="0"/>
      <w:marBottom w:val="0"/>
      <w:divBdr>
        <w:top w:val="none" w:sz="0" w:space="0" w:color="auto"/>
        <w:left w:val="none" w:sz="0" w:space="0" w:color="auto"/>
        <w:bottom w:val="none" w:sz="0" w:space="0" w:color="auto"/>
        <w:right w:val="none" w:sz="0" w:space="0" w:color="auto"/>
      </w:divBdr>
    </w:div>
    <w:div w:id="1295061189">
      <w:marLeft w:val="0"/>
      <w:marRight w:val="0"/>
      <w:marTop w:val="0"/>
      <w:marBottom w:val="0"/>
      <w:divBdr>
        <w:top w:val="none" w:sz="0" w:space="0" w:color="auto"/>
        <w:left w:val="none" w:sz="0" w:space="0" w:color="auto"/>
        <w:bottom w:val="none" w:sz="0" w:space="0" w:color="auto"/>
        <w:right w:val="none" w:sz="0" w:space="0" w:color="auto"/>
      </w:divBdr>
      <w:divsChild>
        <w:div w:id="929656455">
          <w:marLeft w:val="0"/>
          <w:marRight w:val="0"/>
          <w:marTop w:val="0"/>
          <w:marBottom w:val="0"/>
          <w:divBdr>
            <w:top w:val="none" w:sz="0" w:space="0" w:color="auto"/>
            <w:left w:val="none" w:sz="0" w:space="0" w:color="auto"/>
            <w:bottom w:val="none" w:sz="0" w:space="0" w:color="auto"/>
            <w:right w:val="none" w:sz="0" w:space="0" w:color="auto"/>
          </w:divBdr>
        </w:div>
        <w:div w:id="1536967950">
          <w:marLeft w:val="0"/>
          <w:marRight w:val="0"/>
          <w:marTop w:val="0"/>
          <w:marBottom w:val="0"/>
          <w:divBdr>
            <w:top w:val="none" w:sz="0" w:space="0" w:color="auto"/>
            <w:left w:val="none" w:sz="0" w:space="0" w:color="auto"/>
            <w:bottom w:val="none" w:sz="0" w:space="0" w:color="auto"/>
            <w:right w:val="none" w:sz="0" w:space="0" w:color="auto"/>
          </w:divBdr>
        </w:div>
      </w:divsChild>
    </w:div>
    <w:div w:id="1357580943">
      <w:marLeft w:val="0"/>
      <w:marRight w:val="0"/>
      <w:marTop w:val="0"/>
      <w:marBottom w:val="0"/>
      <w:divBdr>
        <w:top w:val="none" w:sz="0" w:space="0" w:color="auto"/>
        <w:left w:val="none" w:sz="0" w:space="0" w:color="auto"/>
        <w:bottom w:val="none" w:sz="0" w:space="0" w:color="auto"/>
        <w:right w:val="none" w:sz="0" w:space="0" w:color="auto"/>
      </w:divBdr>
      <w:divsChild>
        <w:div w:id="944046361">
          <w:marLeft w:val="0"/>
          <w:marRight w:val="0"/>
          <w:marTop w:val="0"/>
          <w:marBottom w:val="0"/>
          <w:divBdr>
            <w:top w:val="none" w:sz="0" w:space="0" w:color="auto"/>
            <w:left w:val="none" w:sz="0" w:space="0" w:color="auto"/>
            <w:bottom w:val="none" w:sz="0" w:space="0" w:color="auto"/>
            <w:right w:val="none" w:sz="0" w:space="0" w:color="auto"/>
          </w:divBdr>
        </w:div>
        <w:div w:id="338628007">
          <w:marLeft w:val="0"/>
          <w:marRight w:val="0"/>
          <w:marTop w:val="0"/>
          <w:marBottom w:val="0"/>
          <w:divBdr>
            <w:top w:val="none" w:sz="0" w:space="0" w:color="auto"/>
            <w:left w:val="none" w:sz="0" w:space="0" w:color="auto"/>
            <w:bottom w:val="none" w:sz="0" w:space="0" w:color="auto"/>
            <w:right w:val="none" w:sz="0" w:space="0" w:color="auto"/>
          </w:divBdr>
        </w:div>
      </w:divsChild>
    </w:div>
    <w:div w:id="1364936696">
      <w:marLeft w:val="0"/>
      <w:marRight w:val="0"/>
      <w:marTop w:val="0"/>
      <w:marBottom w:val="0"/>
      <w:divBdr>
        <w:top w:val="none" w:sz="0" w:space="0" w:color="auto"/>
        <w:left w:val="none" w:sz="0" w:space="0" w:color="auto"/>
        <w:bottom w:val="none" w:sz="0" w:space="0" w:color="auto"/>
        <w:right w:val="none" w:sz="0" w:space="0" w:color="auto"/>
      </w:divBdr>
      <w:divsChild>
        <w:div w:id="1308701287">
          <w:marLeft w:val="0"/>
          <w:marRight w:val="0"/>
          <w:marTop w:val="0"/>
          <w:marBottom w:val="0"/>
          <w:divBdr>
            <w:top w:val="none" w:sz="0" w:space="0" w:color="auto"/>
            <w:left w:val="none" w:sz="0" w:space="0" w:color="auto"/>
            <w:bottom w:val="none" w:sz="0" w:space="0" w:color="auto"/>
            <w:right w:val="none" w:sz="0" w:space="0" w:color="auto"/>
          </w:divBdr>
        </w:div>
        <w:div w:id="638725672">
          <w:marLeft w:val="0"/>
          <w:marRight w:val="0"/>
          <w:marTop w:val="0"/>
          <w:marBottom w:val="0"/>
          <w:divBdr>
            <w:top w:val="none" w:sz="0" w:space="0" w:color="auto"/>
            <w:left w:val="none" w:sz="0" w:space="0" w:color="auto"/>
            <w:bottom w:val="none" w:sz="0" w:space="0" w:color="auto"/>
            <w:right w:val="none" w:sz="0" w:space="0" w:color="auto"/>
          </w:divBdr>
        </w:div>
      </w:divsChild>
    </w:div>
    <w:div w:id="1366175145">
      <w:marLeft w:val="0"/>
      <w:marRight w:val="0"/>
      <w:marTop w:val="0"/>
      <w:marBottom w:val="0"/>
      <w:divBdr>
        <w:top w:val="none" w:sz="0" w:space="0" w:color="auto"/>
        <w:left w:val="none" w:sz="0" w:space="0" w:color="auto"/>
        <w:bottom w:val="none" w:sz="0" w:space="0" w:color="auto"/>
        <w:right w:val="none" w:sz="0" w:space="0" w:color="auto"/>
      </w:divBdr>
    </w:div>
    <w:div w:id="1405840302">
      <w:marLeft w:val="0"/>
      <w:marRight w:val="0"/>
      <w:marTop w:val="0"/>
      <w:marBottom w:val="0"/>
      <w:divBdr>
        <w:top w:val="none" w:sz="0" w:space="0" w:color="auto"/>
        <w:left w:val="none" w:sz="0" w:space="0" w:color="auto"/>
        <w:bottom w:val="none" w:sz="0" w:space="0" w:color="auto"/>
        <w:right w:val="none" w:sz="0" w:space="0" w:color="auto"/>
      </w:divBdr>
    </w:div>
    <w:div w:id="1436054974">
      <w:marLeft w:val="0"/>
      <w:marRight w:val="0"/>
      <w:marTop w:val="0"/>
      <w:marBottom w:val="0"/>
      <w:divBdr>
        <w:top w:val="none" w:sz="0" w:space="0" w:color="auto"/>
        <w:left w:val="none" w:sz="0" w:space="0" w:color="auto"/>
        <w:bottom w:val="none" w:sz="0" w:space="0" w:color="auto"/>
        <w:right w:val="none" w:sz="0" w:space="0" w:color="auto"/>
      </w:divBdr>
    </w:div>
    <w:div w:id="1461191739">
      <w:marLeft w:val="0"/>
      <w:marRight w:val="0"/>
      <w:marTop w:val="0"/>
      <w:marBottom w:val="0"/>
      <w:divBdr>
        <w:top w:val="none" w:sz="0" w:space="0" w:color="auto"/>
        <w:left w:val="none" w:sz="0" w:space="0" w:color="auto"/>
        <w:bottom w:val="none" w:sz="0" w:space="0" w:color="auto"/>
        <w:right w:val="none" w:sz="0" w:space="0" w:color="auto"/>
      </w:divBdr>
    </w:div>
    <w:div w:id="1464077115">
      <w:marLeft w:val="0"/>
      <w:marRight w:val="0"/>
      <w:marTop w:val="0"/>
      <w:marBottom w:val="0"/>
      <w:divBdr>
        <w:top w:val="none" w:sz="0" w:space="0" w:color="auto"/>
        <w:left w:val="none" w:sz="0" w:space="0" w:color="auto"/>
        <w:bottom w:val="none" w:sz="0" w:space="0" w:color="auto"/>
        <w:right w:val="none" w:sz="0" w:space="0" w:color="auto"/>
      </w:divBdr>
    </w:div>
    <w:div w:id="1491873820">
      <w:marLeft w:val="0"/>
      <w:marRight w:val="0"/>
      <w:marTop w:val="0"/>
      <w:marBottom w:val="0"/>
      <w:divBdr>
        <w:top w:val="none" w:sz="0" w:space="0" w:color="auto"/>
        <w:left w:val="none" w:sz="0" w:space="0" w:color="auto"/>
        <w:bottom w:val="none" w:sz="0" w:space="0" w:color="auto"/>
        <w:right w:val="none" w:sz="0" w:space="0" w:color="auto"/>
      </w:divBdr>
    </w:div>
    <w:div w:id="1493369371">
      <w:marLeft w:val="0"/>
      <w:marRight w:val="0"/>
      <w:marTop w:val="0"/>
      <w:marBottom w:val="0"/>
      <w:divBdr>
        <w:top w:val="none" w:sz="0" w:space="0" w:color="auto"/>
        <w:left w:val="none" w:sz="0" w:space="0" w:color="auto"/>
        <w:bottom w:val="none" w:sz="0" w:space="0" w:color="auto"/>
        <w:right w:val="none" w:sz="0" w:space="0" w:color="auto"/>
      </w:divBdr>
      <w:divsChild>
        <w:div w:id="1473600123">
          <w:marLeft w:val="0"/>
          <w:marRight w:val="0"/>
          <w:marTop w:val="0"/>
          <w:marBottom w:val="0"/>
          <w:divBdr>
            <w:top w:val="none" w:sz="0" w:space="0" w:color="auto"/>
            <w:left w:val="none" w:sz="0" w:space="0" w:color="auto"/>
            <w:bottom w:val="none" w:sz="0" w:space="0" w:color="auto"/>
            <w:right w:val="none" w:sz="0" w:space="0" w:color="auto"/>
          </w:divBdr>
        </w:div>
        <w:div w:id="978146405">
          <w:marLeft w:val="0"/>
          <w:marRight w:val="0"/>
          <w:marTop w:val="0"/>
          <w:marBottom w:val="0"/>
          <w:divBdr>
            <w:top w:val="none" w:sz="0" w:space="0" w:color="auto"/>
            <w:left w:val="none" w:sz="0" w:space="0" w:color="auto"/>
            <w:bottom w:val="none" w:sz="0" w:space="0" w:color="auto"/>
            <w:right w:val="none" w:sz="0" w:space="0" w:color="auto"/>
          </w:divBdr>
        </w:div>
      </w:divsChild>
    </w:div>
    <w:div w:id="1509637807">
      <w:marLeft w:val="0"/>
      <w:marRight w:val="0"/>
      <w:marTop w:val="0"/>
      <w:marBottom w:val="0"/>
      <w:divBdr>
        <w:top w:val="none" w:sz="0" w:space="0" w:color="auto"/>
        <w:left w:val="none" w:sz="0" w:space="0" w:color="auto"/>
        <w:bottom w:val="none" w:sz="0" w:space="0" w:color="auto"/>
        <w:right w:val="none" w:sz="0" w:space="0" w:color="auto"/>
      </w:divBdr>
    </w:div>
    <w:div w:id="1526749930">
      <w:marLeft w:val="0"/>
      <w:marRight w:val="0"/>
      <w:marTop w:val="0"/>
      <w:marBottom w:val="0"/>
      <w:divBdr>
        <w:top w:val="none" w:sz="0" w:space="0" w:color="auto"/>
        <w:left w:val="none" w:sz="0" w:space="0" w:color="auto"/>
        <w:bottom w:val="none" w:sz="0" w:space="0" w:color="auto"/>
        <w:right w:val="none" w:sz="0" w:space="0" w:color="auto"/>
      </w:divBdr>
    </w:div>
    <w:div w:id="1536116873">
      <w:marLeft w:val="0"/>
      <w:marRight w:val="0"/>
      <w:marTop w:val="0"/>
      <w:marBottom w:val="0"/>
      <w:divBdr>
        <w:top w:val="none" w:sz="0" w:space="0" w:color="auto"/>
        <w:left w:val="none" w:sz="0" w:space="0" w:color="auto"/>
        <w:bottom w:val="none" w:sz="0" w:space="0" w:color="auto"/>
        <w:right w:val="none" w:sz="0" w:space="0" w:color="auto"/>
      </w:divBdr>
      <w:divsChild>
        <w:div w:id="1145121240">
          <w:marLeft w:val="0"/>
          <w:marRight w:val="0"/>
          <w:marTop w:val="0"/>
          <w:marBottom w:val="0"/>
          <w:divBdr>
            <w:top w:val="none" w:sz="0" w:space="0" w:color="auto"/>
            <w:left w:val="none" w:sz="0" w:space="0" w:color="auto"/>
            <w:bottom w:val="none" w:sz="0" w:space="0" w:color="auto"/>
            <w:right w:val="none" w:sz="0" w:space="0" w:color="auto"/>
          </w:divBdr>
        </w:div>
        <w:div w:id="1758860535">
          <w:marLeft w:val="0"/>
          <w:marRight w:val="0"/>
          <w:marTop w:val="0"/>
          <w:marBottom w:val="0"/>
          <w:divBdr>
            <w:top w:val="none" w:sz="0" w:space="0" w:color="auto"/>
            <w:left w:val="none" w:sz="0" w:space="0" w:color="auto"/>
            <w:bottom w:val="none" w:sz="0" w:space="0" w:color="auto"/>
            <w:right w:val="none" w:sz="0" w:space="0" w:color="auto"/>
          </w:divBdr>
        </w:div>
      </w:divsChild>
    </w:div>
    <w:div w:id="1546063499">
      <w:marLeft w:val="0"/>
      <w:marRight w:val="0"/>
      <w:marTop w:val="0"/>
      <w:marBottom w:val="0"/>
      <w:divBdr>
        <w:top w:val="none" w:sz="0" w:space="0" w:color="auto"/>
        <w:left w:val="none" w:sz="0" w:space="0" w:color="auto"/>
        <w:bottom w:val="none" w:sz="0" w:space="0" w:color="auto"/>
        <w:right w:val="none" w:sz="0" w:space="0" w:color="auto"/>
      </w:divBdr>
      <w:divsChild>
        <w:div w:id="2092002096">
          <w:marLeft w:val="0"/>
          <w:marRight w:val="0"/>
          <w:marTop w:val="0"/>
          <w:marBottom w:val="0"/>
          <w:divBdr>
            <w:top w:val="none" w:sz="0" w:space="0" w:color="auto"/>
            <w:left w:val="none" w:sz="0" w:space="0" w:color="auto"/>
            <w:bottom w:val="none" w:sz="0" w:space="0" w:color="auto"/>
            <w:right w:val="none" w:sz="0" w:space="0" w:color="auto"/>
          </w:divBdr>
        </w:div>
        <w:div w:id="1238786414">
          <w:marLeft w:val="0"/>
          <w:marRight w:val="0"/>
          <w:marTop w:val="0"/>
          <w:marBottom w:val="0"/>
          <w:divBdr>
            <w:top w:val="none" w:sz="0" w:space="0" w:color="auto"/>
            <w:left w:val="none" w:sz="0" w:space="0" w:color="auto"/>
            <w:bottom w:val="none" w:sz="0" w:space="0" w:color="auto"/>
            <w:right w:val="none" w:sz="0" w:space="0" w:color="auto"/>
          </w:divBdr>
        </w:div>
      </w:divsChild>
    </w:div>
    <w:div w:id="1558584348">
      <w:marLeft w:val="0"/>
      <w:marRight w:val="0"/>
      <w:marTop w:val="0"/>
      <w:marBottom w:val="0"/>
      <w:divBdr>
        <w:top w:val="none" w:sz="0" w:space="0" w:color="auto"/>
        <w:left w:val="none" w:sz="0" w:space="0" w:color="auto"/>
        <w:bottom w:val="none" w:sz="0" w:space="0" w:color="auto"/>
        <w:right w:val="none" w:sz="0" w:space="0" w:color="auto"/>
      </w:divBdr>
    </w:div>
    <w:div w:id="1574436884">
      <w:marLeft w:val="0"/>
      <w:marRight w:val="0"/>
      <w:marTop w:val="0"/>
      <w:marBottom w:val="0"/>
      <w:divBdr>
        <w:top w:val="none" w:sz="0" w:space="0" w:color="auto"/>
        <w:left w:val="none" w:sz="0" w:space="0" w:color="auto"/>
        <w:bottom w:val="none" w:sz="0" w:space="0" w:color="auto"/>
        <w:right w:val="none" w:sz="0" w:space="0" w:color="auto"/>
      </w:divBdr>
    </w:div>
    <w:div w:id="1579629460">
      <w:marLeft w:val="0"/>
      <w:marRight w:val="0"/>
      <w:marTop w:val="0"/>
      <w:marBottom w:val="0"/>
      <w:divBdr>
        <w:top w:val="none" w:sz="0" w:space="0" w:color="auto"/>
        <w:left w:val="none" w:sz="0" w:space="0" w:color="auto"/>
        <w:bottom w:val="none" w:sz="0" w:space="0" w:color="auto"/>
        <w:right w:val="none" w:sz="0" w:space="0" w:color="auto"/>
      </w:divBdr>
    </w:div>
    <w:div w:id="1600790955">
      <w:marLeft w:val="0"/>
      <w:marRight w:val="0"/>
      <w:marTop w:val="0"/>
      <w:marBottom w:val="0"/>
      <w:divBdr>
        <w:top w:val="none" w:sz="0" w:space="0" w:color="auto"/>
        <w:left w:val="none" w:sz="0" w:space="0" w:color="auto"/>
        <w:bottom w:val="none" w:sz="0" w:space="0" w:color="auto"/>
        <w:right w:val="none" w:sz="0" w:space="0" w:color="auto"/>
      </w:divBdr>
      <w:divsChild>
        <w:div w:id="940602801">
          <w:marLeft w:val="0"/>
          <w:marRight w:val="0"/>
          <w:marTop w:val="0"/>
          <w:marBottom w:val="0"/>
          <w:divBdr>
            <w:top w:val="none" w:sz="0" w:space="0" w:color="auto"/>
            <w:left w:val="none" w:sz="0" w:space="0" w:color="auto"/>
            <w:bottom w:val="none" w:sz="0" w:space="0" w:color="auto"/>
            <w:right w:val="none" w:sz="0" w:space="0" w:color="auto"/>
          </w:divBdr>
        </w:div>
        <w:div w:id="547492844">
          <w:marLeft w:val="0"/>
          <w:marRight w:val="0"/>
          <w:marTop w:val="0"/>
          <w:marBottom w:val="0"/>
          <w:divBdr>
            <w:top w:val="none" w:sz="0" w:space="0" w:color="auto"/>
            <w:left w:val="none" w:sz="0" w:space="0" w:color="auto"/>
            <w:bottom w:val="none" w:sz="0" w:space="0" w:color="auto"/>
            <w:right w:val="none" w:sz="0" w:space="0" w:color="auto"/>
          </w:divBdr>
        </w:div>
      </w:divsChild>
    </w:div>
    <w:div w:id="1615559194">
      <w:marLeft w:val="0"/>
      <w:marRight w:val="0"/>
      <w:marTop w:val="0"/>
      <w:marBottom w:val="0"/>
      <w:divBdr>
        <w:top w:val="none" w:sz="0" w:space="0" w:color="auto"/>
        <w:left w:val="none" w:sz="0" w:space="0" w:color="auto"/>
        <w:bottom w:val="none" w:sz="0" w:space="0" w:color="auto"/>
        <w:right w:val="none" w:sz="0" w:space="0" w:color="auto"/>
      </w:divBdr>
    </w:div>
    <w:div w:id="1624337999">
      <w:marLeft w:val="0"/>
      <w:marRight w:val="0"/>
      <w:marTop w:val="0"/>
      <w:marBottom w:val="0"/>
      <w:divBdr>
        <w:top w:val="none" w:sz="0" w:space="0" w:color="auto"/>
        <w:left w:val="none" w:sz="0" w:space="0" w:color="auto"/>
        <w:bottom w:val="none" w:sz="0" w:space="0" w:color="auto"/>
        <w:right w:val="none" w:sz="0" w:space="0" w:color="auto"/>
      </w:divBdr>
    </w:div>
    <w:div w:id="1650792799">
      <w:marLeft w:val="0"/>
      <w:marRight w:val="0"/>
      <w:marTop w:val="0"/>
      <w:marBottom w:val="0"/>
      <w:divBdr>
        <w:top w:val="none" w:sz="0" w:space="0" w:color="auto"/>
        <w:left w:val="none" w:sz="0" w:space="0" w:color="auto"/>
        <w:bottom w:val="none" w:sz="0" w:space="0" w:color="auto"/>
        <w:right w:val="none" w:sz="0" w:space="0" w:color="auto"/>
      </w:divBdr>
      <w:divsChild>
        <w:div w:id="704867936">
          <w:marLeft w:val="0"/>
          <w:marRight w:val="0"/>
          <w:marTop w:val="0"/>
          <w:marBottom w:val="0"/>
          <w:divBdr>
            <w:top w:val="none" w:sz="0" w:space="0" w:color="auto"/>
            <w:left w:val="none" w:sz="0" w:space="0" w:color="auto"/>
            <w:bottom w:val="none" w:sz="0" w:space="0" w:color="auto"/>
            <w:right w:val="none" w:sz="0" w:space="0" w:color="auto"/>
          </w:divBdr>
        </w:div>
        <w:div w:id="1904170816">
          <w:marLeft w:val="0"/>
          <w:marRight w:val="0"/>
          <w:marTop w:val="0"/>
          <w:marBottom w:val="0"/>
          <w:divBdr>
            <w:top w:val="none" w:sz="0" w:space="0" w:color="auto"/>
            <w:left w:val="none" w:sz="0" w:space="0" w:color="auto"/>
            <w:bottom w:val="none" w:sz="0" w:space="0" w:color="auto"/>
            <w:right w:val="none" w:sz="0" w:space="0" w:color="auto"/>
          </w:divBdr>
        </w:div>
      </w:divsChild>
    </w:div>
    <w:div w:id="1663198936">
      <w:marLeft w:val="0"/>
      <w:marRight w:val="0"/>
      <w:marTop w:val="0"/>
      <w:marBottom w:val="0"/>
      <w:divBdr>
        <w:top w:val="none" w:sz="0" w:space="0" w:color="auto"/>
        <w:left w:val="none" w:sz="0" w:space="0" w:color="auto"/>
        <w:bottom w:val="none" w:sz="0" w:space="0" w:color="auto"/>
        <w:right w:val="none" w:sz="0" w:space="0" w:color="auto"/>
      </w:divBdr>
      <w:divsChild>
        <w:div w:id="1386297861">
          <w:marLeft w:val="0"/>
          <w:marRight w:val="0"/>
          <w:marTop w:val="0"/>
          <w:marBottom w:val="0"/>
          <w:divBdr>
            <w:top w:val="none" w:sz="0" w:space="0" w:color="auto"/>
            <w:left w:val="none" w:sz="0" w:space="0" w:color="auto"/>
            <w:bottom w:val="none" w:sz="0" w:space="0" w:color="auto"/>
            <w:right w:val="none" w:sz="0" w:space="0" w:color="auto"/>
          </w:divBdr>
        </w:div>
        <w:div w:id="1865242626">
          <w:marLeft w:val="0"/>
          <w:marRight w:val="0"/>
          <w:marTop w:val="0"/>
          <w:marBottom w:val="0"/>
          <w:divBdr>
            <w:top w:val="none" w:sz="0" w:space="0" w:color="auto"/>
            <w:left w:val="none" w:sz="0" w:space="0" w:color="auto"/>
            <w:bottom w:val="none" w:sz="0" w:space="0" w:color="auto"/>
            <w:right w:val="none" w:sz="0" w:space="0" w:color="auto"/>
          </w:divBdr>
        </w:div>
      </w:divsChild>
    </w:div>
    <w:div w:id="1671905010">
      <w:marLeft w:val="0"/>
      <w:marRight w:val="0"/>
      <w:marTop w:val="0"/>
      <w:marBottom w:val="0"/>
      <w:divBdr>
        <w:top w:val="none" w:sz="0" w:space="0" w:color="auto"/>
        <w:left w:val="none" w:sz="0" w:space="0" w:color="auto"/>
        <w:bottom w:val="none" w:sz="0" w:space="0" w:color="auto"/>
        <w:right w:val="none" w:sz="0" w:space="0" w:color="auto"/>
      </w:divBdr>
    </w:div>
    <w:div w:id="1691373991">
      <w:marLeft w:val="0"/>
      <w:marRight w:val="0"/>
      <w:marTop w:val="0"/>
      <w:marBottom w:val="0"/>
      <w:divBdr>
        <w:top w:val="none" w:sz="0" w:space="0" w:color="auto"/>
        <w:left w:val="none" w:sz="0" w:space="0" w:color="auto"/>
        <w:bottom w:val="none" w:sz="0" w:space="0" w:color="auto"/>
        <w:right w:val="none" w:sz="0" w:space="0" w:color="auto"/>
      </w:divBdr>
      <w:divsChild>
        <w:div w:id="1386028045">
          <w:marLeft w:val="0"/>
          <w:marRight w:val="0"/>
          <w:marTop w:val="0"/>
          <w:marBottom w:val="0"/>
          <w:divBdr>
            <w:top w:val="none" w:sz="0" w:space="0" w:color="auto"/>
            <w:left w:val="none" w:sz="0" w:space="0" w:color="auto"/>
            <w:bottom w:val="none" w:sz="0" w:space="0" w:color="auto"/>
            <w:right w:val="none" w:sz="0" w:space="0" w:color="auto"/>
          </w:divBdr>
        </w:div>
        <w:div w:id="525217114">
          <w:marLeft w:val="0"/>
          <w:marRight w:val="0"/>
          <w:marTop w:val="0"/>
          <w:marBottom w:val="0"/>
          <w:divBdr>
            <w:top w:val="none" w:sz="0" w:space="0" w:color="auto"/>
            <w:left w:val="none" w:sz="0" w:space="0" w:color="auto"/>
            <w:bottom w:val="none" w:sz="0" w:space="0" w:color="auto"/>
            <w:right w:val="none" w:sz="0" w:space="0" w:color="auto"/>
          </w:divBdr>
        </w:div>
      </w:divsChild>
    </w:div>
    <w:div w:id="1695308533">
      <w:marLeft w:val="0"/>
      <w:marRight w:val="0"/>
      <w:marTop w:val="0"/>
      <w:marBottom w:val="0"/>
      <w:divBdr>
        <w:top w:val="none" w:sz="0" w:space="0" w:color="auto"/>
        <w:left w:val="none" w:sz="0" w:space="0" w:color="auto"/>
        <w:bottom w:val="none" w:sz="0" w:space="0" w:color="auto"/>
        <w:right w:val="none" w:sz="0" w:space="0" w:color="auto"/>
      </w:divBdr>
      <w:divsChild>
        <w:div w:id="779300537">
          <w:marLeft w:val="0"/>
          <w:marRight w:val="0"/>
          <w:marTop w:val="0"/>
          <w:marBottom w:val="0"/>
          <w:divBdr>
            <w:top w:val="none" w:sz="0" w:space="0" w:color="auto"/>
            <w:left w:val="none" w:sz="0" w:space="0" w:color="auto"/>
            <w:bottom w:val="none" w:sz="0" w:space="0" w:color="auto"/>
            <w:right w:val="none" w:sz="0" w:space="0" w:color="auto"/>
          </w:divBdr>
        </w:div>
        <w:div w:id="2024938447">
          <w:marLeft w:val="0"/>
          <w:marRight w:val="0"/>
          <w:marTop w:val="0"/>
          <w:marBottom w:val="0"/>
          <w:divBdr>
            <w:top w:val="none" w:sz="0" w:space="0" w:color="auto"/>
            <w:left w:val="none" w:sz="0" w:space="0" w:color="auto"/>
            <w:bottom w:val="none" w:sz="0" w:space="0" w:color="auto"/>
            <w:right w:val="none" w:sz="0" w:space="0" w:color="auto"/>
          </w:divBdr>
        </w:div>
      </w:divsChild>
    </w:div>
    <w:div w:id="1698238477">
      <w:marLeft w:val="0"/>
      <w:marRight w:val="0"/>
      <w:marTop w:val="0"/>
      <w:marBottom w:val="0"/>
      <w:divBdr>
        <w:top w:val="none" w:sz="0" w:space="0" w:color="auto"/>
        <w:left w:val="none" w:sz="0" w:space="0" w:color="auto"/>
        <w:bottom w:val="none" w:sz="0" w:space="0" w:color="auto"/>
        <w:right w:val="none" w:sz="0" w:space="0" w:color="auto"/>
      </w:divBdr>
      <w:divsChild>
        <w:div w:id="1438522594">
          <w:marLeft w:val="0"/>
          <w:marRight w:val="0"/>
          <w:marTop w:val="0"/>
          <w:marBottom w:val="0"/>
          <w:divBdr>
            <w:top w:val="none" w:sz="0" w:space="0" w:color="auto"/>
            <w:left w:val="none" w:sz="0" w:space="0" w:color="auto"/>
            <w:bottom w:val="none" w:sz="0" w:space="0" w:color="auto"/>
            <w:right w:val="none" w:sz="0" w:space="0" w:color="auto"/>
          </w:divBdr>
        </w:div>
        <w:div w:id="144514653">
          <w:marLeft w:val="0"/>
          <w:marRight w:val="0"/>
          <w:marTop w:val="0"/>
          <w:marBottom w:val="0"/>
          <w:divBdr>
            <w:top w:val="none" w:sz="0" w:space="0" w:color="auto"/>
            <w:left w:val="none" w:sz="0" w:space="0" w:color="auto"/>
            <w:bottom w:val="none" w:sz="0" w:space="0" w:color="auto"/>
            <w:right w:val="none" w:sz="0" w:space="0" w:color="auto"/>
          </w:divBdr>
        </w:div>
      </w:divsChild>
    </w:div>
    <w:div w:id="1705985139">
      <w:marLeft w:val="0"/>
      <w:marRight w:val="0"/>
      <w:marTop w:val="0"/>
      <w:marBottom w:val="0"/>
      <w:divBdr>
        <w:top w:val="none" w:sz="0" w:space="0" w:color="auto"/>
        <w:left w:val="none" w:sz="0" w:space="0" w:color="auto"/>
        <w:bottom w:val="none" w:sz="0" w:space="0" w:color="auto"/>
        <w:right w:val="none" w:sz="0" w:space="0" w:color="auto"/>
      </w:divBdr>
    </w:div>
    <w:div w:id="1707565690">
      <w:marLeft w:val="0"/>
      <w:marRight w:val="0"/>
      <w:marTop w:val="0"/>
      <w:marBottom w:val="0"/>
      <w:divBdr>
        <w:top w:val="none" w:sz="0" w:space="0" w:color="auto"/>
        <w:left w:val="none" w:sz="0" w:space="0" w:color="auto"/>
        <w:bottom w:val="none" w:sz="0" w:space="0" w:color="auto"/>
        <w:right w:val="none" w:sz="0" w:space="0" w:color="auto"/>
      </w:divBdr>
    </w:div>
    <w:div w:id="1713381211">
      <w:marLeft w:val="0"/>
      <w:marRight w:val="0"/>
      <w:marTop w:val="0"/>
      <w:marBottom w:val="0"/>
      <w:divBdr>
        <w:top w:val="none" w:sz="0" w:space="0" w:color="auto"/>
        <w:left w:val="none" w:sz="0" w:space="0" w:color="auto"/>
        <w:bottom w:val="none" w:sz="0" w:space="0" w:color="auto"/>
        <w:right w:val="none" w:sz="0" w:space="0" w:color="auto"/>
      </w:divBdr>
      <w:divsChild>
        <w:div w:id="1293831820">
          <w:marLeft w:val="0"/>
          <w:marRight w:val="0"/>
          <w:marTop w:val="0"/>
          <w:marBottom w:val="0"/>
          <w:divBdr>
            <w:top w:val="none" w:sz="0" w:space="0" w:color="auto"/>
            <w:left w:val="none" w:sz="0" w:space="0" w:color="auto"/>
            <w:bottom w:val="none" w:sz="0" w:space="0" w:color="auto"/>
            <w:right w:val="none" w:sz="0" w:space="0" w:color="auto"/>
          </w:divBdr>
        </w:div>
      </w:divsChild>
    </w:div>
    <w:div w:id="1718775914">
      <w:marLeft w:val="0"/>
      <w:marRight w:val="0"/>
      <w:marTop w:val="0"/>
      <w:marBottom w:val="0"/>
      <w:divBdr>
        <w:top w:val="none" w:sz="0" w:space="0" w:color="auto"/>
        <w:left w:val="none" w:sz="0" w:space="0" w:color="auto"/>
        <w:bottom w:val="none" w:sz="0" w:space="0" w:color="auto"/>
        <w:right w:val="none" w:sz="0" w:space="0" w:color="auto"/>
      </w:divBdr>
    </w:div>
    <w:div w:id="1720401083">
      <w:marLeft w:val="0"/>
      <w:marRight w:val="0"/>
      <w:marTop w:val="0"/>
      <w:marBottom w:val="0"/>
      <w:divBdr>
        <w:top w:val="none" w:sz="0" w:space="0" w:color="auto"/>
        <w:left w:val="none" w:sz="0" w:space="0" w:color="auto"/>
        <w:bottom w:val="none" w:sz="0" w:space="0" w:color="auto"/>
        <w:right w:val="none" w:sz="0" w:space="0" w:color="auto"/>
      </w:divBdr>
    </w:div>
    <w:div w:id="1737315020">
      <w:marLeft w:val="0"/>
      <w:marRight w:val="0"/>
      <w:marTop w:val="0"/>
      <w:marBottom w:val="0"/>
      <w:divBdr>
        <w:top w:val="none" w:sz="0" w:space="0" w:color="auto"/>
        <w:left w:val="none" w:sz="0" w:space="0" w:color="auto"/>
        <w:bottom w:val="none" w:sz="0" w:space="0" w:color="auto"/>
        <w:right w:val="none" w:sz="0" w:space="0" w:color="auto"/>
      </w:divBdr>
    </w:div>
    <w:div w:id="1772630065">
      <w:marLeft w:val="0"/>
      <w:marRight w:val="0"/>
      <w:marTop w:val="0"/>
      <w:marBottom w:val="0"/>
      <w:divBdr>
        <w:top w:val="none" w:sz="0" w:space="0" w:color="auto"/>
        <w:left w:val="none" w:sz="0" w:space="0" w:color="auto"/>
        <w:bottom w:val="none" w:sz="0" w:space="0" w:color="auto"/>
        <w:right w:val="none" w:sz="0" w:space="0" w:color="auto"/>
      </w:divBdr>
    </w:div>
    <w:div w:id="1776362673">
      <w:marLeft w:val="0"/>
      <w:marRight w:val="0"/>
      <w:marTop w:val="0"/>
      <w:marBottom w:val="0"/>
      <w:divBdr>
        <w:top w:val="none" w:sz="0" w:space="0" w:color="auto"/>
        <w:left w:val="none" w:sz="0" w:space="0" w:color="auto"/>
        <w:bottom w:val="none" w:sz="0" w:space="0" w:color="auto"/>
        <w:right w:val="none" w:sz="0" w:space="0" w:color="auto"/>
      </w:divBdr>
    </w:div>
    <w:div w:id="1792357821">
      <w:marLeft w:val="0"/>
      <w:marRight w:val="0"/>
      <w:marTop w:val="0"/>
      <w:marBottom w:val="0"/>
      <w:divBdr>
        <w:top w:val="none" w:sz="0" w:space="0" w:color="auto"/>
        <w:left w:val="none" w:sz="0" w:space="0" w:color="auto"/>
        <w:bottom w:val="none" w:sz="0" w:space="0" w:color="auto"/>
        <w:right w:val="none" w:sz="0" w:space="0" w:color="auto"/>
      </w:divBdr>
    </w:div>
    <w:div w:id="1802265899">
      <w:marLeft w:val="0"/>
      <w:marRight w:val="0"/>
      <w:marTop w:val="0"/>
      <w:marBottom w:val="0"/>
      <w:divBdr>
        <w:top w:val="none" w:sz="0" w:space="0" w:color="auto"/>
        <w:left w:val="none" w:sz="0" w:space="0" w:color="auto"/>
        <w:bottom w:val="none" w:sz="0" w:space="0" w:color="auto"/>
        <w:right w:val="none" w:sz="0" w:space="0" w:color="auto"/>
      </w:divBdr>
    </w:div>
    <w:div w:id="1807621907">
      <w:marLeft w:val="0"/>
      <w:marRight w:val="0"/>
      <w:marTop w:val="0"/>
      <w:marBottom w:val="0"/>
      <w:divBdr>
        <w:top w:val="none" w:sz="0" w:space="0" w:color="auto"/>
        <w:left w:val="none" w:sz="0" w:space="0" w:color="auto"/>
        <w:bottom w:val="none" w:sz="0" w:space="0" w:color="auto"/>
        <w:right w:val="none" w:sz="0" w:space="0" w:color="auto"/>
      </w:divBdr>
      <w:divsChild>
        <w:div w:id="1563250554">
          <w:marLeft w:val="0"/>
          <w:marRight w:val="0"/>
          <w:marTop w:val="0"/>
          <w:marBottom w:val="0"/>
          <w:divBdr>
            <w:top w:val="none" w:sz="0" w:space="0" w:color="auto"/>
            <w:left w:val="none" w:sz="0" w:space="0" w:color="auto"/>
            <w:bottom w:val="none" w:sz="0" w:space="0" w:color="auto"/>
            <w:right w:val="none" w:sz="0" w:space="0" w:color="auto"/>
          </w:divBdr>
        </w:div>
        <w:div w:id="418722002">
          <w:marLeft w:val="0"/>
          <w:marRight w:val="0"/>
          <w:marTop w:val="0"/>
          <w:marBottom w:val="0"/>
          <w:divBdr>
            <w:top w:val="none" w:sz="0" w:space="0" w:color="auto"/>
            <w:left w:val="none" w:sz="0" w:space="0" w:color="auto"/>
            <w:bottom w:val="none" w:sz="0" w:space="0" w:color="auto"/>
            <w:right w:val="none" w:sz="0" w:space="0" w:color="auto"/>
          </w:divBdr>
        </w:div>
      </w:divsChild>
    </w:div>
    <w:div w:id="1822845796">
      <w:marLeft w:val="0"/>
      <w:marRight w:val="0"/>
      <w:marTop w:val="0"/>
      <w:marBottom w:val="0"/>
      <w:divBdr>
        <w:top w:val="none" w:sz="0" w:space="0" w:color="auto"/>
        <w:left w:val="none" w:sz="0" w:space="0" w:color="auto"/>
        <w:bottom w:val="none" w:sz="0" w:space="0" w:color="auto"/>
        <w:right w:val="none" w:sz="0" w:space="0" w:color="auto"/>
      </w:divBdr>
    </w:div>
    <w:div w:id="1866601337">
      <w:marLeft w:val="0"/>
      <w:marRight w:val="0"/>
      <w:marTop w:val="0"/>
      <w:marBottom w:val="0"/>
      <w:divBdr>
        <w:top w:val="none" w:sz="0" w:space="0" w:color="auto"/>
        <w:left w:val="none" w:sz="0" w:space="0" w:color="auto"/>
        <w:bottom w:val="none" w:sz="0" w:space="0" w:color="auto"/>
        <w:right w:val="none" w:sz="0" w:space="0" w:color="auto"/>
      </w:divBdr>
    </w:div>
    <w:div w:id="1877236768">
      <w:marLeft w:val="0"/>
      <w:marRight w:val="0"/>
      <w:marTop w:val="0"/>
      <w:marBottom w:val="0"/>
      <w:divBdr>
        <w:top w:val="none" w:sz="0" w:space="0" w:color="auto"/>
        <w:left w:val="none" w:sz="0" w:space="0" w:color="auto"/>
        <w:bottom w:val="none" w:sz="0" w:space="0" w:color="auto"/>
        <w:right w:val="none" w:sz="0" w:space="0" w:color="auto"/>
      </w:divBdr>
    </w:div>
    <w:div w:id="1881933473">
      <w:marLeft w:val="0"/>
      <w:marRight w:val="0"/>
      <w:marTop w:val="0"/>
      <w:marBottom w:val="0"/>
      <w:divBdr>
        <w:top w:val="none" w:sz="0" w:space="0" w:color="auto"/>
        <w:left w:val="none" w:sz="0" w:space="0" w:color="auto"/>
        <w:bottom w:val="none" w:sz="0" w:space="0" w:color="auto"/>
        <w:right w:val="none" w:sz="0" w:space="0" w:color="auto"/>
      </w:divBdr>
      <w:divsChild>
        <w:div w:id="868831687">
          <w:marLeft w:val="0"/>
          <w:marRight w:val="0"/>
          <w:marTop w:val="0"/>
          <w:marBottom w:val="0"/>
          <w:divBdr>
            <w:top w:val="none" w:sz="0" w:space="0" w:color="auto"/>
            <w:left w:val="none" w:sz="0" w:space="0" w:color="auto"/>
            <w:bottom w:val="none" w:sz="0" w:space="0" w:color="auto"/>
            <w:right w:val="none" w:sz="0" w:space="0" w:color="auto"/>
          </w:divBdr>
        </w:div>
        <w:div w:id="1582907803">
          <w:marLeft w:val="0"/>
          <w:marRight w:val="0"/>
          <w:marTop w:val="0"/>
          <w:marBottom w:val="0"/>
          <w:divBdr>
            <w:top w:val="none" w:sz="0" w:space="0" w:color="auto"/>
            <w:left w:val="none" w:sz="0" w:space="0" w:color="auto"/>
            <w:bottom w:val="none" w:sz="0" w:space="0" w:color="auto"/>
            <w:right w:val="none" w:sz="0" w:space="0" w:color="auto"/>
          </w:divBdr>
        </w:div>
      </w:divsChild>
    </w:div>
    <w:div w:id="1899242625">
      <w:marLeft w:val="0"/>
      <w:marRight w:val="0"/>
      <w:marTop w:val="0"/>
      <w:marBottom w:val="0"/>
      <w:divBdr>
        <w:top w:val="none" w:sz="0" w:space="0" w:color="auto"/>
        <w:left w:val="none" w:sz="0" w:space="0" w:color="auto"/>
        <w:bottom w:val="none" w:sz="0" w:space="0" w:color="auto"/>
        <w:right w:val="none" w:sz="0" w:space="0" w:color="auto"/>
      </w:divBdr>
    </w:div>
    <w:div w:id="1919634097">
      <w:marLeft w:val="0"/>
      <w:marRight w:val="0"/>
      <w:marTop w:val="0"/>
      <w:marBottom w:val="0"/>
      <w:divBdr>
        <w:top w:val="none" w:sz="0" w:space="0" w:color="auto"/>
        <w:left w:val="none" w:sz="0" w:space="0" w:color="auto"/>
        <w:bottom w:val="none" w:sz="0" w:space="0" w:color="auto"/>
        <w:right w:val="none" w:sz="0" w:space="0" w:color="auto"/>
      </w:divBdr>
      <w:divsChild>
        <w:div w:id="1071121998">
          <w:marLeft w:val="0"/>
          <w:marRight w:val="0"/>
          <w:marTop w:val="0"/>
          <w:marBottom w:val="0"/>
          <w:divBdr>
            <w:top w:val="none" w:sz="0" w:space="0" w:color="auto"/>
            <w:left w:val="none" w:sz="0" w:space="0" w:color="auto"/>
            <w:bottom w:val="none" w:sz="0" w:space="0" w:color="auto"/>
            <w:right w:val="none" w:sz="0" w:space="0" w:color="auto"/>
          </w:divBdr>
        </w:div>
        <w:div w:id="1967080612">
          <w:marLeft w:val="0"/>
          <w:marRight w:val="0"/>
          <w:marTop w:val="0"/>
          <w:marBottom w:val="0"/>
          <w:divBdr>
            <w:top w:val="none" w:sz="0" w:space="0" w:color="auto"/>
            <w:left w:val="none" w:sz="0" w:space="0" w:color="auto"/>
            <w:bottom w:val="none" w:sz="0" w:space="0" w:color="auto"/>
            <w:right w:val="none" w:sz="0" w:space="0" w:color="auto"/>
          </w:divBdr>
        </w:div>
      </w:divsChild>
    </w:div>
    <w:div w:id="1921400144">
      <w:marLeft w:val="0"/>
      <w:marRight w:val="0"/>
      <w:marTop w:val="0"/>
      <w:marBottom w:val="0"/>
      <w:divBdr>
        <w:top w:val="none" w:sz="0" w:space="0" w:color="auto"/>
        <w:left w:val="none" w:sz="0" w:space="0" w:color="auto"/>
        <w:bottom w:val="none" w:sz="0" w:space="0" w:color="auto"/>
        <w:right w:val="none" w:sz="0" w:space="0" w:color="auto"/>
      </w:divBdr>
      <w:divsChild>
        <w:div w:id="797995117">
          <w:marLeft w:val="0"/>
          <w:marRight w:val="0"/>
          <w:marTop w:val="0"/>
          <w:marBottom w:val="0"/>
          <w:divBdr>
            <w:top w:val="none" w:sz="0" w:space="0" w:color="auto"/>
            <w:left w:val="none" w:sz="0" w:space="0" w:color="auto"/>
            <w:bottom w:val="none" w:sz="0" w:space="0" w:color="auto"/>
            <w:right w:val="none" w:sz="0" w:space="0" w:color="auto"/>
          </w:divBdr>
        </w:div>
        <w:div w:id="477309134">
          <w:marLeft w:val="0"/>
          <w:marRight w:val="0"/>
          <w:marTop w:val="0"/>
          <w:marBottom w:val="0"/>
          <w:divBdr>
            <w:top w:val="none" w:sz="0" w:space="0" w:color="auto"/>
            <w:left w:val="none" w:sz="0" w:space="0" w:color="auto"/>
            <w:bottom w:val="none" w:sz="0" w:space="0" w:color="auto"/>
            <w:right w:val="none" w:sz="0" w:space="0" w:color="auto"/>
          </w:divBdr>
        </w:div>
      </w:divsChild>
    </w:div>
    <w:div w:id="1925189055">
      <w:marLeft w:val="0"/>
      <w:marRight w:val="0"/>
      <w:marTop w:val="0"/>
      <w:marBottom w:val="0"/>
      <w:divBdr>
        <w:top w:val="none" w:sz="0" w:space="0" w:color="auto"/>
        <w:left w:val="none" w:sz="0" w:space="0" w:color="auto"/>
        <w:bottom w:val="none" w:sz="0" w:space="0" w:color="auto"/>
        <w:right w:val="none" w:sz="0" w:space="0" w:color="auto"/>
      </w:divBdr>
      <w:divsChild>
        <w:div w:id="191692952">
          <w:marLeft w:val="0"/>
          <w:marRight w:val="0"/>
          <w:marTop w:val="0"/>
          <w:marBottom w:val="0"/>
          <w:divBdr>
            <w:top w:val="none" w:sz="0" w:space="0" w:color="auto"/>
            <w:left w:val="none" w:sz="0" w:space="0" w:color="auto"/>
            <w:bottom w:val="none" w:sz="0" w:space="0" w:color="auto"/>
            <w:right w:val="none" w:sz="0" w:space="0" w:color="auto"/>
          </w:divBdr>
        </w:div>
        <w:div w:id="1525095899">
          <w:marLeft w:val="0"/>
          <w:marRight w:val="0"/>
          <w:marTop w:val="0"/>
          <w:marBottom w:val="0"/>
          <w:divBdr>
            <w:top w:val="none" w:sz="0" w:space="0" w:color="auto"/>
            <w:left w:val="none" w:sz="0" w:space="0" w:color="auto"/>
            <w:bottom w:val="none" w:sz="0" w:space="0" w:color="auto"/>
            <w:right w:val="none" w:sz="0" w:space="0" w:color="auto"/>
          </w:divBdr>
        </w:div>
      </w:divsChild>
    </w:div>
    <w:div w:id="1926106968">
      <w:marLeft w:val="0"/>
      <w:marRight w:val="0"/>
      <w:marTop w:val="0"/>
      <w:marBottom w:val="0"/>
      <w:divBdr>
        <w:top w:val="none" w:sz="0" w:space="0" w:color="auto"/>
        <w:left w:val="none" w:sz="0" w:space="0" w:color="auto"/>
        <w:bottom w:val="none" w:sz="0" w:space="0" w:color="auto"/>
        <w:right w:val="none" w:sz="0" w:space="0" w:color="auto"/>
      </w:divBdr>
      <w:divsChild>
        <w:div w:id="177087242">
          <w:marLeft w:val="0"/>
          <w:marRight w:val="0"/>
          <w:marTop w:val="0"/>
          <w:marBottom w:val="0"/>
          <w:divBdr>
            <w:top w:val="none" w:sz="0" w:space="0" w:color="auto"/>
            <w:left w:val="none" w:sz="0" w:space="0" w:color="auto"/>
            <w:bottom w:val="none" w:sz="0" w:space="0" w:color="auto"/>
            <w:right w:val="none" w:sz="0" w:space="0" w:color="auto"/>
          </w:divBdr>
        </w:div>
        <w:div w:id="1046023402">
          <w:marLeft w:val="0"/>
          <w:marRight w:val="0"/>
          <w:marTop w:val="0"/>
          <w:marBottom w:val="0"/>
          <w:divBdr>
            <w:top w:val="none" w:sz="0" w:space="0" w:color="auto"/>
            <w:left w:val="none" w:sz="0" w:space="0" w:color="auto"/>
            <w:bottom w:val="none" w:sz="0" w:space="0" w:color="auto"/>
            <w:right w:val="none" w:sz="0" w:space="0" w:color="auto"/>
          </w:divBdr>
        </w:div>
      </w:divsChild>
    </w:div>
    <w:div w:id="1933589161">
      <w:marLeft w:val="0"/>
      <w:marRight w:val="0"/>
      <w:marTop w:val="0"/>
      <w:marBottom w:val="0"/>
      <w:divBdr>
        <w:top w:val="none" w:sz="0" w:space="0" w:color="auto"/>
        <w:left w:val="none" w:sz="0" w:space="0" w:color="auto"/>
        <w:bottom w:val="none" w:sz="0" w:space="0" w:color="auto"/>
        <w:right w:val="none" w:sz="0" w:space="0" w:color="auto"/>
      </w:divBdr>
      <w:divsChild>
        <w:div w:id="1507793128">
          <w:marLeft w:val="0"/>
          <w:marRight w:val="0"/>
          <w:marTop w:val="0"/>
          <w:marBottom w:val="0"/>
          <w:divBdr>
            <w:top w:val="none" w:sz="0" w:space="0" w:color="auto"/>
            <w:left w:val="none" w:sz="0" w:space="0" w:color="auto"/>
            <w:bottom w:val="none" w:sz="0" w:space="0" w:color="auto"/>
            <w:right w:val="none" w:sz="0" w:space="0" w:color="auto"/>
          </w:divBdr>
        </w:div>
        <w:div w:id="2045061216">
          <w:marLeft w:val="0"/>
          <w:marRight w:val="0"/>
          <w:marTop w:val="0"/>
          <w:marBottom w:val="0"/>
          <w:divBdr>
            <w:top w:val="none" w:sz="0" w:space="0" w:color="auto"/>
            <w:left w:val="none" w:sz="0" w:space="0" w:color="auto"/>
            <w:bottom w:val="none" w:sz="0" w:space="0" w:color="auto"/>
            <w:right w:val="none" w:sz="0" w:space="0" w:color="auto"/>
          </w:divBdr>
        </w:div>
      </w:divsChild>
    </w:div>
    <w:div w:id="1936478155">
      <w:marLeft w:val="0"/>
      <w:marRight w:val="0"/>
      <w:marTop w:val="0"/>
      <w:marBottom w:val="0"/>
      <w:divBdr>
        <w:top w:val="none" w:sz="0" w:space="0" w:color="auto"/>
        <w:left w:val="none" w:sz="0" w:space="0" w:color="auto"/>
        <w:bottom w:val="none" w:sz="0" w:space="0" w:color="auto"/>
        <w:right w:val="none" w:sz="0" w:space="0" w:color="auto"/>
      </w:divBdr>
    </w:div>
    <w:div w:id="1955668775">
      <w:marLeft w:val="0"/>
      <w:marRight w:val="0"/>
      <w:marTop w:val="0"/>
      <w:marBottom w:val="0"/>
      <w:divBdr>
        <w:top w:val="none" w:sz="0" w:space="0" w:color="auto"/>
        <w:left w:val="none" w:sz="0" w:space="0" w:color="auto"/>
        <w:bottom w:val="none" w:sz="0" w:space="0" w:color="auto"/>
        <w:right w:val="none" w:sz="0" w:space="0" w:color="auto"/>
      </w:divBdr>
    </w:div>
    <w:div w:id="1966737400">
      <w:marLeft w:val="0"/>
      <w:marRight w:val="0"/>
      <w:marTop w:val="0"/>
      <w:marBottom w:val="0"/>
      <w:divBdr>
        <w:top w:val="none" w:sz="0" w:space="0" w:color="auto"/>
        <w:left w:val="none" w:sz="0" w:space="0" w:color="auto"/>
        <w:bottom w:val="none" w:sz="0" w:space="0" w:color="auto"/>
        <w:right w:val="none" w:sz="0" w:space="0" w:color="auto"/>
      </w:divBdr>
      <w:divsChild>
        <w:div w:id="214506619">
          <w:marLeft w:val="0"/>
          <w:marRight w:val="0"/>
          <w:marTop w:val="0"/>
          <w:marBottom w:val="0"/>
          <w:divBdr>
            <w:top w:val="none" w:sz="0" w:space="0" w:color="auto"/>
            <w:left w:val="none" w:sz="0" w:space="0" w:color="auto"/>
            <w:bottom w:val="none" w:sz="0" w:space="0" w:color="auto"/>
            <w:right w:val="none" w:sz="0" w:space="0" w:color="auto"/>
          </w:divBdr>
        </w:div>
        <w:div w:id="639503531">
          <w:marLeft w:val="0"/>
          <w:marRight w:val="0"/>
          <w:marTop w:val="0"/>
          <w:marBottom w:val="0"/>
          <w:divBdr>
            <w:top w:val="none" w:sz="0" w:space="0" w:color="auto"/>
            <w:left w:val="none" w:sz="0" w:space="0" w:color="auto"/>
            <w:bottom w:val="none" w:sz="0" w:space="0" w:color="auto"/>
            <w:right w:val="none" w:sz="0" w:space="0" w:color="auto"/>
          </w:divBdr>
        </w:div>
      </w:divsChild>
    </w:div>
    <w:div w:id="2005275497">
      <w:marLeft w:val="0"/>
      <w:marRight w:val="0"/>
      <w:marTop w:val="0"/>
      <w:marBottom w:val="0"/>
      <w:divBdr>
        <w:top w:val="none" w:sz="0" w:space="0" w:color="auto"/>
        <w:left w:val="none" w:sz="0" w:space="0" w:color="auto"/>
        <w:bottom w:val="none" w:sz="0" w:space="0" w:color="auto"/>
        <w:right w:val="none" w:sz="0" w:space="0" w:color="auto"/>
      </w:divBdr>
    </w:div>
    <w:div w:id="2018926137">
      <w:marLeft w:val="0"/>
      <w:marRight w:val="0"/>
      <w:marTop w:val="0"/>
      <w:marBottom w:val="0"/>
      <w:divBdr>
        <w:top w:val="none" w:sz="0" w:space="0" w:color="auto"/>
        <w:left w:val="none" w:sz="0" w:space="0" w:color="auto"/>
        <w:bottom w:val="none" w:sz="0" w:space="0" w:color="auto"/>
        <w:right w:val="none" w:sz="0" w:space="0" w:color="auto"/>
      </w:divBdr>
      <w:divsChild>
        <w:div w:id="1783262053">
          <w:marLeft w:val="0"/>
          <w:marRight w:val="0"/>
          <w:marTop w:val="0"/>
          <w:marBottom w:val="0"/>
          <w:divBdr>
            <w:top w:val="none" w:sz="0" w:space="0" w:color="auto"/>
            <w:left w:val="none" w:sz="0" w:space="0" w:color="auto"/>
            <w:bottom w:val="none" w:sz="0" w:space="0" w:color="auto"/>
            <w:right w:val="none" w:sz="0" w:space="0" w:color="auto"/>
          </w:divBdr>
        </w:div>
        <w:div w:id="747579955">
          <w:marLeft w:val="0"/>
          <w:marRight w:val="0"/>
          <w:marTop w:val="0"/>
          <w:marBottom w:val="0"/>
          <w:divBdr>
            <w:top w:val="none" w:sz="0" w:space="0" w:color="auto"/>
            <w:left w:val="none" w:sz="0" w:space="0" w:color="auto"/>
            <w:bottom w:val="none" w:sz="0" w:space="0" w:color="auto"/>
            <w:right w:val="none" w:sz="0" w:space="0" w:color="auto"/>
          </w:divBdr>
        </w:div>
      </w:divsChild>
    </w:div>
    <w:div w:id="2029092023">
      <w:marLeft w:val="0"/>
      <w:marRight w:val="0"/>
      <w:marTop w:val="0"/>
      <w:marBottom w:val="0"/>
      <w:divBdr>
        <w:top w:val="none" w:sz="0" w:space="0" w:color="auto"/>
        <w:left w:val="none" w:sz="0" w:space="0" w:color="auto"/>
        <w:bottom w:val="none" w:sz="0" w:space="0" w:color="auto"/>
        <w:right w:val="none" w:sz="0" w:space="0" w:color="auto"/>
      </w:divBdr>
    </w:div>
    <w:div w:id="2035768863">
      <w:marLeft w:val="0"/>
      <w:marRight w:val="0"/>
      <w:marTop w:val="0"/>
      <w:marBottom w:val="0"/>
      <w:divBdr>
        <w:top w:val="none" w:sz="0" w:space="0" w:color="auto"/>
        <w:left w:val="none" w:sz="0" w:space="0" w:color="auto"/>
        <w:bottom w:val="none" w:sz="0" w:space="0" w:color="auto"/>
        <w:right w:val="none" w:sz="0" w:space="0" w:color="auto"/>
      </w:divBdr>
    </w:div>
    <w:div w:id="2051147555">
      <w:marLeft w:val="0"/>
      <w:marRight w:val="0"/>
      <w:marTop w:val="0"/>
      <w:marBottom w:val="0"/>
      <w:divBdr>
        <w:top w:val="none" w:sz="0" w:space="0" w:color="auto"/>
        <w:left w:val="none" w:sz="0" w:space="0" w:color="auto"/>
        <w:bottom w:val="none" w:sz="0" w:space="0" w:color="auto"/>
        <w:right w:val="none" w:sz="0" w:space="0" w:color="auto"/>
      </w:divBdr>
    </w:div>
    <w:div w:id="2076319817">
      <w:marLeft w:val="0"/>
      <w:marRight w:val="0"/>
      <w:marTop w:val="0"/>
      <w:marBottom w:val="0"/>
      <w:divBdr>
        <w:top w:val="none" w:sz="0" w:space="0" w:color="auto"/>
        <w:left w:val="none" w:sz="0" w:space="0" w:color="auto"/>
        <w:bottom w:val="none" w:sz="0" w:space="0" w:color="auto"/>
        <w:right w:val="none" w:sz="0" w:space="0" w:color="auto"/>
      </w:divBdr>
    </w:div>
    <w:div w:id="2100834074">
      <w:marLeft w:val="0"/>
      <w:marRight w:val="0"/>
      <w:marTop w:val="0"/>
      <w:marBottom w:val="0"/>
      <w:divBdr>
        <w:top w:val="none" w:sz="0" w:space="0" w:color="auto"/>
        <w:left w:val="none" w:sz="0" w:space="0" w:color="auto"/>
        <w:bottom w:val="none" w:sz="0" w:space="0" w:color="auto"/>
        <w:right w:val="none" w:sz="0" w:space="0" w:color="auto"/>
      </w:divBdr>
      <w:divsChild>
        <w:div w:id="1734428758">
          <w:marLeft w:val="0"/>
          <w:marRight w:val="0"/>
          <w:marTop w:val="0"/>
          <w:marBottom w:val="0"/>
          <w:divBdr>
            <w:top w:val="none" w:sz="0" w:space="0" w:color="auto"/>
            <w:left w:val="none" w:sz="0" w:space="0" w:color="auto"/>
            <w:bottom w:val="none" w:sz="0" w:space="0" w:color="auto"/>
            <w:right w:val="none" w:sz="0" w:space="0" w:color="auto"/>
          </w:divBdr>
        </w:div>
        <w:div w:id="854349546">
          <w:marLeft w:val="0"/>
          <w:marRight w:val="0"/>
          <w:marTop w:val="0"/>
          <w:marBottom w:val="0"/>
          <w:divBdr>
            <w:top w:val="none" w:sz="0" w:space="0" w:color="auto"/>
            <w:left w:val="none" w:sz="0" w:space="0" w:color="auto"/>
            <w:bottom w:val="none" w:sz="0" w:space="0" w:color="auto"/>
            <w:right w:val="none" w:sz="0" w:space="0" w:color="auto"/>
          </w:divBdr>
        </w:div>
      </w:divsChild>
    </w:div>
    <w:div w:id="2113277654">
      <w:marLeft w:val="0"/>
      <w:marRight w:val="0"/>
      <w:marTop w:val="0"/>
      <w:marBottom w:val="0"/>
      <w:divBdr>
        <w:top w:val="none" w:sz="0" w:space="0" w:color="auto"/>
        <w:left w:val="none" w:sz="0" w:space="0" w:color="auto"/>
        <w:bottom w:val="none" w:sz="0" w:space="0" w:color="auto"/>
        <w:right w:val="none" w:sz="0" w:space="0" w:color="auto"/>
      </w:divBdr>
    </w:div>
    <w:div w:id="2113744525">
      <w:marLeft w:val="0"/>
      <w:marRight w:val="0"/>
      <w:marTop w:val="0"/>
      <w:marBottom w:val="0"/>
      <w:divBdr>
        <w:top w:val="none" w:sz="0" w:space="0" w:color="auto"/>
        <w:left w:val="none" w:sz="0" w:space="0" w:color="auto"/>
        <w:bottom w:val="none" w:sz="0" w:space="0" w:color="auto"/>
        <w:right w:val="none" w:sz="0" w:space="0" w:color="auto"/>
      </w:divBdr>
      <w:divsChild>
        <w:div w:id="384763465">
          <w:marLeft w:val="0"/>
          <w:marRight w:val="0"/>
          <w:marTop w:val="0"/>
          <w:marBottom w:val="0"/>
          <w:divBdr>
            <w:top w:val="none" w:sz="0" w:space="0" w:color="auto"/>
            <w:left w:val="none" w:sz="0" w:space="0" w:color="auto"/>
            <w:bottom w:val="none" w:sz="0" w:space="0" w:color="auto"/>
            <w:right w:val="none" w:sz="0" w:space="0" w:color="auto"/>
          </w:divBdr>
        </w:div>
        <w:div w:id="669916002">
          <w:marLeft w:val="0"/>
          <w:marRight w:val="0"/>
          <w:marTop w:val="0"/>
          <w:marBottom w:val="0"/>
          <w:divBdr>
            <w:top w:val="none" w:sz="0" w:space="0" w:color="auto"/>
            <w:left w:val="none" w:sz="0" w:space="0" w:color="auto"/>
            <w:bottom w:val="none" w:sz="0" w:space="0" w:color="auto"/>
            <w:right w:val="none" w:sz="0" w:space="0" w:color="auto"/>
          </w:divBdr>
        </w:div>
      </w:divsChild>
    </w:div>
    <w:div w:id="2130318674">
      <w:marLeft w:val="0"/>
      <w:marRight w:val="0"/>
      <w:marTop w:val="0"/>
      <w:marBottom w:val="0"/>
      <w:divBdr>
        <w:top w:val="none" w:sz="0" w:space="0" w:color="auto"/>
        <w:left w:val="none" w:sz="0" w:space="0" w:color="auto"/>
        <w:bottom w:val="none" w:sz="0" w:space="0" w:color="auto"/>
        <w:right w:val="none" w:sz="0" w:space="0" w:color="auto"/>
      </w:divBdr>
      <w:divsChild>
        <w:div w:id="1916158376">
          <w:marLeft w:val="0"/>
          <w:marRight w:val="0"/>
          <w:marTop w:val="0"/>
          <w:marBottom w:val="0"/>
          <w:divBdr>
            <w:top w:val="none" w:sz="0" w:space="0" w:color="auto"/>
            <w:left w:val="none" w:sz="0" w:space="0" w:color="auto"/>
            <w:bottom w:val="none" w:sz="0" w:space="0" w:color="auto"/>
            <w:right w:val="none" w:sz="0" w:space="0" w:color="auto"/>
          </w:divBdr>
        </w:div>
        <w:div w:id="1645505263">
          <w:marLeft w:val="0"/>
          <w:marRight w:val="0"/>
          <w:marTop w:val="0"/>
          <w:marBottom w:val="0"/>
          <w:divBdr>
            <w:top w:val="none" w:sz="0" w:space="0" w:color="auto"/>
            <w:left w:val="none" w:sz="0" w:space="0" w:color="auto"/>
            <w:bottom w:val="none" w:sz="0" w:space="0" w:color="auto"/>
            <w:right w:val="none" w:sz="0" w:space="0" w:color="auto"/>
          </w:divBdr>
        </w:div>
      </w:divsChild>
    </w:div>
    <w:div w:id="2139179499">
      <w:marLeft w:val="0"/>
      <w:marRight w:val="0"/>
      <w:marTop w:val="0"/>
      <w:marBottom w:val="0"/>
      <w:divBdr>
        <w:top w:val="none" w:sz="0" w:space="0" w:color="auto"/>
        <w:left w:val="none" w:sz="0" w:space="0" w:color="auto"/>
        <w:bottom w:val="none" w:sz="0" w:space="0" w:color="auto"/>
        <w:right w:val="none" w:sz="0" w:space="0" w:color="auto"/>
      </w:divBdr>
      <w:divsChild>
        <w:div w:id="200169043">
          <w:marLeft w:val="0"/>
          <w:marRight w:val="0"/>
          <w:marTop w:val="0"/>
          <w:marBottom w:val="0"/>
          <w:divBdr>
            <w:top w:val="none" w:sz="0" w:space="0" w:color="auto"/>
            <w:left w:val="none" w:sz="0" w:space="0" w:color="auto"/>
            <w:bottom w:val="none" w:sz="0" w:space="0" w:color="auto"/>
            <w:right w:val="none" w:sz="0" w:space="0" w:color="auto"/>
          </w:divBdr>
        </w:div>
        <w:div w:id="1097559545">
          <w:marLeft w:val="0"/>
          <w:marRight w:val="0"/>
          <w:marTop w:val="0"/>
          <w:marBottom w:val="0"/>
          <w:divBdr>
            <w:top w:val="none" w:sz="0" w:space="0" w:color="auto"/>
            <w:left w:val="none" w:sz="0" w:space="0" w:color="auto"/>
            <w:bottom w:val="none" w:sz="0" w:space="0" w:color="auto"/>
            <w:right w:val="none" w:sz="0" w:space="0" w:color="auto"/>
          </w:divBdr>
        </w:div>
      </w:divsChild>
    </w:div>
    <w:div w:id="214296193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79101/000139843212000537/ex3-2.htm" TargetMode="External"/><Relationship Id="rId18" Type="http://schemas.openxmlformats.org/officeDocument/2006/relationships/hyperlink" Target="http://www.sec.gov/Archives/edgar/data/879101/000112528206003262/b413601_ex4-3.txt" TargetMode="External"/><Relationship Id="rId26" Type="http://schemas.openxmlformats.org/officeDocument/2006/relationships/hyperlink" Target="http://www.sec.gov/Archives/edgar/data/879101/000139843210000184/exh10_5.htm" TargetMode="External"/><Relationship Id="rId39" Type="http://schemas.openxmlformats.org/officeDocument/2006/relationships/hyperlink" Target="ex_224898.htm" TargetMode="External"/><Relationship Id="rId21" Type="http://schemas.openxmlformats.org/officeDocument/2006/relationships/hyperlink" Target="http://www.sec.gov/Archives/edgar/data/879101/000139843213000412/exh4_1.htm" TargetMode="External"/><Relationship Id="rId34" Type="http://schemas.openxmlformats.org/officeDocument/2006/relationships/hyperlink" Target="http://www.sec.gov/Archives/edgar/data/879101/000143774920017012/ex_194763.htm" TargetMode="External"/><Relationship Id="rId42" Type="http://schemas.openxmlformats.org/officeDocument/2006/relationships/hyperlink" Target="ex_224901.htm" TargetMode="External"/><Relationship Id="rId7" Type="http://schemas.openxmlformats.org/officeDocument/2006/relationships/image" Target="file:///E:\projects\LLMs\new_data_collection\data_new\htm\KIMCO%20REALTY%20CORP\comparison.gif" TargetMode="External"/><Relationship Id="rId2" Type="http://schemas.openxmlformats.org/officeDocument/2006/relationships/settings" Target="settings.xml"/><Relationship Id="rId16" Type="http://schemas.openxmlformats.org/officeDocument/2006/relationships/hyperlink" Target="http://www.sec.gov/Archives/edgar/data/879101/000139843217000173/exh3_03.htm" TargetMode="External"/><Relationship Id="rId29" Type="http://schemas.openxmlformats.org/officeDocument/2006/relationships/hyperlink" Target="http://www.sec.gov/Archives/edgar/data/879101/000139843210000184/exh10_8.htm" TargetMode="External"/><Relationship Id="rId1" Type="http://schemas.openxmlformats.org/officeDocument/2006/relationships/styles" Target="styles.xml"/><Relationship Id="rId6" Type="http://schemas.openxmlformats.org/officeDocument/2006/relationships/image" Target="file:///E:\projects\LLMs\new_data_collection\data_new\htm\KIMCO%20REALTY%20CORP\esgtable2.gif" TargetMode="External"/><Relationship Id="rId11" Type="http://schemas.openxmlformats.org/officeDocument/2006/relationships/hyperlink" Target="http://www.sec.gov/Archives/edgar/data/879101/000139843211000206/exh3_1b.htm" TargetMode="External"/><Relationship Id="rId24" Type="http://schemas.openxmlformats.org/officeDocument/2006/relationships/hyperlink" Target="http://www.sec.gov/Archives/edgar/data/879101/000139843209000090/exh10_9.htm" TargetMode="External"/><Relationship Id="rId32" Type="http://schemas.openxmlformats.org/officeDocument/2006/relationships/hyperlink" Target="http://www.sec.gov/Archives/edgar/data/879101/000120677420000839/kim3674811-def14a.htm" TargetMode="External"/><Relationship Id="rId37" Type="http://schemas.openxmlformats.org/officeDocument/2006/relationships/hyperlink" Target="http://www.sec.gov/Archives/edgar/data/879101/000143774920017012/ex_195426.htm" TargetMode="External"/><Relationship Id="rId40" Type="http://schemas.openxmlformats.org/officeDocument/2006/relationships/hyperlink" Target="ex_224899.htm" TargetMode="External"/><Relationship Id="rId45" Type="http://schemas.openxmlformats.org/officeDocument/2006/relationships/theme" Target="theme/theme1.xml"/><Relationship Id="rId5" Type="http://schemas.openxmlformats.org/officeDocument/2006/relationships/image" Target="file:///E:\projects\LLMs\new_data_collection\data_new\htm\KIMCO%20REALTY%20CORP\pillars2020.gif" TargetMode="External"/><Relationship Id="rId15" Type="http://schemas.openxmlformats.org/officeDocument/2006/relationships/hyperlink" Target="http://www.sec.gov/Archives/edgar/data/879101/000139843217000118/exh3_3.htm" TargetMode="External"/><Relationship Id="rId23" Type="http://schemas.openxmlformats.org/officeDocument/2006/relationships/hyperlink" Target="http://www.sec.gov/Archives/edgar/data/879101/000143774920003500/ex_173710.htm" TargetMode="External"/><Relationship Id="rId28" Type="http://schemas.openxmlformats.org/officeDocument/2006/relationships/hyperlink" Target="http://www.sec.gov/Archives/edgar/data/879101/000143774918003230/ex_105684.htm" TargetMode="External"/><Relationship Id="rId36" Type="http://schemas.openxmlformats.org/officeDocument/2006/relationships/hyperlink" Target="http://www.sec.gov/Archives/edgar/data/879101/000143774920017012/ex_195425.htm" TargetMode="External"/><Relationship Id="rId10" Type="http://schemas.openxmlformats.org/officeDocument/2006/relationships/hyperlink" Target="http://www.sec.gov/Archives/edgar/data/879101/000143774917003269/ex3-1b.htm" TargetMode="External"/><Relationship Id="rId19" Type="http://schemas.openxmlformats.org/officeDocument/2006/relationships/hyperlink" Target="http://www.sec.gov/Archives/edgar/data/879101/000095012307006086/y33993exv1w3.htm" TargetMode="External"/><Relationship Id="rId31" Type="http://schemas.openxmlformats.org/officeDocument/2006/relationships/hyperlink" Target="http://www.sec.gov/Archives/edgar/data/879101/000143774920003979/ex_174662.htm" TargetMode="External"/><Relationship Id="rId44" Type="http://schemas.openxmlformats.org/officeDocument/2006/relationships/fontTable" Target="fontTable.xml"/><Relationship Id="rId4" Type="http://schemas.openxmlformats.org/officeDocument/2006/relationships/image" Target="file:///E:\projects\LLMs\new_data_collection\data_new\htm\KIMCO%20REALTY%20CORP\focustable.gif" TargetMode="External"/><Relationship Id="rId9" Type="http://schemas.openxmlformats.org/officeDocument/2006/relationships/hyperlink" Target="http://www.sec.gov/Archives/edgar/data/879101/000139843211000206/exh3_1a.htm" TargetMode="External"/><Relationship Id="rId14" Type="http://schemas.openxmlformats.org/officeDocument/2006/relationships/hyperlink" Target="http://www.sec.gov/Archives/edgar/data/879101/000139843212000875/ex3-2.htm" TargetMode="External"/><Relationship Id="rId22" Type="http://schemas.openxmlformats.org/officeDocument/2006/relationships/hyperlink" Target="http://www.sec.gov/Archives/edgar/data/879101/000139843214000177/exh4_1.htm" TargetMode="External"/><Relationship Id="rId27" Type="http://schemas.openxmlformats.org/officeDocument/2006/relationships/hyperlink" Target="http://www.sec.gov/Archives/edgar/data/879101/000143774917003269/ex10-6.htm" TargetMode="External"/><Relationship Id="rId30" Type="http://schemas.openxmlformats.org/officeDocument/2006/relationships/hyperlink" Target="http://www.sec.gov/Archives/edgar/data/879101/000143774912004817/ex10-3.htm" TargetMode="External"/><Relationship Id="rId35" Type="http://schemas.openxmlformats.org/officeDocument/2006/relationships/hyperlink" Target="http://www.sec.gov/Archives/edgar/data/879101/000143774920017012/ex_194764.htm" TargetMode="External"/><Relationship Id="rId43" Type="http://schemas.openxmlformats.org/officeDocument/2006/relationships/hyperlink" Target="ex_225158.htm" TargetMode="External"/><Relationship Id="rId8" Type="http://schemas.openxmlformats.org/officeDocument/2006/relationships/image" Target="file:///E:\projects\LLMs\new_data_collection\data_new\htm\KIMCO%20REALTY%20CORP\tbl4.jpg" TargetMode="External"/><Relationship Id="rId3" Type="http://schemas.openxmlformats.org/officeDocument/2006/relationships/webSettings" Target="webSettings.xml"/><Relationship Id="rId12" Type="http://schemas.openxmlformats.org/officeDocument/2006/relationships/hyperlink" Target="http://www.sec.gov/Archives/edgar/data/879101/000139843212000219/exh3_2.htm" TargetMode="External"/><Relationship Id="rId17" Type="http://schemas.openxmlformats.org/officeDocument/2006/relationships/hyperlink" Target="http://www.sec.gov/Archives/edgar/data/879101/000139843209000090/exh3_2.htm" TargetMode="External"/><Relationship Id="rId25" Type="http://schemas.openxmlformats.org/officeDocument/2006/relationships/hyperlink" Target="http://www.sec.gov/Archives/edgar/data/879101/000139843209000090/exh99_1.htm" TargetMode="External"/><Relationship Id="rId33" Type="http://schemas.openxmlformats.org/officeDocument/2006/relationships/hyperlink" Target="http://www.sec.gov/Archives/edgar/data/879101/000143774920017012/ex_194696.htm" TargetMode="External"/><Relationship Id="rId38" Type="http://schemas.openxmlformats.org/officeDocument/2006/relationships/hyperlink" Target="ex_224897.htm" TargetMode="External"/><Relationship Id="rId20" Type="http://schemas.openxmlformats.org/officeDocument/2006/relationships/hyperlink" Target="http://www.sec.gov/Archives/edgar/data/879101/000139843209000364/exh4_1.htm" TargetMode="External"/><Relationship Id="rId41" Type="http://schemas.openxmlformats.org/officeDocument/2006/relationships/hyperlink" Target="ex_22490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90829</Words>
  <Characters>517727</Characters>
  <Application>Microsoft Office Word</Application>
  <DocSecurity>0</DocSecurity>
  <Lines>4314</Lines>
  <Paragraphs>1214</Paragraphs>
  <ScaleCrop>false</ScaleCrop>
  <Company/>
  <LinksUpToDate>false</LinksUpToDate>
  <CharactersWithSpaces>607342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kim20201231_10k.htm</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